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640" w:type="dxa"/>
            <w:vAlign w:val="bottom"/>
            <w:gridSpan w:val="3"/>
          </w:tcPr>
          <w:p>
            <w:pPr>
              <w:jc w:val="center"/>
              <w:ind w:right="2690"/>
              <w:spacing w:after="0"/>
              <w:rPr>
                <w:sz w:val="20"/>
                <w:szCs w:val="20"/>
                <w:color w:val="auto"/>
              </w:rPr>
            </w:pPr>
            <w:r>
              <w:rPr>
                <w:rFonts w:ascii="Arial" w:cs="Arial" w:eastAsia="Arial" w:hAnsi="Arial"/>
                <w:sz w:val="18"/>
                <w:szCs w:val="18"/>
                <w:color w:val="auto"/>
                <w:w w:val="97"/>
              </w:rPr>
              <w:t>SIMPSON THACHER &amp; BARTLETT LLP</w:t>
            </w:r>
          </w:p>
        </w:tc>
      </w:tr>
      <w:tr>
        <w:trPr>
          <w:trHeight w:val="216"/>
        </w:trPr>
        <w:tc>
          <w:tcPr>
            <w:tcW w:w="2780" w:type="dxa"/>
            <w:vAlign w:val="bottom"/>
          </w:tcPr>
          <w:p>
            <w:pPr>
              <w:spacing w:after="0"/>
              <w:rPr>
                <w:sz w:val="18"/>
                <w:szCs w:val="18"/>
                <w:color w:val="auto"/>
              </w:rPr>
            </w:pPr>
          </w:p>
        </w:tc>
        <w:tc>
          <w:tcPr>
            <w:tcW w:w="8640" w:type="dxa"/>
            <w:vAlign w:val="bottom"/>
            <w:gridSpan w:val="3"/>
          </w:tcPr>
          <w:p>
            <w:pPr>
              <w:jc w:val="center"/>
              <w:ind w:right="2670"/>
              <w:spacing w:after="0"/>
              <w:rPr>
                <w:sz w:val="20"/>
                <w:szCs w:val="20"/>
                <w:color w:val="auto"/>
              </w:rPr>
            </w:pPr>
            <w:r>
              <w:rPr>
                <w:rFonts w:ascii="Arial" w:cs="Arial" w:eastAsia="Arial" w:hAnsi="Arial"/>
                <w:sz w:val="18"/>
                <w:szCs w:val="18"/>
                <w:color w:val="auto"/>
                <w:w w:val="91"/>
              </w:rPr>
              <w:t>425 Lexington Avenue</w:t>
            </w:r>
          </w:p>
        </w:tc>
      </w:tr>
      <w:tr>
        <w:trPr>
          <w:trHeight w:val="216"/>
        </w:trPr>
        <w:tc>
          <w:tcPr>
            <w:tcW w:w="2780" w:type="dxa"/>
            <w:vAlign w:val="bottom"/>
          </w:tcPr>
          <w:p>
            <w:pPr>
              <w:spacing w:after="0"/>
              <w:rPr>
                <w:sz w:val="18"/>
                <w:szCs w:val="18"/>
                <w:color w:val="auto"/>
              </w:rPr>
            </w:pPr>
          </w:p>
        </w:tc>
        <w:tc>
          <w:tcPr>
            <w:tcW w:w="8640" w:type="dxa"/>
            <w:vAlign w:val="bottom"/>
            <w:gridSpan w:val="3"/>
          </w:tcPr>
          <w:p>
            <w:pPr>
              <w:jc w:val="center"/>
              <w:ind w:right="2690"/>
              <w:spacing w:after="0"/>
              <w:rPr>
                <w:sz w:val="20"/>
                <w:szCs w:val="20"/>
                <w:color w:val="auto"/>
              </w:rPr>
            </w:pPr>
            <w:r>
              <w:rPr>
                <w:rFonts w:ascii="Arial" w:cs="Arial" w:eastAsia="Arial" w:hAnsi="Arial"/>
                <w:sz w:val="18"/>
                <w:szCs w:val="18"/>
                <w:color w:val="auto"/>
                <w:w w:val="91"/>
              </w:rPr>
              <w:t>New York, N.Y. 10017-3954</w:t>
            </w:r>
          </w:p>
        </w:tc>
      </w:tr>
      <w:tr>
        <w:trPr>
          <w:trHeight w:val="230"/>
        </w:trPr>
        <w:tc>
          <w:tcPr>
            <w:tcW w:w="2780" w:type="dxa"/>
            <w:vAlign w:val="bottom"/>
          </w:tcPr>
          <w:p>
            <w:pPr>
              <w:spacing w:after="0"/>
              <w:rPr>
                <w:sz w:val="20"/>
                <w:szCs w:val="20"/>
                <w:color w:val="auto"/>
              </w:rPr>
            </w:pPr>
          </w:p>
        </w:tc>
        <w:tc>
          <w:tcPr>
            <w:tcW w:w="3500" w:type="dxa"/>
            <w:vAlign w:val="bottom"/>
            <w:gridSpan w:val="2"/>
          </w:tcPr>
          <w:p>
            <w:pPr>
              <w:jc w:val="center"/>
              <w:ind w:left="2290"/>
              <w:spacing w:after="0"/>
              <w:rPr>
                <w:sz w:val="20"/>
                <w:szCs w:val="20"/>
                <w:color w:val="auto"/>
              </w:rPr>
            </w:pPr>
            <w:r>
              <w:rPr>
                <w:rFonts w:ascii="Arial" w:cs="Arial" w:eastAsia="Arial" w:hAnsi="Arial"/>
                <w:sz w:val="18"/>
                <w:szCs w:val="18"/>
                <w:color w:val="auto"/>
                <w:w w:val="90"/>
              </w:rPr>
              <w:t>(212) 455-2000</w:t>
            </w:r>
          </w:p>
        </w:tc>
        <w:tc>
          <w:tcPr>
            <w:tcW w:w="5140" w:type="dxa"/>
            <w:vAlign w:val="bottom"/>
          </w:tcPr>
          <w:p>
            <w:pPr>
              <w:spacing w:after="0"/>
              <w:rPr>
                <w:sz w:val="20"/>
                <w:szCs w:val="20"/>
                <w:color w:val="auto"/>
              </w:rPr>
            </w:pPr>
          </w:p>
        </w:tc>
      </w:tr>
      <w:tr>
        <w:trPr>
          <w:trHeight w:val="75"/>
        </w:trPr>
        <w:tc>
          <w:tcPr>
            <w:tcW w:w="27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140" w:type="dxa"/>
            <w:vAlign w:val="bottom"/>
          </w:tcPr>
          <w:p>
            <w:pPr>
              <w:spacing w:after="0"/>
              <w:rPr>
                <w:sz w:val="6"/>
                <w:szCs w:val="6"/>
                <w:color w:val="auto"/>
              </w:rPr>
            </w:pPr>
          </w:p>
        </w:tc>
      </w:tr>
      <w:tr>
        <w:trPr>
          <w:trHeight w:val="297"/>
        </w:trPr>
        <w:tc>
          <w:tcPr>
            <w:tcW w:w="2780" w:type="dxa"/>
            <w:vAlign w:val="bottom"/>
          </w:tcPr>
          <w:p>
            <w:pPr>
              <w:spacing w:after="0"/>
              <w:rPr>
                <w:sz w:val="24"/>
                <w:szCs w:val="24"/>
                <w:color w:val="auto"/>
              </w:rPr>
            </w:pPr>
          </w:p>
        </w:tc>
        <w:tc>
          <w:tcPr>
            <w:tcW w:w="8640" w:type="dxa"/>
            <w:vAlign w:val="bottom"/>
            <w:gridSpan w:val="3"/>
          </w:tcPr>
          <w:p>
            <w:pPr>
              <w:jc w:val="center"/>
              <w:ind w:right="2690"/>
              <w:spacing w:after="0"/>
              <w:rPr>
                <w:sz w:val="20"/>
                <w:szCs w:val="20"/>
                <w:color w:val="auto"/>
              </w:rPr>
            </w:pPr>
            <w:r>
              <w:rPr>
                <w:rFonts w:ascii="Arial" w:cs="Arial" w:eastAsia="Arial" w:hAnsi="Arial"/>
                <w:sz w:val="18"/>
                <w:szCs w:val="18"/>
                <w:color w:val="auto"/>
                <w:w w:val="91"/>
              </w:rPr>
              <w:t>Facsimile (212) 455-2502</w:t>
            </w:r>
          </w:p>
        </w:tc>
      </w:tr>
      <w:tr>
        <w:trPr>
          <w:trHeight w:val="418"/>
        </w:trPr>
        <w:tc>
          <w:tcPr>
            <w:tcW w:w="2780" w:type="dxa"/>
            <w:vAlign w:val="bottom"/>
          </w:tcPr>
          <w:p>
            <w:pPr>
              <w:jc w:val="right"/>
              <w:ind w:right="1250"/>
              <w:spacing w:after="0"/>
              <w:rPr>
                <w:sz w:val="20"/>
                <w:szCs w:val="20"/>
                <w:color w:val="auto"/>
              </w:rPr>
            </w:pPr>
            <w:r>
              <w:rPr>
                <w:rFonts w:ascii="Arial" w:cs="Arial" w:eastAsia="Arial" w:hAnsi="Arial"/>
                <w:sz w:val="18"/>
                <w:szCs w:val="18"/>
                <w:color w:val="auto"/>
                <w:w w:val="93"/>
              </w:rPr>
              <w:t>Direct Dial Number</w:t>
            </w:r>
          </w:p>
        </w:tc>
        <w:tc>
          <w:tcPr>
            <w:tcW w:w="2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40" w:type="dxa"/>
            <w:vAlign w:val="bottom"/>
          </w:tcPr>
          <w:p>
            <w:pPr>
              <w:jc w:val="right"/>
              <w:spacing w:after="0"/>
              <w:rPr>
                <w:sz w:val="20"/>
                <w:szCs w:val="20"/>
                <w:color w:val="auto"/>
              </w:rPr>
            </w:pPr>
            <w:r>
              <w:rPr>
                <w:rFonts w:ascii="Arial" w:cs="Arial" w:eastAsia="Arial" w:hAnsi="Arial"/>
                <w:sz w:val="18"/>
                <w:szCs w:val="18"/>
                <w:color w:val="auto"/>
              </w:rPr>
              <w:t>E-Mail Address</w:t>
            </w:r>
          </w:p>
        </w:tc>
      </w:tr>
      <w:tr>
        <w:trPr>
          <w:trHeight w:val="230"/>
        </w:trPr>
        <w:tc>
          <w:tcPr>
            <w:tcW w:w="2780" w:type="dxa"/>
            <w:vAlign w:val="bottom"/>
          </w:tcPr>
          <w:p>
            <w:pPr>
              <w:jc w:val="right"/>
              <w:ind w:right="1510"/>
              <w:spacing w:after="0"/>
              <w:rPr>
                <w:sz w:val="20"/>
                <w:szCs w:val="20"/>
                <w:color w:val="auto"/>
              </w:rPr>
            </w:pPr>
            <w:r>
              <w:rPr>
                <w:rFonts w:ascii="Arial" w:cs="Arial" w:eastAsia="Arial" w:hAnsi="Arial"/>
                <w:sz w:val="18"/>
                <w:szCs w:val="18"/>
                <w:color w:val="auto"/>
                <w:w w:val="94"/>
              </w:rPr>
              <w:t>(212) 455-2948</w:t>
            </w:r>
          </w:p>
        </w:tc>
        <w:tc>
          <w:tcPr>
            <w:tcW w:w="2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40" w:type="dxa"/>
            <w:vAlign w:val="bottom"/>
          </w:tcPr>
          <w:p>
            <w:pPr>
              <w:jc w:val="right"/>
              <w:spacing w:after="0"/>
              <w:rPr>
                <w:sz w:val="20"/>
                <w:szCs w:val="20"/>
                <w:color w:val="auto"/>
              </w:rPr>
            </w:pPr>
            <w:r>
              <w:rPr>
                <w:rFonts w:ascii="Arial" w:cs="Arial" w:eastAsia="Arial" w:hAnsi="Arial"/>
                <w:sz w:val="18"/>
                <w:szCs w:val="18"/>
                <w:color w:val="auto"/>
              </w:rPr>
              <w:t>JKAUFMAN@STBLAW.COM</w:t>
            </w:r>
          </w:p>
        </w:tc>
      </w:tr>
    </w:tbl>
    <w:p>
      <w:pPr>
        <w:spacing w:after="0" w:line="25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October 23, 2017</w:t>
      </w:r>
    </w:p>
    <w:p>
      <w:pPr>
        <w:spacing w:after="0" w:line="252" w:lineRule="exact"/>
        <w:rPr>
          <w:sz w:val="24"/>
          <w:szCs w:val="24"/>
          <w:color w:val="auto"/>
        </w:rPr>
      </w:pPr>
    </w:p>
    <w:tbl>
      <w:tblPr>
        <w:tblLayout w:type="fixed"/>
        <w:tblInd w:w="458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Re:</w:t>
            </w:r>
          </w:p>
        </w:tc>
        <w:tc>
          <w:tcPr>
            <w:tcW w:w="4280" w:type="dxa"/>
            <w:vAlign w:val="bottom"/>
          </w:tcPr>
          <w:p>
            <w:pPr>
              <w:spacing w:after="0"/>
              <w:rPr>
                <w:sz w:val="20"/>
                <w:szCs w:val="20"/>
                <w:color w:val="auto"/>
              </w:rPr>
            </w:pPr>
            <w:r>
              <w:rPr>
                <w:rFonts w:ascii="Arial" w:cs="Arial" w:eastAsia="Arial" w:hAnsi="Arial"/>
                <w:sz w:val="18"/>
                <w:szCs w:val="18"/>
                <w:color w:val="auto"/>
                <w:w w:val="97"/>
              </w:rPr>
              <w:t>Acceleration Request for National Vision Holdings, Inc.</w:t>
            </w:r>
          </w:p>
        </w:tc>
      </w:tr>
      <w:tr>
        <w:trPr>
          <w:trHeight w:val="190"/>
        </w:trPr>
        <w:tc>
          <w:tcPr>
            <w:tcW w:w="680" w:type="dxa"/>
            <w:vAlign w:val="bottom"/>
          </w:tcPr>
          <w:p>
            <w:pPr>
              <w:spacing w:after="0"/>
              <w:rPr>
                <w:sz w:val="16"/>
                <w:szCs w:val="16"/>
                <w:color w:val="auto"/>
              </w:rPr>
            </w:pPr>
          </w:p>
        </w:tc>
        <w:tc>
          <w:tcPr>
            <w:tcW w:w="42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Registration Statement on Form S-1 (File No. 333-220719)</w:t>
            </w:r>
          </w:p>
        </w:tc>
      </w:tr>
    </w:tbl>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Amanda Ravitz</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Pursuant to Rule 461 under the Securities Act of 1933, as amended, we attach the requests of our client, National Vision Holdings, Inc., and of the underwriters that effectiveness of the above-referenced Registration Statement be accelerated to 3:00 p.m., Washington, D.C. time, on October 25, 2017, or as soon as practicable thereafter. </w:t>
      </w:r>
      <w:r>
        <w:rPr>
          <w:rFonts w:ascii="Arial" w:cs="Arial" w:eastAsia="Arial" w:hAnsi="Arial"/>
          <w:sz w:val="18"/>
          <w:szCs w:val="18"/>
          <w:b w:val="1"/>
          <w:bCs w:val="1"/>
          <w:color w:val="auto"/>
        </w:rPr>
        <w:t>We ask, however, that the Securities and Exchange Commission staff not accelerate such effectiveness until we speak</w:t>
      </w:r>
      <w:r>
        <w:rPr>
          <w:rFonts w:ascii="Arial" w:cs="Arial" w:eastAsia="Arial" w:hAnsi="Arial"/>
          <w:sz w:val="18"/>
          <w:szCs w:val="18"/>
          <w:color w:val="auto"/>
        </w:rPr>
        <w:t xml:space="preserve"> </w:t>
      </w:r>
      <w:r>
        <w:rPr>
          <w:rFonts w:ascii="Arial" w:cs="Arial" w:eastAsia="Arial" w:hAnsi="Arial"/>
          <w:sz w:val="18"/>
          <w:szCs w:val="18"/>
          <w:b w:val="1"/>
          <w:bCs w:val="1"/>
          <w:color w:val="auto"/>
        </w:rPr>
        <w:t>with you on that date.</w:t>
      </w:r>
    </w:p>
    <w:p>
      <w:pPr>
        <w:spacing w:after="0" w:line="21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Please call me at (212) 455-2948 with any questions.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Joseph H. Kaufman</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Joseph H. Kaufman</w:t>
      </w:r>
    </w:p>
    <w:p>
      <w:pPr>
        <w:spacing w:after="0" w:line="200" w:lineRule="exact"/>
        <w:rPr>
          <w:sz w:val="24"/>
          <w:szCs w:val="24"/>
          <w:color w:val="auto"/>
        </w:rPr>
      </w:pPr>
    </w:p>
    <w:p>
      <w:pPr>
        <w:spacing w:after="0" w:line="295" w:lineRule="exact"/>
        <w:rPr>
          <w:sz w:val="24"/>
          <w:szCs w:val="24"/>
          <w:color w:val="auto"/>
        </w:rPr>
      </w:pPr>
    </w:p>
    <w:p>
      <w:pPr>
        <w:ind w:left="1840" w:right="8000" w:hanging="1832"/>
        <w:spacing w:after="0" w:line="291" w:lineRule="auto"/>
        <w:tabs>
          <w:tab w:leader="none" w:pos="692"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Securities and Exchange Commission Tom Jones</w:t>
      </w:r>
    </w:p>
    <w:p>
      <w:pPr>
        <w:jc w:val="both"/>
        <w:ind w:left="1840" w:right="8640"/>
        <w:spacing w:after="0" w:line="323" w:lineRule="auto"/>
        <w:rPr>
          <w:rFonts w:ascii="Arial" w:cs="Arial" w:eastAsia="Arial" w:hAnsi="Arial"/>
          <w:sz w:val="16"/>
          <w:szCs w:val="16"/>
          <w:color w:val="auto"/>
        </w:rPr>
      </w:pPr>
      <w:r>
        <w:rPr>
          <w:rFonts w:ascii="Arial" w:cs="Arial" w:eastAsia="Arial" w:hAnsi="Arial"/>
          <w:sz w:val="16"/>
          <w:szCs w:val="16"/>
          <w:color w:val="auto"/>
        </w:rPr>
        <w:t>Tara Harkins Kevin Kuhar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2435 Commerce Avenue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Bldg. 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Duluth, Georgia 30096-4980</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23,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0"/>
          <w:szCs w:val="20"/>
          <w:color w:val="auto"/>
        </w:rPr>
      </w:pPr>
    </w:p>
    <w:tbl>
      <w:tblPr>
        <w:tblLayout w:type="fixed"/>
        <w:tblInd w:w="458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Re:</w:t>
            </w:r>
          </w:p>
        </w:tc>
        <w:tc>
          <w:tcPr>
            <w:tcW w:w="4280" w:type="dxa"/>
            <w:vAlign w:val="bottom"/>
          </w:tcPr>
          <w:p>
            <w:pPr>
              <w:spacing w:after="0"/>
              <w:rPr>
                <w:sz w:val="20"/>
                <w:szCs w:val="20"/>
                <w:color w:val="auto"/>
              </w:rPr>
            </w:pPr>
            <w:r>
              <w:rPr>
                <w:rFonts w:ascii="Arial" w:cs="Arial" w:eastAsia="Arial" w:hAnsi="Arial"/>
                <w:sz w:val="18"/>
                <w:szCs w:val="18"/>
                <w:color w:val="auto"/>
              </w:rPr>
              <w:t>National Vision Holdings, Inc.</w:t>
            </w:r>
          </w:p>
        </w:tc>
      </w:tr>
      <w:tr>
        <w:trPr>
          <w:trHeight w:val="190"/>
        </w:trPr>
        <w:tc>
          <w:tcPr>
            <w:tcW w:w="680" w:type="dxa"/>
            <w:vAlign w:val="bottom"/>
          </w:tcPr>
          <w:p>
            <w:pPr>
              <w:spacing w:after="0"/>
              <w:rPr>
                <w:sz w:val="16"/>
                <w:szCs w:val="16"/>
                <w:color w:val="auto"/>
              </w:rPr>
            </w:pPr>
          </w:p>
        </w:tc>
        <w:tc>
          <w:tcPr>
            <w:tcW w:w="42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Registration Statement on Form S-1 (File No. 333-220719)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Amanda Ravitz</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Rule 461 under the Securities Act of 1933, as amended, National Vision Holdings, Inc. (the “Company”) hereby requests that the effective date of the above-referenced Registration Statement be accelerated so that it may become effective at 3:00 p.m., Washington, D.C. time, on October 25, 2017, or as soon as practicable thereafter.</w:t>
      </w:r>
    </w:p>
    <w:p>
      <w:pPr>
        <w:spacing w:after="0" w:line="20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If you require any additional information with respect to this letter, please contact Joseph H. Kaufman (212-455-2948) of Simpson Thacher &amp; Bartlett LLP.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640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426"/>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23, 2017</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Re:</w:t>
            </w:r>
          </w:p>
        </w:tc>
        <w:tc>
          <w:tcPr>
            <w:tcW w:w="4280" w:type="dxa"/>
            <w:vAlign w:val="bottom"/>
          </w:tcPr>
          <w:p>
            <w:pPr>
              <w:spacing w:after="0"/>
              <w:rPr>
                <w:sz w:val="20"/>
                <w:szCs w:val="20"/>
                <w:color w:val="auto"/>
              </w:rPr>
            </w:pPr>
            <w:r>
              <w:rPr>
                <w:rFonts w:ascii="Arial" w:cs="Arial" w:eastAsia="Arial" w:hAnsi="Arial"/>
                <w:sz w:val="18"/>
                <w:szCs w:val="18"/>
                <w:color w:val="auto"/>
              </w:rPr>
              <w:t>National Vision Holdings, Inc. (the “Company”)</w:t>
            </w:r>
          </w:p>
        </w:tc>
      </w:tr>
      <w:tr>
        <w:trPr>
          <w:trHeight w:val="190"/>
        </w:trPr>
        <w:tc>
          <w:tcPr>
            <w:tcW w:w="680" w:type="dxa"/>
            <w:vAlign w:val="bottom"/>
          </w:tcPr>
          <w:p>
            <w:pPr>
              <w:spacing w:after="0"/>
              <w:rPr>
                <w:sz w:val="16"/>
                <w:szCs w:val="16"/>
                <w:color w:val="auto"/>
              </w:rPr>
            </w:pPr>
          </w:p>
        </w:tc>
        <w:tc>
          <w:tcPr>
            <w:tcW w:w="42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Registration Statement on Form S-1 (File No. 333-220719)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Amanda Ravitz</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Rule 461 under the Securities Act of 1933, as amended (the “Act”), and as representatives of the several underwriters of the Company’s proposed public offering of up to 18,170,000 shares of common stock, we hereby join the Company’s request that the effective date of the above-referenced Registration Statement be accelerated so that the above-referenced Registration Statement will be declared effective at 3:00 p.m., Washington D.C. time, on October 25, 2017, or as soon thereafter as is practicable.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Rule 460 of the Act, we wish to advise you that we have effected the following distribution of the Company’s Preliminary Prospectus, dated October 16, 2017, through the date hereof:</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Preliminary Prospectus dated October 16, 2017:</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4,790 copies to prospective underwriters, institutional investors, dealers and others.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the undersigned, as representatives of the several underwriters, have complied and will continue to comply, and we have been informed by the participating underwriters and dealers that they have complied and will continue to comply, with the requirements of Rule 15c2-8 under the Securities Exchange Act of 1934, as amended.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jc w:val="center"/>
        <w:ind w:right="6239"/>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7" w:lineRule="exact"/>
        <w:rPr>
          <w:sz w:val="20"/>
          <w:szCs w:val="20"/>
          <w:color w:val="auto"/>
        </w:rPr>
      </w:pPr>
    </w:p>
    <w:p>
      <w:pPr>
        <w:jc w:val="center"/>
        <w:ind w:right="6159"/>
        <w:spacing w:after="0"/>
        <w:rPr>
          <w:sz w:val="20"/>
          <w:szCs w:val="20"/>
          <w:color w:val="auto"/>
        </w:rPr>
      </w:pPr>
      <w:r>
        <w:rPr>
          <w:rFonts w:ascii="Arial" w:cs="Arial" w:eastAsia="Arial" w:hAnsi="Arial"/>
          <w:sz w:val="18"/>
          <w:szCs w:val="18"/>
          <w:b w:val="1"/>
          <w:bCs w:val="1"/>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MERRILL LYNCH, PIERCE, FENNER &amp; SMITH</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INCORPORATED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Michael Liloia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wp:posOffset>
            </wp:positionV>
            <wp:extent cx="1212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285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Name:</w:t>
        <w:tab/>
        <w:t>Michael Liloia</w:t>
      </w:r>
    </w:p>
    <w:p>
      <w:pPr>
        <w:spacing w:after="0" w:line="9"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Vice-President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Raffael Fiumara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wp:posOffset>
            </wp:positionV>
            <wp:extent cx="1251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Name:</w:t>
        <w:tab/>
        <w:t>Raffael Fiumara</w:t>
      </w:r>
    </w:p>
    <w:p>
      <w:pPr>
        <w:spacing w:after="0" w:line="9"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Waleed Matin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wp:posOffset>
            </wp:positionV>
            <wp:extent cx="1177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792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Name:</w:t>
        <w:tab/>
        <w:t>Waleed Matin</w:t>
      </w:r>
    </w:p>
    <w:p>
      <w:pPr>
        <w:spacing w:after="0" w:line="9"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2019-12-08T09:23:49Z</dcterms:created>
  <dcterms:modified xsi:type="dcterms:W3CDTF">2019-12-08T09:23:49Z</dcterms:modified>
</cp:coreProperties>
</file>