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5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10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March 1, 2023</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5520" w:type="dxa"/>
            <w:vAlign w:val="bottom"/>
          </w:tcPr>
          <w:p>
            <w:pPr>
              <w:jc w:val="center"/>
              <w:ind w:left="187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24"/>
        </w:trPr>
        <w:tc>
          <w:tcPr>
            <w:tcW w:w="5520" w:type="dxa"/>
            <w:vAlign w:val="bottom"/>
          </w:tcPr>
          <w:p>
            <w:pPr>
              <w:jc w:val="center"/>
              <w:ind w:right="285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5520" w:type="dxa"/>
            <w:vAlign w:val="bottom"/>
          </w:tcPr>
          <w:p>
            <w:pPr>
              <w:jc w:val="center"/>
              <w:ind w:right="283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520" w:type="dxa"/>
            <w:vAlign w:val="bottom"/>
          </w:tcPr>
          <w:p>
            <w:pPr>
              <w:jc w:val="center"/>
              <w:ind w:right="285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270"/>
        </w:trPr>
        <w:tc>
          <w:tcPr>
            <w:tcW w:w="5520" w:type="dxa"/>
            <w:vAlign w:val="bottom"/>
          </w:tcPr>
          <w:p>
            <w:pPr>
              <w:jc w:val="center"/>
              <w:ind w:right="285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3"/>
                <w:szCs w:val="23"/>
                <w:color w:val="auto"/>
              </w:rPr>
            </w:pPr>
          </w:p>
        </w:tc>
      </w:tr>
      <w:tr>
        <w:trPr>
          <w:trHeight w:val="216"/>
        </w:trPr>
        <w:tc>
          <w:tcPr>
            <w:tcW w:w="5520" w:type="dxa"/>
            <w:vAlign w:val="bottom"/>
          </w:tcPr>
          <w:p>
            <w:pPr>
              <w:jc w:val="center"/>
              <w:ind w:right="283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5520" w:type="dxa"/>
            <w:vAlign w:val="bottom"/>
          </w:tcPr>
          <w:p>
            <w:pPr>
              <w:jc w:val="center"/>
              <w:ind w:right="2839"/>
              <w:spacing w:after="0"/>
              <w:rPr>
                <w:sz w:val="20"/>
                <w:szCs w:val="20"/>
                <w:color w:val="auto"/>
              </w:rPr>
            </w:pPr>
            <w:r>
              <w:rPr>
                <w:rFonts w:ascii="Arial" w:cs="Arial" w:eastAsia="Arial" w:hAnsi="Arial"/>
                <w:sz w:val="16"/>
                <w:szCs w:val="16"/>
                <w:b w:val="1"/>
                <w:bCs w:val="1"/>
                <w:color w:val="auto"/>
                <w:w w:val="93"/>
              </w:rPr>
              <w:t>Duluth,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16"/>
        </w:trPr>
        <w:tc>
          <w:tcPr>
            <w:tcW w:w="5520" w:type="dxa"/>
            <w:vAlign w:val="bottom"/>
          </w:tcPr>
          <w:p>
            <w:pPr>
              <w:jc w:val="center"/>
              <w:ind w:right="285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18"/>
                <w:szCs w:val="18"/>
                <w:color w:val="auto"/>
              </w:rPr>
            </w:pPr>
          </w:p>
        </w:tc>
      </w:tr>
      <w:tr>
        <w:trPr>
          <w:trHeight w:val="280"/>
        </w:trPr>
        <w:tc>
          <w:tcPr>
            <w:tcW w:w="5520" w:type="dxa"/>
            <w:vAlign w:val="bottom"/>
          </w:tcPr>
          <w:p>
            <w:pPr>
              <w:jc w:val="center"/>
              <w:ind w:left="189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4"/>
                <w:szCs w:val="24"/>
                <w:color w:val="auto"/>
              </w:rPr>
            </w:pPr>
          </w:p>
        </w:tc>
      </w:tr>
      <w:tr>
        <w:trPr>
          <w:trHeight w:val="206"/>
        </w:trPr>
        <w:tc>
          <w:tcPr>
            <w:tcW w:w="5520" w:type="dxa"/>
            <w:vAlign w:val="bottom"/>
          </w:tcPr>
          <w:p>
            <w:pPr>
              <w:jc w:val="center"/>
              <w:ind w:left="187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5"/>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 2023, National Vision Holdings, Inc. (“National Vision”) issued a press release announcing financial results for the quarter and full fiscal year ended December 31,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release is furnished herewith as Exhibit 99.1 and incorporated by reference herein.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80" w:type="dxa"/>
            <w:vAlign w:val="bottom"/>
          </w:tcPr>
          <w:p>
            <w:pPr>
              <w:spacing w:after="0"/>
              <w:rPr>
                <w:sz w:val="24"/>
                <w:szCs w:val="24"/>
                <w:color w:val="auto"/>
              </w:rPr>
            </w:pPr>
          </w:p>
        </w:tc>
      </w:tr>
      <w:tr>
        <w:trPr>
          <w:trHeight w:val="209"/>
        </w:trPr>
        <w:tc>
          <w:tcPr>
            <w:tcW w:w="880" w:type="dxa"/>
            <w:vAlign w:val="bottom"/>
            <w:gridSpan w:val="3"/>
          </w:tcPr>
          <w:p>
            <w:pPr>
              <w:ind w:left="40"/>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March 1, 2023.</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2800" w:type="dxa"/>
            <w:vAlign w:val="bottom"/>
          </w:tcPr>
          <w:p>
            <w:pPr>
              <w:spacing w:after="0"/>
              <w:rPr>
                <w:sz w:val="20"/>
                <w:szCs w:val="20"/>
                <w:color w:val="auto"/>
              </w:rPr>
            </w:pPr>
            <w:r>
              <w:rPr>
                <w:rFonts w:ascii="Arial" w:cs="Arial" w:eastAsia="Arial" w:hAnsi="Arial"/>
                <w:sz w:val="18"/>
                <w:szCs w:val="18"/>
                <w:color w:val="auto"/>
              </w:rPr>
              <w:t>Date: March 1, 2023</w:t>
            </w:r>
          </w:p>
        </w:tc>
        <w:tc>
          <w:tcPr>
            <w:tcW w:w="2660" w:type="dxa"/>
            <w:vAlign w:val="bottom"/>
          </w:tcPr>
          <w:p>
            <w:pPr>
              <w:ind w:left="13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2"/>
        </w:trPr>
        <w:tc>
          <w:tcPr>
            <w:tcW w:w="2800" w:type="dxa"/>
            <w:vAlign w:val="bottom"/>
          </w:tcPr>
          <w:p>
            <w:pPr>
              <w:spacing w:after="0"/>
              <w:rPr>
                <w:sz w:val="19"/>
                <w:szCs w:val="19"/>
                <w:color w:val="auto"/>
              </w:rPr>
            </w:pPr>
          </w:p>
        </w:tc>
        <w:tc>
          <w:tcPr>
            <w:tcW w:w="2660" w:type="dxa"/>
            <w:vAlign w:val="bottom"/>
          </w:tcPr>
          <w:p>
            <w:pPr>
              <w:ind w:left="132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0"/>
        </w:trPr>
        <w:tc>
          <w:tcPr>
            <w:tcW w:w="2800" w:type="dxa"/>
            <w:vAlign w:val="bottom"/>
          </w:tcPr>
          <w:p>
            <w:pPr>
              <w:spacing w:after="0"/>
              <w:rPr>
                <w:sz w:val="20"/>
                <w:szCs w:val="20"/>
                <w:color w:val="auto"/>
              </w:rPr>
            </w:pPr>
          </w:p>
        </w:tc>
        <w:tc>
          <w:tcPr>
            <w:tcW w:w="2660" w:type="dxa"/>
            <w:vAlign w:val="bottom"/>
          </w:tcPr>
          <w:p>
            <w:pPr>
              <w:ind w:left="132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00"/>
          </w:cols>
          <w:pgMar w:left="320" w:top="89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1105535"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553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40"/>
        <w:spacing w:after="0"/>
        <w:rPr>
          <w:sz w:val="20"/>
          <w:szCs w:val="20"/>
          <w:color w:val="auto"/>
        </w:rPr>
      </w:pPr>
      <w:r>
        <w:rPr>
          <w:rFonts w:ascii="Arial" w:cs="Arial" w:eastAsia="Arial" w:hAnsi="Arial"/>
          <w:sz w:val="24"/>
          <w:szCs w:val="24"/>
          <w:b w:val="1"/>
          <w:bCs w:val="1"/>
          <w:color w:val="auto"/>
        </w:rPr>
        <w:t>National Vision Holdings, Inc. Reports Fourth Quarter and Fiscal 2022 Financial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highlights:</w:t>
      </w:r>
    </w:p>
    <w:p>
      <w:pPr>
        <w:spacing w:after="0" w:line="25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of $468.9 million, a decrease of 1.9% from Q4 2021</w:t>
      </w:r>
    </w:p>
    <w:p>
      <w:pPr>
        <w:spacing w:after="0" w:line="23"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(5.7)% &amp; Adjusted Comparable Store Sales Growth of (2.4)% from Q4 2021</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of $(9.3) million and Diluted EPS of $(0.12) compared to $6.2 million and $0.07, respectively, in Q4 2021</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of $(6.8) million compared to $16.8 million in Q4 2021</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of $(0.08) compared to $0.13 in Q4 2021</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Announces 2023 key strategic initiatives</w:t>
      </w:r>
    </w:p>
    <w:p>
      <w:pPr>
        <w:spacing w:after="0" w:line="32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 March 1, 2023 -- National Vision Holdings, Inc. (NASDAQ: EYE) (“National Vision” or the “Company”) today reported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fourth quarter and fiscal year ended December 31, 2022, and is providing its outlook for fiscal 2023.</w:t>
      </w:r>
    </w:p>
    <w:p>
      <w:pPr>
        <w:spacing w:after="0" w:line="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Reade Fahs, Chief Executive Officer, stated, “We ended the year in line with our guidance expectations despite the challenging macroeconomic environment which negatively impacted the optical industry and especially our core value conscious uninsured customer base. These headwinds notwithstanding, we were encouraged by positive comps in our managed care business for both the quarter and the year as well as improvements in exam capacity in a number of areas. In addition, we successfully rolled out remote medicine and electronic health record capabilities in over 300 locations and delivered on our objective of opening 80 new stores in 2022.” </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Fahs continued, “As we enter 2023, we are building on the progress in 2022, with our 2023 key strategic initiatives including continuing to expand exam capacity, furthering the digitization of our stores and corporate office, leveraging our omni-channel capabilities and capitalizing on our whitespace opportunity. As part of these initiatives, we are making significant enhancements to Optometrist recruiting and retention initiatives, including increased scheduling options. We began piloting these changes in the fourth quarter and have seen early positive results. We plan to continue to expand our remote medicine and electronic health records capabilities to additional America’s Best stores in 2023. While we expect the uncertain macro environment and increased inflationary pressures, along with the investments in these initiatives, to weigh on profitability in the near-term, we believe the actions we are taking will better position us for continued success and improved market position longer term.”</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Adjusted Comparable Store Sales Growth, Adjusted Operating Income, Adjusted EBITDA, Adjusted Diluted EPS, Adjusted Operating Margin, Adjusted EBITDA Margin, and EBITDA are not measures recognized under generally accepted accounting principles (</w:t>
      </w: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w:t>
      </w:r>
      <w:r>
        <w:rPr>
          <w:rFonts w:ascii="Arial" w:cs="Arial" w:eastAsia="Arial" w:hAnsi="Arial"/>
          <w:sz w:val="18"/>
          <w:szCs w:val="18"/>
          <w:i w:val="1"/>
          <w:iCs w:val="1"/>
          <w:color w:val="auto"/>
        </w:rPr>
        <w:t xml:space="preserve">). Please see </w:t>
      </w:r>
      <w:r>
        <w:rPr>
          <w:rFonts w:ascii="Arial" w:cs="Arial" w:eastAsia="Arial" w:hAnsi="Arial"/>
          <w:sz w:val="18"/>
          <w:szCs w:val="18"/>
          <w:color w:val="auto"/>
        </w:rPr>
        <w:t>“</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Reconciliation of Non-GAAP to 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below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Summary compared to Fourth Quarter 2021</w:t>
      </w:r>
    </w:p>
    <w:p>
      <w:pPr>
        <w:spacing w:after="0" w:line="27" w:lineRule="exact"/>
        <w:rPr>
          <w:sz w:val="20"/>
          <w:szCs w:val="20"/>
          <w:color w:val="auto"/>
        </w:rPr>
      </w:pPr>
    </w:p>
    <w:p>
      <w:pPr>
        <w:ind w:lef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decreased 1.9% to $468.9 million compared to the fourth quarter of 2021. Net revenue was negatively impacted by 2.9% due to the timing of unearned revenue.</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was (5.7)% and Adjusted Comparable Store Sales Growth was (2.4)%.</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opened 23 new stores, closed one store, and ended the quarter with 1,354 stores. Overall, store count grew 5.9% from January 1, 2022 to December 31, 2022.</w:t>
      </w:r>
    </w:p>
    <w:p>
      <w:pPr>
        <w:jc w:val="both"/>
        <w:ind w:left="340" w:right="2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applicable to revenue increased 2.1% to $222.2 million compared to the fourth quarter of 2021. As a percentage of net revenue, costs applicable to revenue increased 180 basis points to 47.4% compared to the fourth quarter of 2021. This increase, as a percentage of net revenue, was primarily driven by the deleverage of optometrist-related costs, reduced eyeglass mix, and lower eyeglass margin.</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increased 4.1% to $233.9 million compared to the fourth quarter of 2021. As a percentage of net revenue, SG&amp;A increased 290 basis points to 49.9% compared to the fourth quarter of 2021. This increase, as a percentage of net revenue, was driven by the timing of unearned revenue, corporate overhead and occupancy expense.</w:t>
      </w:r>
    </w:p>
    <w:p>
      <w:pPr>
        <w:sectPr>
          <w:pgSz w:w="11900" w:h="16838" w:orient="portrait"/>
          <w:cols w:equalWidth="0" w:num="1">
            <w:col w:w="11240"/>
          </w:cols>
          <w:pgMar w:left="320" w:top="121" w:right="339" w:bottom="1440" w:gutter="0" w:footer="0" w:header="0"/>
        </w:sectPr>
      </w:pPr>
    </w:p>
    <w:bookmarkStart w:id="5" w:name="page6"/>
    <w:bookmarkEnd w:id="5"/>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decreased 249% to a net loss of $9.3 million compared to the fourth quarter of 2021.</w:t>
      </w:r>
    </w:p>
    <w:p>
      <w:pPr>
        <w:spacing w:after="0" w:line="23"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Diluted earnings (loss) per share decreased 257% to $(0.12) compared to the fourth quarter of 2021. Adjusted Diluted EPS decreased 162% to $(0.08) compared to the fourth quarter of 2021. The net change in margin on unearned revenue negatively impacted Adjusted Diluted EPS by $0.10.</w:t>
      </w:r>
    </w:p>
    <w:p>
      <w:pPr>
        <w:spacing w:after="0" w:line="1" w:lineRule="exact"/>
        <w:rPr>
          <w:rFonts w:ascii="Arial" w:cs="Arial" w:eastAsia="Arial" w:hAnsi="Arial"/>
          <w:sz w:val="16"/>
          <w:szCs w:val="16"/>
          <w:i w:val="1"/>
          <w:iCs w:val="1"/>
          <w:color w:val="auto"/>
        </w:rPr>
      </w:pPr>
    </w:p>
    <w:p>
      <w:pPr>
        <w:jc w:val="both"/>
        <w:ind w:left="340" w:right="20" w:hanging="332"/>
        <w:spacing w:after="0" w:line="277"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Operating Income decreased 140% to $(6.8) million compared to the fourth quarter of 2021. Net income margin decreased 330 basis points to (2.0)% compared to the fourth quarter of 2021. Adjusted Operating Margin decreased 490 basis points to (1.4)% compared to the fourth quarter of 2021. The net change in margin on unearned revenue negatively impacted Adjusted Operating Income by $10.7 million.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Summary compared to Fiscal 2021</w:t>
      </w:r>
    </w:p>
    <w:p>
      <w:pPr>
        <w:spacing w:after="0" w:line="27" w:lineRule="exact"/>
        <w:rPr>
          <w:sz w:val="20"/>
          <w:szCs w:val="20"/>
          <w:color w:val="auto"/>
        </w:rPr>
      </w:pPr>
    </w:p>
    <w:p>
      <w:pPr>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decreased 3.6% to $2.01 billion compared to fiscal year 2021. Net revenue was negatively impacted by 0.7% due to the timing of unearned revenue.</w:t>
      </w: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growth was (7.5)% and Adjusted Comparable Store Sales Growth was (7.6)%.</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opened 80 new stores, closed four stores, and ended the period with 1,354 stores.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applicable to revenue increased 2.3% to $925.6 million compared to fiscal year 2021. As a percentage of net revenue, costs applicable to revenue increased 270 basis points to 46.2% compared to fiscal year 2021. This increase as a percentage of net revenue was primarily driven by the deleverage of optometrist-related costs, reduced eyeglass mix and lower eyeglass margin.</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35" w:val="left"/>
        </w:tabs>
        <w:numPr>
          <w:ilvl w:val="0"/>
          <w:numId w:val="6"/>
        </w:numPr>
        <w:rPr>
          <w:rFonts w:ascii="Arial" w:cs="Arial" w:eastAsia="Arial" w:hAnsi="Arial"/>
          <w:sz w:val="17"/>
          <w:szCs w:val="17"/>
          <w:color w:val="auto"/>
        </w:rPr>
      </w:pPr>
      <w:r>
        <w:rPr>
          <w:rFonts w:ascii="Arial" w:cs="Arial" w:eastAsia="Arial" w:hAnsi="Arial"/>
          <w:sz w:val="17"/>
          <w:szCs w:val="17"/>
          <w:color w:val="auto"/>
        </w:rPr>
        <w:t>SG&amp;A increased 1.6% to $915.4 million compared to fiscal year 2021. As a percentage of net revenue, SG&amp;A increased 230 basis points to 45.6% compared to fiscal year 2021. This increase as a percentage of net revenue was primarily driven by the deleverage of store payroll, corporate overhead and occupancy expense, partially offset by lower performance-based incentive compensation and lower advertising.</w:t>
      </w: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decreased 67.2% to $42.1 million compared to fiscal year 2021.</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Diluted earnings per share decreased 63.4% to $0.52 compared to fiscal year 2021. Adjusted Diluted EPS decreased 56.2% to $0.65 compared to fiscal year 2021. The net change in margin on unearned revenue negatively impacted Adjusted Diluted EPS by $0.10.</w:t>
      </w:r>
    </w:p>
    <w:p>
      <w:pPr>
        <w:jc w:val="both"/>
        <w:ind w:left="340" w:hanging="332"/>
        <w:spacing w:after="0" w:line="255"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Operating Income decreased 57.1% to $87.8 million compared to fiscal year 2021. Net income margin decreased 410 basis points to 2.1% compared to fiscal year 2021. Adjusted Operating Margin decreased 540 basis points to 4.4% compared to fiscal year 2021. The net change in margin on unearned revenue negatively impacted Adjusted Operating Income by $10.8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w:t>
      </w:r>
    </w:p>
    <w:p>
      <w:pPr>
        <w:spacing w:after="0" w:line="27" w:lineRule="exact"/>
        <w:rPr>
          <w:sz w:val="20"/>
          <w:szCs w:val="20"/>
          <w:color w:val="auto"/>
        </w:rPr>
      </w:pPr>
    </w:p>
    <w:p>
      <w:pPr>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cash balance was $229.4 million as of December 31, 2022. The Company had no borrowings under its $300.0 million first lien revolving credit facility, exclusive of letters of credit of $6.4 million.</w:t>
      </w:r>
    </w:p>
    <w:p>
      <w:pPr>
        <w:ind w:left="34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Total debt was $567.5 million as of December 31, 2022, consisting of outstanding first lien term loans, convertible senior notes (“2025 Notes”) and finance lease obligations, net of unamortized discounts.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Cash flows from operating activities for 2022 were $119.2 million compared to $258.9 million for 2021.</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Capital expenditures for 2022 totaled $113.5 million compared to $95.5 million for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7" w:lineRule="exact"/>
        <w:rPr>
          <w:sz w:val="20"/>
          <w:szCs w:val="20"/>
          <w:color w:val="auto"/>
        </w:rPr>
      </w:pPr>
    </w:p>
    <w:p>
      <w:pPr>
        <w:ind w:left="340" w:hanging="332"/>
        <w:spacing w:after="0" w:line="26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the Company did not repurchase any shares of its common stock. The Company has $50 million remaining under the current share repurchase authorization.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Outlook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fiscal 2023 outlook reflects current expected or estimated impacts related to macro-economic factors, including inflation, geopolitical instability and risks of recession, as well as constraints on exam capacity; however, the ultimate impact of these factors on the Company’s financial outlook remains uncertain with dynamic market conditions and the outlook shown below assumes no material deterioration to the Company’s current business operations as a result of such factors.</w:t>
      </w:r>
    </w:p>
    <w:p>
      <w:pPr>
        <w:sectPr>
          <w:pgSz w:w="11900" w:h="16838" w:orient="portrait"/>
          <w:cols w:equalWidth="0" w:num="1">
            <w:col w:w="11240"/>
          </w:cols>
          <w:pgMar w:left="320" w:top="93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w w:val="95"/>
              </w:rPr>
              <w:t>The Company is providing the following outlook for the 52 weeks ending December 30, 2023:</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364"/>
        </w:trPr>
        <w:tc>
          <w:tcPr>
            <w:tcW w:w="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740" w:type="dxa"/>
            <w:vAlign w:val="bottom"/>
            <w:gridSpan w:val="3"/>
          </w:tcPr>
          <w:p>
            <w:pPr>
              <w:jc w:val="center"/>
              <w:ind w:right="1410"/>
              <w:spacing w:after="0"/>
              <w:rPr>
                <w:sz w:val="20"/>
                <w:szCs w:val="20"/>
                <w:color w:val="auto"/>
              </w:rPr>
            </w:pPr>
            <w:r>
              <w:rPr>
                <w:rFonts w:ascii="Arial" w:cs="Arial" w:eastAsia="Arial" w:hAnsi="Arial"/>
                <w:sz w:val="18"/>
                <w:szCs w:val="18"/>
                <w:b w:val="1"/>
                <w:bCs w:val="1"/>
                <w:color w:val="auto"/>
                <w:w w:val="89"/>
              </w:rPr>
              <w:t>Fiscal 2023 Outlook</w:t>
            </w:r>
          </w:p>
        </w:tc>
      </w:tr>
      <w:tr>
        <w:trPr>
          <w:trHeight w:val="229"/>
        </w:trPr>
        <w:tc>
          <w:tcPr>
            <w:tcW w:w="380" w:type="dxa"/>
            <w:vAlign w:val="bottom"/>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w:t>
            </w:r>
          </w:p>
        </w:tc>
      </w:tr>
      <w:tr>
        <w:trPr>
          <w:trHeight w:val="230"/>
        </w:trPr>
        <w:tc>
          <w:tcPr>
            <w:tcW w:w="380" w:type="dxa"/>
            <w:vAlign w:val="bottom"/>
          </w:tcPr>
          <w:p>
            <w:pPr>
              <w:spacing w:after="0"/>
              <w:rPr>
                <w:sz w:val="19"/>
                <w:szCs w:val="19"/>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Adjusted Comparable Store Sales Growth</w:t>
            </w: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2"/>
              </w:rPr>
              <w:t>0%</w:t>
            </w:r>
          </w:p>
        </w:tc>
        <w:tc>
          <w:tcPr>
            <w:tcW w:w="2660" w:type="dxa"/>
            <w:vAlign w:val="bottom"/>
          </w:tcPr>
          <w:p>
            <w:pPr>
              <w:ind w:left="20"/>
              <w:spacing w:after="0"/>
              <w:rPr>
                <w:sz w:val="20"/>
                <w:szCs w:val="20"/>
                <w:color w:val="auto"/>
              </w:rPr>
            </w:pPr>
            <w:r>
              <w:rPr>
                <w:rFonts w:ascii="Arial" w:cs="Arial" w:eastAsia="Arial" w:hAnsi="Arial"/>
                <w:sz w:val="18"/>
                <w:szCs w:val="18"/>
                <w:color w:val="auto"/>
              </w:rPr>
              <w:t>- 3%</w:t>
            </w:r>
          </w:p>
        </w:tc>
      </w:tr>
      <w:tr>
        <w:trPr>
          <w:trHeight w:val="229"/>
        </w:trPr>
        <w:tc>
          <w:tcPr>
            <w:tcW w:w="380" w:type="dxa"/>
            <w:vAlign w:val="bottom"/>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740" w:type="dxa"/>
            <w:vAlign w:val="bottom"/>
            <w:gridSpan w:val="3"/>
            <w:shd w:val="clear" w:color="auto" w:fill="CCEEFF"/>
          </w:tcPr>
          <w:p>
            <w:pPr>
              <w:jc w:val="center"/>
              <w:ind w:right="1390"/>
              <w:spacing w:after="0"/>
              <w:rPr>
                <w:sz w:val="20"/>
                <w:szCs w:val="20"/>
                <w:color w:val="auto"/>
              </w:rPr>
            </w:pPr>
            <w:r>
              <w:rPr>
                <w:rFonts w:ascii="Arial" w:cs="Arial" w:eastAsia="Arial" w:hAnsi="Arial"/>
                <w:sz w:val="18"/>
                <w:szCs w:val="18"/>
                <w:color w:val="auto"/>
                <w:w w:val="93"/>
              </w:rPr>
              <w:t>$2.075 - $2.135 billion</w:t>
            </w:r>
          </w:p>
        </w:tc>
      </w:tr>
      <w:tr>
        <w:trPr>
          <w:trHeight w:val="229"/>
        </w:trPr>
        <w:tc>
          <w:tcPr>
            <w:tcW w:w="380" w:type="dxa"/>
            <w:vAlign w:val="bottom"/>
          </w:tcPr>
          <w:p>
            <w:pPr>
              <w:spacing w:after="0"/>
              <w:rPr>
                <w:sz w:val="19"/>
                <w:szCs w:val="19"/>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 $66 million</w:t>
            </w:r>
          </w:p>
        </w:tc>
      </w:tr>
      <w:tr>
        <w:trPr>
          <w:trHeight w:val="230"/>
        </w:trPr>
        <w:tc>
          <w:tcPr>
            <w:tcW w:w="380" w:type="dxa"/>
            <w:vAlign w:val="bottom"/>
          </w:tcPr>
          <w:p>
            <w:pPr>
              <w:spacing w:after="0"/>
              <w:rPr>
                <w:sz w:val="19"/>
                <w:szCs w:val="19"/>
                <w:color w:val="auto"/>
              </w:rPr>
            </w:pPr>
          </w:p>
        </w:tc>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$0.60</w:t>
            </w:r>
          </w:p>
        </w:tc>
      </w:tr>
      <w:tr>
        <w:trPr>
          <w:trHeight w:val="229"/>
        </w:trPr>
        <w:tc>
          <w:tcPr>
            <w:tcW w:w="380" w:type="dxa"/>
            <w:vAlign w:val="bottom"/>
          </w:tcPr>
          <w:p>
            <w:pPr>
              <w:spacing w:after="0"/>
              <w:rPr>
                <w:sz w:val="19"/>
                <w:szCs w:val="19"/>
                <w:color w:val="auto"/>
              </w:rPr>
            </w:pPr>
          </w:p>
        </w:tc>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 $106 million</w:t>
            </w:r>
          </w:p>
        </w:tc>
      </w:tr>
      <w:tr>
        <w:trPr>
          <w:trHeight w:val="230"/>
        </w:trPr>
        <w:tc>
          <w:tcPr>
            <w:tcW w:w="380" w:type="dxa"/>
            <w:vAlign w:val="bottom"/>
          </w:tcPr>
          <w:p>
            <w:pPr>
              <w:spacing w:after="0"/>
              <w:rPr>
                <w:sz w:val="19"/>
                <w:szCs w:val="19"/>
                <w:color w:val="auto"/>
              </w:rPr>
            </w:pPr>
          </w:p>
        </w:tc>
        <w:tc>
          <w:tcPr>
            <w:tcW w:w="6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w:t>
            </w:r>
            <w:r>
              <w:rPr>
                <w:rFonts w:ascii="Arial" w:cs="Arial" w:eastAsia="Arial" w:hAnsi="Arial"/>
                <w:sz w:val="23"/>
                <w:szCs w:val="23"/>
                <w:color w:val="auto"/>
                <w:vertAlign w:val="superscript"/>
              </w:rPr>
              <w:t>3</w:t>
            </w:r>
          </w:p>
        </w:tc>
        <w:tc>
          <w:tcPr>
            <w:tcW w:w="3740" w:type="dxa"/>
            <w:vAlign w:val="bottom"/>
            <w:gridSpan w:val="3"/>
            <w:shd w:val="clear" w:color="auto" w:fill="CCEEFF"/>
          </w:tcPr>
          <w:p>
            <w:pPr>
              <w:jc w:val="center"/>
              <w:ind w:right="1410"/>
              <w:spacing w:after="0"/>
              <w:rPr>
                <w:sz w:val="20"/>
                <w:szCs w:val="20"/>
                <w:color w:val="auto"/>
              </w:rPr>
            </w:pPr>
            <w:r>
              <w:rPr>
                <w:rFonts w:ascii="Arial" w:cs="Arial" w:eastAsia="Arial" w:hAnsi="Arial"/>
                <w:sz w:val="18"/>
                <w:szCs w:val="18"/>
                <w:color w:val="auto"/>
                <w:w w:val="97"/>
              </w:rPr>
              <w:t>~$3 million</w:t>
            </w:r>
          </w:p>
        </w:tc>
      </w:tr>
      <w:tr>
        <w:trPr>
          <w:trHeight w:val="229"/>
        </w:trPr>
        <w:tc>
          <w:tcPr>
            <w:tcW w:w="380" w:type="dxa"/>
            <w:vAlign w:val="bottom"/>
          </w:tcPr>
          <w:p>
            <w:pPr>
              <w:spacing w:after="0"/>
              <w:rPr>
                <w:sz w:val="19"/>
                <w:szCs w:val="19"/>
                <w:color w:val="auto"/>
              </w:rPr>
            </w:pPr>
          </w:p>
        </w:tc>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4</w:t>
            </w:r>
          </w:p>
        </w:tc>
        <w:tc>
          <w:tcPr>
            <w:tcW w:w="780" w:type="dxa"/>
            <w:vAlign w:val="bottom"/>
          </w:tcPr>
          <w:p>
            <w:pPr>
              <w:spacing w:after="0"/>
              <w:rPr>
                <w:sz w:val="19"/>
                <w:szCs w:val="19"/>
                <w:color w:val="auto"/>
              </w:rPr>
            </w:pPr>
          </w:p>
        </w:tc>
        <w:tc>
          <w:tcPr>
            <w:tcW w:w="2960" w:type="dxa"/>
            <w:vAlign w:val="bottom"/>
            <w:gridSpan w:val="2"/>
          </w:tcPr>
          <w:p>
            <w:pPr>
              <w:jc w:val="center"/>
              <w:ind w:right="2190"/>
              <w:spacing w:after="0"/>
              <w:rPr>
                <w:sz w:val="20"/>
                <w:szCs w:val="20"/>
                <w:color w:val="auto"/>
              </w:rPr>
            </w:pPr>
            <w:r>
              <w:rPr>
                <w:rFonts w:ascii="Arial" w:cs="Arial" w:eastAsia="Arial" w:hAnsi="Arial"/>
                <w:sz w:val="18"/>
                <w:szCs w:val="18"/>
                <w:color w:val="auto"/>
                <w:w w:val="94"/>
              </w:rPr>
              <w:t>~26%</w:t>
            </w:r>
          </w:p>
        </w:tc>
      </w:tr>
      <w:tr>
        <w:trPr>
          <w:trHeight w:val="229"/>
        </w:trPr>
        <w:tc>
          <w:tcPr>
            <w:tcW w:w="380" w:type="dxa"/>
            <w:vAlign w:val="bottom"/>
          </w:tcPr>
          <w:p>
            <w:pPr>
              <w:spacing w:after="0"/>
              <w:rPr>
                <w:sz w:val="19"/>
                <w:szCs w:val="19"/>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$120 million</w:t>
            </w:r>
          </w:p>
        </w:tc>
      </w:tr>
    </w:tbl>
    <w:p>
      <w:pPr>
        <w:spacing w:after="0" w:line="148" w:lineRule="exact"/>
        <w:rPr>
          <w:sz w:val="20"/>
          <w:szCs w:val="20"/>
          <w:color w:val="auto"/>
        </w:rPr>
      </w:pPr>
    </w:p>
    <w:p>
      <w:pPr>
        <w:ind w:left="400" w:right="400"/>
        <w:spacing w:after="0" w:line="235" w:lineRule="auto"/>
        <w:rPr>
          <w:sz w:val="20"/>
          <w:szCs w:val="20"/>
          <w:color w:val="auto"/>
        </w:rPr>
      </w:pPr>
      <w:r>
        <w:rPr>
          <w:rFonts w:ascii="Arial" w:cs="Arial" w:eastAsia="Arial" w:hAnsi="Arial"/>
          <w:sz w:val="18"/>
          <w:szCs w:val="18"/>
          <w:i w:val="1"/>
          <w:iCs w:val="1"/>
          <w:color w:val="auto"/>
        </w:rPr>
        <w:t>1 - Assumes approximately 80.2 million shares, and does not include 12.9 million shares attributable to the 2025 Notes as they are anticipated to be anti-dilutive to earnings per share for fiscal year 2023</w:t>
      </w:r>
    </w:p>
    <w:p>
      <w:pPr>
        <w:spacing w:after="0" w:line="13" w:lineRule="exact"/>
        <w:rPr>
          <w:sz w:val="20"/>
          <w:szCs w:val="20"/>
          <w:color w:val="auto"/>
        </w:rPr>
      </w:pPr>
    </w:p>
    <w:p>
      <w:pPr>
        <w:ind w:left="400" w:right="400"/>
        <w:spacing w:after="0" w:line="235" w:lineRule="auto"/>
        <w:rPr>
          <w:sz w:val="20"/>
          <w:szCs w:val="20"/>
          <w:color w:val="auto"/>
        </w:rPr>
      </w:pPr>
      <w:r>
        <w:rPr>
          <w:rFonts w:ascii="Arial" w:cs="Arial" w:eastAsia="Arial" w:hAnsi="Arial"/>
          <w:sz w:val="18"/>
          <w:szCs w:val="18"/>
          <w:i w:val="1"/>
          <w:iCs w:val="1"/>
          <w:color w:val="auto"/>
        </w:rPr>
        <w:t>2 - Includes amortization of acquisition intangibles of approximately $7.5 million, which is excluded in the definition of Adjusted Operating Income</w:t>
      </w:r>
    </w:p>
    <w:p>
      <w:pPr>
        <w:ind w:left="400" w:right="400"/>
        <w:spacing w:after="0" w:line="242" w:lineRule="auto"/>
        <w:rPr>
          <w:sz w:val="20"/>
          <w:szCs w:val="20"/>
          <w:color w:val="auto"/>
        </w:rPr>
      </w:pPr>
      <w:r>
        <w:rPr>
          <w:rFonts w:ascii="Arial" w:cs="Arial" w:eastAsia="Arial" w:hAnsi="Arial"/>
          <w:sz w:val="18"/>
          <w:szCs w:val="18"/>
          <w:i w:val="1"/>
          <w:iCs w:val="1"/>
          <w:color w:val="auto"/>
        </w:rPr>
        <w:t>3 - Before the impact of gains or losses on change in fair value of derivatives and charges related to amortization of debt discounts and deferred financing costs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4 - Excluding the impact of stock option exercises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2023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8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The fiscal 2023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2023 outlook. The Company uses these forward-looking measures internally to assess and benchmark its results and strategic plans. See </w:t>
      </w:r>
      <w:r>
        <w:rPr>
          <w:rFonts w:ascii="Arial" w:cs="Arial" w:eastAsia="Arial" w:hAnsi="Arial"/>
          <w:sz w:val="18"/>
          <w:szCs w:val="18"/>
          <w:color w:val="auto"/>
        </w:rPr>
        <w:t>“</w:t>
      </w:r>
      <w:r>
        <w:rPr>
          <w:rFonts w:ascii="Arial" w:cs="Arial" w:eastAsia="Arial" w:hAnsi="Arial"/>
          <w:sz w:val="18"/>
          <w:szCs w:val="18"/>
          <w:i w:val="1"/>
          <w:iCs w:val="1"/>
          <w:color w:val="auto"/>
        </w:rPr>
        <w:t>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 conference call to discuss the fourth quarter 2022 financial results is scheduled for today, March 1, 2023, at 8:30 a.m. Eastern Time. Please click here to pre-register for the conference call and obtain a dial-in number and passcode. A live audio webcast of the conference call will be available on the “Investors” section of the Company’s website </w:t>
      </w:r>
      <w:r>
        <w:rPr>
          <w:rFonts w:ascii="Arial" w:cs="Arial" w:eastAsia="Arial" w:hAnsi="Arial"/>
          <w:sz w:val="17"/>
          <w:szCs w:val="17"/>
          <w:u w:val="single" w:color="auto"/>
          <w:color w:val="006EBF"/>
        </w:rPr>
        <w:t>www.nationalvision.com/investors</w:t>
      </w:r>
      <w:r>
        <w:rPr>
          <w:rFonts w:ascii="Arial" w:cs="Arial" w:eastAsia="Arial" w:hAnsi="Arial"/>
          <w:sz w:val="17"/>
          <w:szCs w:val="17"/>
          <w:color w:val="auto"/>
        </w:rPr>
        <w:t>, where presentation materials will be posted prior to the conference call. A replay of the audio webcast will also be archived on the “Investors” section of the Company’s website.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National Vision Holdings, Inc. is the second largest optical retail company in the United States (by sales) with more than 1,300 retail stores in 44 states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ectPr>
          <w:pgSz w:w="11900" w:h="16838" w:orient="portrait"/>
          <w:cols w:equalWidth="0" w:num="1">
            <w:col w:w="11240"/>
          </w:cols>
          <w:pgMar w:left="320" w:top="93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2023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COVID-19 pandemic and future resurgences, and related impacts including federal, state, and local governmental actions in response thereto; customer behavior in response to the pandemic, including the impact of such behavior on in-store traffic and sales; market volatility and an overall decline in the health of the economy and other factors impacting consumer spending, including inflation; our ability to recruit and retain vision care professionals for our stores and remote medicine offerings in general and in light of the pandemic; our ability to compete successfully; our ability to successfully open new stores and enter new markets; our ability to expand our remote medicine offerings and electronic health records capabilities; our ability to maintain the performance of our Host and Legacy brands and our current operating relationships with our Host and Legacy partners; our ability to maintain sufficient levels of cash flow from our operations to execute or sustain our growth strategy or obtain additional financing at satisfactory terms or at all; the impact of wage rate increases, inflation, cost increases and increases in raw material prices and energy prices; our growth strategy straining our existing resources and causing the performance of our existing stores to suffer; our ability to successfully and efficiently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our ability to manage our inventory; seasonal fluctuations in our operating results and inventory levels; risks associated with our e-commerce and omni-channel business; the loss of, or disruption in the operations of, one or more of our distribution centers and/or optical laboratories, resulting in the inability to fulfill customer orders and deliver our products in a timely manner; risk of losses arising from our investments in technological innovators in the optical retail industry; risks associated with environmental, social and governance issues, including climate change; risks associated with vendors from whom our products are sourced, including our dependence on a limited number of suppliers; our ability to develop, maintain and extend relationships with managed vision care companies, vision insurance providers and other third-party payors; our ability to effectively operate our information technology systems and prevent interruption or security breach; our reliance on third-party coverage and reimbursement, including government programs, for an increasing portion of our revenues; our ability to adhere to extensive state, local and federal vision care and healthcare laws and regulations; our compliance with managed vision care laws and regulations; our ability to adhere to changing state, local and federal privacy, data security and data protection laws and regulations;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w:t>
      </w:r>
    </w:p>
    <w:p>
      <w:pPr>
        <w:sectPr>
          <w:pgSz w:w="11900" w:h="16838" w:orient="portrait"/>
          <w:cols w:equalWidth="0" w:num="1">
            <w:col w:w="11240"/>
          </w:cols>
          <w:pgMar w:left="320" w:top="931" w:right="3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EBITDA: </w:t>
      </w:r>
      <w:r>
        <w:rPr>
          <w:rFonts w:ascii="Arial" w:cs="Arial" w:eastAsia="Arial" w:hAnsi="Arial"/>
          <w:sz w:val="17"/>
          <w:szCs w:val="17"/>
          <w:color w:val="auto"/>
        </w:rPr>
        <w:t>We define EBITDA as net income, plus interest expense (income), net, income tax provision (benefit), and depreciation and amortization.</w:t>
      </w:r>
    </w:p>
    <w:p>
      <w:pPr>
        <w:spacing w:after="0" w:line="1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Adjusted Operating Income: </w:t>
      </w:r>
      <w:r>
        <w:rPr>
          <w:rFonts w:ascii="Arial" w:cs="Arial" w:eastAsia="Arial" w:hAnsi="Arial"/>
          <w:sz w:val="16"/>
          <w:szCs w:val="16"/>
          <w:color w:val="auto"/>
        </w:rPr>
        <w:t>We define Adjusted Operating Income as net income, plus interest expense (income), net and income tax provision (benefit),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adjusted to exclude stock based compensation expense, loss on extinguishment of debt, asset impairment, litigation settlement, secondary offering expenses, management realignment expenses, long-term incentive plan expenses, amortization of acquisition intangibles, and certain other expenses.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Adjusted EBITDA: </w:t>
      </w:r>
      <w:r>
        <w:rPr>
          <w:rFonts w:ascii="Arial" w:cs="Arial" w:eastAsia="Arial" w:hAnsi="Arial"/>
          <w:sz w:val="17"/>
          <w:szCs w:val="17"/>
          <w:color w:val="auto"/>
        </w:rPr>
        <w:t>We define Adjusted EBITDA as net income, plus interest expense (income), net, income tax provision (benefit) and depreciation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further adjusted to exclude stock based compensation expense, loss on extinguishment of debt, asset impairment, litigation settlement, secondary offering expenses, management realignment expenses, long-term incentive plan expenses, and certain other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Adjusted Diluted EPS: </w:t>
      </w:r>
      <w:r>
        <w:rPr>
          <w:rFonts w:ascii="Arial" w:cs="Arial" w:eastAsia="Arial" w:hAnsi="Arial"/>
          <w:sz w:val="17"/>
          <w:szCs w:val="17"/>
          <w:color w:val="auto"/>
        </w:rPr>
        <w:t>We define Adjusted Diluted EPS as diluted earnings per share, adjusted for the per share impact of stock based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loss on extinguishment of debt, asset impairment, litigation settlement, secondary offering expenses, management realignment expenses, long-term incentive plan expenses, amortization of acquisition intangibles, amortization of debt discounts and deferred financing costs of the term loan borrowings, amortization of the conversion feature and deferred financing costs related to the 2025 Notes when not required under U.S. GAAP to be added back for diluted earnings per share, losses (gains) on change in fair value of derivatives, certain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Adjusted SG&amp;A: </w:t>
      </w:r>
      <w:r>
        <w:rPr>
          <w:rFonts w:ascii="Arial" w:cs="Arial" w:eastAsia="Arial" w:hAnsi="Arial"/>
          <w:sz w:val="18"/>
          <w:szCs w:val="18"/>
          <w:color w:val="auto"/>
        </w:rPr>
        <w:t>We define Adjusted SG&amp;A as SG&amp;A adjusted to exclude stock based compensation expense, litigation settlement, secondary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management realignment expenses, long-term incentive plan expense, and certain other expenses.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SG&amp;A Percent of Net Revenue: </w:t>
      </w:r>
      <w:r>
        <w:rPr>
          <w:rFonts w:ascii="Arial" w:cs="Arial" w:eastAsia="Arial" w:hAnsi="Arial"/>
          <w:sz w:val="17"/>
          <w:szCs w:val="17"/>
          <w:color w:val="auto"/>
        </w:rPr>
        <w:t>We define Adjusted SG&amp;A Percent of Net Revenue as Adjusted SG&amp;A as a percentage of net revenue.</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ectPr>
          <w:pgSz w:w="11900" w:h="16838" w:orient="portrait"/>
          <w:cols w:equalWidth="0" w:num="1">
            <w:col w:w="11240"/>
          </w:cols>
          <w:pgMar w:left="320" w:top="935" w:right="33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8"/>
          <w:szCs w:val="18"/>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9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As of</w:t>
            </w:r>
          </w:p>
        </w:tc>
        <w:tc>
          <w:tcPr>
            <w:tcW w:w="260" w:type="dxa"/>
            <w:vAlign w:val="bottom"/>
          </w:tcPr>
          <w:p>
            <w:pPr>
              <w:spacing w:after="0"/>
              <w:rPr>
                <w:sz w:val="17"/>
                <w:szCs w:val="17"/>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48"/>
        </w:trPr>
        <w:tc>
          <w:tcPr>
            <w:tcW w:w="7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9"/>
              </w:rPr>
              <w:t>December 31, 2022</w:t>
            </w:r>
          </w:p>
        </w:tc>
        <w:tc>
          <w:tcPr>
            <w:tcW w:w="260" w:type="dxa"/>
            <w:vAlign w:val="bottom"/>
          </w:tcPr>
          <w:p>
            <w:pPr>
              <w:spacing w:after="0"/>
              <w:rPr>
                <w:sz w:val="12"/>
                <w:szCs w:val="12"/>
                <w:color w:val="auto"/>
              </w:rPr>
            </w:pPr>
          </w:p>
        </w:tc>
        <w:tc>
          <w:tcPr>
            <w:tcW w:w="1720" w:type="dxa"/>
            <w:vAlign w:val="bottom"/>
            <w:vMerge w:val="restart"/>
          </w:tcPr>
          <w:p>
            <w:pPr>
              <w:jc w:val="right"/>
              <w:ind w:right="330"/>
              <w:spacing w:after="0"/>
              <w:rPr>
                <w:sz w:val="20"/>
                <w:szCs w:val="20"/>
                <w:color w:val="auto"/>
              </w:rPr>
            </w:pPr>
            <w:r>
              <w:rPr>
                <w:rFonts w:ascii="Arial" w:cs="Arial" w:eastAsia="Arial" w:hAnsi="Arial"/>
                <w:sz w:val="18"/>
                <w:szCs w:val="18"/>
                <w:color w:val="auto"/>
                <w:w w:val="99"/>
              </w:rPr>
              <w:t>January 1, 2022</w:t>
            </w:r>
          </w:p>
        </w:tc>
        <w:tc>
          <w:tcPr>
            <w:tcW w:w="0" w:type="dxa"/>
            <w:vAlign w:val="bottom"/>
          </w:tcPr>
          <w:p>
            <w:pPr>
              <w:spacing w:after="0"/>
              <w:rPr>
                <w:sz w:val="1"/>
                <w:szCs w:val="1"/>
                <w:color w:val="auto"/>
              </w:rPr>
            </w:pPr>
          </w:p>
        </w:tc>
      </w:tr>
      <w:tr>
        <w:trPr>
          <w:trHeight w:val="88"/>
        </w:trPr>
        <w:tc>
          <w:tcPr>
            <w:tcW w:w="7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229,425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305,800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123,158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123,669</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29,410</w:t>
            </w:r>
          </w:p>
        </w:tc>
        <w:tc>
          <w:tcPr>
            <w:tcW w:w="0" w:type="dxa"/>
            <w:vAlign w:val="bottom"/>
          </w:tcPr>
          <w:p>
            <w:pPr>
              <w:spacing w:after="0"/>
              <w:rPr>
                <w:sz w:val="1"/>
                <w:szCs w:val="1"/>
                <w:color w:val="auto"/>
              </w:rPr>
            </w:pPr>
          </w:p>
        </w:tc>
      </w:tr>
      <w:tr>
        <w:trPr>
          <w:trHeight w:val="223"/>
        </w:trPr>
        <w:tc>
          <w:tcPr>
            <w:tcW w:w="71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473,836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514,576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346,436</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42,020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354,900</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1,817,410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1,778,515</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2,291,246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2,293,091</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64,331</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119,323</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29,895</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65,325</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60,930</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343,803</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4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563,388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566,081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Noncurrent operating lease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342,241</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21,601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23,166</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1,023,308</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89"/>
              </w:rPr>
              <w:t>Common stock, $0.01 par value; 200,000 shares authorized; 84,273 and 83,840 shares issued as</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0"/>
              </w:rPr>
              <w:t>of December 31, 2022 and January 1, 2022, respectively; 78,992 and 81,405 shares outstanding</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20"/>
              <w:spacing w:after="0"/>
              <w:rPr>
                <w:sz w:val="20"/>
                <w:szCs w:val="20"/>
                <w:color w:val="auto"/>
              </w:rPr>
            </w:pPr>
            <w:r>
              <w:rPr>
                <w:rFonts w:ascii="Arial" w:cs="Arial" w:eastAsia="Arial" w:hAnsi="Arial"/>
                <w:sz w:val="18"/>
                <w:szCs w:val="18"/>
                <w:color w:val="auto"/>
              </w:rPr>
              <w:t>as of December 31, 2022 and January 1, 2022, respectively</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750,478</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278,395</w:t>
            </w: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1"/>
              </w:rPr>
              <w:t>Treasury stock, at cost; 5,281 and 2,435 shares as of December 31, 2022 and January 1, 2022,</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(186,179)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(101,791)</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925,980</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2,291,246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2,293,091</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Fiscal Year</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200" w:type="dxa"/>
            <w:vAlign w:val="bottom"/>
          </w:tcPr>
          <w:p>
            <w:pPr>
              <w:spacing w:after="0"/>
              <w:rPr>
                <w:sz w:val="14"/>
                <w:szCs w:val="14"/>
                <w:color w:val="auto"/>
              </w:rPr>
            </w:pPr>
          </w:p>
        </w:tc>
        <w:tc>
          <w:tcPr>
            <w:tcW w:w="1280" w:type="dxa"/>
            <w:vAlign w:val="bottom"/>
            <w:gridSpan w:val="3"/>
          </w:tcPr>
          <w:p>
            <w:pPr>
              <w:jc w:val="center"/>
              <w:ind w:right="120"/>
              <w:spacing w:after="0" w:line="172" w:lineRule="exact"/>
              <w:rPr>
                <w:sz w:val="20"/>
                <w:szCs w:val="20"/>
                <w:color w:val="auto"/>
              </w:rPr>
            </w:pPr>
            <w:r>
              <w:rPr>
                <w:rFonts w:ascii="Arial" w:cs="Arial" w:eastAsia="Arial" w:hAnsi="Arial"/>
                <w:sz w:val="18"/>
                <w:szCs w:val="18"/>
                <w:color w:val="auto"/>
                <w:w w:val="88"/>
              </w:rPr>
              <w:t>December 31,</w:t>
            </w: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auto"/>
                <w:w w:val="97"/>
              </w:rPr>
              <w:t>January 1, 2022</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382,761</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391,477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1,648,315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1,718,344</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361,181</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477,851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2,005,404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2,079,525</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Costs applicable to revenue (exclusive of 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148,099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636,324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633,116</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271,663</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925,587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904,779</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233,944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224,756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915,355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900,798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97,089</w:t>
            </w: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1,018,542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999,809</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174,937</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149,325</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21,081</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81,820</w:t>
            </w: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78,948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96,134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128,244</w:t>
            </w: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Unrealized gain (loss) on hedge instruments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130,704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Note: Diluted EPS for the fourth quarter of 2022 and 2021 and fiscal years 2022 and 2021 is calculated using the if-converted method for the 2025 Notes. We added back $9.5 million of interest expense (after tax) related to the 2025 Notes for fiscal year 2021, and assumed conversion of the 2025 Notes at the beginning the period. The 2025 Notes were antidilutive for the fourth quarter of 2022 and 2021, and fiscal year 2022 and therefore, excluded from the computation of the weighted average shares for diluted EPS.</w:t>
      </w:r>
    </w:p>
    <w:p>
      <w:pPr>
        <w:sectPr>
          <w:pgSz w:w="11900" w:h="16838" w:orient="portrait"/>
          <w:cols w:equalWidth="0" w:num="1">
            <w:col w:w="11240"/>
          </w:cols>
          <w:pgMar w:left="320" w:top="850"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color w:val="auto"/>
              </w:rPr>
              <w:t>Fiscal Year 2022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w w:val="91"/>
              </w:rPr>
              <w:t>Fiscal Year 2021</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42,122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128,244</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97,089</w:t>
            </w:r>
          </w:p>
        </w:tc>
      </w:tr>
      <w:tr>
        <w:trPr>
          <w:trHeight w:val="230"/>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discount and deferred financing costs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r>
      <w:tr>
        <w:trPr>
          <w:trHeight w:val="229"/>
        </w:trPr>
        <w:tc>
          <w:tcPr>
            <w:tcW w:w="8440" w:type="dxa"/>
            <w:vAlign w:val="bottom"/>
          </w:tcPr>
          <w:p>
            <w:pPr>
              <w:ind w:left="20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4,427</w:t>
            </w:r>
          </w:p>
        </w:tc>
      </w:tr>
      <w:tr>
        <w:trPr>
          <w:trHeight w:val="230"/>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 (benefit)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w:t>
            </w:r>
          </w:p>
        </w:tc>
      </w:tr>
      <w:tr>
        <w:trPr>
          <w:trHeight w:val="229"/>
        </w:trPr>
        <w:tc>
          <w:tcPr>
            <w:tcW w:w="8440" w:type="dxa"/>
            <w:vAlign w:val="bottom"/>
          </w:tcPr>
          <w:p>
            <w:pPr>
              <w:ind w:left="200"/>
              <w:spacing w:after="0"/>
              <w:rPr>
                <w:sz w:val="20"/>
                <w:szCs w:val="20"/>
                <w:color w:val="auto"/>
              </w:rPr>
            </w:pPr>
            <w:r>
              <w:rPr>
                <w:rFonts w:ascii="Arial" w:cs="Arial" w:eastAsia="Arial" w:hAnsi="Arial"/>
                <w:sz w:val="18"/>
                <w:szCs w:val="18"/>
                <w:color w:val="auto"/>
              </w:rPr>
              <w:t>Stock based compensation expense</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14,886</w:t>
            </w:r>
          </w:p>
        </w:tc>
      </w:tr>
      <w:tr>
        <w:trPr>
          <w:trHeight w:val="229"/>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(gains) on change in fair value of derivatives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r>
      <w:tr>
        <w:trPr>
          <w:trHeight w:val="230"/>
        </w:trPr>
        <w:tc>
          <w:tcPr>
            <w:tcW w:w="8440" w:type="dxa"/>
            <w:vAlign w:val="bottom"/>
          </w:tcPr>
          <w:p>
            <w:pPr>
              <w:ind w:left="200"/>
              <w:spacing w:after="0"/>
              <w:rPr>
                <w:sz w:val="20"/>
                <w:szCs w:val="20"/>
                <w:color w:val="auto"/>
              </w:rPr>
            </w:pPr>
            <w:r>
              <w:rPr>
                <w:rFonts w:ascii="Arial" w:cs="Arial" w:eastAsia="Arial" w:hAnsi="Arial"/>
                <w:sz w:val="18"/>
                <w:szCs w:val="18"/>
                <w:color w:val="auto"/>
              </w:rPr>
              <w:t>Inventory adjustments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2,481</w:t>
            </w:r>
          </w:p>
        </w:tc>
      </w:tr>
      <w:tr>
        <w:trPr>
          <w:trHeight w:val="229"/>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29"/>
        </w:trPr>
        <w:tc>
          <w:tcPr>
            <w:tcW w:w="84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(14,876)</w:t>
            </w:r>
          </w:p>
        </w:tc>
      </w:tr>
      <w:tr>
        <w:trPr>
          <w:trHeight w:val="230"/>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 of use assets and liabilities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844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(6,456)</w:t>
            </w:r>
          </w:p>
        </w:tc>
      </w:tr>
      <w:tr>
        <w:trPr>
          <w:trHeight w:val="229"/>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8440" w:type="dxa"/>
            <w:vAlign w:val="bottom"/>
          </w:tcPr>
          <w:p>
            <w:pPr>
              <w:ind w:left="200"/>
              <w:spacing w:after="0"/>
              <w:rPr>
                <w:sz w:val="20"/>
                <w:szCs w:val="20"/>
                <w:color w:val="auto"/>
              </w:rPr>
            </w:pPr>
            <w:r>
              <w:rPr>
                <w:rFonts w:ascii="Arial" w:cs="Arial" w:eastAsia="Arial" w:hAnsi="Arial"/>
                <w:sz w:val="18"/>
                <w:szCs w:val="18"/>
                <w:color w:val="auto"/>
              </w:rPr>
              <w:t>Deferred and unearned revenue</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6,002</w:t>
            </w:r>
          </w:p>
        </w:tc>
      </w:tr>
      <w:tr>
        <w:trPr>
          <w:trHeight w:val="229"/>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258,938</w:t>
            </w: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44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(95,515)</w:t>
            </w:r>
          </w:p>
        </w:tc>
      </w:tr>
      <w:tr>
        <w:trPr>
          <w:trHeight w:val="230"/>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(92,897)</w:t>
            </w: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440" w:type="dxa"/>
            <w:vAlign w:val="bottom"/>
          </w:tcPr>
          <w:p>
            <w:pPr>
              <w:ind w:left="200"/>
              <w:spacing w:after="0"/>
              <w:rPr>
                <w:sz w:val="20"/>
                <w:szCs w:val="20"/>
                <w:color w:val="auto"/>
              </w:rPr>
            </w:pPr>
            <w:r>
              <w:rPr>
                <w:rFonts w:ascii="Arial" w:cs="Arial" w:eastAsia="Arial" w:hAnsi="Arial"/>
                <w:sz w:val="18"/>
                <w:szCs w:val="18"/>
                <w:color w:val="auto"/>
              </w:rPr>
              <w:t>Borrowings on long-term debt, net of discounts</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on long-term debt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(167,375)</w:t>
            </w:r>
          </w:p>
        </w:tc>
      </w:tr>
      <w:tr>
        <w:trPr>
          <w:trHeight w:val="230"/>
        </w:trPr>
        <w:tc>
          <w:tcPr>
            <w:tcW w:w="844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11,838</w:t>
            </w:r>
          </w:p>
        </w:tc>
      </w:tr>
      <w:tr>
        <w:trPr>
          <w:trHeight w:val="229"/>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(73,295)</w:t>
            </w:r>
          </w:p>
        </w:tc>
      </w:tr>
      <w:tr>
        <w:trPr>
          <w:trHeight w:val="230"/>
        </w:trPr>
        <w:tc>
          <w:tcPr>
            <w:tcW w:w="8440" w:type="dxa"/>
            <w:vAlign w:val="bottom"/>
          </w:tcPr>
          <w:p>
            <w:pPr>
              <w:ind w:left="200"/>
              <w:spacing w:after="0"/>
              <w:rPr>
                <w:sz w:val="20"/>
                <w:szCs w:val="20"/>
                <w:color w:val="auto"/>
              </w:rPr>
            </w:pPr>
            <w:r>
              <w:rPr>
                <w:rFonts w:ascii="Arial" w:cs="Arial" w:eastAsia="Arial" w:hAnsi="Arial"/>
                <w:sz w:val="18"/>
                <w:szCs w:val="18"/>
                <w:color w:val="auto"/>
              </w:rPr>
              <w:t>Payments of debt issuance costs</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finance lease obligations</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for) financing activities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(234,324)</w:t>
            </w: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(68,283)</w:t>
            </w:r>
          </w:p>
        </w:tc>
      </w:tr>
      <w:tr>
        <w:trPr>
          <w:trHeight w:val="230"/>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year</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375,159</w:t>
            </w: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306,876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disclosure information:</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16,940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24,897</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Capital expenditures accrued at the end of the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9,594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10,571</w:t>
            </w:r>
          </w:p>
        </w:tc>
      </w:tr>
    </w:tbl>
    <w:p>
      <w:pPr>
        <w:sectPr>
          <w:pgSz w:w="11900" w:h="16838" w:orient="portrait"/>
          <w:cols w:equalWidth="0" w:num="1">
            <w:col w:w="11180"/>
          </w:cols>
          <w:pgMar w:left="360" w:top="850"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Operating Income to Net Income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Three Months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Three Months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4"/>
                <w:szCs w:val="14"/>
                <w:color w:val="auto"/>
              </w:rPr>
            </w:pPr>
          </w:p>
        </w:tc>
        <w:tc>
          <w:tcPr>
            <w:tcW w:w="1340" w:type="dxa"/>
            <w:vAlign w:val="bottom"/>
            <w:gridSpan w:val="2"/>
          </w:tcPr>
          <w:p>
            <w:pPr>
              <w:jc w:val="center"/>
              <w:ind w:right="180"/>
              <w:spacing w:after="0" w:line="162" w:lineRule="exact"/>
              <w:rPr>
                <w:sz w:val="20"/>
                <w:szCs w:val="20"/>
                <w:color w:val="auto"/>
              </w:rPr>
            </w:pPr>
            <w:r>
              <w:rPr>
                <w:rFonts w:ascii="Arial" w:cs="Arial" w:eastAsia="Arial" w:hAnsi="Arial"/>
                <w:sz w:val="16"/>
                <w:szCs w:val="16"/>
                <w:color w:val="auto"/>
                <w:w w:val="89"/>
              </w:rPr>
              <w:t>Ended December</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w w:val="89"/>
              </w:rPr>
              <w:t>Ended January 1,</w:t>
            </w:r>
          </w:p>
        </w:tc>
        <w:tc>
          <w:tcPr>
            <w:tcW w:w="10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color w:val="auto"/>
              </w:rPr>
              <w:t>Fiscal Year 2022</w:t>
            </w:r>
          </w:p>
        </w:tc>
        <w:tc>
          <w:tcPr>
            <w:tcW w:w="120" w:type="dxa"/>
            <w:vAlign w:val="bottom"/>
          </w:tcPr>
          <w:p>
            <w:pPr>
              <w:spacing w:after="0"/>
              <w:rPr>
                <w:sz w:val="14"/>
                <w:szCs w:val="14"/>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Fiscal Year 2021</w:t>
            </w:r>
          </w:p>
        </w:tc>
        <w:tc>
          <w:tcPr>
            <w:tcW w:w="0" w:type="dxa"/>
            <w:vAlign w:val="bottom"/>
          </w:tcPr>
          <w:p>
            <w:pPr>
              <w:spacing w:after="0"/>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
              <w:spacing w:after="0"/>
              <w:rPr>
                <w:sz w:val="20"/>
                <w:szCs w:val="20"/>
                <w:color w:val="auto"/>
              </w:rPr>
            </w:pPr>
            <w:r>
              <w:rPr>
                <w:rFonts w:ascii="Arial" w:cs="Arial" w:eastAsia="Arial" w:hAnsi="Arial"/>
                <w:sz w:val="16"/>
                <w:szCs w:val="16"/>
                <w:color w:val="auto"/>
                <w:w w:val="93"/>
              </w:rPr>
              <w:t>31, 2022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
              <w:spacing w:after="0"/>
              <w:rPr>
                <w:sz w:val="20"/>
                <w:szCs w:val="20"/>
                <w:color w:val="auto"/>
              </w:rPr>
            </w:pPr>
            <w:r>
              <w:rPr>
                <w:rFonts w:ascii="Arial" w:cs="Arial" w:eastAsia="Arial" w:hAnsi="Arial"/>
                <w:sz w:val="16"/>
                <w:szCs w:val="16"/>
                <w:color w:val="auto"/>
                <w:w w:val="95"/>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42,122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128,244</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25,612</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21,081</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based compensation expense </w:t>
            </w:r>
            <w:r>
              <w:rPr>
                <w:rFonts w:ascii="Arial" w:cs="Arial" w:eastAsia="Arial" w:hAnsi="Arial"/>
                <w:sz w:val="21"/>
                <w:szCs w:val="21"/>
                <w:color w:val="auto"/>
                <w:vertAlign w:val="superscript"/>
              </w:rPr>
              <w:t>(a)</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2,972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13,512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14,886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(b)</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4,427</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(c)</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acquisition intangibles </w:t>
            </w:r>
            <w:r>
              <w:rPr>
                <w:rFonts w:ascii="Arial" w:cs="Arial" w:eastAsia="Arial" w:hAnsi="Arial"/>
                <w:sz w:val="21"/>
                <w:szCs w:val="21"/>
                <w:color w:val="auto"/>
                <w:vertAlign w:val="superscript"/>
              </w:rPr>
              <w:t>(d)</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7,488</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(g)</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35"/>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Adjusted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(6,752)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16,764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87,795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204,749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Net income (loss) margin</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10"/>
        </w:trPr>
        <w:tc>
          <w:tcPr>
            <w:tcW w:w="5560" w:type="dxa"/>
            <w:vAlign w:val="bottom"/>
          </w:tcPr>
          <w:p>
            <w:pPr>
              <w:ind w:left="120"/>
              <w:spacing w:after="0"/>
              <w:rPr>
                <w:sz w:val="20"/>
                <w:szCs w:val="20"/>
                <w:color w:val="auto"/>
              </w:rPr>
            </w:pPr>
            <w:r>
              <w:rPr>
                <w:rFonts w:ascii="Arial" w:cs="Arial" w:eastAsia="Arial" w:hAnsi="Arial"/>
                <w:sz w:val="16"/>
                <w:szCs w:val="16"/>
                <w:b w:val="1"/>
                <w:bCs w:val="1"/>
                <w:color w:val="auto"/>
              </w:rPr>
              <w:t>Adjusted Operating Margin</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i w:val="1"/>
          <w:iCs w:val="1"/>
          <w:color w:val="auto"/>
        </w:rPr>
        <w:t>Note: Percentages reflect line item as a percentage of net revenue, adjusted for rounding.</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and Adjusted EBITDA to Net Income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Three Months</w:t>
            </w:r>
          </w:p>
        </w:tc>
        <w:tc>
          <w:tcPr>
            <w:tcW w:w="10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Three Months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w w:val="89"/>
              </w:rPr>
              <w:t>Ended December</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w w:val="89"/>
              </w:rPr>
              <w:t>Ended January 1,</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6"/>
                <w:szCs w:val="16"/>
                <w:color w:val="auto"/>
              </w:rPr>
              <w:t>Fiscal Year 2022</w:t>
            </w:r>
          </w:p>
        </w:tc>
        <w:tc>
          <w:tcPr>
            <w:tcW w:w="120" w:type="dxa"/>
            <w:vAlign w:val="bottom"/>
          </w:tcPr>
          <w:p>
            <w:pPr>
              <w:spacing w:after="0"/>
              <w:rPr>
                <w:sz w:val="14"/>
                <w:szCs w:val="14"/>
                <w:color w:val="auto"/>
              </w:rPr>
            </w:pPr>
          </w:p>
        </w:tc>
        <w:tc>
          <w:tcPr>
            <w:tcW w:w="1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Fiscal Year 2021</w:t>
            </w: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color w:val="auto"/>
                <w:w w:val="89"/>
              </w:rPr>
              <w:t>31, 2022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9"/>
              <w:spacing w:after="0"/>
              <w:rPr>
                <w:sz w:val="20"/>
                <w:szCs w:val="20"/>
                <w:color w:val="auto"/>
              </w:rPr>
            </w:pPr>
            <w:r>
              <w:rPr>
                <w:rFonts w:ascii="Arial" w:cs="Arial" w:eastAsia="Arial" w:hAnsi="Arial"/>
                <w:sz w:val="16"/>
                <w:szCs w:val="16"/>
                <w:color w:val="auto"/>
                <w:w w:val="95"/>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42,122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128,244</w:t>
            </w:r>
          </w:p>
        </w:tc>
        <w:tc>
          <w:tcPr>
            <w:tcW w:w="0" w:type="dxa"/>
            <w:vAlign w:val="bottom"/>
          </w:tcPr>
          <w:p>
            <w:pPr>
              <w:spacing w:after="0"/>
              <w:rPr>
                <w:sz w:val="1"/>
                <w:szCs w:val="1"/>
                <w:color w:val="auto"/>
              </w:rPr>
            </w:pP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25,612</w:t>
            </w: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21,081</w:t>
            </w:r>
          </w:p>
        </w:tc>
        <w:tc>
          <w:tcPr>
            <w:tcW w:w="0" w:type="dxa"/>
            <w:vAlign w:val="bottom"/>
          </w:tcPr>
          <w:p>
            <w:pPr>
              <w:spacing w:after="0"/>
              <w:rPr>
                <w:sz w:val="1"/>
                <w:szCs w:val="1"/>
                <w:color w:val="auto"/>
              </w:rPr>
            </w:pPr>
          </w:p>
        </w:tc>
      </w:tr>
      <w:tr>
        <w:trPr>
          <w:trHeight w:val="21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24,708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24,450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99,956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97,089</w:t>
            </w:r>
          </w:p>
        </w:tc>
        <w:tc>
          <w:tcPr>
            <w:tcW w:w="0" w:type="dxa"/>
            <w:vAlign w:val="bottom"/>
          </w:tcPr>
          <w:p>
            <w:pPr>
              <w:spacing w:after="0"/>
              <w:rPr>
                <w:sz w:val="1"/>
                <w:szCs w:val="1"/>
                <w:color w:val="auto"/>
              </w:rPr>
            </w:pPr>
          </w:p>
        </w:tc>
      </w:tr>
      <w:tr>
        <w:trPr>
          <w:trHeight w:val="212"/>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EBITDA</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32,399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161,231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272,026</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Stock based compensation expense </w:t>
            </w:r>
            <w:r>
              <w:rPr>
                <w:rFonts w:ascii="Arial" w:cs="Arial" w:eastAsia="Arial" w:hAnsi="Arial"/>
                <w:sz w:val="21"/>
                <w:szCs w:val="21"/>
                <w:color w:val="auto"/>
                <w:vertAlign w:val="superscript"/>
              </w:rPr>
              <w:t>(a)</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14,886</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(b)</w:t>
            </w: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2,949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4,427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(c)</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(g)</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35"/>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16,084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39,342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180,263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294,350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 (loss) margin</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10"/>
        </w:trPr>
        <w:tc>
          <w:tcPr>
            <w:tcW w:w="5600" w:type="dxa"/>
            <w:vAlign w:val="bottom"/>
          </w:tcPr>
          <w:p>
            <w:pPr>
              <w:ind w:left="140"/>
              <w:spacing w:after="0"/>
              <w:rPr>
                <w:sz w:val="20"/>
                <w:szCs w:val="20"/>
                <w:color w:val="auto"/>
              </w:rPr>
            </w:pPr>
            <w:r>
              <w:rPr>
                <w:rFonts w:ascii="Arial" w:cs="Arial" w:eastAsia="Arial" w:hAnsi="Arial"/>
                <w:sz w:val="16"/>
                <w:szCs w:val="16"/>
                <w:b w:val="1"/>
                <w:bCs w:val="1"/>
                <w:color w:val="auto"/>
              </w:rPr>
              <w:t>Adjusted EBITDA Margin</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14.2 %</w:t>
            </w: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i w:val="1"/>
          <w:iCs w:val="1"/>
          <w:color w:val="auto"/>
        </w:rPr>
        <w:t>Note: Percentages reflect line item as a percentage of net revenue, adjusted for rounding.</w:t>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Reconciliation of Adjusted Diluted EPS to Diluted EPS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Three Months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Three Months</w:t>
            </w: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Shares in thousands, except per share amounts</w:t>
            </w:r>
          </w:p>
        </w:tc>
        <w:tc>
          <w:tcPr>
            <w:tcW w:w="134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w w:val="89"/>
              </w:rPr>
              <w:t>Ended December</w:t>
            </w:r>
          </w:p>
        </w:tc>
        <w:tc>
          <w:tcPr>
            <w:tcW w:w="1360" w:type="dxa"/>
            <w:vAlign w:val="bottom"/>
            <w:gridSpan w:val="3"/>
          </w:tcPr>
          <w:p>
            <w:pPr>
              <w:jc w:val="center"/>
              <w:ind w:right="80"/>
              <w:spacing w:after="0" w:line="162" w:lineRule="exact"/>
              <w:rPr>
                <w:sz w:val="20"/>
                <w:szCs w:val="20"/>
                <w:color w:val="auto"/>
              </w:rPr>
            </w:pPr>
            <w:r>
              <w:rPr>
                <w:rFonts w:ascii="Arial" w:cs="Arial" w:eastAsia="Arial" w:hAnsi="Arial"/>
                <w:sz w:val="16"/>
                <w:szCs w:val="16"/>
                <w:color w:val="auto"/>
                <w:w w:val="89"/>
              </w:rPr>
              <w:t>Ended January 1,</w:t>
            </w: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auto"/>
              </w:rPr>
              <w:t>Fiscal Year 2022</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w w:val="96"/>
              </w:rPr>
              <w:t>Fiscal Year 2021</w:t>
            </w:r>
          </w:p>
        </w:tc>
        <w:tc>
          <w:tcPr>
            <w:tcW w:w="0" w:type="dxa"/>
            <w:vAlign w:val="bottom"/>
          </w:tcPr>
          <w:p>
            <w:pPr>
              <w:spacing w:after="0"/>
              <w:rPr>
                <w:sz w:val="1"/>
                <w:szCs w:val="1"/>
                <w:color w:val="auto"/>
              </w:rPr>
            </w:pPr>
          </w:p>
        </w:tc>
      </w:tr>
      <w:tr>
        <w:trPr>
          <w:trHeight w:val="209"/>
        </w:trPr>
        <w:tc>
          <w:tcPr>
            <w:tcW w:w="5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color w:val="auto"/>
                <w:w w:val="89"/>
              </w:rPr>
              <w:t>31, 2022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based compensation expense </w:t>
            </w:r>
            <w:r>
              <w:rPr>
                <w:rFonts w:ascii="Arial" w:cs="Arial" w:eastAsia="Arial" w:hAnsi="Arial"/>
                <w:sz w:val="21"/>
                <w:szCs w:val="21"/>
                <w:color w:val="auto"/>
                <w:vertAlign w:val="superscript"/>
              </w:rPr>
              <w:t>(a)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(c)</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acquisition intangibles </w:t>
            </w:r>
            <w:r>
              <w:rPr>
                <w:rFonts w:ascii="Arial" w:cs="Arial" w:eastAsia="Arial" w:hAnsi="Arial"/>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Amortization of debt discounts and deferred financing costs </w:t>
            </w:r>
            <w:r>
              <w:rPr>
                <w:rFonts w:ascii="Arial" w:cs="Arial" w:eastAsia="Arial" w:hAnsi="Arial"/>
                <w:sz w:val="21"/>
                <w:szCs w:val="21"/>
                <w:color w:val="auto"/>
                <w:vertAlign w:val="superscript"/>
              </w:rPr>
              <w:t>(e)</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Losses (gains) on change in fair value of derivatives </w:t>
            </w:r>
            <w:r>
              <w:rPr>
                <w:rFonts w:ascii="Arial" w:cs="Arial" w:eastAsia="Arial" w:hAnsi="Arial"/>
                <w:sz w:val="21"/>
                <w:szCs w:val="21"/>
                <w:color w:val="auto"/>
                <w:vertAlign w:val="superscript"/>
              </w:rPr>
              <w:t>(f)</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(k)</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benefit of stock option exercises </w:t>
            </w:r>
            <w:r>
              <w:rPr>
                <w:rFonts w:ascii="Arial" w:cs="Arial" w:eastAsia="Arial" w:hAnsi="Arial"/>
                <w:sz w:val="21"/>
                <w:szCs w:val="21"/>
                <w:color w:val="auto"/>
                <w:vertAlign w:val="superscript"/>
              </w:rPr>
              <w:t>(h)</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total adjustments </w:t>
            </w:r>
            <w:r>
              <w:rPr>
                <w:rFonts w:ascii="Arial" w:cs="Arial" w:eastAsia="Arial" w:hAnsi="Arial"/>
                <w:sz w:val="21"/>
                <w:szCs w:val="21"/>
                <w:color w:val="auto"/>
                <w:vertAlign w:val="superscript"/>
              </w:rPr>
              <w:t>(i)</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35"/>
        </w:trPr>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Adjusted Diluted EPS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Weighted average diluted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C2C2C"/>
              </w:rPr>
              <w:t>78,948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C2C2C"/>
              </w:rPr>
              <w:t>83,064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2C2C2C"/>
              </w:rPr>
              <w:t>80,298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C2C2C"/>
              </w:rPr>
              <w:t>96,134</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Note: Some of the totals in the table above do not foot due to rounding differences.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SG&amp;A and Adjusted SG&amp;A Percent of Net Revenue to SG&amp;A</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Three Months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Three Months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w w:val="89"/>
              </w:rPr>
              <w:t>Ended December</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w w:val="89"/>
              </w:rPr>
              <w:t>Ended January 1,</w:t>
            </w:r>
          </w:p>
        </w:tc>
        <w:tc>
          <w:tcPr>
            <w:tcW w:w="12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6"/>
                <w:szCs w:val="16"/>
                <w:color w:val="auto"/>
              </w:rPr>
              <w:t>Fiscal Year 2022</w:t>
            </w:r>
          </w:p>
        </w:tc>
        <w:tc>
          <w:tcPr>
            <w:tcW w:w="120" w:type="dxa"/>
            <w:vAlign w:val="bottom"/>
          </w:tcPr>
          <w:p>
            <w:pPr>
              <w:spacing w:after="0"/>
              <w:rPr>
                <w:sz w:val="14"/>
                <w:szCs w:val="14"/>
                <w:color w:val="auto"/>
              </w:rPr>
            </w:pPr>
          </w:p>
        </w:tc>
        <w:tc>
          <w:tcPr>
            <w:tcW w:w="1220" w:type="dxa"/>
            <w:vAlign w:val="bottom"/>
            <w:vMerge w:val="restart"/>
          </w:tcPr>
          <w:p>
            <w:pPr>
              <w:jc w:val="right"/>
              <w:ind w:right="31"/>
              <w:spacing w:after="0"/>
              <w:rPr>
                <w:sz w:val="20"/>
                <w:szCs w:val="20"/>
                <w:color w:val="auto"/>
              </w:rPr>
            </w:pPr>
            <w:r>
              <w:rPr>
                <w:rFonts w:ascii="Arial" w:cs="Arial" w:eastAsia="Arial" w:hAnsi="Arial"/>
                <w:sz w:val="16"/>
                <w:szCs w:val="16"/>
                <w:color w:val="auto"/>
                <w:w w:val="89"/>
              </w:rPr>
              <w:t>Fiscal Year 2021</w:t>
            </w:r>
          </w:p>
        </w:tc>
        <w:tc>
          <w:tcPr>
            <w:tcW w:w="0" w:type="dxa"/>
            <w:vAlign w:val="bottom"/>
          </w:tcPr>
          <w:p>
            <w:pPr>
              <w:spacing w:after="0"/>
              <w:rPr>
                <w:sz w:val="1"/>
                <w:szCs w:val="1"/>
                <w:color w:val="auto"/>
              </w:rPr>
            </w:pPr>
          </w:p>
        </w:tc>
      </w:tr>
      <w:tr>
        <w:trPr>
          <w:trHeight w:val="212"/>
        </w:trPr>
        <w:tc>
          <w:tcPr>
            <w:tcW w:w="5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color w:val="auto"/>
                <w:w w:val="89"/>
              </w:rPr>
              <w:t>31, 2022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3"/>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SG&amp;A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233,944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224,756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915,355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900,798</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13,512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14,886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(j)</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2,190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SG&amp;A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230,678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220,760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899,653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880,545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SG&amp;A Percent of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0" w:type="dxa"/>
            <w:vAlign w:val="bottom"/>
          </w:tcPr>
          <w:p>
            <w:pPr>
              <w:spacing w:after="0"/>
              <w:rPr>
                <w:sz w:val="1"/>
                <w:szCs w:val="1"/>
                <w:color w:val="auto"/>
              </w:rPr>
            </w:pPr>
          </w:p>
        </w:tc>
      </w:tr>
      <w:tr>
        <w:trPr>
          <w:trHeight w:val="234"/>
        </w:trPr>
        <w:tc>
          <w:tcPr>
            <w:tcW w:w="5480" w:type="dxa"/>
            <w:vAlign w:val="bottom"/>
          </w:tcPr>
          <w:p>
            <w:pPr>
              <w:ind w:left="140"/>
              <w:spacing w:after="0"/>
              <w:rPr>
                <w:sz w:val="20"/>
                <w:szCs w:val="20"/>
                <w:color w:val="auto"/>
              </w:rPr>
            </w:pPr>
            <w:r>
              <w:rPr>
                <w:rFonts w:ascii="Arial" w:cs="Arial" w:eastAsia="Arial" w:hAnsi="Arial"/>
                <w:sz w:val="18"/>
                <w:szCs w:val="18"/>
                <w:b w:val="1"/>
                <w:bCs w:val="1"/>
                <w:color w:val="auto"/>
              </w:rPr>
              <w:t>Adjusted SG&amp;A Percent of Net Revenue</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42.3 %</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Note: Percentages reflect line item as a percentage of net revenue.</w:t>
      </w:r>
    </w:p>
    <w:p>
      <w:pPr>
        <w:spacing w:after="0" w:line="177"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3" w:lineRule="exact"/>
        <w:rPr>
          <w:rFonts w:ascii="Arial" w:cs="Arial" w:eastAsia="Arial" w:hAnsi="Arial"/>
          <w:sz w:val="14"/>
          <w:szCs w:val="14"/>
          <w:color w:val="auto"/>
        </w:rPr>
      </w:pPr>
    </w:p>
    <w:p>
      <w:pPr>
        <w:ind w:left="400" w:hanging="392"/>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write-off of primarily property, equipment and lease-related assets on closed or underperforming stores.</w:t>
      </w:r>
    </w:p>
    <w:p>
      <w:pPr>
        <w:spacing w:after="0" w:line="9" w:lineRule="exact"/>
        <w:rPr>
          <w:rFonts w:ascii="Arial" w:cs="Arial" w:eastAsia="Arial" w:hAnsi="Arial"/>
          <w:sz w:val="14"/>
          <w:szCs w:val="14"/>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Expenses associated with settlement of certain litigation.</w:t>
      </w:r>
    </w:p>
    <w:p>
      <w:pPr>
        <w:spacing w:after="0" w:line="14" w:lineRule="exact"/>
        <w:rPr>
          <w:rFonts w:ascii="Arial" w:cs="Arial" w:eastAsia="Arial" w:hAnsi="Arial"/>
          <w:sz w:val="14"/>
          <w:szCs w:val="14"/>
          <w:color w:val="auto"/>
        </w:rPr>
      </w:pPr>
    </w:p>
    <w:p>
      <w:pPr>
        <w:ind w:left="420" w:right="640" w:hanging="412"/>
        <w:spacing w:after="0" w:line="261" w:lineRule="auto"/>
        <w:tabs>
          <w:tab w:leader="none" w:pos="412"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acquisition of the Company by affiliates of KKR &amp; Co. Inc.</w:t>
      </w:r>
    </w:p>
    <w:p>
      <w:pPr>
        <w:ind w:left="420" w:right="620" w:hanging="412"/>
        <w:spacing w:after="0" w:line="251" w:lineRule="auto"/>
        <w:tabs>
          <w:tab w:leader="none" w:pos="417"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ind w:left="400" w:hanging="392"/>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(income), net on change in fair value of de-designated hedges.</w:t>
      </w:r>
    </w:p>
    <w:p>
      <w:pPr>
        <w:spacing w:after="0" w:line="14" w:lineRule="exact"/>
        <w:rPr>
          <w:rFonts w:ascii="Arial" w:cs="Arial" w:eastAsia="Arial" w:hAnsi="Arial"/>
          <w:sz w:val="14"/>
          <w:szCs w:val="14"/>
          <w:color w:val="auto"/>
        </w:rPr>
      </w:pPr>
    </w:p>
    <w:p>
      <w:pPr>
        <w:jc w:val="both"/>
        <w:ind w:left="420" w:right="620" w:hanging="412"/>
        <w:spacing w:after="0" w:line="276" w:lineRule="auto"/>
        <w:tabs>
          <w:tab w:leader="none" w:pos="412" w:val="left"/>
        </w:tabs>
        <w:numPr>
          <w:ilvl w:val="0"/>
          <w:numId w:val="9"/>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stock option exercises, executive severance and relocation and other expenses and adjustments, including our share of (gains) losses on equity method investments of $(2.7) million for the three months ended December 31, 2022, and $(2.7) million and $(2.4) million for fiscal years 2022 and 2021, respectively, and losses on other investments of $0.3 million for fiscal year 2022.</w:t>
      </w:r>
    </w:p>
    <w:p>
      <w:pPr>
        <w:ind w:left="420" w:right="640" w:hanging="412"/>
        <w:spacing w:after="0" w:line="261" w:lineRule="auto"/>
        <w:tabs>
          <w:tab w:leader="none" w:pos="412" w:val="left"/>
        </w:tabs>
        <w:numPr>
          <w:ilvl w:val="0"/>
          <w:numId w:val="9"/>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400" w:hanging="392"/>
        <w:spacing w:after="0"/>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4" w:lineRule="exact"/>
        <w:rPr>
          <w:rFonts w:ascii="Arial" w:cs="Arial" w:eastAsia="Arial" w:hAnsi="Arial"/>
          <w:sz w:val="14"/>
          <w:szCs w:val="14"/>
          <w:color w:val="auto"/>
        </w:rPr>
      </w:pPr>
    </w:p>
    <w:p>
      <w:pPr>
        <w:jc w:val="both"/>
        <w:ind w:left="420" w:right="640" w:hanging="412"/>
        <w:spacing w:after="0" w:line="254" w:lineRule="auto"/>
        <w:tabs>
          <w:tab w:leader="none" w:pos="407"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other expenses in (g) above, except for our share of (gains) losses on equity method investments of $(2.7) million for the three months ended December 31, 2022, and $(2.7) million and $(2.4) million for fiscal years 2022 and 2021, respectively, and losses on other investments of $0.3 million for fiscal year 2022 and other immaterial adjustments.</w:t>
      </w:r>
    </w:p>
    <w:p>
      <w:pPr>
        <w:spacing w:after="0" w:line="1" w:lineRule="exact"/>
        <w:rPr>
          <w:rFonts w:ascii="Arial" w:cs="Arial" w:eastAsia="Arial" w:hAnsi="Arial"/>
          <w:sz w:val="14"/>
          <w:szCs w:val="14"/>
          <w:color w:val="auto"/>
        </w:rPr>
      </w:pPr>
    </w:p>
    <w:p>
      <w:pPr>
        <w:ind w:left="420" w:right="640" w:hanging="412"/>
        <w:spacing w:after="0" w:line="283" w:lineRule="auto"/>
        <w:tabs>
          <w:tab w:leader="none" w:pos="412"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other expenses in (g) above, including the impact of stranded tax effect of $(2.1) million for fiscal year 2021 associated with our interest rate swaps that matured in 2021, and immaterial debt issuance costs for the three months ended January 2, 2021 and $0.1 million for fiscal year 2021.</w:t>
      </w:r>
    </w:p>
    <w:p>
      <w:pPr>
        <w:sectPr>
          <w:pgSz w:w="11900" w:h="16838" w:orient="portrait"/>
          <w:cols w:equalWidth="0" w:num="1">
            <w:col w:w="11220"/>
          </w:cols>
          <w:pgMar w:left="320" w:top="87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2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34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color w:val="auto"/>
              </w:rPr>
              <w:t xml:space="preserve">Comparable store sales growth </w:t>
            </w:r>
            <w:r>
              <w:rPr>
                <w:rFonts w:ascii="Arial" w:cs="Arial" w:eastAsia="Arial" w:hAnsi="Arial"/>
                <w:sz w:val="23"/>
                <w:szCs w:val="23"/>
                <w:color w:val="auto"/>
                <w:vertAlign w:val="superscript"/>
              </w:rPr>
              <w:t>(a)</w:t>
            </w: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4220" w:type="dxa"/>
            <w:vAlign w:val="bottom"/>
          </w:tcPr>
          <w:p>
            <w:pPr>
              <w:spacing w:after="0"/>
              <w:rPr>
                <w:sz w:val="13"/>
                <w:szCs w:val="13"/>
                <w:color w:val="auto"/>
              </w:rPr>
            </w:pPr>
          </w:p>
        </w:tc>
        <w:tc>
          <w:tcPr>
            <w:tcW w:w="1460" w:type="dxa"/>
            <w:vAlign w:val="bottom"/>
            <w:gridSpan w:val="2"/>
          </w:tcPr>
          <w:p>
            <w:pPr>
              <w:jc w:val="center"/>
              <w:ind w:right="100"/>
              <w:spacing w:after="0" w:line="159" w:lineRule="exact"/>
              <w:rPr>
                <w:sz w:val="20"/>
                <w:szCs w:val="20"/>
                <w:color w:val="auto"/>
              </w:rPr>
            </w:pPr>
            <w:r>
              <w:rPr>
                <w:rFonts w:ascii="Arial" w:cs="Arial" w:eastAsia="Arial" w:hAnsi="Arial"/>
                <w:sz w:val="16"/>
                <w:szCs w:val="16"/>
                <w:color w:val="auto"/>
                <w:w w:val="93"/>
              </w:rPr>
              <w:t>Three Months</w:t>
            </w:r>
          </w:p>
        </w:tc>
        <w:tc>
          <w:tcPr>
            <w:tcW w:w="1460" w:type="dxa"/>
            <w:vAlign w:val="bottom"/>
            <w:gridSpan w:val="2"/>
          </w:tcPr>
          <w:p>
            <w:pPr>
              <w:jc w:val="center"/>
              <w:ind w:right="120"/>
              <w:spacing w:after="0" w:line="159" w:lineRule="exact"/>
              <w:rPr>
                <w:sz w:val="20"/>
                <w:szCs w:val="20"/>
                <w:color w:val="auto"/>
              </w:rPr>
            </w:pPr>
            <w:r>
              <w:rPr>
                <w:rFonts w:ascii="Arial" w:cs="Arial" w:eastAsia="Arial" w:hAnsi="Arial"/>
                <w:sz w:val="16"/>
                <w:szCs w:val="16"/>
                <w:color w:val="auto"/>
                <w:w w:val="91"/>
              </w:rPr>
              <w:t>Three Months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46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9"/>
              </w:rPr>
              <w:t>Ended December</w:t>
            </w:r>
          </w:p>
        </w:tc>
        <w:tc>
          <w:tcPr>
            <w:tcW w:w="146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9"/>
              </w:rPr>
              <w:t>Ended January 1,</w:t>
            </w:r>
          </w:p>
        </w:tc>
        <w:tc>
          <w:tcPr>
            <w:tcW w:w="1420" w:type="dxa"/>
            <w:vAlign w:val="bottom"/>
            <w:gridSpan w:val="2"/>
            <w:vMerge w:val="restart"/>
          </w:tcPr>
          <w:p>
            <w:pPr>
              <w:ind w:left="120"/>
              <w:spacing w:after="0"/>
              <w:rPr>
                <w:sz w:val="20"/>
                <w:szCs w:val="20"/>
                <w:color w:val="auto"/>
              </w:rPr>
            </w:pPr>
            <w:r>
              <w:rPr>
                <w:rFonts w:ascii="Arial" w:cs="Arial" w:eastAsia="Arial" w:hAnsi="Arial"/>
                <w:sz w:val="16"/>
                <w:szCs w:val="16"/>
                <w:color w:val="auto"/>
              </w:rPr>
              <w:t>Fiscal Year 2022</w:t>
            </w:r>
          </w:p>
        </w:tc>
        <w:tc>
          <w:tcPr>
            <w:tcW w:w="1460" w:type="dxa"/>
            <w:vAlign w:val="bottom"/>
            <w:gridSpan w:val="2"/>
            <w:vMerge w:val="restart"/>
          </w:tcPr>
          <w:p>
            <w:pPr>
              <w:ind w:left="140"/>
              <w:spacing w:after="0"/>
              <w:rPr>
                <w:sz w:val="20"/>
                <w:szCs w:val="20"/>
                <w:color w:val="auto"/>
              </w:rPr>
            </w:pPr>
            <w:r>
              <w:rPr>
                <w:rFonts w:ascii="Arial" w:cs="Arial" w:eastAsia="Arial" w:hAnsi="Arial"/>
                <w:sz w:val="16"/>
                <w:szCs w:val="16"/>
                <w:color w:val="auto"/>
              </w:rPr>
              <w:t>Fiscal Year 2021</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4"/>
              </w:rPr>
              <w:t>2023 Outlook</w:t>
            </w:r>
          </w:p>
        </w:tc>
        <w:tc>
          <w:tcPr>
            <w:tcW w:w="0" w:type="dxa"/>
            <w:vAlign w:val="bottom"/>
          </w:tcPr>
          <w:p>
            <w:pPr>
              <w:spacing w:after="0"/>
              <w:rPr>
                <w:sz w:val="1"/>
                <w:szCs w:val="1"/>
                <w:color w:val="auto"/>
              </w:rPr>
            </w:pPr>
          </w:p>
        </w:tc>
      </w:tr>
      <w:tr>
        <w:trPr>
          <w:trHeight w:val="206"/>
        </w:trPr>
        <w:tc>
          <w:tcPr>
            <w:tcW w:w="4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31, 2022</w:t>
            </w:r>
          </w:p>
        </w:tc>
        <w:tc>
          <w:tcPr>
            <w:tcW w:w="1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Best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Eyeglass World</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Military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Fred Meyer</w:t>
            </w: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Legacy segment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comparable store sales growth</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 - 3%</w:t>
            </w:r>
          </w:p>
        </w:tc>
        <w:tc>
          <w:tcPr>
            <w:tcW w:w="0" w:type="dxa"/>
            <w:vAlign w:val="bottom"/>
          </w:tcPr>
          <w:p>
            <w:pPr>
              <w:spacing w:after="0"/>
              <w:rPr>
                <w:sz w:val="1"/>
                <w:szCs w:val="1"/>
                <w:color w:val="auto"/>
              </w:rPr>
            </w:pPr>
          </w:p>
        </w:tc>
      </w:tr>
      <w:tr>
        <w:trPr>
          <w:trHeight w:val="304"/>
        </w:trPr>
        <w:tc>
          <w:tcPr>
            <w:tcW w:w="4220" w:type="dxa"/>
            <w:vAlign w:val="bottom"/>
          </w:tcPr>
          <w:p>
            <w:pPr>
              <w:ind w:left="20"/>
              <w:spacing w:after="0"/>
              <w:rPr>
                <w:sz w:val="20"/>
                <w:szCs w:val="20"/>
                <w:color w:val="auto"/>
              </w:rPr>
            </w:pPr>
            <w:r>
              <w:rPr>
                <w:rFonts w:ascii="Arial" w:cs="Arial" w:eastAsia="Arial" w:hAnsi="Arial"/>
                <w:sz w:val="18"/>
                <w:szCs w:val="18"/>
                <w:color w:val="auto"/>
              </w:rPr>
              <w:t xml:space="preserve">Adjusted Comparable Store Sales Growth </w:t>
            </w:r>
            <w:r>
              <w:rPr>
                <w:rFonts w:ascii="Arial" w:cs="Arial" w:eastAsia="Arial" w:hAnsi="Arial"/>
                <w:sz w:val="23"/>
                <w:szCs w:val="23"/>
                <w:color w:val="auto"/>
                <w:vertAlign w:val="superscript"/>
              </w:rPr>
              <w:t>(b)</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0% - 3%</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left="340" w:hanging="332"/>
        <w:spacing w:after="0" w:line="269" w:lineRule="auto"/>
        <w:tabs>
          <w:tab w:leader="none" w:pos="33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14. “Segment Reporting” in our consolidated financial statements, with the exception of the Legacy segment, which is adjusted as noted in (b) (ii) below.</w:t>
      </w:r>
    </w:p>
    <w:p>
      <w:pPr>
        <w:spacing w:after="0" w:line="204" w:lineRule="exact"/>
        <w:rPr>
          <w:rFonts w:ascii="Arial" w:cs="Arial" w:eastAsia="Arial" w:hAnsi="Arial"/>
          <w:sz w:val="14"/>
          <w:szCs w:val="14"/>
          <w:color w:val="auto"/>
        </w:rPr>
      </w:pPr>
    </w:p>
    <w:p>
      <w:pPr>
        <w:jc w:val="both"/>
        <w:ind w:left="340" w:hanging="332"/>
        <w:spacing w:after="0" w:line="286" w:lineRule="auto"/>
        <w:tabs>
          <w:tab w:leader="none" w:pos="332"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an increase of 3.4% for fourth quarter 2022, a decrease of 0.6% for fourth quarter 2021, and an increase of 0.7% for fiscal 2021;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 decrease of 0.1% for fourth quarter 2022, an increase of 0.1% for fourth quarter 2021, a decrease of 0.1% for fiscal 2022, and a decrease of 0.1% for fiscal 2021; (iii) with respect to the Company’s 2023 Outlook, Adjusted Comparable Store Sales Growth includes an estimated 0.2% decrease for the effect of deferred and unearned revenue as if such revenues were earned at the point of sale and retail sales to the Legacy partner’s customers (rather than the revenues recognized consistent with the management &amp; services agreement).</w:t>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Investors: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Caitlin Churchill</w:t>
      </w:r>
    </w:p>
    <w:p>
      <w:pPr>
        <w:spacing w:after="0" w:line="9" w:lineRule="exact"/>
        <w:rPr>
          <w:sz w:val="20"/>
          <w:szCs w:val="20"/>
          <w:color w:val="auto"/>
        </w:rPr>
      </w:pPr>
    </w:p>
    <w:p>
      <w:pPr>
        <w:ind w:right="7359"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682-8200 investor.relations@nationalvision.com</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Racheal Peters, Manager of External Communications</w:t>
      </w:r>
    </w:p>
    <w:p>
      <w:pPr>
        <w:spacing w:after="0" w:line="32" w:lineRule="exact"/>
        <w:rPr>
          <w:sz w:val="20"/>
          <w:szCs w:val="20"/>
          <w:color w:val="auto"/>
        </w:rPr>
      </w:pPr>
    </w:p>
    <w:p>
      <w:pPr>
        <w:ind w:right="8159" w:firstLine="8"/>
        <w:spacing w:after="0" w:line="323" w:lineRule="auto"/>
        <w:tabs>
          <w:tab w:leader="none" w:pos="4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448-2303 media@nationalvision.com</w:t>
      </w:r>
    </w:p>
    <w:sectPr>
      <w:pgSz w:w="11900" w:h="16838" w:orient="portrait"/>
      <w:cols w:equalWidth="0" w:num="1">
        <w:col w:w="10139"/>
      </w:cols>
      <w:pgMar w:left="320" w:top="9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203"/>
    </w:lvl>
  </w:abstractNum>
  <w:abstractNum w:abstractNumId="11">
    <w:nsid w:val="66EF438D"/>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2023-03-01T06:38:11Z</dcterms:created>
  <dcterms:modified xsi:type="dcterms:W3CDTF">2023-03-01T06:38:11Z</dcterms:modified>
</cp:coreProperties>
</file>