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47"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10"/>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4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Arial" w:cs="Arial" w:eastAsia="Arial" w:hAnsi="Arial"/>
                <w:sz w:val="18"/>
                <w:szCs w:val="18"/>
                <w:color w:val="0000FF"/>
              </w:rPr>
              <w:t>03/26/2018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5"/>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6"/>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240" w:type="dxa"/>
            <w:vAlign w:val="bottom"/>
            <w:gridSpan w:val="2"/>
          </w:tcPr>
          <w:p>
            <w:pPr>
              <w:jc w:val="center"/>
              <w:ind w:left="26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jc w:val="center"/>
              <w:ind w:left="22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1240" w:type="dxa"/>
            <w:vAlign w:val="bottom"/>
            <w:gridSpan w:val="2"/>
          </w:tcPr>
          <w:p>
            <w:pPr>
              <w:jc w:val="center"/>
              <w:ind w:left="30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18"/>
                <w:szCs w:val="18"/>
                <w:color w:val="auto"/>
              </w:rPr>
            </w:pPr>
          </w:p>
        </w:tc>
        <w:tc>
          <w:tcPr>
            <w:tcW w:w="1340" w:type="dxa"/>
            <w:vAlign w:val="bottom"/>
            <w:gridSpan w:val="5"/>
            <w:vMerge w:val="restart"/>
          </w:tcPr>
          <w:p>
            <w:pPr>
              <w:ind w:left="500"/>
              <w:spacing w:after="0"/>
              <w:rPr>
                <w:sz w:val="20"/>
                <w:szCs w:val="20"/>
                <w:color w:val="auto"/>
              </w:rPr>
            </w:pPr>
            <w:r>
              <w:rPr>
                <w:rFonts w:ascii="Arial" w:cs="Arial" w:eastAsia="Arial" w:hAnsi="Arial"/>
                <w:sz w:val="18"/>
                <w:szCs w:val="18"/>
                <w:color w:val="0000FF"/>
                <w:w w:val="90"/>
              </w:rPr>
              <w:t>03/26/2018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restart"/>
          </w:tcPr>
          <w:p>
            <w:pPr>
              <w:ind w:left="14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0000FF"/>
                <w:w w:val="84"/>
              </w:rPr>
              <w:t>331,961</w:t>
            </w:r>
            <w:r>
              <w:rPr>
                <w:rFonts w:ascii="Arial" w:cs="Arial" w:eastAsia="Arial" w:hAnsi="Arial"/>
                <w:sz w:val="22"/>
                <w:szCs w:val="22"/>
                <w:color w:val="008000"/>
                <w:w w:val="84"/>
                <w:vertAlign w:val="superscript"/>
              </w:rPr>
              <w:t>(1)</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1640" w:type="dxa"/>
            <w:vAlign w:val="bottom"/>
            <w:gridSpan w:val="5"/>
            <w:vMerge w:val="restart"/>
          </w:tcPr>
          <w:p>
            <w:pPr>
              <w:jc w:val="center"/>
              <w:ind w:right="320"/>
              <w:spacing w:after="0"/>
              <w:rPr>
                <w:sz w:val="20"/>
                <w:szCs w:val="20"/>
                <w:color w:val="auto"/>
              </w:rPr>
            </w:pPr>
            <w:r>
              <w:rPr>
                <w:rFonts w:ascii="Arial" w:cs="Arial" w:eastAsia="Arial" w:hAnsi="Arial"/>
                <w:sz w:val="18"/>
                <w:szCs w:val="18"/>
                <w:color w:val="0000FF"/>
                <w:w w:val="87"/>
              </w:rPr>
              <w:t>7,443,860</w:t>
            </w:r>
          </w:p>
        </w:tc>
        <w:tc>
          <w:tcPr>
            <w:tcW w:w="480" w:type="dxa"/>
            <w:vAlign w:val="bottom"/>
            <w:vMerge w:val="restart"/>
          </w:tcPr>
          <w:p>
            <w:pPr>
              <w:jc w:val="center"/>
              <w:ind w:right="352"/>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w w:val="87"/>
              </w:rPr>
              <w:t>Partnership</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5"/>
          </w:tcPr>
          <w:p>
            <w:pPr>
              <w:ind w:left="500"/>
              <w:spacing w:after="0"/>
              <w:rPr>
                <w:sz w:val="20"/>
                <w:szCs w:val="20"/>
                <w:color w:val="auto"/>
              </w:rPr>
            </w:pPr>
            <w:r>
              <w:rPr>
                <w:rFonts w:ascii="Arial" w:cs="Arial" w:eastAsia="Arial" w:hAnsi="Arial"/>
                <w:sz w:val="18"/>
                <w:szCs w:val="18"/>
                <w:color w:val="0000FF"/>
                <w:w w:val="90"/>
              </w:rPr>
              <w:t>03/26/2018</w:t>
            </w: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2"/>
              </w:rPr>
              <w:t>4,313</w:t>
            </w:r>
            <w:r>
              <w:rPr>
                <w:rFonts w:ascii="Arial" w:cs="Arial" w:eastAsia="Arial" w:hAnsi="Arial"/>
                <w:sz w:val="22"/>
                <w:szCs w:val="22"/>
                <w:color w:val="008000"/>
                <w:w w:val="82"/>
                <w:vertAlign w:val="superscript"/>
              </w:rPr>
              <w:t>(1)</w:t>
            </w:r>
          </w:p>
        </w:tc>
        <w:tc>
          <w:tcPr>
            <w:tcW w:w="50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60" w:type="dxa"/>
            <w:vAlign w:val="bottom"/>
            <w:tcBorders>
              <w:top w:val="single" w:sz="8" w:color="2C2C2C"/>
              <w:bottom w:val="single" w:sz="8" w:color="2C2C2C"/>
            </w:tcBorders>
            <w:gridSpan w:val="2"/>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7"/>
              </w:rPr>
              <w:t>96,714</w:t>
            </w:r>
          </w:p>
        </w:tc>
        <w:tc>
          <w:tcPr>
            <w:tcW w:w="1240" w:type="dxa"/>
            <w:vAlign w:val="bottom"/>
            <w:tcBorders>
              <w:top w:val="single" w:sz="8" w:color="2C2C2C"/>
              <w:bottom w:val="single" w:sz="8" w:color="2C2C2C"/>
            </w:tcBorders>
            <w:gridSpan w:val="2"/>
          </w:tcPr>
          <w:p>
            <w:pPr>
              <w:jc w:val="center"/>
              <w:ind w:left="300"/>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(3)(4)</w:t>
            </w: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500"/>
              <w:spacing w:after="0"/>
              <w:rPr>
                <w:sz w:val="20"/>
                <w:szCs w:val="20"/>
                <w:color w:val="auto"/>
              </w:rPr>
            </w:pPr>
            <w:r>
              <w:rPr>
                <w:rFonts w:ascii="Arial" w:cs="Arial" w:eastAsia="Arial" w:hAnsi="Arial"/>
                <w:sz w:val="18"/>
                <w:szCs w:val="18"/>
                <w:color w:val="0000FF"/>
                <w:w w:val="90"/>
              </w:rPr>
              <w:t>03/26/2018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2"/>
              </w:rPr>
              <w:t>1,757</w:t>
            </w:r>
            <w:r>
              <w:rPr>
                <w:rFonts w:ascii="Arial" w:cs="Arial" w:eastAsia="Arial" w:hAnsi="Arial"/>
                <w:sz w:val="22"/>
                <w:szCs w:val="22"/>
                <w:color w:val="008000"/>
                <w:w w:val="82"/>
                <w:vertAlign w:val="superscript"/>
              </w:rPr>
              <w:t>(1)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39,394</w:t>
            </w:r>
          </w:p>
        </w:tc>
        <w:tc>
          <w:tcPr>
            <w:tcW w:w="1240" w:type="dxa"/>
            <w:vAlign w:val="bottom"/>
            <w:tcBorders>
              <w:bottom w:val="single" w:sz="8" w:color="2C2C2C"/>
            </w:tcBorders>
            <w:gridSpan w:val="2"/>
          </w:tcPr>
          <w:p>
            <w:pPr>
              <w:jc w:val="center"/>
              <w:ind w:left="300"/>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(3)(5)</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4"/>
          </w:tcPr>
          <w:p>
            <w:pPr>
              <w:jc w:val="center"/>
              <w:ind w:left="86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Sixth Berkshire Associates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0320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BERKSHIRE FUND VI, LTD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887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88798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BPSP, L.P.</w:t>
              </w:r>
            </w:hyperlink>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Berkshire Partners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5"/>
          </w:tcPr>
          <w:p>
            <w:pPr>
              <w:spacing w:after="0" w:line="224" w:lineRule="exact"/>
              <w:rPr>
                <w:rFonts w:ascii="Arial" w:cs="Arial" w:eastAsia="Arial" w:hAnsi="Arial"/>
                <w:sz w:val="22"/>
                <w:szCs w:val="22"/>
                <w:color w:val="0000EE"/>
                <w:w w:val="94"/>
              </w:rPr>
            </w:pPr>
            <w:hyperlink r:id="rId20">
              <w:r>
                <w:rPr>
                  <w:rFonts w:ascii="Arial" w:cs="Arial" w:eastAsia="Arial" w:hAnsi="Arial"/>
                  <w:sz w:val="22"/>
                  <w:szCs w:val="22"/>
                  <w:color w:val="0000EE"/>
                  <w:w w:val="94"/>
                </w:rPr>
                <w:t>BERKSHIRE INVESTORS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Berkshire Investors 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secondary offering of common stock, par value $0.01 per share (the "Common Stock") of the Issuer by certain selling shareholders to Merrill Lynch, Pierce, Fenner &amp; Smith Incorporated, Citigroup Global Markets Inc., Goldman Sachs &amp; Co. LLC, Jefferies LLC and KKR Capital Markets LLC pursuant to underwriting agreement and final prospectus, each dated March 14, 2018, and the exercise of the underwriters' over-allotment option (the "Over-Allotment Option"), Fund VI (as defined below), Berkshire Investors (as defined below) and Berkshire Investors III (as defined below), as selling shareholders, sold 331,961; 4,313 and 1,757 shares of Common Stock, respectively. The Over-Allotment Option closed on March 26, 2018.</w:t>
      </w:r>
    </w:p>
    <w:p>
      <w:pPr>
        <w:spacing w:after="0" w:line="8"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As a result, each of BPH, BPSP, Berkshire Partners and 6BA may be deemed to indirectly beneficially own the shares held by Fund VI. Each of the Reporting Persons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2" w:lineRule="exact"/>
        <w:rPr>
          <w:rFonts w:ascii="Arial" w:cs="Arial" w:eastAsia="Arial" w:hAnsi="Arial"/>
          <w:sz w:val="14"/>
          <w:szCs w:val="14"/>
          <w:color w:val="008000"/>
        </w:rPr>
      </w:pPr>
    </w:p>
    <w:p>
      <w:pPr>
        <w:ind w:left="20" w:right="3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BPH, BPSP, Berkshire Partners, Fund VI, 6BA, Berkshire Investors LLC ("Berkshire Investors") and Berkshire Investors III LLC ("Berkshire Investors III") may be deemed to constitute a "group" for purposes of Section 13(d) of the Exchange Act although they do not admit to being part of a group nor have they agreed to act as part of a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w:t>
      </w:r>
    </w:p>
    <w:p>
      <w:pPr>
        <w:sectPr>
          <w:pgSz w:w="11900" w:h="16838" w:orient="portrait"/>
          <w:cols w:equalWidth="0" w:num="1">
            <w:col w:w="11340"/>
          </w:cols>
          <w:pgMar w:left="260" w:top="118" w:right="29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of Berkshire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3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VI,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76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6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of Berkshire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7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7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597786"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376601" TargetMode="External"/><Relationship Id="rId16" Type="http://schemas.openxmlformats.org/officeDocument/2006/relationships/hyperlink" Target="http://www.sec.gov/cgi-bin/browse-edgar?action=getcompany&amp;CIK=0001223654" TargetMode="External"/><Relationship Id="rId18" Type="http://schemas.openxmlformats.org/officeDocument/2006/relationships/hyperlink" Target="http://www.sec.gov/cgi-bin/browse-edgar?action=getcompany&amp;CIK=0001597787" TargetMode="External"/><Relationship Id="rId19" Type="http://schemas.openxmlformats.org/officeDocument/2006/relationships/hyperlink" Target="http://www.sec.gov/cgi-bin/browse-edgar?action=getcompany&amp;CIK=0001312988" TargetMode="External"/><Relationship Id="rId20" Type="http://schemas.openxmlformats.org/officeDocument/2006/relationships/hyperlink" Target="http://www.sec.gov/cgi-bin/browse-edgar?action=getcompany&amp;CIK=0001122645" TargetMode="External"/><Relationship Id="rId21" Type="http://schemas.openxmlformats.org/officeDocument/2006/relationships/hyperlink" Target="http://www.sec.gov/cgi-bin/browse-edgar?action=getcompany&amp;CIK=0001505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2019-12-23T16:14:48Z</dcterms:created>
  <dcterms:modified xsi:type="dcterms:W3CDTF">2019-12-23T16:14:48Z</dcterms:modified>
</cp:coreProperties>
</file>