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17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17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PEELER D RANDOLPH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National Vision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EYE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14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2"/>
                <w:szCs w:val="2"/>
                <w:color w:val="auto"/>
              </w:rPr>
            </w:pP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60" w:type="dxa"/>
            <w:vAlign w:val="bottom"/>
            <w:gridSpan w:val="3"/>
            <w:vMerge w:val="restart"/>
          </w:tcPr>
          <w:p>
            <w:pPr>
              <w:ind w:left="34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BERKSHIRE PARTNERS LLC</w:t>
            </w:r>
          </w:p>
        </w:tc>
        <w:tc>
          <w:tcPr>
            <w:tcW w:w="1240" w:type="dxa"/>
            <w:vAlign w:val="bottom"/>
            <w:gridSpan w:val="4"/>
          </w:tcPr>
          <w:p>
            <w:pPr>
              <w:ind w:left="160"/>
              <w:spacing w:after="0"/>
              <w:rPr>
                <w:sz w:val="20"/>
                <w:szCs w:val="20"/>
                <w:color w:val="auto"/>
              </w:rPr>
            </w:pPr>
            <w:r>
              <w:rPr>
                <w:rFonts w:ascii="Arial" w:cs="Arial" w:eastAsia="Arial" w:hAnsi="Arial"/>
                <w:sz w:val="18"/>
                <w:szCs w:val="18"/>
                <w:color w:val="0000FF"/>
              </w:rPr>
              <w:t>07/30/2018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200 CLARENDON STREET, 35TH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48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vMerge w:val="restart"/>
          </w:tcPr>
          <w:p>
            <w:pPr>
              <w:spacing w:after="0"/>
              <w:rPr>
                <w:sz w:val="5"/>
                <w:szCs w:val="5"/>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6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7"/>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ind w:left="360"/>
              <w:spacing w:after="0" w:line="136" w:lineRule="exact"/>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jc w:val="center"/>
              <w:ind w:right="3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22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40" w:type="dxa"/>
            <w:vAlign w:val="bottom"/>
            <w:gridSpan w:val="5"/>
          </w:tcPr>
          <w:p>
            <w:pPr>
              <w:ind w:left="32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10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vMerge w:val="restart"/>
          </w:tcPr>
          <w:p>
            <w:pPr>
              <w:ind w:left="420"/>
              <w:spacing w:after="0"/>
              <w:rPr>
                <w:sz w:val="20"/>
                <w:szCs w:val="20"/>
                <w:color w:val="auto"/>
              </w:rPr>
            </w:pPr>
            <w:r>
              <w:rPr>
                <w:rFonts w:ascii="Arial" w:cs="Arial" w:eastAsia="Arial" w:hAnsi="Arial"/>
                <w:sz w:val="18"/>
                <w:szCs w:val="18"/>
                <w:color w:val="0000FF"/>
                <w:w w:val="90"/>
              </w:rPr>
              <w:t>07/30/2018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440" w:type="dxa"/>
            <w:vAlign w:val="bottom"/>
          </w:tcPr>
          <w:p>
            <w:pPr>
              <w:spacing w:after="0"/>
              <w:rPr>
                <w:sz w:val="18"/>
                <w:szCs w:val="18"/>
                <w:color w:val="auto"/>
              </w:rPr>
            </w:pPr>
          </w:p>
        </w:tc>
        <w:tc>
          <w:tcPr>
            <w:tcW w:w="100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0000FF"/>
                <w:w w:val="85"/>
              </w:rPr>
              <w:t>2,633,406</w:t>
            </w:r>
            <w:r>
              <w:rPr>
                <w:rFonts w:ascii="Arial" w:cs="Arial" w:eastAsia="Arial" w:hAnsi="Arial"/>
                <w:sz w:val="22"/>
                <w:szCs w:val="22"/>
                <w:color w:val="008000"/>
                <w:w w:val="85"/>
                <w:vertAlign w:val="superscript"/>
              </w:rPr>
              <w:t>(1)</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700" w:type="dxa"/>
            <w:vAlign w:val="bottom"/>
            <w:gridSpan w:val="3"/>
            <w:vMerge w:val="restart"/>
          </w:tcPr>
          <w:p>
            <w:pPr>
              <w:ind w:left="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38.2594</w:t>
            </w:r>
          </w:p>
        </w:tc>
        <w:tc>
          <w:tcPr>
            <w:tcW w:w="12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4,810,454</w:t>
            </w:r>
          </w:p>
        </w:tc>
        <w:tc>
          <w:tcPr>
            <w:tcW w:w="38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Fund VI,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Partnership</w:t>
            </w:r>
            <w:r>
              <w:rPr>
                <w:rFonts w:ascii="Arial" w:cs="Arial" w:eastAsia="Arial" w:hAnsi="Arial"/>
                <w:sz w:val="22"/>
                <w:szCs w:val="22"/>
                <w:color w:val="008000"/>
                <w:w w:val="89"/>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0000FF"/>
                <w:w w:val="90"/>
              </w:rPr>
              <w:t>07/30/2018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S</w:t>
            </w:r>
          </w:p>
        </w:tc>
        <w:tc>
          <w:tcPr>
            <w:tcW w:w="440" w:type="dxa"/>
            <w:vAlign w:val="bottom"/>
          </w:tcPr>
          <w:p>
            <w:pPr>
              <w:spacing w:after="0"/>
              <w:rPr>
                <w:sz w:val="18"/>
                <w:szCs w:val="18"/>
                <w:color w:val="auto"/>
              </w:rPr>
            </w:pPr>
          </w:p>
        </w:tc>
        <w:tc>
          <w:tcPr>
            <w:tcW w:w="1000" w:type="dxa"/>
            <w:vAlign w:val="bottom"/>
            <w:gridSpan w:val="2"/>
          </w:tcPr>
          <w:p>
            <w:pPr>
              <w:jc w:val="center"/>
              <w:ind w:right="40"/>
              <w:spacing w:after="0" w:line="217" w:lineRule="exact"/>
              <w:rPr>
                <w:sz w:val="20"/>
                <w:szCs w:val="20"/>
                <w:color w:val="auto"/>
              </w:rPr>
            </w:pPr>
            <w:r>
              <w:rPr>
                <w:rFonts w:ascii="Arial" w:cs="Arial" w:eastAsia="Arial" w:hAnsi="Arial"/>
                <w:sz w:val="18"/>
                <w:szCs w:val="18"/>
                <w:color w:val="0000FF"/>
                <w:w w:val="82"/>
              </w:rPr>
              <w:t>34,215</w:t>
            </w:r>
            <w:r>
              <w:rPr>
                <w:rFonts w:ascii="Arial" w:cs="Arial" w:eastAsia="Arial" w:hAnsi="Arial"/>
                <w:sz w:val="22"/>
                <w:szCs w:val="22"/>
                <w:color w:val="008000"/>
                <w:w w:val="82"/>
                <w:vertAlign w:val="superscript"/>
              </w:rPr>
              <w:t>(1)</w:t>
            </w:r>
          </w:p>
        </w:tc>
        <w:tc>
          <w:tcPr>
            <w:tcW w:w="500" w:type="dxa"/>
            <w:vAlign w:val="bottom"/>
          </w:tcPr>
          <w:p>
            <w:pPr>
              <w:ind w:left="140"/>
              <w:spacing w:after="0"/>
              <w:rPr>
                <w:sz w:val="20"/>
                <w:szCs w:val="20"/>
                <w:color w:val="auto"/>
              </w:rPr>
            </w:pPr>
            <w:r>
              <w:rPr>
                <w:rFonts w:ascii="Arial" w:cs="Arial" w:eastAsia="Arial" w:hAnsi="Arial"/>
                <w:sz w:val="18"/>
                <w:szCs w:val="18"/>
                <w:color w:val="0000FF"/>
              </w:rPr>
              <w:t>D</w:t>
            </w:r>
          </w:p>
        </w:tc>
        <w:tc>
          <w:tcPr>
            <w:tcW w:w="700" w:type="dxa"/>
            <w:vAlign w:val="bottom"/>
            <w:gridSpan w:val="3"/>
          </w:tcPr>
          <w:p>
            <w:pPr>
              <w:ind w:left="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38.2594</w:t>
            </w: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62,499</w:t>
            </w:r>
          </w:p>
        </w:tc>
        <w:tc>
          <w:tcPr>
            <w:tcW w:w="38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w w:val="97"/>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0000FF"/>
                <w:w w:val="90"/>
              </w:rPr>
              <w:t>07/30/2018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S</w:t>
            </w:r>
          </w:p>
        </w:tc>
        <w:tc>
          <w:tcPr>
            <w:tcW w:w="440" w:type="dxa"/>
            <w:vAlign w:val="bottom"/>
          </w:tcPr>
          <w:p>
            <w:pPr>
              <w:spacing w:after="0"/>
              <w:rPr>
                <w:sz w:val="18"/>
                <w:szCs w:val="18"/>
                <w:color w:val="auto"/>
              </w:rPr>
            </w:pPr>
          </w:p>
        </w:tc>
        <w:tc>
          <w:tcPr>
            <w:tcW w:w="1000" w:type="dxa"/>
            <w:vAlign w:val="bottom"/>
            <w:gridSpan w:val="2"/>
          </w:tcPr>
          <w:p>
            <w:pPr>
              <w:jc w:val="center"/>
              <w:ind w:right="40"/>
              <w:spacing w:after="0" w:line="217" w:lineRule="exact"/>
              <w:rPr>
                <w:sz w:val="20"/>
                <w:szCs w:val="20"/>
                <w:color w:val="auto"/>
              </w:rPr>
            </w:pPr>
            <w:r>
              <w:rPr>
                <w:rFonts w:ascii="Arial" w:cs="Arial" w:eastAsia="Arial" w:hAnsi="Arial"/>
                <w:sz w:val="18"/>
                <w:szCs w:val="18"/>
                <w:color w:val="0000FF"/>
                <w:w w:val="82"/>
              </w:rPr>
              <w:t>13,936</w:t>
            </w:r>
            <w:r>
              <w:rPr>
                <w:rFonts w:ascii="Arial" w:cs="Arial" w:eastAsia="Arial" w:hAnsi="Arial"/>
                <w:sz w:val="22"/>
                <w:szCs w:val="22"/>
                <w:color w:val="008000"/>
                <w:w w:val="82"/>
                <w:vertAlign w:val="superscript"/>
              </w:rPr>
              <w:t>(1)</w:t>
            </w:r>
          </w:p>
        </w:tc>
        <w:tc>
          <w:tcPr>
            <w:tcW w:w="500" w:type="dxa"/>
            <w:vAlign w:val="bottom"/>
          </w:tcPr>
          <w:p>
            <w:pPr>
              <w:ind w:left="140"/>
              <w:spacing w:after="0"/>
              <w:rPr>
                <w:sz w:val="20"/>
                <w:szCs w:val="20"/>
                <w:color w:val="auto"/>
              </w:rPr>
            </w:pPr>
            <w:r>
              <w:rPr>
                <w:rFonts w:ascii="Arial" w:cs="Arial" w:eastAsia="Arial" w:hAnsi="Arial"/>
                <w:sz w:val="18"/>
                <w:szCs w:val="18"/>
                <w:color w:val="0000FF"/>
              </w:rPr>
              <w:t>D</w:t>
            </w:r>
          </w:p>
        </w:tc>
        <w:tc>
          <w:tcPr>
            <w:tcW w:w="700" w:type="dxa"/>
            <w:vAlign w:val="bottom"/>
            <w:gridSpan w:val="3"/>
          </w:tcPr>
          <w:p>
            <w:pPr>
              <w:ind w:left="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38.2594</w:t>
            </w: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87"/>
              </w:rPr>
              <w:t>25,458</w:t>
            </w:r>
          </w:p>
        </w:tc>
        <w:tc>
          <w:tcPr>
            <w:tcW w:w="38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Investors III</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8"/>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40" w:type="dxa"/>
            <w:vAlign w:val="bottom"/>
            <w:gridSpan w:val="15"/>
          </w:tcPr>
          <w:p>
            <w:pPr>
              <w:jc w:val="center"/>
              <w:ind w:left="50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secondary offering (the "Secondary Offering") of common stock, par value $0.01 per share (the "Common Stock") of the Issuer by certain selling shareholders to Merrill Lynch, Pierce, Fenner &amp; Smith Incorporated, Citigroup Global Markets Inc., Goldman Sachs &amp; Co. LLC, Jefferies LLC, KKR Capital Markets LLC, Morgan Stanley &amp; Co. LLC, UBS Securities LLC, Wells Fargo Securities, LLC, Barclays Capital Inc., Guggenheim Securities, LLC, Mizuho Securities USA LLC and Macquarie Capital (USA) Inc. pursuant to an underwriting agreement and final prospectus supplement, each dated July 25, 2018, Fund VI (as defined below), Berkshire Investors (as defined below) and Berkshire Investors III (as defined below), as selling shareholders, sold 2,633,406, 34,215 and 13,936 shares of Common Stock, respectively, at $38.2594 per share. The Secondary Offering closed on July 30, 2018.</w:t>
      </w:r>
    </w:p>
    <w:p>
      <w:pPr>
        <w:spacing w:after="0" w:line="11" w:lineRule="exact"/>
        <w:rPr>
          <w:rFonts w:ascii="Arial" w:cs="Arial" w:eastAsia="Arial" w:hAnsi="Arial"/>
          <w:sz w:val="12"/>
          <w:szCs w:val="12"/>
          <w:color w:val="008000"/>
        </w:rPr>
      </w:pPr>
    </w:p>
    <w:p>
      <w:pPr>
        <w:ind w:left="40" w:right="18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The Reporting Person was previously a managing member of each of BPH, BPSP, Berkshire Partners and 6BA. By virtue of the relationships described above, the Reporting Person may be deemed to share beneficial ownership with respect to the shares of Common Stock held by Fund VI. The Reporting Person disclaims beneficial ownership of the shares held by Fund VI,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11" w:lineRule="exact"/>
        <w:rPr>
          <w:rFonts w:ascii="Arial" w:cs="Arial" w:eastAsia="Arial" w:hAnsi="Arial"/>
          <w:sz w:val="12"/>
          <w:szCs w:val="12"/>
          <w:color w:val="008000"/>
        </w:rPr>
      </w:pPr>
    </w:p>
    <w:p>
      <w:pPr>
        <w:jc w:val="both"/>
        <w:ind w:left="40" w:right="1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LLC ("Berkshire Investors"). The Reporting Person was previously a managing member of Berkshire Investors. By virtue of the relationships described above, the Reporting Person may be deemed to share beneficial ownership with respect to the shares of Common Stock held by Berkshire Investors. The Reporting Person disclaims beneficial ownership of the shares held by Berkshire Investors,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1" w:lineRule="exact"/>
        <w:rPr>
          <w:rFonts w:ascii="Arial" w:cs="Arial" w:eastAsia="Arial" w:hAnsi="Arial"/>
          <w:sz w:val="14"/>
          <w:szCs w:val="14"/>
          <w:color w:val="008000"/>
        </w:rPr>
      </w:pPr>
    </w:p>
    <w:p>
      <w:pPr>
        <w:ind w:left="40" w:right="2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III LLC ("Berkshire Investors III"). The Reporting Person was previously a managing member of Berkshire Investors III. By virtue of the relationships described above, the Reporting Person may be deemed to share beneficial ownership with respect to the shares of Common Stock held by Berkshire Investors III. The Reporting Person disclaims beneficial ownership of the shares held by Berkshire Investors III,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7"/>
              </w:rPr>
              <w:t>/s/ D. Randolph Peeler</w:t>
            </w:r>
          </w:p>
        </w:tc>
        <w:tc>
          <w:tcPr>
            <w:tcW w:w="5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08/01/2018</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72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2019-12-23T16:14:37Z</dcterms:created>
  <dcterms:modified xsi:type="dcterms:W3CDTF">2019-12-23T16:14:37Z</dcterms:modified>
</cp:coreProperties>
</file>