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SCHEDULE 14A</w:t>
      </w:r>
    </w:p>
    <w:p>
      <w:pPr>
        <w:spacing w:after="0" w:line="1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the Securities Exchange Act of 1934</w:t>
      </w:r>
    </w:p>
    <w:p>
      <w:pPr>
        <w:jc w:val="center"/>
        <w:ind w:right="-360"/>
        <w:spacing w:after="0"/>
        <w:rPr>
          <w:sz w:val="20"/>
          <w:szCs w:val="20"/>
          <w:color w:val="auto"/>
        </w:rPr>
      </w:pPr>
      <w:r>
        <w:rPr>
          <w:rFonts w:ascii="Arial" w:cs="Arial" w:eastAsia="Arial" w:hAnsi="Arial"/>
          <w:sz w:val="18"/>
          <w:szCs w:val="18"/>
          <w:b w:val="1"/>
          <w:bCs w:val="1"/>
          <w:color w:val="auto"/>
        </w:rPr>
        <w:t>(Amendment No.    )</w:t>
      </w:r>
    </w:p>
    <w:p>
      <w:pPr>
        <w:spacing w:after="0" w:line="9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54"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6"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5"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0"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373380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150495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210820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1937385</wp:posOffset>
            </wp:positionV>
            <wp:extent cx="3420110" cy="1036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11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58"/>
          <w:szCs w:val="58"/>
          <w:b w:val="1"/>
          <w:bCs w:val="1"/>
          <w:color w:val="3465B0"/>
        </w:rPr>
        <w:t>2026</w:t>
      </w:r>
    </w:p>
    <w:p>
      <w:pPr>
        <w:spacing w:after="0" w:line="55" w:lineRule="exact"/>
        <w:rPr>
          <w:sz w:val="20"/>
          <w:szCs w:val="20"/>
          <w:color w:val="auto"/>
        </w:rPr>
      </w:pPr>
    </w:p>
    <w:p>
      <w:pPr>
        <w:spacing w:after="0"/>
        <w:rPr>
          <w:sz w:val="20"/>
          <w:szCs w:val="20"/>
          <w:color w:val="auto"/>
        </w:rPr>
      </w:pPr>
      <w:r>
        <w:rPr>
          <w:rFonts w:ascii="Arial" w:cs="Arial" w:eastAsia="Arial" w:hAnsi="Arial"/>
          <w:sz w:val="57"/>
          <w:szCs w:val="57"/>
          <w:color w:val="3465B0"/>
        </w:rPr>
        <w:t>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color w:val="auto"/>
        </w:rPr>
        <w:t>Notice of 2026 Annual</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color w:val="auto"/>
        </w:rPr>
        <w:t>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235585</wp:posOffset>
            </wp:positionV>
            <wp:extent cx="3017520" cy="3017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1752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color w:val="auto"/>
        </w:rPr>
        <w:t>Wednesday, June 17, 2026</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color w:val="auto"/>
        </w:rPr>
        <w:t>1:00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854075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59"/>
          </w:cols>
          <w:pgMar w:left="90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102870</wp:posOffset>
            </wp:positionV>
            <wp:extent cx="5803265"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FFFFFF"/>
        </w:rPr>
        <w:t>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-118745</wp:posOffset>
            </wp:positionV>
            <wp:extent cx="57346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3465B0"/>
        </w:rPr>
        <w:t>Dear Fellow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Year in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wp:posOffset>
            </wp:positionV>
            <wp:extent cx="5812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2025 was a pivotal year for National Vision, in which we laid out a bold transformation strategy to modernize every aspect of our business and position National Vision for sustainable, profitable growth. Our teams executed with urgency and discipline, delivering strong mid-single-digit comparable store sales growth, meaningful operating margin expansion, and solid earnings growth, all while investing to strengthen our long-term competitive position. We held our first Investor Day in the fall, where we outlined our strategic plan, beginning with a transformation focused on four key growth vectors.</w:t>
      </w:r>
    </w:p>
    <w:p>
      <w:pPr>
        <w:sectPr>
          <w:pgSz w:w="11900" w:h="16838" w:orient="portrait"/>
          <w:cols w:equalWidth="0" w:num="1">
            <w:col w:w="9140"/>
          </w:cols>
          <w:pgMar w:left="1380" w:top="114" w:right="1379" w:bottom="1440" w:gutter="0" w:footer="0" w:header="0"/>
        </w:sectPr>
      </w:pPr>
    </w:p>
    <w:p>
      <w:pPr>
        <w:spacing w:after="0" w:line="76"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are focused on closing gaps where we have been underpenetrated relative to our category, expanding our reach with higher-value customer segments while maintaining our position as a leading destination for value.</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evolving our product offerings, continuing to close the gap where we are underdeveloped, and giving our customers more of what they want.</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investing to enhance the customer and patient experience while driving disciplined new store growth.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Finally, we are committed to an unwavering focus on operating margin expansion.</w:t>
      </w:r>
    </w:p>
    <w:p>
      <w:pPr>
        <w:spacing w:after="0" w:line="171" w:lineRule="exact"/>
        <w:rPr>
          <w:sz w:val="20"/>
          <w:szCs w:val="20"/>
          <w:color w:val="auto"/>
        </w:rPr>
      </w:pPr>
    </w:p>
    <w:p>
      <w:pPr>
        <w:sectPr>
          <w:pgSz w:w="11900" w:h="16838" w:orient="portrait"/>
          <w:cols w:equalWidth="0" w:num="2">
            <w:col w:w="380" w:space="140"/>
            <w:col w:w="8620"/>
          </w:cols>
          <w:pgMar w:left="1380" w:top="114" w:right="1379" w:bottom="1440" w:gutter="0" w:footer="0" w:header="0"/>
          <w:type w:val="continuous"/>
        </w:sectPr>
      </w:pPr>
    </w:p>
    <w:p>
      <w:pPr>
        <w:spacing w:after="0"/>
        <w:rPr>
          <w:sz w:val="20"/>
          <w:szCs w:val="20"/>
          <w:color w:val="auto"/>
        </w:rPr>
      </w:pPr>
      <w:r>
        <w:rPr>
          <w:rFonts w:ascii="Arial" w:cs="Arial" w:eastAsia="Arial" w:hAnsi="Arial"/>
          <w:sz w:val="17"/>
          <w:szCs w:val="17"/>
          <w:color w:val="auto"/>
        </w:rPr>
        <w:t>In 2025, we delivered measurable results against each of these priorities.</w:t>
      </w:r>
    </w:p>
    <w:p>
      <w:pPr>
        <w:sectPr>
          <w:pgSz w:w="11900" w:h="16838" w:orient="portrait"/>
          <w:cols w:equalWidth="0" w:num="1">
            <w:col w:w="9140"/>
          </w:cols>
          <w:pgMar w:left="1380" w:top="114" w:right="1379" w:bottom="1440" w:gutter="0" w:footer="0" w:header="0"/>
          <w:type w:val="continuous"/>
        </w:sectPr>
      </w:pPr>
    </w:p>
    <w:p>
      <w:pPr>
        <w:spacing w:after="0" w:line="121"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Using data-driven insights, we expanded our reach to more profitable customer cohorts, including customers who use managed vision care insurance, those who wear progressive lenses, and customers who bring in outside prescriptions, driving healthier traffic, higher average ticket, and improved profitability.</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shifted from a primarily promotional posture to a more strategic, branded approach, launching a refreshed identity and national campaign designed to expand our reach with higher-value customers while remaining true to our mission of accessible eye care.</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transformed our merchandising approach to better serve customers seeking premium products, without compromising our value proposition – introducing new branded assortments and continuing to modernize our offerings across frames, lenses, and contact lenses.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rolled out a more consultative selling model supported by enhanced associate training, refreshed store environments and new digital tools, contributing to stronger comparable sales.</w:t>
      </w:r>
    </w:p>
    <w:p>
      <w:pPr>
        <w:spacing w:after="0" w:line="4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delivered these improvements with strong capital discipline while continuing to expand and refine our remote and hybrid exam capabilities, providing greater flexibility across our doctor network while maintaining high standards of care.</w:t>
      </w:r>
    </w:p>
    <w:p>
      <w:pPr>
        <w:spacing w:after="0" w:line="101" w:lineRule="exact"/>
        <w:rPr>
          <w:sz w:val="20"/>
          <w:szCs w:val="20"/>
          <w:color w:val="auto"/>
        </w:rPr>
      </w:pPr>
    </w:p>
    <w:p>
      <w:pPr>
        <w:sectPr>
          <w:pgSz w:w="11900" w:h="16838" w:orient="portrait"/>
          <w:cols w:equalWidth="0" w:num="2">
            <w:col w:w="380" w:space="140"/>
            <w:col w:w="8620"/>
          </w:cols>
          <w:pgMar w:left="1380" w:top="114" w:right="1379" w:bottom="1440" w:gutter="0" w:footer="0" w:header="0"/>
          <w:type w:val="continuous"/>
        </w:sectPr>
      </w:pPr>
    </w:p>
    <w:p>
      <w:pPr>
        <w:spacing w:after="0" w:line="271" w:lineRule="auto"/>
        <w:rPr>
          <w:sz w:val="20"/>
          <w:szCs w:val="20"/>
          <w:color w:val="auto"/>
        </w:rPr>
      </w:pPr>
      <w:r>
        <w:rPr>
          <w:rFonts w:ascii="Arial" w:cs="Arial" w:eastAsia="Arial" w:hAnsi="Arial"/>
          <w:sz w:val="18"/>
          <w:szCs w:val="18"/>
          <w:color w:val="auto"/>
        </w:rPr>
        <w:t>As we move into 2026, we are confident that the progress made in 2025 positions us well to continue closing gaps versus the category and delivering sustainable, long-term value.</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sz w:val="1"/>
          <w:szCs w:val="1"/>
          <w:color w:val="auto"/>
        </w:rPr>
        <w:drawing>
          <wp:inline distT="0" distB="0" distL="0" distR="0">
            <wp:extent cx="205740" cy="2057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b w:val="1"/>
          <w:bCs w:val="1"/>
          <w:color w:val="auto"/>
        </w:rPr>
        <w:t xml:space="preserv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146050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80" w:top="114" w:right="1379" w:bottom="144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Our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6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We are pleased to invite you to attend the National Vision Holdings, Inc. 2026 Annual Meeting of Stockholders on Wednesday, June 17, 2026, at 1:00 p.m. Eastern Time. Detailed information concerning the Annual Meeting is set forth in this proxy statement.</w:t>
      </w:r>
    </w:p>
    <w:p>
      <w:pPr>
        <w:spacing w:after="0" w:line="88"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Whether you own a few shares or many, and whether or not you plan to attend the Annual Meeting, your vote is important to us, and it is important that your shares be represented and voted during the meeting. We encourage you to review the proxy materials and submit your vote today.</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behalf of the Board of Directors and everyone at National Vision, we are grateful for your continued support.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Thank you for being a stockholder of National Vision Holdings, Inc.</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326390</wp:posOffset>
            </wp:positionV>
            <wp:extent cx="89154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91540" cy="34290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128905</wp:posOffset>
            </wp:positionV>
            <wp:extent cx="3806190" cy="539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0619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 </w:t>
            </w:r>
          </w:p>
        </w:tc>
        <w:tc>
          <w:tcPr>
            <w:tcW w:w="3220" w:type="dxa"/>
            <w:vAlign w:val="bottom"/>
          </w:tcPr>
          <w:p>
            <w:pPr>
              <w:ind w:left="760"/>
              <w:spacing w:after="0"/>
              <w:rPr>
                <w:sz w:val="20"/>
                <w:szCs w:val="20"/>
                <w:color w:val="auto"/>
              </w:rPr>
            </w:pPr>
            <w:r>
              <w:rPr>
                <w:rFonts w:ascii="Arial" w:cs="Arial" w:eastAsia="Arial" w:hAnsi="Arial"/>
                <w:sz w:val="18"/>
                <w:szCs w:val="18"/>
                <w:color w:val="auto"/>
              </w:rPr>
              <w:t> </w:t>
            </w:r>
          </w:p>
        </w:tc>
        <w:tc>
          <w:tcPr>
            <w:tcW w:w="2780" w:type="dxa"/>
            <w:vAlign w:val="bottom"/>
          </w:tcPr>
          <w:p>
            <w:pPr>
              <w:ind w:left="660"/>
              <w:spacing w:after="0"/>
              <w:rPr>
                <w:sz w:val="20"/>
                <w:szCs w:val="20"/>
                <w:color w:val="auto"/>
              </w:rPr>
            </w:pPr>
            <w:r>
              <w:rPr>
                <w:rFonts w:ascii="Arial" w:cs="Arial" w:eastAsia="Arial" w:hAnsi="Arial"/>
                <w:sz w:val="18"/>
                <w:szCs w:val="18"/>
                <w:color w:val="auto"/>
              </w:rPr>
              <w:t xml:space="preserve">  </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L. Reade Fahs</w:t>
            </w:r>
          </w:p>
        </w:tc>
        <w:tc>
          <w:tcPr>
            <w:tcW w:w="3220" w:type="dxa"/>
            <w:vAlign w:val="bottom"/>
          </w:tcPr>
          <w:p>
            <w:pPr>
              <w:ind w:left="760"/>
              <w:spacing w:after="0" w:line="202" w:lineRule="exact"/>
              <w:rPr>
                <w:sz w:val="20"/>
                <w:szCs w:val="20"/>
                <w:color w:val="auto"/>
              </w:rPr>
            </w:pPr>
            <w:r>
              <w:rPr>
                <w:rFonts w:ascii="Arial" w:cs="Arial" w:eastAsia="Arial" w:hAnsi="Arial"/>
                <w:sz w:val="18"/>
                <w:szCs w:val="18"/>
                <w:color w:val="auto"/>
              </w:rPr>
              <w:t>Alex Wilkes</w:t>
            </w:r>
          </w:p>
        </w:tc>
        <w:tc>
          <w:tcPr>
            <w:tcW w:w="2780" w:type="dxa"/>
            <w:vAlign w:val="bottom"/>
          </w:tcPr>
          <w:p>
            <w:pPr>
              <w:ind w:left="660"/>
              <w:spacing w:after="0" w:line="202" w:lineRule="exact"/>
              <w:rPr>
                <w:sz w:val="20"/>
                <w:szCs w:val="20"/>
                <w:color w:val="auto"/>
              </w:rPr>
            </w:pPr>
            <w:r>
              <w:rPr>
                <w:rFonts w:ascii="Arial" w:cs="Arial" w:eastAsia="Arial" w:hAnsi="Arial"/>
                <w:sz w:val="18"/>
                <w:szCs w:val="18"/>
                <w:color w:val="auto"/>
              </w:rPr>
              <w:t>D. Randolph Peeler</w:t>
            </w:r>
          </w:p>
        </w:tc>
      </w:tr>
      <w:tr>
        <w:trPr>
          <w:trHeight w:val="239"/>
        </w:trPr>
        <w:tc>
          <w:tcPr>
            <w:tcW w:w="2360" w:type="dxa"/>
            <w:vAlign w:val="bottom"/>
          </w:tcPr>
          <w:p>
            <w:pPr>
              <w:spacing w:after="0"/>
              <w:rPr>
                <w:sz w:val="20"/>
                <w:szCs w:val="20"/>
                <w:color w:val="auto"/>
              </w:rPr>
            </w:pPr>
            <w:r>
              <w:rPr>
                <w:rFonts w:ascii="Arial" w:cs="Arial" w:eastAsia="Arial" w:hAnsi="Arial"/>
                <w:sz w:val="18"/>
                <w:szCs w:val="18"/>
                <w:color w:val="auto"/>
              </w:rPr>
              <w:t>Executive Chairman</w:t>
            </w:r>
          </w:p>
        </w:tc>
        <w:tc>
          <w:tcPr>
            <w:tcW w:w="3220" w:type="dxa"/>
            <w:vAlign w:val="bottom"/>
          </w:tcPr>
          <w:p>
            <w:pPr>
              <w:ind w:left="760"/>
              <w:spacing w:after="0"/>
              <w:rPr>
                <w:sz w:val="20"/>
                <w:szCs w:val="20"/>
                <w:color w:val="auto"/>
              </w:rPr>
            </w:pPr>
            <w:r>
              <w:rPr>
                <w:rFonts w:ascii="Arial" w:cs="Arial" w:eastAsia="Arial" w:hAnsi="Arial"/>
                <w:sz w:val="18"/>
                <w:szCs w:val="18"/>
                <w:color w:val="auto"/>
              </w:rPr>
              <w:t>Chief Executive Officer</w:t>
            </w:r>
          </w:p>
        </w:tc>
        <w:tc>
          <w:tcPr>
            <w:tcW w:w="2780" w:type="dxa"/>
            <w:vAlign w:val="bottom"/>
          </w:tcPr>
          <w:p>
            <w:pPr>
              <w:ind w:left="660"/>
              <w:spacing w:after="0"/>
              <w:rPr>
                <w:sz w:val="20"/>
                <w:szCs w:val="20"/>
                <w:color w:val="auto"/>
              </w:rPr>
            </w:pPr>
            <w:r>
              <w:rPr>
                <w:rFonts w:ascii="Arial" w:cs="Arial" w:eastAsia="Arial" w:hAnsi="Arial"/>
                <w:sz w:val="18"/>
                <w:szCs w:val="18"/>
                <w:color w:val="auto"/>
                <w:w w:val="98"/>
              </w:rPr>
              <w:t>Lead Independent Director</w:t>
            </w:r>
          </w:p>
        </w:tc>
      </w:tr>
    </w:tbl>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2026</w:t>
      </w:r>
    </w:p>
    <w:p>
      <w:pPr>
        <w:spacing w:after="0" w:line="88" w:lineRule="exact"/>
        <w:rPr>
          <w:sz w:val="20"/>
          <w:szCs w:val="20"/>
          <w:color w:val="auto"/>
        </w:rPr>
      </w:pPr>
    </w:p>
    <w:p>
      <w:pPr>
        <w:ind w:left="360" w:hanging="346"/>
        <w:spacing w:after="0"/>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3465B0"/>
        </w:rPr>
        <w:t>Notice of Annual Meeting of Stockholders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60" w:type="dxa"/>
            <w:vAlign w:val="bottom"/>
          </w:tcPr>
          <w:p>
            <w:pPr>
              <w:ind w:left="20"/>
              <w:spacing w:after="0"/>
              <w:rPr>
                <w:sz w:val="20"/>
                <w:szCs w:val="20"/>
                <w:color w:val="auto"/>
              </w:rPr>
            </w:pPr>
            <w:r>
              <w:rPr>
                <w:rFonts w:ascii="Arial" w:cs="Arial" w:eastAsia="Arial" w:hAnsi="Arial"/>
                <w:sz w:val="18"/>
                <w:szCs w:val="18"/>
                <w:b w:val="1"/>
                <w:bCs w:val="1"/>
                <w:color w:val="3465B0"/>
              </w:rPr>
              <w:t>Date &amp; Time</w:t>
            </w:r>
          </w:p>
        </w:tc>
        <w:tc>
          <w:tcPr>
            <w:tcW w:w="7380" w:type="dxa"/>
            <w:vAlign w:val="bottom"/>
            <w:gridSpan w:val="2"/>
          </w:tcPr>
          <w:p>
            <w:pPr>
              <w:ind w:left="220"/>
              <w:spacing w:after="0"/>
              <w:rPr>
                <w:sz w:val="20"/>
                <w:szCs w:val="20"/>
                <w:color w:val="auto"/>
              </w:rPr>
            </w:pPr>
            <w:r>
              <w:rPr>
                <w:rFonts w:ascii="Arial" w:cs="Arial" w:eastAsia="Arial" w:hAnsi="Arial"/>
                <w:sz w:val="18"/>
                <w:szCs w:val="18"/>
                <w:color w:val="auto"/>
              </w:rPr>
              <w:t>Wednesday, June 17, 2026, at 1:00 p.m. Eastern Time</w:t>
            </w:r>
          </w:p>
        </w:tc>
      </w:tr>
      <w:tr>
        <w:trPr>
          <w:trHeight w:val="42"/>
        </w:trPr>
        <w:tc>
          <w:tcPr>
            <w:tcW w:w="1760" w:type="dxa"/>
            <w:vAlign w:val="bottom"/>
            <w:tcBorders>
              <w:bottom w:val="single" w:sz="8" w:color="3465B0"/>
            </w:tcBorders>
          </w:tcPr>
          <w:p>
            <w:pPr>
              <w:spacing w:after="0"/>
              <w:rPr>
                <w:sz w:val="3"/>
                <w:szCs w:val="3"/>
                <w:color w:val="auto"/>
              </w:rPr>
            </w:pPr>
          </w:p>
        </w:tc>
        <w:tc>
          <w:tcPr>
            <w:tcW w:w="7380" w:type="dxa"/>
            <w:vAlign w:val="bottom"/>
            <w:tcBorders>
              <w:bottom w:val="single" w:sz="8" w:color="3465B0"/>
            </w:tcBorders>
            <w:gridSpan w:val="2"/>
          </w:tcPr>
          <w:p>
            <w:pPr>
              <w:spacing w:after="0"/>
              <w:rPr>
                <w:sz w:val="3"/>
                <w:szCs w:val="3"/>
                <w:color w:val="auto"/>
              </w:rPr>
            </w:pPr>
          </w:p>
        </w:tc>
      </w:tr>
      <w:tr>
        <w:trPr>
          <w:trHeight w:val="245"/>
        </w:trPr>
        <w:tc>
          <w:tcPr>
            <w:tcW w:w="1760" w:type="dxa"/>
            <w:vAlign w:val="bottom"/>
          </w:tcPr>
          <w:p>
            <w:pPr>
              <w:ind w:left="20"/>
              <w:spacing w:after="0"/>
              <w:rPr>
                <w:sz w:val="20"/>
                <w:szCs w:val="20"/>
                <w:color w:val="auto"/>
              </w:rPr>
            </w:pPr>
            <w:r>
              <w:rPr>
                <w:rFonts w:ascii="Arial" w:cs="Arial" w:eastAsia="Arial" w:hAnsi="Arial"/>
                <w:sz w:val="18"/>
                <w:szCs w:val="18"/>
                <w:b w:val="1"/>
                <w:bCs w:val="1"/>
                <w:color w:val="3465B0"/>
              </w:rPr>
              <w:t>Place</w:t>
            </w:r>
          </w:p>
        </w:tc>
        <w:tc>
          <w:tcPr>
            <w:tcW w:w="7380" w:type="dxa"/>
            <w:vAlign w:val="bottom"/>
            <w:gridSpan w:val="2"/>
          </w:tcPr>
          <w:p>
            <w:pPr>
              <w:ind w:left="220"/>
              <w:spacing w:after="0"/>
              <w:rPr>
                <w:sz w:val="20"/>
                <w:szCs w:val="20"/>
                <w:color w:val="auto"/>
              </w:rPr>
            </w:pPr>
            <w:r>
              <w:rPr>
                <w:rFonts w:ascii="Arial" w:cs="Arial" w:eastAsia="Arial" w:hAnsi="Arial"/>
                <w:sz w:val="18"/>
                <w:szCs w:val="18"/>
                <w:color w:val="auto"/>
              </w:rPr>
              <w:t>Greater North Fulton Chamber of Commerce</w:t>
            </w:r>
          </w:p>
        </w:tc>
      </w:tr>
      <w:tr>
        <w:trPr>
          <w:trHeight w:val="203"/>
        </w:trPr>
        <w:tc>
          <w:tcPr>
            <w:tcW w:w="1760" w:type="dxa"/>
            <w:vAlign w:val="bottom"/>
          </w:tcPr>
          <w:p>
            <w:pPr>
              <w:spacing w:after="0"/>
              <w:rPr>
                <w:sz w:val="17"/>
                <w:szCs w:val="17"/>
                <w:color w:val="auto"/>
              </w:rPr>
            </w:pPr>
          </w:p>
        </w:tc>
        <w:tc>
          <w:tcPr>
            <w:tcW w:w="7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1000 Avalon Boulevard, Suite 100</w:t>
            </w:r>
          </w:p>
        </w:tc>
      </w:tr>
      <w:tr>
        <w:trPr>
          <w:trHeight w:val="239"/>
        </w:trPr>
        <w:tc>
          <w:tcPr>
            <w:tcW w:w="1760" w:type="dxa"/>
            <w:vAlign w:val="bottom"/>
          </w:tcPr>
          <w:p>
            <w:pPr>
              <w:spacing w:after="0"/>
              <w:rPr>
                <w:sz w:val="20"/>
                <w:szCs w:val="20"/>
                <w:color w:val="auto"/>
              </w:rPr>
            </w:pPr>
          </w:p>
        </w:tc>
        <w:tc>
          <w:tcPr>
            <w:tcW w:w="7380" w:type="dxa"/>
            <w:vAlign w:val="bottom"/>
            <w:gridSpan w:val="2"/>
          </w:tcPr>
          <w:p>
            <w:pPr>
              <w:ind w:left="220"/>
              <w:spacing w:after="0"/>
              <w:rPr>
                <w:sz w:val="20"/>
                <w:szCs w:val="20"/>
                <w:color w:val="auto"/>
              </w:rPr>
            </w:pPr>
            <w:r>
              <w:rPr>
                <w:rFonts w:ascii="Arial" w:cs="Arial" w:eastAsia="Arial" w:hAnsi="Arial"/>
                <w:sz w:val="18"/>
                <w:szCs w:val="18"/>
                <w:color w:val="auto"/>
              </w:rPr>
              <w:t>Alpharetta, Georgia 30009</w:t>
            </w:r>
          </w:p>
        </w:tc>
      </w:tr>
      <w:tr>
        <w:trPr>
          <w:trHeight w:val="50"/>
        </w:trPr>
        <w:tc>
          <w:tcPr>
            <w:tcW w:w="1760" w:type="dxa"/>
            <w:vAlign w:val="bottom"/>
            <w:tcBorders>
              <w:bottom w:val="single" w:sz="8" w:color="3465B0"/>
            </w:tcBorders>
          </w:tcPr>
          <w:p>
            <w:pPr>
              <w:spacing w:after="0"/>
              <w:rPr>
                <w:sz w:val="4"/>
                <w:szCs w:val="4"/>
                <w:color w:val="auto"/>
              </w:rPr>
            </w:pPr>
          </w:p>
        </w:tc>
        <w:tc>
          <w:tcPr>
            <w:tcW w:w="480" w:type="dxa"/>
            <w:vAlign w:val="bottom"/>
            <w:tcBorders>
              <w:bottom w:val="single" w:sz="8" w:color="3465B0"/>
            </w:tcBorders>
          </w:tcPr>
          <w:p>
            <w:pPr>
              <w:spacing w:after="0"/>
              <w:rPr>
                <w:sz w:val="4"/>
                <w:szCs w:val="4"/>
                <w:color w:val="auto"/>
              </w:rPr>
            </w:pPr>
          </w:p>
        </w:tc>
        <w:tc>
          <w:tcPr>
            <w:tcW w:w="6900" w:type="dxa"/>
            <w:vAlign w:val="bottom"/>
            <w:tcBorders>
              <w:bottom w:val="single" w:sz="8" w:color="3465B0"/>
            </w:tcBorders>
          </w:tcPr>
          <w:p>
            <w:pPr>
              <w:spacing w:after="0"/>
              <w:rPr>
                <w:sz w:val="4"/>
                <w:szCs w:val="4"/>
                <w:color w:val="auto"/>
              </w:rPr>
            </w:pPr>
          </w:p>
        </w:tc>
      </w:tr>
      <w:tr>
        <w:trPr>
          <w:trHeight w:val="289"/>
        </w:trPr>
        <w:tc>
          <w:tcPr>
            <w:tcW w:w="1760" w:type="dxa"/>
            <w:vAlign w:val="bottom"/>
          </w:tcPr>
          <w:p>
            <w:pPr>
              <w:ind w:left="20"/>
              <w:spacing w:after="0"/>
              <w:rPr>
                <w:sz w:val="20"/>
                <w:szCs w:val="20"/>
                <w:color w:val="auto"/>
              </w:rPr>
            </w:pPr>
            <w:r>
              <w:rPr>
                <w:rFonts w:ascii="Arial" w:cs="Arial" w:eastAsia="Arial" w:hAnsi="Arial"/>
                <w:sz w:val="18"/>
                <w:szCs w:val="18"/>
                <w:b w:val="1"/>
                <w:bCs w:val="1"/>
                <w:color w:val="3465B0"/>
              </w:rPr>
              <w:t>Items of Business</w:t>
            </w:r>
          </w:p>
        </w:tc>
        <w:tc>
          <w:tcPr>
            <w:tcW w:w="480" w:type="dxa"/>
            <w:vAlign w:val="bottom"/>
          </w:tcPr>
          <w:p>
            <w:pPr>
              <w:ind w:left="220"/>
              <w:spacing w:after="0"/>
              <w:rPr>
                <w:sz w:val="20"/>
                <w:szCs w:val="20"/>
                <w:color w:val="auto"/>
              </w:rPr>
            </w:pPr>
            <w:r>
              <w:rPr>
                <w:rFonts w:ascii="Arial" w:cs="Arial" w:eastAsia="Arial" w:hAnsi="Arial"/>
                <w:sz w:val="18"/>
                <w:szCs w:val="18"/>
                <w:b w:val="1"/>
                <w:bCs w:val="1"/>
                <w:color w:val="3465B0"/>
              </w:rPr>
              <w:t>1.</w:t>
            </w:r>
          </w:p>
        </w:tc>
        <w:tc>
          <w:tcPr>
            <w:tcW w:w="6900" w:type="dxa"/>
            <w:vAlign w:val="bottom"/>
          </w:tcPr>
          <w:p>
            <w:pPr>
              <w:ind w:left="100"/>
              <w:spacing w:after="0"/>
              <w:rPr>
                <w:sz w:val="20"/>
                <w:szCs w:val="20"/>
                <w:color w:val="auto"/>
              </w:rPr>
            </w:pPr>
            <w:r>
              <w:rPr>
                <w:rFonts w:ascii="Arial" w:cs="Arial" w:eastAsia="Arial" w:hAnsi="Arial"/>
                <w:sz w:val="18"/>
                <w:szCs w:val="18"/>
                <w:color w:val="auto"/>
              </w:rPr>
              <w:t>Election of the eleven director nominees listed in this proxy statement.</w:t>
            </w:r>
          </w:p>
        </w:tc>
      </w:tr>
      <w:tr>
        <w:trPr>
          <w:trHeight w:val="293"/>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3465B0"/>
              </w:rPr>
              <w:t>2.</w:t>
            </w:r>
          </w:p>
        </w:tc>
        <w:tc>
          <w:tcPr>
            <w:tcW w:w="6900" w:type="dxa"/>
            <w:vAlign w:val="bottom"/>
          </w:tcPr>
          <w:p>
            <w:pPr>
              <w:ind w:left="100"/>
              <w:spacing w:after="0"/>
              <w:rPr>
                <w:sz w:val="20"/>
                <w:szCs w:val="20"/>
                <w:color w:val="auto"/>
              </w:rPr>
            </w:pPr>
            <w:r>
              <w:rPr>
                <w:rFonts w:ascii="Arial" w:cs="Arial" w:eastAsia="Arial" w:hAnsi="Arial"/>
                <w:sz w:val="18"/>
                <w:szCs w:val="18"/>
                <w:color w:val="auto"/>
              </w:rPr>
              <w:t>Advisory vote to approve the compensation of our named executive officers (“Say-</w:t>
            </w:r>
          </w:p>
        </w:tc>
      </w:tr>
      <w:tr>
        <w:trPr>
          <w:trHeight w:val="239"/>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on-Pay”).</w:t>
            </w:r>
          </w:p>
        </w:tc>
      </w:tr>
      <w:tr>
        <w:trPr>
          <w:trHeight w:val="301"/>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3465B0"/>
              </w:rPr>
              <w:t>3.</w:t>
            </w:r>
          </w:p>
        </w:tc>
        <w:tc>
          <w:tcPr>
            <w:tcW w:w="6900" w:type="dxa"/>
            <w:vAlign w:val="bottom"/>
          </w:tcPr>
          <w:p>
            <w:pPr>
              <w:ind w:left="100"/>
              <w:spacing w:after="0"/>
              <w:rPr>
                <w:sz w:val="20"/>
                <w:szCs w:val="20"/>
                <w:color w:val="auto"/>
              </w:rPr>
            </w:pPr>
            <w:r>
              <w:rPr>
                <w:rFonts w:ascii="Arial" w:cs="Arial" w:eastAsia="Arial" w:hAnsi="Arial"/>
                <w:sz w:val="18"/>
                <w:szCs w:val="18"/>
                <w:color w:val="auto"/>
              </w:rPr>
              <w:t>Ratification of the appointment of Deloitte &amp; Touche LLP as our independent</w:t>
            </w:r>
          </w:p>
        </w:tc>
      </w:tr>
      <w:tr>
        <w:trPr>
          <w:trHeight w:val="239"/>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registered public accounting firm for 2026.</w:t>
            </w:r>
          </w:p>
        </w:tc>
      </w:tr>
      <w:tr>
        <w:trPr>
          <w:trHeight w:val="301"/>
        </w:trPr>
        <w:tc>
          <w:tcPr>
            <w:tcW w:w="17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3465B0"/>
              </w:rPr>
              <w:t>4.</w:t>
            </w:r>
          </w:p>
        </w:tc>
        <w:tc>
          <w:tcPr>
            <w:tcW w:w="6900" w:type="dxa"/>
            <w:vAlign w:val="bottom"/>
          </w:tcPr>
          <w:p>
            <w:pPr>
              <w:ind w:left="100"/>
              <w:spacing w:after="0"/>
              <w:rPr>
                <w:sz w:val="20"/>
                <w:szCs w:val="20"/>
                <w:color w:val="auto"/>
              </w:rPr>
            </w:pPr>
            <w:r>
              <w:rPr>
                <w:rFonts w:ascii="Arial" w:cs="Arial" w:eastAsia="Arial" w:hAnsi="Arial"/>
                <w:sz w:val="18"/>
                <w:szCs w:val="18"/>
                <w:color w:val="auto"/>
              </w:rPr>
              <w:t>To consider such other business as may properly come before the Annual Meeting</w:t>
            </w:r>
          </w:p>
        </w:tc>
      </w:tr>
      <w:tr>
        <w:trPr>
          <w:trHeight w:val="239"/>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and any adjournments or postponements thereof.</w:t>
            </w:r>
          </w:p>
        </w:tc>
      </w:tr>
      <w:tr>
        <w:trPr>
          <w:trHeight w:val="50"/>
        </w:trPr>
        <w:tc>
          <w:tcPr>
            <w:tcW w:w="1760" w:type="dxa"/>
            <w:vAlign w:val="bottom"/>
            <w:tcBorders>
              <w:bottom w:val="single" w:sz="8" w:color="3465B0"/>
            </w:tcBorders>
          </w:tcPr>
          <w:p>
            <w:pPr>
              <w:spacing w:after="0"/>
              <w:rPr>
                <w:sz w:val="4"/>
                <w:szCs w:val="4"/>
                <w:color w:val="auto"/>
              </w:rPr>
            </w:pPr>
          </w:p>
        </w:tc>
        <w:tc>
          <w:tcPr>
            <w:tcW w:w="7380" w:type="dxa"/>
            <w:vAlign w:val="bottom"/>
            <w:tcBorders>
              <w:bottom w:val="single" w:sz="8" w:color="3465B0"/>
            </w:tcBorders>
            <w:gridSpan w:val="2"/>
          </w:tcPr>
          <w:p>
            <w:pPr>
              <w:spacing w:after="0"/>
              <w:rPr>
                <w:sz w:val="4"/>
                <w:szCs w:val="4"/>
                <w:color w:val="auto"/>
              </w:rPr>
            </w:pPr>
          </w:p>
        </w:tc>
      </w:tr>
      <w:tr>
        <w:trPr>
          <w:trHeight w:val="245"/>
        </w:trPr>
        <w:tc>
          <w:tcPr>
            <w:tcW w:w="1760" w:type="dxa"/>
            <w:vAlign w:val="bottom"/>
          </w:tcPr>
          <w:p>
            <w:pPr>
              <w:ind w:left="20"/>
              <w:spacing w:after="0"/>
              <w:rPr>
                <w:sz w:val="20"/>
                <w:szCs w:val="20"/>
                <w:color w:val="auto"/>
              </w:rPr>
            </w:pPr>
            <w:r>
              <w:rPr>
                <w:rFonts w:ascii="Arial" w:cs="Arial" w:eastAsia="Arial" w:hAnsi="Arial"/>
                <w:sz w:val="18"/>
                <w:szCs w:val="18"/>
                <w:b w:val="1"/>
                <w:bCs w:val="1"/>
                <w:color w:val="3465B0"/>
              </w:rPr>
              <w:t>Record Date</w:t>
            </w:r>
          </w:p>
        </w:tc>
        <w:tc>
          <w:tcPr>
            <w:tcW w:w="7380" w:type="dxa"/>
            <w:vAlign w:val="bottom"/>
            <w:gridSpan w:val="2"/>
          </w:tcPr>
          <w:p>
            <w:pPr>
              <w:ind w:left="220"/>
              <w:spacing w:after="0"/>
              <w:rPr>
                <w:sz w:val="20"/>
                <w:szCs w:val="20"/>
                <w:color w:val="auto"/>
              </w:rPr>
            </w:pPr>
            <w:r>
              <w:rPr>
                <w:rFonts w:ascii="Arial" w:cs="Arial" w:eastAsia="Arial" w:hAnsi="Arial"/>
                <w:sz w:val="18"/>
                <w:szCs w:val="18"/>
                <w:color w:val="auto"/>
              </w:rPr>
              <w:t>Stockholders of record of our common stock at the close of business on April 20, 2026,</w:t>
            </w:r>
          </w:p>
        </w:tc>
      </w:tr>
      <w:tr>
        <w:trPr>
          <w:trHeight w:val="239"/>
        </w:trPr>
        <w:tc>
          <w:tcPr>
            <w:tcW w:w="1760" w:type="dxa"/>
            <w:vAlign w:val="bottom"/>
          </w:tcPr>
          <w:p>
            <w:pPr>
              <w:spacing w:after="0"/>
              <w:rPr>
                <w:sz w:val="20"/>
                <w:szCs w:val="20"/>
                <w:color w:val="auto"/>
              </w:rPr>
            </w:pPr>
          </w:p>
        </w:tc>
        <w:tc>
          <w:tcPr>
            <w:tcW w:w="7380" w:type="dxa"/>
            <w:vAlign w:val="bottom"/>
            <w:gridSpan w:val="2"/>
          </w:tcPr>
          <w:p>
            <w:pPr>
              <w:ind w:left="220"/>
              <w:spacing w:after="0"/>
              <w:rPr>
                <w:sz w:val="20"/>
                <w:szCs w:val="20"/>
                <w:color w:val="auto"/>
              </w:rPr>
            </w:pPr>
            <w:r>
              <w:rPr>
                <w:rFonts w:ascii="Arial" w:cs="Arial" w:eastAsia="Arial" w:hAnsi="Arial"/>
                <w:sz w:val="18"/>
                <w:szCs w:val="18"/>
                <w:color w:val="auto"/>
              </w:rPr>
              <w:t>may vote at the Annual Meeting.</w:t>
            </w:r>
          </w:p>
        </w:tc>
      </w:tr>
      <w:tr>
        <w:trPr>
          <w:trHeight w:val="50"/>
        </w:trPr>
        <w:tc>
          <w:tcPr>
            <w:tcW w:w="1760" w:type="dxa"/>
            <w:vAlign w:val="bottom"/>
            <w:tcBorders>
              <w:bottom w:val="single" w:sz="8" w:color="3465B0"/>
            </w:tcBorders>
          </w:tcPr>
          <w:p>
            <w:pPr>
              <w:spacing w:after="0"/>
              <w:rPr>
                <w:sz w:val="4"/>
                <w:szCs w:val="4"/>
                <w:color w:val="auto"/>
              </w:rPr>
            </w:pPr>
          </w:p>
        </w:tc>
        <w:tc>
          <w:tcPr>
            <w:tcW w:w="7380" w:type="dxa"/>
            <w:vAlign w:val="bottom"/>
            <w:tcBorders>
              <w:bottom w:val="single" w:sz="8" w:color="3465B0"/>
            </w:tcBorders>
            <w:gridSpan w:val="2"/>
          </w:tcPr>
          <w:p>
            <w:pPr>
              <w:spacing w:after="0"/>
              <w:rPr>
                <w:sz w:val="4"/>
                <w:szCs w:val="4"/>
                <w:color w:val="auto"/>
              </w:rPr>
            </w:pPr>
          </w:p>
        </w:tc>
      </w:tr>
      <w:tr>
        <w:trPr>
          <w:trHeight w:val="245"/>
        </w:trPr>
        <w:tc>
          <w:tcPr>
            <w:tcW w:w="1760" w:type="dxa"/>
            <w:vAlign w:val="bottom"/>
          </w:tcPr>
          <w:p>
            <w:pPr>
              <w:ind w:left="20"/>
              <w:spacing w:after="0"/>
              <w:rPr>
                <w:sz w:val="20"/>
                <w:szCs w:val="20"/>
                <w:color w:val="auto"/>
              </w:rPr>
            </w:pPr>
            <w:r>
              <w:rPr>
                <w:rFonts w:ascii="Arial" w:cs="Arial" w:eastAsia="Arial" w:hAnsi="Arial"/>
                <w:sz w:val="18"/>
                <w:szCs w:val="18"/>
                <w:b w:val="1"/>
                <w:bCs w:val="1"/>
                <w:color w:val="3465B0"/>
              </w:rPr>
              <w:t>How to Vote</w:t>
            </w:r>
          </w:p>
        </w:tc>
        <w:tc>
          <w:tcPr>
            <w:tcW w:w="7380" w:type="dxa"/>
            <w:vAlign w:val="bottom"/>
            <w:gridSpan w:val="2"/>
          </w:tcPr>
          <w:p>
            <w:pPr>
              <w:ind w:left="220"/>
              <w:spacing w:after="0"/>
              <w:rPr>
                <w:sz w:val="20"/>
                <w:szCs w:val="20"/>
                <w:color w:val="auto"/>
              </w:rPr>
            </w:pPr>
            <w:r>
              <w:rPr>
                <w:rFonts w:ascii="Arial" w:cs="Arial" w:eastAsia="Arial" w:hAnsi="Arial"/>
                <w:sz w:val="18"/>
                <w:szCs w:val="18"/>
                <w:color w:val="auto"/>
              </w:rPr>
              <w:t>You may vote your shares prior to June 17, 2026, on the Internet, by telephone or by</w:t>
            </w:r>
          </w:p>
        </w:tc>
      </w:tr>
      <w:tr>
        <w:trPr>
          <w:trHeight w:val="203"/>
        </w:trPr>
        <w:tc>
          <w:tcPr>
            <w:tcW w:w="1760" w:type="dxa"/>
            <w:vAlign w:val="bottom"/>
          </w:tcPr>
          <w:p>
            <w:pPr>
              <w:spacing w:after="0"/>
              <w:rPr>
                <w:sz w:val="17"/>
                <w:szCs w:val="17"/>
                <w:color w:val="auto"/>
              </w:rPr>
            </w:pPr>
          </w:p>
        </w:tc>
        <w:tc>
          <w:tcPr>
            <w:tcW w:w="7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completing, signing and promptly returning a proxy card, or you may vote in person at the</w:t>
            </w:r>
          </w:p>
        </w:tc>
      </w:tr>
      <w:tr>
        <w:trPr>
          <w:trHeight w:val="239"/>
        </w:trPr>
        <w:tc>
          <w:tcPr>
            <w:tcW w:w="1760" w:type="dxa"/>
            <w:vAlign w:val="bottom"/>
          </w:tcPr>
          <w:p>
            <w:pPr>
              <w:spacing w:after="0"/>
              <w:rPr>
                <w:sz w:val="20"/>
                <w:szCs w:val="20"/>
                <w:color w:val="auto"/>
              </w:rPr>
            </w:pPr>
          </w:p>
        </w:tc>
        <w:tc>
          <w:tcPr>
            <w:tcW w:w="7380" w:type="dxa"/>
            <w:vAlign w:val="bottom"/>
            <w:gridSpan w:val="2"/>
          </w:tcPr>
          <w:p>
            <w:pPr>
              <w:ind w:left="220"/>
              <w:spacing w:after="0"/>
              <w:rPr>
                <w:sz w:val="20"/>
                <w:szCs w:val="20"/>
                <w:color w:val="auto"/>
              </w:rPr>
            </w:pPr>
            <w:r>
              <w:rPr>
                <w:rFonts w:ascii="Arial" w:cs="Arial" w:eastAsia="Arial" w:hAnsi="Arial"/>
                <w:sz w:val="18"/>
                <w:szCs w:val="18"/>
                <w:color w:val="auto"/>
              </w:rPr>
              <w:t>Annual Meeting.</w:t>
            </w:r>
          </w:p>
        </w:tc>
      </w:tr>
      <w:tr>
        <w:trPr>
          <w:trHeight w:val="23"/>
        </w:trPr>
        <w:tc>
          <w:tcPr>
            <w:tcW w:w="1760" w:type="dxa"/>
            <w:vAlign w:val="bottom"/>
            <w:tcBorders>
              <w:bottom w:val="single" w:sz="8" w:color="3465B0"/>
            </w:tcBorders>
          </w:tcPr>
          <w:p>
            <w:pPr>
              <w:spacing w:after="0"/>
              <w:rPr>
                <w:sz w:val="2"/>
                <w:szCs w:val="2"/>
                <w:color w:val="auto"/>
              </w:rPr>
            </w:pPr>
          </w:p>
        </w:tc>
        <w:tc>
          <w:tcPr>
            <w:tcW w:w="480" w:type="dxa"/>
            <w:vAlign w:val="bottom"/>
            <w:tcBorders>
              <w:bottom w:val="single" w:sz="8" w:color="3465B0"/>
            </w:tcBorders>
          </w:tcPr>
          <w:p>
            <w:pPr>
              <w:spacing w:after="0"/>
              <w:rPr>
                <w:sz w:val="2"/>
                <w:szCs w:val="2"/>
                <w:color w:val="auto"/>
              </w:rPr>
            </w:pPr>
          </w:p>
        </w:tc>
        <w:tc>
          <w:tcPr>
            <w:tcW w:w="6900" w:type="dxa"/>
            <w:vAlign w:val="bottom"/>
            <w:tcBorders>
              <w:bottom w:val="single" w:sz="8" w:color="3465B0"/>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69215</wp:posOffset>
            </wp:positionV>
            <wp:extent cx="101981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98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Jared Brandman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Chief Legal &amp; Strategy Officer, Corporate</w:t>
      </w:r>
    </w:p>
    <w:p>
      <w:pPr>
        <w:spacing w:after="0" w:line="4"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Secretary</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1407160</wp:posOffset>
            </wp:positionV>
            <wp:extent cx="5807710" cy="827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07710" cy="82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w:t>
      </w:r>
    </w:p>
    <w:p>
      <w:pPr>
        <w:ind w:left="3000"/>
        <w:spacing w:after="0" w:line="189" w:lineRule="auto"/>
        <w:rPr>
          <w:sz w:val="20"/>
          <w:szCs w:val="20"/>
          <w:color w:val="auto"/>
        </w:rPr>
      </w:pPr>
      <w:r>
        <w:rPr>
          <w:rFonts w:ascii="Arial" w:cs="Arial" w:eastAsia="Arial" w:hAnsi="Arial"/>
          <w:sz w:val="16"/>
          <w:szCs w:val="16"/>
          <w:b w:val="1"/>
          <w:bCs w:val="1"/>
          <w:color w:val="auto"/>
        </w:rPr>
        <w:t>to be held on Wednesday,</w:t>
      </w:r>
      <w:r>
        <w:rPr>
          <w:rFonts w:ascii="Arial" w:cs="Arial" w:eastAsia="Arial" w:hAnsi="Arial"/>
          <w:sz w:val="32"/>
          <w:szCs w:val="32"/>
          <w:color w:val="auto"/>
          <w:vertAlign w:val="subscript"/>
        </w:rPr>
        <w:t xml:space="preserve"> </w:t>
      </w:r>
      <w:r>
        <w:rPr>
          <w:rFonts w:ascii="Arial" w:cs="Arial" w:eastAsia="Arial" w:hAnsi="Arial"/>
          <w:sz w:val="16"/>
          <w:szCs w:val="16"/>
          <w:b w:val="1"/>
          <w:bCs w:val="1"/>
          <w:color w:val="auto"/>
        </w:rPr>
        <w:t xml:space="preserve"> June 17, 2026:</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This Proxy Statement and our Annual Report on Form 10-K for the fiscal year ended January 3, 2026, are</w:t>
      </w:r>
    </w:p>
    <w:p>
      <w:pPr>
        <w:ind w:left="2860"/>
        <w:spacing w:after="0" w:line="199" w:lineRule="auto"/>
        <w:rPr>
          <w:sz w:val="20"/>
          <w:szCs w:val="20"/>
          <w:color w:val="auto"/>
        </w:rPr>
      </w:pPr>
      <w:r>
        <w:rPr>
          <w:rFonts w:ascii="Arial" w:cs="Arial" w:eastAsia="Arial" w:hAnsi="Arial"/>
          <w:sz w:val="9"/>
          <w:szCs w:val="9"/>
          <w:color w:val="auto"/>
        </w:rPr>
        <w:t xml:space="preserve">available free of charge at </w:t>
      </w:r>
      <w:r>
        <w:rPr>
          <w:rFonts w:ascii="Arial" w:cs="Arial" w:eastAsia="Arial" w:hAnsi="Arial"/>
          <w:sz w:val="9"/>
          <w:szCs w:val="9"/>
          <w:u w:val="single" w:color="auto"/>
          <w:color w:val="auto"/>
        </w:rPr>
        <w:t>www.proxyvote.com.</w:t>
      </w:r>
    </w:p>
    <w:p>
      <w:pPr>
        <w:jc w:val="center"/>
        <w:ind w:right="10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 made this proxy statement available to stockholders beginning on May 4, 2026.</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sz w:val="1"/>
          <w:szCs w:val="1"/>
          <w:color w:val="auto"/>
        </w:rPr>
        <w:drawing>
          <wp:inline distT="0" distB="0" distL="0" distR="0">
            <wp:extent cx="205740" cy="2057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b w:val="1"/>
          <w:bCs w:val="1"/>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145415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3465B0"/>
        </w:rPr>
        <w:t>Table of Contents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9060" w:type="dxa"/>
            <w:vAlign w:val="bottom"/>
            <w:gridSpan w:val="11"/>
          </w:tcPr>
          <w:p>
            <w:pPr>
              <w:ind w:left="20"/>
              <w:spacing w:after="0"/>
              <w:rPr>
                <w:sz w:val="20"/>
                <w:szCs w:val="20"/>
                <w:color w:val="auto"/>
              </w:rPr>
            </w:pPr>
            <w:r>
              <w:rPr>
                <w:rFonts w:ascii="Arial" w:cs="Arial" w:eastAsia="Arial" w:hAnsi="Arial"/>
                <w:sz w:val="22"/>
                <w:szCs w:val="22"/>
                <w:b w:val="1"/>
                <w:bCs w:val="1"/>
                <w:color w:val="0000EE"/>
              </w:rPr>
              <w:t>Proxy Statement Summary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0000EE"/>
                <w:w w:val="79"/>
              </w:rPr>
              <w:t>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7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tcBorders>
              <w:bottom w:val="single" w:sz="8" w:color="0000EE"/>
            </w:tcBorders>
            <w:gridSpan w:val="8"/>
          </w:tcPr>
          <w:p>
            <w:pPr>
              <w:spacing w:after="0" w:line="176" w:lineRule="exact"/>
              <w:rPr>
                <w:sz w:val="20"/>
                <w:szCs w:val="20"/>
                <w:color w:val="auto"/>
              </w:rPr>
            </w:pPr>
            <w:r>
              <w:rPr>
                <w:rFonts w:ascii="Arial" w:cs="Arial" w:eastAsia="Arial" w:hAnsi="Arial"/>
                <w:sz w:val="18"/>
                <w:szCs w:val="18"/>
                <w:color w:val="0000EE"/>
                <w:w w:val="99"/>
              </w:rPr>
              <w:t>2026 Annual Meeting of Stockholders</w:t>
            </w:r>
          </w:p>
        </w:tc>
        <w:tc>
          <w:tcPr>
            <w:tcW w:w="5740" w:type="dxa"/>
            <w:vAlign w:val="bottom"/>
          </w:tcPr>
          <w:p>
            <w:pPr>
              <w:spacing w:after="0"/>
              <w:rPr>
                <w:sz w:val="15"/>
                <w:szCs w:val="15"/>
                <w:color w:val="auto"/>
              </w:rPr>
            </w:pPr>
          </w:p>
        </w:tc>
        <w:tc>
          <w:tcPr>
            <w:tcW w:w="100" w:type="dxa"/>
            <w:vAlign w:val="bottom"/>
            <w:tcBorders>
              <w:bottom w:val="single" w:sz="8" w:color="0000EE"/>
            </w:tcBorders>
          </w:tcPr>
          <w:p>
            <w:pPr>
              <w:jc w:val="right"/>
              <w:spacing w:after="0" w:line="176" w:lineRule="exact"/>
              <w:rPr>
                <w:sz w:val="20"/>
                <w:szCs w:val="20"/>
                <w:color w:val="auto"/>
              </w:rPr>
            </w:pPr>
            <w:r>
              <w:rPr>
                <w:rFonts w:ascii="Arial" w:cs="Arial" w:eastAsia="Arial" w:hAnsi="Arial"/>
                <w:sz w:val="18"/>
                <w:szCs w:val="18"/>
                <w:color w:val="0000EE"/>
                <w:w w:val="79"/>
              </w:rPr>
              <w:t>1</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8"/>
              </w:rPr>
              <w:t>Voting Recommendations</w:t>
            </w:r>
          </w:p>
        </w:tc>
        <w:tc>
          <w:tcPr>
            <w:tcW w:w="6680" w:type="dxa"/>
            <w:vAlign w:val="bottom"/>
            <w:gridSpan w:val="5"/>
          </w:tcPr>
          <w:p>
            <w:pPr>
              <w:spacing w:after="0"/>
              <w:rPr>
                <w:sz w:val="18"/>
                <w:szCs w:val="18"/>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How to Vote</w:t>
            </w:r>
          </w:p>
        </w:tc>
        <w:tc>
          <w:tcPr>
            <w:tcW w:w="7760" w:type="dxa"/>
            <w:vAlign w:val="bottom"/>
            <w:gridSpan w:val="8"/>
          </w:tcPr>
          <w:p>
            <w:pPr>
              <w:spacing w:after="0"/>
              <w:rPr>
                <w:sz w:val="18"/>
                <w:szCs w:val="18"/>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40" w:type="dxa"/>
            <w:vAlign w:val="bottom"/>
            <w:gridSpan w:val="9"/>
          </w:tcPr>
          <w:p>
            <w:pPr>
              <w:spacing w:after="0"/>
              <w:rPr>
                <w:sz w:val="20"/>
                <w:szCs w:val="20"/>
                <w:color w:val="auto"/>
              </w:rPr>
            </w:pPr>
            <w:r>
              <w:rPr>
                <w:rFonts w:ascii="Arial" w:cs="Arial" w:eastAsia="Arial" w:hAnsi="Arial"/>
                <w:sz w:val="18"/>
                <w:szCs w:val="18"/>
                <w:color w:val="0000EE"/>
              </w:rPr>
              <w:t>2025 Business Highlights</w:t>
            </w:r>
          </w:p>
        </w:tc>
        <w:tc>
          <w:tcPr>
            <w:tcW w:w="100" w:type="dxa"/>
            <w:vAlign w:val="bottom"/>
          </w:tcPr>
          <w:p>
            <w:pPr>
              <w:jc w:val="right"/>
              <w:spacing w:after="0"/>
              <w:rPr>
                <w:sz w:val="20"/>
                <w:szCs w:val="20"/>
                <w:color w:val="auto"/>
              </w:rPr>
            </w:pPr>
            <w:r>
              <w:rPr>
                <w:rFonts w:ascii="Arial" w:cs="Arial" w:eastAsia="Arial" w:hAnsi="Arial"/>
                <w:sz w:val="18"/>
                <w:szCs w:val="18"/>
                <w:color w:val="0000EE"/>
                <w:w w:val="79"/>
              </w:rPr>
              <w:t>2</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Our Board of Directors</w:t>
            </w:r>
          </w:p>
        </w:tc>
        <w:tc>
          <w:tcPr>
            <w:tcW w:w="220" w:type="dxa"/>
            <w:vAlign w:val="bottom"/>
            <w:tcBorders>
              <w:top w:val="single" w:sz="8" w:color="0000EE"/>
            </w:tcBorders>
          </w:tcPr>
          <w:p>
            <w:pPr>
              <w:spacing w:after="0"/>
              <w:rPr>
                <w:sz w:val="18"/>
                <w:szCs w:val="18"/>
                <w:color w:val="auto"/>
              </w:rPr>
            </w:pPr>
          </w:p>
        </w:tc>
        <w:tc>
          <w:tcPr>
            <w:tcW w:w="6720" w:type="dxa"/>
            <w:vAlign w:val="bottom"/>
            <w:gridSpan w:val="6"/>
          </w:tcPr>
          <w:p>
            <w:pPr>
              <w:spacing w:after="0"/>
              <w:rPr>
                <w:sz w:val="18"/>
                <w:szCs w:val="18"/>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79"/>
              </w:rPr>
              <w:t>3</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Corporate Governance Highlights</w:t>
            </w:r>
          </w:p>
        </w:tc>
        <w:tc>
          <w:tcPr>
            <w:tcW w:w="6060" w:type="dxa"/>
            <w:vAlign w:val="bottom"/>
            <w:gridSpan w:val="3"/>
          </w:tcPr>
          <w:p>
            <w:pPr>
              <w:spacing w:after="0"/>
              <w:rPr>
                <w:sz w:val="18"/>
                <w:szCs w:val="18"/>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5</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Executive Compensation Highlights</w:t>
            </w:r>
          </w:p>
        </w:tc>
        <w:tc>
          <w:tcPr>
            <w:tcW w:w="590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5</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960" w:type="dxa"/>
            <w:vAlign w:val="bottom"/>
            <w:gridSpan w:val="19"/>
          </w:tcPr>
          <w:p>
            <w:pPr>
              <w:ind w:left="20"/>
              <w:spacing w:after="0"/>
              <w:rPr>
                <w:sz w:val="20"/>
                <w:szCs w:val="20"/>
                <w:color w:val="auto"/>
              </w:rPr>
            </w:pPr>
            <w:r>
              <w:rPr>
                <w:rFonts w:ascii="Arial" w:cs="Arial" w:eastAsia="Arial" w:hAnsi="Arial"/>
                <w:sz w:val="22"/>
                <w:szCs w:val="22"/>
                <w:b w:val="1"/>
                <w:bCs w:val="1"/>
                <w:color w:val="0000EE"/>
              </w:rPr>
              <w:t>Corporate Governance Matters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0000EE"/>
              </w:rPr>
              <w:t>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13"/>
          </w:tcPr>
          <w:p>
            <w:pPr>
              <w:spacing w:after="0" w:line="176" w:lineRule="exact"/>
              <w:rPr>
                <w:sz w:val="20"/>
                <w:szCs w:val="20"/>
                <w:color w:val="auto"/>
              </w:rPr>
            </w:pPr>
            <w:r>
              <w:rPr>
                <w:rFonts w:ascii="Arial" w:cs="Arial" w:eastAsia="Arial" w:hAnsi="Arial"/>
                <w:sz w:val="18"/>
                <w:szCs w:val="18"/>
                <w:b w:val="1"/>
                <w:bCs w:val="1"/>
                <w:color w:val="0000EE"/>
                <w:w w:val="98"/>
              </w:rPr>
              <w:t>Proposal 1—Election of Directors</w:t>
            </w:r>
          </w:p>
        </w:tc>
        <w:tc>
          <w:tcPr>
            <w:tcW w:w="5780" w:type="dxa"/>
            <w:vAlign w:val="bottom"/>
            <w:gridSpan w:val="4"/>
          </w:tcPr>
          <w:p>
            <w:pPr>
              <w:spacing w:after="0"/>
              <w:rPr>
                <w:sz w:val="15"/>
                <w:szCs w:val="15"/>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8</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Arial" w:cs="Arial" w:eastAsia="Arial" w:hAnsi="Arial"/>
                <w:sz w:val="18"/>
                <w:szCs w:val="18"/>
                <w:color w:val="0000EE"/>
              </w:rPr>
              <w:t>Nominees for Election to the Board of Directors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rPr>
              <w:t>8</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Corporate Governance Highlights</w:t>
            </w:r>
          </w:p>
        </w:tc>
        <w:tc>
          <w:tcPr>
            <w:tcW w:w="1080" w:type="dxa"/>
            <w:vAlign w:val="bottom"/>
            <w:gridSpan w:val="6"/>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16</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rPr>
              <w:t>Board and Committee Governance</w:t>
            </w:r>
          </w:p>
        </w:tc>
        <w:tc>
          <w:tcPr>
            <w:tcW w:w="5780" w:type="dxa"/>
            <w:vAlign w:val="bottom"/>
            <w:gridSpan w:val="4"/>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17</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Arial" w:cs="Arial" w:eastAsia="Arial" w:hAnsi="Arial"/>
                <w:sz w:val="18"/>
                <w:szCs w:val="18"/>
                <w:color w:val="0000EE"/>
              </w:rPr>
              <w:t>Board Committees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20</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Board Oversight</w:t>
            </w:r>
          </w:p>
        </w:tc>
        <w:tc>
          <w:tcPr>
            <w:tcW w:w="180" w:type="dxa"/>
            <w:vAlign w:val="bottom"/>
            <w:tcBorders>
              <w:top w:val="single" w:sz="8" w:color="0000EE"/>
            </w:tcBorders>
            <w:gridSpan w:val="2"/>
          </w:tcPr>
          <w:p>
            <w:pPr>
              <w:spacing w:after="0"/>
              <w:rPr>
                <w:sz w:val="18"/>
                <w:szCs w:val="18"/>
                <w:color w:val="auto"/>
              </w:rPr>
            </w:pPr>
          </w:p>
        </w:tc>
        <w:tc>
          <w:tcPr>
            <w:tcW w:w="7160" w:type="dxa"/>
            <w:vAlign w:val="bottom"/>
            <w:gridSpan w:val="13"/>
          </w:tcPr>
          <w:p>
            <w:pPr>
              <w:spacing w:after="0"/>
              <w:rPr>
                <w:sz w:val="18"/>
                <w:szCs w:val="18"/>
                <w:color w:val="auto"/>
              </w:rPr>
            </w:pPr>
          </w:p>
        </w:tc>
        <w:tc>
          <w:tcPr>
            <w:tcW w:w="20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21</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Board and Committee Evaluations</w:t>
            </w:r>
          </w:p>
        </w:tc>
        <w:tc>
          <w:tcPr>
            <w:tcW w:w="5900" w:type="dxa"/>
            <w:vAlign w:val="bottom"/>
            <w:gridSpan w:val="6"/>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23</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Code of Conduct</w:t>
            </w:r>
          </w:p>
        </w:tc>
        <w:tc>
          <w:tcPr>
            <w:tcW w:w="7280" w:type="dxa"/>
            <w:vAlign w:val="bottom"/>
            <w:gridSpan w:val="14"/>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23</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Arial" w:cs="Arial" w:eastAsia="Arial" w:hAnsi="Arial"/>
                <w:sz w:val="18"/>
                <w:szCs w:val="18"/>
                <w:color w:val="0000EE"/>
              </w:rPr>
              <w:t>Hedging and Pledging Policies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24</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Transactions with Related Persons</w:t>
            </w:r>
          </w:p>
        </w:tc>
        <w:tc>
          <w:tcPr>
            <w:tcW w:w="5860" w:type="dxa"/>
            <w:vAlign w:val="bottom"/>
            <w:gridSpan w:val="5"/>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24</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Director Compensation</w:t>
            </w:r>
          </w:p>
        </w:tc>
        <w:tc>
          <w:tcPr>
            <w:tcW w:w="6800" w:type="dxa"/>
            <w:vAlign w:val="bottom"/>
            <w:gridSpan w:val="12"/>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24</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Communications with the Board</w:t>
            </w:r>
          </w:p>
        </w:tc>
        <w:tc>
          <w:tcPr>
            <w:tcW w:w="6100" w:type="dxa"/>
            <w:vAlign w:val="bottom"/>
            <w:gridSpan w:val="8"/>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26</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Arial" w:cs="Arial" w:eastAsia="Arial" w:hAnsi="Arial"/>
                <w:sz w:val="18"/>
                <w:szCs w:val="18"/>
                <w:color w:val="0000EE"/>
              </w:rPr>
              <w:t>Stockholder Engagement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26</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Sustainability &amp; Human Capital Management</w:t>
            </w:r>
          </w:p>
        </w:tc>
        <w:tc>
          <w:tcPr>
            <w:tcW w:w="5060" w:type="dxa"/>
            <w:vAlign w:val="bottom"/>
            <w:gridSpan w:val="2"/>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27</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Sustainability</w:t>
            </w:r>
          </w:p>
        </w:tc>
        <w:tc>
          <w:tcPr>
            <w:tcW w:w="7580" w:type="dxa"/>
            <w:vAlign w:val="bottom"/>
            <w:gridSpan w:val="16"/>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27</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Human Capital Management</w:t>
            </w:r>
          </w:p>
        </w:tc>
        <w:tc>
          <w:tcPr>
            <w:tcW w:w="6340" w:type="dxa"/>
            <w:vAlign w:val="bottom"/>
            <w:gridSpan w:val="10"/>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28</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960" w:type="dxa"/>
            <w:vAlign w:val="bottom"/>
            <w:gridSpan w:val="12"/>
          </w:tcPr>
          <w:p>
            <w:pPr>
              <w:ind w:left="20"/>
              <w:spacing w:after="0"/>
              <w:rPr>
                <w:sz w:val="20"/>
                <w:szCs w:val="20"/>
                <w:color w:val="auto"/>
              </w:rPr>
            </w:pPr>
            <w:r>
              <w:rPr>
                <w:rFonts w:ascii="Arial" w:cs="Arial" w:eastAsia="Arial" w:hAnsi="Arial"/>
                <w:sz w:val="22"/>
                <w:szCs w:val="22"/>
                <w:b w:val="1"/>
                <w:bCs w:val="1"/>
                <w:color w:val="0000EE"/>
              </w:rPr>
              <w:t>Executive Compensation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0000EE"/>
                <w:w w:val="89"/>
              </w:rPr>
              <w:t>30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40" w:type="dxa"/>
            <w:vAlign w:val="bottom"/>
            <w:gridSpan w:val="10"/>
          </w:tcPr>
          <w:p>
            <w:pPr>
              <w:spacing w:after="0" w:line="176" w:lineRule="exact"/>
              <w:rPr>
                <w:sz w:val="20"/>
                <w:szCs w:val="20"/>
                <w:color w:val="auto"/>
              </w:rPr>
            </w:pPr>
            <w:r>
              <w:rPr>
                <w:rFonts w:ascii="Arial" w:cs="Arial" w:eastAsia="Arial" w:hAnsi="Arial"/>
                <w:sz w:val="18"/>
                <w:szCs w:val="18"/>
                <w:b w:val="1"/>
                <w:bCs w:val="1"/>
                <w:color w:val="0000EE"/>
              </w:rPr>
              <w:t>Proposal 2—Advisory Vote to Approve the Compensation of our Named Executive Officers</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0000EE"/>
                <w:w w:val="89"/>
              </w:rPr>
              <w:t>30</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9"/>
              </w:rPr>
              <w:t>Compensation Discussion and Analysis</w:t>
            </w:r>
          </w:p>
        </w:tc>
        <w:tc>
          <w:tcPr>
            <w:tcW w:w="4580" w:type="dxa"/>
            <w:vAlign w:val="bottom"/>
            <w:tcBorders>
              <w:top w:val="single" w:sz="8" w:color="0000EE"/>
            </w:tcBorders>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89"/>
              </w:rPr>
              <w:t>31</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0"/>
          </w:tcPr>
          <w:p>
            <w:pPr>
              <w:spacing w:after="0"/>
              <w:rPr>
                <w:sz w:val="20"/>
                <w:szCs w:val="20"/>
                <w:color w:val="auto"/>
              </w:rPr>
            </w:pPr>
            <w:r>
              <w:rPr>
                <w:rFonts w:ascii="Arial" w:cs="Arial" w:eastAsia="Arial" w:hAnsi="Arial"/>
                <w:sz w:val="18"/>
                <w:szCs w:val="18"/>
                <w:color w:val="0000EE"/>
              </w:rPr>
              <w:t>Compensation Committee Report</w:t>
            </w:r>
          </w:p>
        </w:tc>
        <w:tc>
          <w:tcPr>
            <w:tcW w:w="200" w:type="dxa"/>
            <w:vAlign w:val="bottom"/>
          </w:tcPr>
          <w:p>
            <w:pPr>
              <w:jc w:val="right"/>
              <w:spacing w:after="0"/>
              <w:rPr>
                <w:sz w:val="20"/>
                <w:szCs w:val="20"/>
                <w:color w:val="auto"/>
              </w:rPr>
            </w:pPr>
            <w:r>
              <w:rPr>
                <w:rFonts w:ascii="Arial" w:cs="Arial" w:eastAsia="Arial" w:hAnsi="Arial"/>
                <w:sz w:val="18"/>
                <w:szCs w:val="18"/>
                <w:color w:val="0000EE"/>
                <w:w w:val="89"/>
              </w:rPr>
              <w:t>48</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Executive Compensation Tables</w:t>
            </w:r>
          </w:p>
        </w:tc>
        <w:tc>
          <w:tcPr>
            <w:tcW w:w="5980" w:type="dxa"/>
            <w:vAlign w:val="bottom"/>
            <w:gridSpan w:val="5"/>
          </w:tcPr>
          <w:p>
            <w:pPr>
              <w:spacing w:after="0"/>
              <w:rPr>
                <w:sz w:val="18"/>
                <w:szCs w:val="18"/>
                <w:color w:val="auto"/>
              </w:rPr>
            </w:pPr>
          </w:p>
        </w:tc>
        <w:tc>
          <w:tcPr>
            <w:tcW w:w="2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89"/>
              </w:rPr>
              <w:t>49</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0"/>
          </w:tcPr>
          <w:p>
            <w:pPr>
              <w:spacing w:after="0"/>
              <w:rPr>
                <w:sz w:val="20"/>
                <w:szCs w:val="20"/>
                <w:color w:val="auto"/>
              </w:rPr>
            </w:pPr>
            <w:r>
              <w:rPr>
                <w:rFonts w:ascii="Arial" w:cs="Arial" w:eastAsia="Arial" w:hAnsi="Arial"/>
                <w:sz w:val="18"/>
                <w:szCs w:val="18"/>
                <w:color w:val="0000EE"/>
              </w:rPr>
              <w:t>Compensation Committee Interlocks and Insider Participation</w:t>
            </w:r>
          </w:p>
        </w:tc>
        <w:tc>
          <w:tcPr>
            <w:tcW w:w="200" w:type="dxa"/>
            <w:vAlign w:val="bottom"/>
          </w:tcPr>
          <w:p>
            <w:pPr>
              <w:jc w:val="right"/>
              <w:spacing w:after="0"/>
              <w:rPr>
                <w:sz w:val="20"/>
                <w:szCs w:val="20"/>
                <w:color w:val="auto"/>
              </w:rPr>
            </w:pPr>
            <w:r>
              <w:rPr>
                <w:rFonts w:ascii="Arial" w:cs="Arial" w:eastAsia="Arial" w:hAnsi="Arial"/>
                <w:sz w:val="18"/>
                <w:szCs w:val="18"/>
                <w:color w:val="0000EE"/>
                <w:w w:val="89"/>
              </w:rPr>
              <w:t>58</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9"/>
              </w:rPr>
              <w:t>Equity Compensation Plan Information</w:t>
            </w:r>
          </w:p>
        </w:tc>
        <w:tc>
          <w:tcPr>
            <w:tcW w:w="1800" w:type="dxa"/>
            <w:vAlign w:val="bottom"/>
            <w:tcBorders>
              <w:top w:val="single" w:sz="8" w:color="0000EE"/>
            </w:tcBorders>
            <w:gridSpan w:val="2"/>
          </w:tcPr>
          <w:p>
            <w:pPr>
              <w:spacing w:after="0"/>
              <w:rPr>
                <w:sz w:val="18"/>
                <w:szCs w:val="18"/>
                <w:color w:val="auto"/>
              </w:rPr>
            </w:pPr>
          </w:p>
        </w:tc>
        <w:tc>
          <w:tcPr>
            <w:tcW w:w="3760" w:type="dxa"/>
            <w:vAlign w:val="bottom"/>
            <w:gridSpan w:val="2"/>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89"/>
              </w:rPr>
              <w:t>59</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CEO Pay Ratio</w:t>
            </w:r>
          </w:p>
        </w:tc>
        <w:tc>
          <w:tcPr>
            <w:tcW w:w="7420" w:type="dxa"/>
            <w:vAlign w:val="bottom"/>
            <w:gridSpan w:val="9"/>
          </w:tcPr>
          <w:p>
            <w:pPr>
              <w:spacing w:after="0"/>
              <w:rPr>
                <w:sz w:val="18"/>
                <w:szCs w:val="18"/>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9"/>
              </w:rPr>
              <w:t>60</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Pay Versus Performance</w:t>
            </w:r>
          </w:p>
        </w:tc>
        <w:tc>
          <w:tcPr>
            <w:tcW w:w="6640" w:type="dxa"/>
            <w:vAlign w:val="bottom"/>
            <w:gridSpan w:val="8"/>
          </w:tcPr>
          <w:p>
            <w:pPr>
              <w:spacing w:after="0"/>
              <w:rPr>
                <w:sz w:val="18"/>
                <w:szCs w:val="18"/>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9"/>
              </w:rPr>
              <w:t>61</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960" w:type="dxa"/>
            <w:vAlign w:val="bottom"/>
            <w:gridSpan w:val="11"/>
          </w:tcPr>
          <w:p>
            <w:pPr>
              <w:ind w:left="20"/>
              <w:spacing w:after="0"/>
              <w:rPr>
                <w:sz w:val="20"/>
                <w:szCs w:val="20"/>
                <w:color w:val="auto"/>
              </w:rPr>
            </w:pPr>
            <w:r>
              <w:rPr>
                <w:rFonts w:ascii="Arial" w:cs="Arial" w:eastAsia="Arial" w:hAnsi="Arial"/>
                <w:sz w:val="22"/>
                <w:szCs w:val="22"/>
                <w:b w:val="1"/>
                <w:bCs w:val="1"/>
                <w:color w:val="0000EE"/>
              </w:rPr>
              <w:t>Ownership of Our Securities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0000EE"/>
                <w:w w:val="89"/>
              </w:rPr>
              <w:t>67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20" w:type="dxa"/>
            <w:vAlign w:val="bottom"/>
            <w:tcBorders>
              <w:bottom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9"/>
              </w:rPr>
              <w:t>Beneficial Ownership of National Vision Common Stock</w:t>
            </w:r>
          </w:p>
        </w:tc>
        <w:tc>
          <w:tcPr>
            <w:tcW w:w="42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sz w:val="20"/>
                <w:szCs w:val="20"/>
                <w:color w:val="auto"/>
              </w:rPr>
            </w:pPr>
            <w:r>
              <w:rPr>
                <w:rFonts w:ascii="Arial" w:cs="Arial" w:eastAsia="Arial" w:hAnsi="Arial"/>
                <w:sz w:val="18"/>
                <w:szCs w:val="18"/>
                <w:color w:val="0000EE"/>
                <w:w w:val="89"/>
              </w:rPr>
              <w:t>67</w:t>
            </w:r>
          </w:p>
        </w:tc>
        <w:tc>
          <w:tcPr>
            <w:tcW w:w="0" w:type="dxa"/>
            <w:vAlign w:val="bottom"/>
          </w:tcPr>
          <w:p>
            <w:pPr>
              <w:spacing w:after="0"/>
              <w:rPr>
                <w:sz w:val="1"/>
                <w:szCs w:val="1"/>
                <w:color w:val="auto"/>
              </w:rPr>
            </w:pPr>
          </w:p>
        </w:tc>
      </w:tr>
      <w:tr>
        <w:trPr>
          <w:trHeight w:val="473"/>
        </w:trPr>
        <w:tc>
          <w:tcPr>
            <w:tcW w:w="8960" w:type="dxa"/>
            <w:vAlign w:val="bottom"/>
            <w:gridSpan w:val="11"/>
          </w:tcPr>
          <w:p>
            <w:pPr>
              <w:ind w:left="20"/>
              <w:spacing w:after="0"/>
              <w:rPr>
                <w:sz w:val="20"/>
                <w:szCs w:val="20"/>
                <w:color w:val="auto"/>
              </w:rPr>
            </w:pPr>
            <w:r>
              <w:rPr>
                <w:rFonts w:ascii="Arial" w:cs="Arial" w:eastAsia="Arial" w:hAnsi="Arial"/>
                <w:sz w:val="22"/>
                <w:szCs w:val="22"/>
                <w:b w:val="1"/>
                <w:bCs w:val="1"/>
                <w:color w:val="0000EE"/>
              </w:rPr>
              <w:t>Audit Committee Matters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0000EE"/>
                <w:w w:val="89"/>
              </w:rPr>
              <w:t>69</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40" w:type="dxa"/>
            <w:vAlign w:val="bottom"/>
            <w:gridSpan w:val="9"/>
          </w:tcPr>
          <w:p>
            <w:pPr>
              <w:spacing w:after="0" w:line="176" w:lineRule="exact"/>
              <w:rPr>
                <w:sz w:val="20"/>
                <w:szCs w:val="20"/>
                <w:color w:val="auto"/>
              </w:rPr>
            </w:pPr>
            <w:r>
              <w:rPr>
                <w:rFonts w:ascii="Arial" w:cs="Arial" w:eastAsia="Arial" w:hAnsi="Arial"/>
                <w:sz w:val="18"/>
                <w:szCs w:val="18"/>
                <w:b w:val="1"/>
                <w:bCs w:val="1"/>
                <w:color w:val="0000EE"/>
              </w:rPr>
              <w:t>Proposal 3—Ratification of the Appointment of Deloitte &amp; Touche LLP as our Independent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b w:val="1"/>
                <w:bCs w:val="1"/>
                <w:color w:val="0000EE"/>
                <w:w w:val="99"/>
              </w:rPr>
              <w:t>Registered Public Accounting Firm for 2026</w:t>
            </w:r>
          </w:p>
        </w:tc>
        <w:tc>
          <w:tcPr>
            <w:tcW w:w="3920" w:type="dxa"/>
            <w:vAlign w:val="bottom"/>
            <w:tcBorders>
              <w:top w:val="single" w:sz="8" w:color="0000EE"/>
            </w:tcBorders>
            <w:gridSpan w:val="3"/>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Borders>
              <w:bottom w:val="single" w:sz="8" w:color="0000EE"/>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9"/>
          </w:tcPr>
          <w:p>
            <w:pPr>
              <w:spacing w:after="0"/>
              <w:rPr>
                <w:sz w:val="20"/>
                <w:szCs w:val="20"/>
                <w:color w:val="auto"/>
              </w:rPr>
            </w:pPr>
            <w:r>
              <w:rPr>
                <w:rFonts w:ascii="Arial" w:cs="Arial" w:eastAsia="Arial" w:hAnsi="Arial"/>
                <w:sz w:val="18"/>
                <w:szCs w:val="18"/>
                <w:color w:val="0000EE"/>
              </w:rPr>
              <w:t>Audit and Non-Audit Fees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EE"/>
                <w:w w:val="89"/>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Audit Committee Pre-Approval of Audit and Permissible Non-Audit Services</w:t>
            </w:r>
          </w:p>
        </w:tc>
        <w:tc>
          <w:tcPr>
            <w:tcW w:w="2620" w:type="dxa"/>
            <w:vAlign w:val="bottom"/>
            <w:gridSpan w:val="2"/>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Report of the Audit Committee</w:t>
            </w:r>
          </w:p>
        </w:tc>
        <w:tc>
          <w:tcPr>
            <w:tcW w:w="6220" w:type="dxa"/>
            <w:vAlign w:val="bottom"/>
            <w:gridSpan w:val="6"/>
          </w:tcPr>
          <w:p>
            <w:pPr>
              <w:spacing w:after="0"/>
              <w:rPr>
                <w:sz w:val="18"/>
                <w:szCs w:val="18"/>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70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60" w:hanging="346"/>
        <w:spacing w:after="0"/>
        <w:tabs>
          <w:tab w:leader="none" w:pos="360" w:val="left"/>
        </w:tabs>
        <w:numPr>
          <w:ilvl w:val="0"/>
          <w:numId w:val="4"/>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 w:name="page7"/>
    <w:bookmarkEnd w:id="6"/>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293"/>
        </w:trPr>
        <w:tc>
          <w:tcPr>
            <w:tcW w:w="8960" w:type="dxa"/>
            <w:vAlign w:val="bottom"/>
            <w:gridSpan w:val="15"/>
          </w:tcPr>
          <w:p>
            <w:pPr>
              <w:ind w:left="20"/>
              <w:spacing w:after="0"/>
              <w:rPr>
                <w:sz w:val="20"/>
                <w:szCs w:val="20"/>
                <w:color w:val="auto"/>
              </w:rPr>
            </w:pPr>
            <w:r>
              <w:rPr>
                <w:rFonts w:ascii="Arial" w:cs="Arial" w:eastAsia="Arial" w:hAnsi="Arial"/>
                <w:sz w:val="22"/>
                <w:szCs w:val="22"/>
                <w:b w:val="1"/>
                <w:bCs w:val="1"/>
                <w:color w:val="0000EE"/>
              </w:rPr>
              <w:t>Important Information About Voting at the Annual Meeting</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0000EE"/>
                <w:w w:val="89"/>
              </w:rPr>
              <w:t>72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40" w:type="dxa"/>
            <w:vAlign w:val="bottom"/>
            <w:gridSpan w:val="13"/>
          </w:tcPr>
          <w:p>
            <w:pPr>
              <w:spacing w:after="0" w:line="176" w:lineRule="exact"/>
              <w:rPr>
                <w:sz w:val="20"/>
                <w:szCs w:val="20"/>
                <w:color w:val="auto"/>
              </w:rPr>
            </w:pPr>
            <w:r>
              <w:rPr>
                <w:rFonts w:ascii="Arial" w:cs="Arial" w:eastAsia="Arial" w:hAnsi="Arial"/>
                <w:sz w:val="18"/>
                <w:szCs w:val="18"/>
                <w:color w:val="0000EE"/>
              </w:rPr>
              <w:t>Proposals to be Voting on and Voting Recommendations</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0000EE"/>
                <w:w w:val="89"/>
              </w:rPr>
              <w:t>72</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Other Business</w:t>
            </w:r>
          </w:p>
        </w:tc>
        <w:tc>
          <w:tcPr>
            <w:tcW w:w="4140" w:type="dxa"/>
            <w:vAlign w:val="bottom"/>
            <w:gridSpan w:val="3"/>
          </w:tcPr>
          <w:p>
            <w:pPr>
              <w:spacing w:after="0"/>
              <w:rPr>
                <w:sz w:val="18"/>
                <w:szCs w:val="18"/>
                <w:color w:val="auto"/>
              </w:rPr>
            </w:pPr>
          </w:p>
        </w:tc>
        <w:tc>
          <w:tcPr>
            <w:tcW w:w="2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89"/>
              </w:rPr>
              <w:t>72</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Who Can Vote</w:t>
            </w:r>
          </w:p>
        </w:tc>
        <w:tc>
          <w:tcPr>
            <w:tcW w:w="7420" w:type="dxa"/>
            <w:vAlign w:val="bottom"/>
            <w:gridSpan w:val="9"/>
          </w:tcPr>
          <w:p>
            <w:pPr>
              <w:spacing w:after="0"/>
              <w:rPr>
                <w:sz w:val="18"/>
                <w:szCs w:val="18"/>
                <w:color w:val="auto"/>
              </w:rPr>
            </w:pPr>
          </w:p>
        </w:tc>
        <w:tc>
          <w:tcPr>
            <w:tcW w:w="2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89"/>
              </w:rPr>
              <w:t>72</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Quorum</w:t>
            </w:r>
          </w:p>
        </w:tc>
        <w:tc>
          <w:tcPr>
            <w:tcW w:w="7480" w:type="dxa"/>
            <w:vAlign w:val="bottom"/>
            <w:gridSpan w:val="10"/>
          </w:tcPr>
          <w:p>
            <w:pPr>
              <w:spacing w:after="0"/>
              <w:rPr>
                <w:sz w:val="18"/>
                <w:szCs w:val="18"/>
                <w:color w:val="auto"/>
              </w:rPr>
            </w:pPr>
          </w:p>
        </w:tc>
        <w:tc>
          <w:tcPr>
            <w:tcW w:w="2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89"/>
              </w:rPr>
              <w:t>72</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3"/>
          </w:tcPr>
          <w:p>
            <w:pPr>
              <w:spacing w:after="0"/>
              <w:rPr>
                <w:sz w:val="20"/>
                <w:szCs w:val="20"/>
                <w:color w:val="auto"/>
              </w:rPr>
            </w:pPr>
            <w:r>
              <w:rPr>
                <w:rFonts w:ascii="Arial" w:cs="Arial" w:eastAsia="Arial" w:hAnsi="Arial"/>
                <w:sz w:val="18"/>
                <w:szCs w:val="18"/>
                <w:color w:val="0000EE"/>
              </w:rPr>
              <w:t>Vote Required</w:t>
            </w:r>
          </w:p>
        </w:tc>
        <w:tc>
          <w:tcPr>
            <w:tcW w:w="200" w:type="dxa"/>
            <w:vAlign w:val="bottom"/>
          </w:tcPr>
          <w:p>
            <w:pPr>
              <w:jc w:val="right"/>
              <w:spacing w:after="0"/>
              <w:rPr>
                <w:sz w:val="20"/>
                <w:szCs w:val="20"/>
                <w:color w:val="auto"/>
              </w:rPr>
            </w:pPr>
            <w:r>
              <w:rPr>
                <w:rFonts w:ascii="Arial" w:cs="Arial" w:eastAsia="Arial" w:hAnsi="Arial"/>
                <w:sz w:val="18"/>
                <w:szCs w:val="18"/>
                <w:color w:val="0000EE"/>
                <w:w w:val="89"/>
              </w:rPr>
              <w:t>73</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3"/>
          </w:tcPr>
          <w:p>
            <w:pPr>
              <w:spacing w:after="0"/>
              <w:rPr>
                <w:sz w:val="20"/>
                <w:szCs w:val="20"/>
                <w:color w:val="auto"/>
              </w:rPr>
            </w:pPr>
            <w:r>
              <w:rPr>
                <w:rFonts w:ascii="Arial" w:cs="Arial" w:eastAsia="Arial" w:hAnsi="Arial"/>
                <w:sz w:val="18"/>
                <w:szCs w:val="18"/>
                <w:color w:val="0000EE"/>
              </w:rPr>
              <w:t>Voting in Advance of the Annual Meeting</w:t>
            </w:r>
          </w:p>
        </w:tc>
        <w:tc>
          <w:tcPr>
            <w:tcW w:w="200" w:type="dxa"/>
            <w:vAlign w:val="bottom"/>
          </w:tcPr>
          <w:p>
            <w:pPr>
              <w:jc w:val="right"/>
              <w:spacing w:after="0"/>
              <w:rPr>
                <w:sz w:val="20"/>
                <w:szCs w:val="20"/>
                <w:color w:val="auto"/>
              </w:rPr>
            </w:pPr>
            <w:r>
              <w:rPr>
                <w:rFonts w:ascii="Arial" w:cs="Arial" w:eastAsia="Arial" w:hAnsi="Arial"/>
                <w:sz w:val="18"/>
                <w:szCs w:val="18"/>
                <w:color w:val="0000EE"/>
                <w:w w:val="89"/>
              </w:rPr>
              <w:t>73</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Voting During the Annual Meeting</w:t>
            </w:r>
          </w:p>
        </w:tc>
        <w:tc>
          <w:tcPr>
            <w:tcW w:w="5400" w:type="dxa"/>
            <w:vAlign w:val="bottom"/>
            <w:gridSpan w:val="4"/>
          </w:tcPr>
          <w:p>
            <w:pPr>
              <w:spacing w:after="0"/>
              <w:rPr>
                <w:sz w:val="18"/>
                <w:szCs w:val="18"/>
                <w:color w:val="auto"/>
              </w:rPr>
            </w:pPr>
          </w:p>
        </w:tc>
        <w:tc>
          <w:tcPr>
            <w:tcW w:w="2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89"/>
              </w:rPr>
              <w:t>73</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How to Vote if a Bank, Broker, or Other Nominee is the Record Holder of Your Stock</w:t>
            </w:r>
          </w:p>
        </w:tc>
        <w:tc>
          <w:tcPr>
            <w:tcW w:w="196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9"/>
              </w:rPr>
              <w:t>73</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3"/>
          </w:tcPr>
          <w:p>
            <w:pPr>
              <w:spacing w:after="0"/>
              <w:rPr>
                <w:sz w:val="20"/>
                <w:szCs w:val="20"/>
                <w:color w:val="auto"/>
              </w:rPr>
            </w:pPr>
            <w:r>
              <w:rPr>
                <w:rFonts w:ascii="Arial" w:cs="Arial" w:eastAsia="Arial" w:hAnsi="Arial"/>
                <w:sz w:val="18"/>
                <w:szCs w:val="18"/>
                <w:color w:val="0000EE"/>
              </w:rPr>
              <w:t>Broker Voting and Broker Non-Votes</w:t>
            </w:r>
          </w:p>
        </w:tc>
        <w:tc>
          <w:tcPr>
            <w:tcW w:w="200" w:type="dxa"/>
            <w:vAlign w:val="bottom"/>
          </w:tcPr>
          <w:p>
            <w:pPr>
              <w:jc w:val="right"/>
              <w:spacing w:after="0"/>
              <w:rPr>
                <w:sz w:val="20"/>
                <w:szCs w:val="20"/>
                <w:color w:val="auto"/>
              </w:rPr>
            </w:pPr>
            <w:r>
              <w:rPr>
                <w:rFonts w:ascii="Arial" w:cs="Arial" w:eastAsia="Arial" w:hAnsi="Arial"/>
                <w:sz w:val="18"/>
                <w:szCs w:val="18"/>
                <w:color w:val="0000EE"/>
                <w:w w:val="89"/>
              </w:rPr>
              <w:t>74</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How to Change or Revoke Your Proxy</w:t>
            </w:r>
          </w:p>
        </w:tc>
        <w:tc>
          <w:tcPr>
            <w:tcW w:w="5600" w:type="dxa"/>
            <w:vAlign w:val="bottom"/>
            <w:gridSpan w:val="5"/>
          </w:tcPr>
          <w:p>
            <w:pPr>
              <w:spacing w:after="0"/>
              <w:rPr>
                <w:sz w:val="18"/>
                <w:szCs w:val="18"/>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9"/>
              </w:rPr>
              <w:t>74</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13"/>
          </w:tcPr>
          <w:p>
            <w:pPr>
              <w:spacing w:after="0"/>
              <w:rPr>
                <w:sz w:val="20"/>
                <w:szCs w:val="20"/>
                <w:color w:val="auto"/>
              </w:rPr>
            </w:pPr>
            <w:r>
              <w:rPr>
                <w:rFonts w:ascii="Arial" w:cs="Arial" w:eastAsia="Arial" w:hAnsi="Arial"/>
                <w:sz w:val="18"/>
                <w:szCs w:val="18"/>
                <w:color w:val="0000EE"/>
              </w:rPr>
              <w:t>How Votes are Counted</w:t>
            </w:r>
          </w:p>
        </w:tc>
        <w:tc>
          <w:tcPr>
            <w:tcW w:w="200" w:type="dxa"/>
            <w:vAlign w:val="bottom"/>
          </w:tcPr>
          <w:p>
            <w:pPr>
              <w:jc w:val="right"/>
              <w:spacing w:after="0"/>
              <w:rPr>
                <w:sz w:val="20"/>
                <w:szCs w:val="20"/>
                <w:color w:val="auto"/>
              </w:rPr>
            </w:pPr>
            <w:r>
              <w:rPr>
                <w:rFonts w:ascii="Arial" w:cs="Arial" w:eastAsia="Arial" w:hAnsi="Arial"/>
                <w:sz w:val="18"/>
                <w:szCs w:val="18"/>
                <w:color w:val="0000EE"/>
                <w:w w:val="89"/>
              </w:rPr>
              <w:t>74</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9"/>
              </w:rPr>
              <w:t>Proxies</w:t>
            </w:r>
          </w:p>
        </w:tc>
        <w:tc>
          <w:tcPr>
            <w:tcW w:w="1260" w:type="dxa"/>
            <w:vAlign w:val="bottom"/>
            <w:tcBorders>
              <w:top w:val="single" w:sz="8" w:color="0000EE"/>
            </w:tcBorders>
            <w:gridSpan w:val="4"/>
          </w:tcPr>
          <w:p>
            <w:pPr>
              <w:spacing w:after="0"/>
              <w:rPr>
                <w:sz w:val="18"/>
                <w:szCs w:val="18"/>
                <w:color w:val="auto"/>
              </w:rPr>
            </w:pPr>
          </w:p>
        </w:tc>
        <w:tc>
          <w:tcPr>
            <w:tcW w:w="6740" w:type="dxa"/>
            <w:vAlign w:val="bottom"/>
            <w:gridSpan w:val="8"/>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89"/>
              </w:rPr>
              <w:t>74</w:t>
            </w:r>
          </w:p>
        </w:tc>
      </w:tr>
    </w:tbl>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293"/>
        </w:trPr>
        <w:tc>
          <w:tcPr>
            <w:tcW w:w="8960" w:type="dxa"/>
            <w:vAlign w:val="bottom"/>
            <w:gridSpan w:val="9"/>
          </w:tcPr>
          <w:p>
            <w:pPr>
              <w:ind w:left="20"/>
              <w:spacing w:after="0"/>
              <w:rPr>
                <w:sz w:val="20"/>
                <w:szCs w:val="20"/>
                <w:color w:val="auto"/>
              </w:rPr>
            </w:pPr>
            <w:r>
              <w:rPr>
                <w:rFonts w:ascii="Arial" w:cs="Arial" w:eastAsia="Arial" w:hAnsi="Arial"/>
                <w:sz w:val="22"/>
                <w:szCs w:val="22"/>
                <w:b w:val="1"/>
                <w:bCs w:val="1"/>
                <w:color w:val="0000EE"/>
              </w:rPr>
              <w:t>Other Information for Stockholders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0000EE"/>
                <w:w w:val="89"/>
              </w:rPr>
              <w:t>75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72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40" w:type="dxa"/>
            <w:vAlign w:val="bottom"/>
            <w:gridSpan w:val="7"/>
          </w:tcPr>
          <w:p>
            <w:pPr>
              <w:spacing w:after="0" w:line="176" w:lineRule="exact"/>
              <w:rPr>
                <w:sz w:val="20"/>
                <w:szCs w:val="20"/>
                <w:color w:val="auto"/>
              </w:rPr>
            </w:pPr>
            <w:r>
              <w:rPr>
                <w:rFonts w:ascii="Arial" w:cs="Arial" w:eastAsia="Arial" w:hAnsi="Arial"/>
                <w:sz w:val="18"/>
                <w:szCs w:val="18"/>
                <w:color w:val="0000EE"/>
              </w:rPr>
              <w:t>Attending the Annual Meeting</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0000EE"/>
                <w:w w:val="89"/>
              </w:rPr>
              <w:t>75</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Stockholder Proposals for the 2027 Annual Meeting</w:t>
            </w:r>
          </w:p>
        </w:tc>
        <w:tc>
          <w:tcPr>
            <w:tcW w:w="4520" w:type="dxa"/>
            <w:vAlign w:val="bottom"/>
            <w:gridSpan w:val="2"/>
          </w:tcPr>
          <w:p>
            <w:pPr>
              <w:spacing w:after="0"/>
              <w:rPr>
                <w:sz w:val="18"/>
                <w:szCs w:val="18"/>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9"/>
              </w:rPr>
              <w:t>75</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7"/>
          </w:tcPr>
          <w:p>
            <w:pPr>
              <w:spacing w:after="0"/>
              <w:rPr>
                <w:sz w:val="20"/>
                <w:szCs w:val="20"/>
                <w:color w:val="auto"/>
              </w:rPr>
            </w:pPr>
            <w:r>
              <w:rPr>
                <w:rFonts w:ascii="Arial" w:cs="Arial" w:eastAsia="Arial" w:hAnsi="Arial"/>
                <w:sz w:val="18"/>
                <w:szCs w:val="18"/>
                <w:color w:val="0000EE"/>
              </w:rPr>
              <w:t>Householding of Proxy Materials</w:t>
            </w:r>
          </w:p>
        </w:tc>
        <w:tc>
          <w:tcPr>
            <w:tcW w:w="200" w:type="dxa"/>
            <w:vAlign w:val="bottom"/>
          </w:tcPr>
          <w:p>
            <w:pPr>
              <w:jc w:val="right"/>
              <w:spacing w:after="0"/>
              <w:rPr>
                <w:sz w:val="20"/>
                <w:szCs w:val="20"/>
                <w:color w:val="auto"/>
              </w:rPr>
            </w:pPr>
            <w:r>
              <w:rPr>
                <w:rFonts w:ascii="Arial" w:cs="Arial" w:eastAsia="Arial" w:hAnsi="Arial"/>
                <w:sz w:val="18"/>
                <w:szCs w:val="18"/>
                <w:color w:val="0000EE"/>
                <w:w w:val="89"/>
              </w:rPr>
              <w:t>76</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Solicitation of Proxies</w:t>
            </w:r>
          </w:p>
        </w:tc>
        <w:tc>
          <w:tcPr>
            <w:tcW w:w="860" w:type="dxa"/>
            <w:vAlign w:val="bottom"/>
            <w:tcBorders>
              <w:top w:val="single" w:sz="8" w:color="0000EE"/>
            </w:tcBorders>
            <w:gridSpan w:val="2"/>
          </w:tcPr>
          <w:p>
            <w:pPr>
              <w:spacing w:after="0"/>
              <w:rPr>
                <w:sz w:val="18"/>
                <w:szCs w:val="18"/>
                <w:color w:val="auto"/>
              </w:rPr>
            </w:pPr>
          </w:p>
        </w:tc>
        <w:tc>
          <w:tcPr>
            <w:tcW w:w="6060" w:type="dxa"/>
            <w:vAlign w:val="bottom"/>
            <w:gridSpan w:val="4"/>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89"/>
              </w:rPr>
              <w:t>76</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7"/>
          </w:tcPr>
          <w:p>
            <w:pPr>
              <w:spacing w:after="0"/>
              <w:rPr>
                <w:sz w:val="20"/>
                <w:szCs w:val="20"/>
                <w:color w:val="auto"/>
              </w:rPr>
            </w:pPr>
            <w:r>
              <w:rPr>
                <w:rFonts w:ascii="Arial" w:cs="Arial" w:eastAsia="Arial" w:hAnsi="Arial"/>
                <w:sz w:val="18"/>
                <w:szCs w:val="18"/>
                <w:color w:val="0000EE"/>
              </w:rPr>
              <w:t>Important Notice Regarding the Availability of Proxy Materials</w:t>
            </w:r>
          </w:p>
        </w:tc>
        <w:tc>
          <w:tcPr>
            <w:tcW w:w="200" w:type="dxa"/>
            <w:vAlign w:val="bottom"/>
          </w:tcPr>
          <w:p>
            <w:pPr>
              <w:jc w:val="right"/>
              <w:spacing w:after="0"/>
              <w:rPr>
                <w:sz w:val="20"/>
                <w:szCs w:val="20"/>
                <w:color w:val="auto"/>
              </w:rPr>
            </w:pPr>
            <w:r>
              <w:rPr>
                <w:rFonts w:ascii="Arial" w:cs="Arial" w:eastAsia="Arial" w:hAnsi="Arial"/>
                <w:sz w:val="18"/>
                <w:szCs w:val="18"/>
                <w:color w:val="0000EE"/>
                <w:w w:val="89"/>
              </w:rPr>
              <w:t>76</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rPr>
              <w:t>Forward-Looking Statements</w:t>
            </w:r>
          </w:p>
        </w:tc>
        <w:tc>
          <w:tcPr>
            <w:tcW w:w="2520" w:type="dxa"/>
            <w:vAlign w:val="bottom"/>
            <w:tcBorders>
              <w:top w:val="single" w:sz="8" w:color="0000EE"/>
            </w:tcBorders>
            <w:gridSpan w:val="4"/>
          </w:tcPr>
          <w:p>
            <w:pPr>
              <w:spacing w:after="0"/>
              <w:rPr>
                <w:sz w:val="18"/>
                <w:szCs w:val="18"/>
                <w:color w:val="auto"/>
              </w:rPr>
            </w:pPr>
          </w:p>
        </w:tc>
        <w:tc>
          <w:tcPr>
            <w:tcW w:w="3760" w:type="dxa"/>
            <w:vAlign w:val="bottom"/>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89"/>
              </w:rPr>
              <w:t>77</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920" w:type="dxa"/>
            <w:vAlign w:val="bottom"/>
          </w:tcPr>
          <w:p>
            <w:pPr>
              <w:spacing w:after="0"/>
              <w:rPr>
                <w:sz w:val="24"/>
                <w:szCs w:val="24"/>
                <w:color w:val="auto"/>
              </w:rPr>
            </w:pPr>
          </w:p>
        </w:tc>
        <w:tc>
          <w:tcPr>
            <w:tcW w:w="8960" w:type="dxa"/>
            <w:vAlign w:val="bottom"/>
            <w:gridSpan w:val="5"/>
          </w:tcPr>
          <w:p>
            <w:pPr>
              <w:ind w:left="20"/>
              <w:spacing w:after="0"/>
              <w:rPr>
                <w:sz w:val="20"/>
                <w:szCs w:val="20"/>
                <w:color w:val="auto"/>
              </w:rPr>
            </w:pPr>
            <w:r>
              <w:rPr>
                <w:rFonts w:ascii="Arial" w:cs="Arial" w:eastAsia="Arial" w:hAnsi="Arial"/>
                <w:sz w:val="22"/>
                <w:szCs w:val="22"/>
                <w:b w:val="1"/>
                <w:bCs w:val="1"/>
                <w:color w:val="0000EE"/>
              </w:rPr>
              <w:t>Appendix A</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0000EE"/>
                <w:w w:val="89"/>
              </w:rPr>
              <w:t>78</w:t>
            </w:r>
          </w:p>
        </w:tc>
        <w:tc>
          <w:tcPr>
            <w:tcW w:w="9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7"/>
        </w:trPr>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gridSpan w:val="4"/>
          </w:tcPr>
          <w:p>
            <w:pPr>
              <w:ind w:left="300"/>
              <w:spacing w:after="0" w:line="176" w:lineRule="exact"/>
              <w:rPr>
                <w:sz w:val="20"/>
                <w:szCs w:val="20"/>
                <w:color w:val="auto"/>
              </w:rPr>
            </w:pPr>
            <w:r>
              <w:rPr>
                <w:rFonts w:ascii="Arial" w:cs="Arial" w:eastAsia="Arial" w:hAnsi="Arial"/>
                <w:sz w:val="18"/>
                <w:szCs w:val="18"/>
                <w:color w:val="0000EE"/>
              </w:rPr>
              <w:t>Non-GAAP Financial Measures</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0000EE"/>
                <w:w w:val="89"/>
              </w:rPr>
              <w:t>78</w:t>
            </w:r>
          </w:p>
        </w:tc>
        <w:tc>
          <w:tcPr>
            <w:tcW w:w="940" w:type="dxa"/>
            <w:vAlign w:val="bottom"/>
          </w:tcPr>
          <w:p>
            <w:pPr>
              <w:spacing w:after="0"/>
              <w:rPr>
                <w:sz w:val="15"/>
                <w:szCs w:val="15"/>
                <w:color w:val="auto"/>
              </w:rPr>
            </w:pPr>
          </w:p>
        </w:tc>
      </w:tr>
      <w:tr>
        <w:trPr>
          <w:trHeight w:val="485"/>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6140" w:type="dxa"/>
            <w:vAlign w:val="bottom"/>
          </w:tcPr>
          <w:p>
            <w:pPr>
              <w:ind w:left="3820"/>
              <w:spacing w:after="0"/>
              <w:rPr>
                <w:sz w:val="20"/>
                <w:szCs w:val="20"/>
                <w:color w:val="auto"/>
              </w:rPr>
            </w:pPr>
            <w:r>
              <w:rPr>
                <w:rFonts w:ascii="Arial" w:cs="Arial" w:eastAsia="Arial" w:hAnsi="Arial"/>
                <w:sz w:val="16"/>
                <w:szCs w:val="16"/>
                <w:color w:val="auto"/>
              </w:rPr>
              <w:t>2026 Proxy Statement  </w:t>
            </w:r>
          </w:p>
        </w:tc>
        <w:tc>
          <w:tcPr>
            <w:tcW w:w="200" w:type="dxa"/>
            <w:vAlign w:val="bottom"/>
            <w:tcBorders>
              <w:top w:val="single" w:sz="8" w:color="0000EE"/>
            </w:tcBorders>
          </w:tcPr>
          <w:p>
            <w:pPr>
              <w:jc w:val="right"/>
              <w:spacing w:after="0"/>
              <w:rPr>
                <w:sz w:val="20"/>
                <w:szCs w:val="20"/>
                <w:color w:val="auto"/>
              </w:rPr>
            </w:pPr>
            <w:r>
              <w:rPr>
                <w:rFonts w:ascii="Arial" w:cs="Arial" w:eastAsia="Arial" w:hAnsi="Arial"/>
                <w:sz w:val="16"/>
                <w:szCs w:val="16"/>
                <w:b w:val="1"/>
                <w:bCs w:val="1"/>
                <w:color w:val="auto"/>
              </w:rPr>
              <w:t>v</w:t>
            </w:r>
          </w:p>
        </w:tc>
        <w:tc>
          <w:tcPr>
            <w:tcW w:w="940" w:type="dxa"/>
            <w:vAlign w:val="bottom"/>
          </w:tcPr>
          <w:p>
            <w:pPr>
              <w:spacing w:after="0"/>
              <w:rPr>
                <w:sz w:val="24"/>
                <w:szCs w:val="24"/>
                <w:color w:val="auto"/>
              </w:rPr>
            </w:pPr>
          </w:p>
        </w:tc>
      </w:tr>
      <w:tr>
        <w:trPr>
          <w:trHeight w:val="244"/>
        </w:trPr>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6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-368300</wp:posOffset>
            </wp:positionV>
            <wp:extent cx="20574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7" w:name="page8"/>
    <w:bookmarkEnd w:id="7"/>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231" w:lineRule="exact"/>
        <w:rPr>
          <w:sz w:val="20"/>
          <w:szCs w:val="20"/>
          <w:color w:val="auto"/>
        </w:rPr>
      </w:pPr>
    </w:p>
    <w:p>
      <w:pPr>
        <w:ind w:left="940"/>
        <w:spacing w:after="0"/>
        <w:rPr>
          <w:sz w:val="20"/>
          <w:szCs w:val="20"/>
          <w:color w:val="auto"/>
        </w:rPr>
      </w:pPr>
      <w:r>
        <w:rPr>
          <w:rFonts w:ascii="Arial" w:cs="Arial" w:eastAsia="Arial" w:hAnsi="Arial"/>
          <w:sz w:val="40"/>
          <w:szCs w:val="40"/>
          <w:b w:val="1"/>
          <w:bCs w:val="1"/>
          <w:color w:val="3465B0"/>
        </w:rPr>
        <w:t>Proxy Statement Summary</w:t>
      </w:r>
    </w:p>
    <w:p>
      <w:pPr>
        <w:spacing w:after="0" w:line="163"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We are providing this proxy statement to you in connection with the solicitation of proxies by the Board of Directors (the “Board of Directors,” or the “Board”) of National Vision Holdings, Inc. (the “Company” or “National Vision”) for the 2026 Annual Meeting of Stockholders (the “Annual Meeting”) and for any adjournment or postponement of the Annual Meeting. This summary highlights information contained elsewhere in this proxy statement. This summary does not contain all of the information you should consider and you should read the entire proxy statement carefully before voting.</w:t>
      </w:r>
    </w:p>
    <w:p>
      <w:pPr>
        <w:spacing w:after="0" w:line="237"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37" w:lineRule="exact"/>
        <w:rPr>
          <w:sz w:val="20"/>
          <w:szCs w:val="20"/>
          <w:color w:val="auto"/>
        </w:rPr>
      </w:pPr>
    </w:p>
    <w:tbl>
      <w:tblPr>
        <w:tblLayout w:type="fixed"/>
        <w:tblInd w:w="930" w:type="dxa"/>
        <w:tblCellMar>
          <w:top w:w="0" w:type="dxa"/>
          <w:left w:w="0" w:type="dxa"/>
          <w:bottom w:w="0" w:type="dxa"/>
          <w:right w:w="0" w:type="dxa"/>
        </w:tblCellMar>
      </w:tblPr>
      <w:tr>
        <w:trPr>
          <w:trHeight w:val="327"/>
        </w:trPr>
        <w:tc>
          <w:tcPr>
            <w:tcW w:w="80" w:type="dxa"/>
            <w:vAlign w:val="bottom"/>
            <w:tcBorders>
              <w:top w:val="single" w:sz="8" w:color="3465B0"/>
              <w:left w:val="single" w:sz="8" w:color="3465B0"/>
            </w:tcBorders>
            <w:shd w:val="clear" w:color="auto" w:fill="3465B0"/>
          </w:tcPr>
          <w:p>
            <w:pPr>
              <w:spacing w:after="0"/>
              <w:rPr>
                <w:sz w:val="24"/>
                <w:szCs w:val="24"/>
                <w:color w:val="auto"/>
              </w:rPr>
            </w:pPr>
          </w:p>
        </w:tc>
        <w:tc>
          <w:tcPr>
            <w:tcW w:w="2420" w:type="dxa"/>
            <w:vAlign w:val="bottom"/>
            <w:tcBorders>
              <w:top w:val="single" w:sz="8" w:color="3465B0"/>
              <w:right w:val="single" w:sz="8" w:color="93A1D2"/>
            </w:tcBorders>
            <w:shd w:val="clear" w:color="auto" w:fill="3465B0"/>
          </w:tcPr>
          <w:p>
            <w:pPr>
              <w:jc w:val="center"/>
              <w:ind w:right="170"/>
              <w:spacing w:after="0"/>
              <w:rPr>
                <w:sz w:val="20"/>
                <w:szCs w:val="20"/>
                <w:color w:val="auto"/>
              </w:rPr>
            </w:pPr>
            <w:r>
              <w:rPr>
                <w:rFonts w:ascii="Arial" w:cs="Arial" w:eastAsia="Arial" w:hAnsi="Arial"/>
                <w:sz w:val="18"/>
                <w:szCs w:val="18"/>
                <w:b w:val="1"/>
                <w:bCs w:val="1"/>
                <w:color w:val="FFFFFF"/>
                <w:w w:val="99"/>
              </w:rPr>
              <w:t>Date &amp; Time</w:t>
            </w:r>
          </w:p>
        </w:tc>
        <w:tc>
          <w:tcPr>
            <w:tcW w:w="240" w:type="dxa"/>
            <w:vAlign w:val="bottom"/>
            <w:tcBorders>
              <w:top w:val="single" w:sz="8" w:color="3465B0"/>
            </w:tcBorders>
            <w:shd w:val="clear" w:color="auto" w:fill="3465B0"/>
          </w:tcPr>
          <w:p>
            <w:pPr>
              <w:spacing w:after="0"/>
              <w:rPr>
                <w:sz w:val="24"/>
                <w:szCs w:val="24"/>
                <w:color w:val="auto"/>
              </w:rPr>
            </w:pPr>
          </w:p>
        </w:tc>
        <w:tc>
          <w:tcPr>
            <w:tcW w:w="3920" w:type="dxa"/>
            <w:vAlign w:val="bottom"/>
            <w:tcBorders>
              <w:top w:val="single" w:sz="8" w:color="3465B0"/>
              <w:right w:val="single" w:sz="8" w:color="93A1D2"/>
            </w:tcBorders>
            <w:shd w:val="clear" w:color="auto" w:fill="3465B0"/>
          </w:tcPr>
          <w:p>
            <w:pPr>
              <w:jc w:val="center"/>
              <w:ind w:right="150"/>
              <w:spacing w:after="0"/>
              <w:rPr>
                <w:sz w:val="20"/>
                <w:szCs w:val="20"/>
                <w:color w:val="auto"/>
              </w:rPr>
            </w:pPr>
            <w:r>
              <w:rPr>
                <w:rFonts w:ascii="Arial" w:cs="Arial" w:eastAsia="Arial" w:hAnsi="Arial"/>
                <w:sz w:val="18"/>
                <w:szCs w:val="18"/>
                <w:b w:val="1"/>
                <w:bCs w:val="1"/>
                <w:color w:val="FFFFFF"/>
              </w:rPr>
              <w:t>Location</w:t>
            </w:r>
          </w:p>
        </w:tc>
        <w:tc>
          <w:tcPr>
            <w:tcW w:w="240" w:type="dxa"/>
            <w:vAlign w:val="bottom"/>
            <w:tcBorders>
              <w:top w:val="single" w:sz="8" w:color="3465B0"/>
            </w:tcBorders>
            <w:shd w:val="clear" w:color="auto" w:fill="3465B0"/>
          </w:tcPr>
          <w:p>
            <w:pPr>
              <w:spacing w:after="0"/>
              <w:rPr>
                <w:sz w:val="24"/>
                <w:szCs w:val="24"/>
                <w:color w:val="auto"/>
              </w:rPr>
            </w:pPr>
          </w:p>
        </w:tc>
        <w:tc>
          <w:tcPr>
            <w:tcW w:w="2260" w:type="dxa"/>
            <w:vAlign w:val="bottom"/>
            <w:tcBorders>
              <w:top w:val="single" w:sz="8" w:color="3465B0"/>
              <w:right w:val="single" w:sz="8" w:color="3465B0"/>
            </w:tcBorders>
            <w:shd w:val="clear" w:color="auto" w:fill="3465B0"/>
          </w:tcPr>
          <w:p>
            <w:pPr>
              <w:ind w:left="560"/>
              <w:spacing w:after="0"/>
              <w:rPr>
                <w:sz w:val="20"/>
                <w:szCs w:val="20"/>
                <w:color w:val="auto"/>
              </w:rPr>
            </w:pPr>
            <w:r>
              <w:rPr>
                <w:rFonts w:ascii="Arial" w:cs="Arial" w:eastAsia="Arial" w:hAnsi="Arial"/>
                <w:sz w:val="18"/>
                <w:szCs w:val="18"/>
                <w:b w:val="1"/>
                <w:bCs w:val="1"/>
                <w:color w:val="FFFFFF"/>
              </w:rPr>
              <w:t>Record Date</w:t>
            </w:r>
          </w:p>
        </w:tc>
      </w:tr>
      <w:tr>
        <w:trPr>
          <w:trHeight w:val="211"/>
        </w:trPr>
        <w:tc>
          <w:tcPr>
            <w:tcW w:w="80" w:type="dxa"/>
            <w:vAlign w:val="bottom"/>
            <w:tcBorders>
              <w:left w:val="single" w:sz="8" w:color="3465B0"/>
            </w:tcBorders>
          </w:tcPr>
          <w:p>
            <w:pPr>
              <w:spacing w:after="0"/>
              <w:rPr>
                <w:sz w:val="18"/>
                <w:szCs w:val="18"/>
                <w:color w:val="auto"/>
              </w:rPr>
            </w:pPr>
          </w:p>
        </w:tc>
        <w:tc>
          <w:tcPr>
            <w:tcW w:w="2420" w:type="dxa"/>
            <w:vAlign w:val="bottom"/>
            <w:tcBorders>
              <w:right w:val="single" w:sz="8" w:color="93A1D2"/>
            </w:tcBorders>
          </w:tcPr>
          <w:p>
            <w:pPr>
              <w:jc w:val="center"/>
              <w:ind w:right="150"/>
              <w:spacing w:after="0"/>
              <w:rPr>
                <w:sz w:val="20"/>
                <w:szCs w:val="20"/>
                <w:color w:val="auto"/>
              </w:rPr>
            </w:pPr>
            <w:r>
              <w:rPr>
                <w:rFonts w:ascii="Arial" w:cs="Arial" w:eastAsia="Arial" w:hAnsi="Arial"/>
                <w:sz w:val="18"/>
                <w:szCs w:val="18"/>
                <w:color w:val="auto"/>
                <w:w w:val="99"/>
              </w:rPr>
              <w:t>June 17, 2026</w:t>
            </w:r>
          </w:p>
        </w:tc>
        <w:tc>
          <w:tcPr>
            <w:tcW w:w="240" w:type="dxa"/>
            <w:vAlign w:val="bottom"/>
          </w:tcPr>
          <w:p>
            <w:pPr>
              <w:spacing w:after="0"/>
              <w:rPr>
                <w:sz w:val="18"/>
                <w:szCs w:val="18"/>
                <w:color w:val="auto"/>
              </w:rPr>
            </w:pPr>
          </w:p>
        </w:tc>
        <w:tc>
          <w:tcPr>
            <w:tcW w:w="3920" w:type="dxa"/>
            <w:vAlign w:val="bottom"/>
            <w:tcBorders>
              <w:right w:val="single" w:sz="8" w:color="93A1D2"/>
            </w:tcBorders>
          </w:tcPr>
          <w:p>
            <w:pPr>
              <w:jc w:val="center"/>
              <w:ind w:right="210"/>
              <w:spacing w:after="0"/>
              <w:rPr>
                <w:sz w:val="20"/>
                <w:szCs w:val="20"/>
                <w:color w:val="auto"/>
              </w:rPr>
            </w:pPr>
            <w:r>
              <w:rPr>
                <w:rFonts w:ascii="Arial" w:cs="Arial" w:eastAsia="Arial" w:hAnsi="Arial"/>
                <w:sz w:val="18"/>
                <w:szCs w:val="18"/>
                <w:color w:val="auto"/>
              </w:rPr>
              <w:t>Greater North Fulton Chamber of Commerce</w:t>
            </w:r>
          </w:p>
        </w:tc>
        <w:tc>
          <w:tcPr>
            <w:tcW w:w="240" w:type="dxa"/>
            <w:vAlign w:val="bottom"/>
          </w:tcPr>
          <w:p>
            <w:pPr>
              <w:spacing w:after="0"/>
              <w:rPr>
                <w:sz w:val="18"/>
                <w:szCs w:val="18"/>
                <w:color w:val="auto"/>
              </w:rPr>
            </w:pPr>
          </w:p>
        </w:tc>
        <w:tc>
          <w:tcPr>
            <w:tcW w:w="2260" w:type="dxa"/>
            <w:vAlign w:val="bottom"/>
            <w:tcBorders>
              <w:right w:val="single" w:sz="8" w:color="3465B0"/>
            </w:tcBorders>
          </w:tcPr>
          <w:p>
            <w:pPr>
              <w:ind w:left="540"/>
              <w:spacing w:after="0"/>
              <w:rPr>
                <w:sz w:val="20"/>
                <w:szCs w:val="20"/>
                <w:color w:val="auto"/>
              </w:rPr>
            </w:pPr>
            <w:r>
              <w:rPr>
                <w:rFonts w:ascii="Arial" w:cs="Arial" w:eastAsia="Arial" w:hAnsi="Arial"/>
                <w:sz w:val="18"/>
                <w:szCs w:val="18"/>
                <w:color w:val="auto"/>
              </w:rPr>
              <w:t>April 20, 2026</w:t>
            </w:r>
          </w:p>
        </w:tc>
      </w:tr>
      <w:tr>
        <w:trPr>
          <w:trHeight w:val="203"/>
        </w:trPr>
        <w:tc>
          <w:tcPr>
            <w:tcW w:w="80" w:type="dxa"/>
            <w:vAlign w:val="bottom"/>
            <w:tcBorders>
              <w:left w:val="single" w:sz="8" w:color="3465B0"/>
            </w:tcBorders>
          </w:tcPr>
          <w:p>
            <w:pPr>
              <w:spacing w:after="0"/>
              <w:rPr>
                <w:sz w:val="17"/>
                <w:szCs w:val="17"/>
                <w:color w:val="auto"/>
              </w:rPr>
            </w:pPr>
          </w:p>
        </w:tc>
        <w:tc>
          <w:tcPr>
            <w:tcW w:w="2420" w:type="dxa"/>
            <w:vAlign w:val="bottom"/>
            <w:tcBorders>
              <w:right w:val="single" w:sz="8" w:color="93A1D2"/>
            </w:tcBorders>
          </w:tcPr>
          <w:p>
            <w:pPr>
              <w:jc w:val="center"/>
              <w:ind w:right="170"/>
              <w:spacing w:after="0" w:line="202" w:lineRule="exact"/>
              <w:rPr>
                <w:sz w:val="20"/>
                <w:szCs w:val="20"/>
                <w:color w:val="auto"/>
              </w:rPr>
            </w:pPr>
            <w:r>
              <w:rPr>
                <w:rFonts w:ascii="Arial" w:cs="Arial" w:eastAsia="Arial" w:hAnsi="Arial"/>
                <w:sz w:val="18"/>
                <w:szCs w:val="18"/>
                <w:color w:val="auto"/>
              </w:rPr>
              <w:t>1:00 p.m. Eastern Time</w:t>
            </w:r>
          </w:p>
        </w:tc>
        <w:tc>
          <w:tcPr>
            <w:tcW w:w="240" w:type="dxa"/>
            <w:vAlign w:val="bottom"/>
          </w:tcPr>
          <w:p>
            <w:pPr>
              <w:spacing w:after="0"/>
              <w:rPr>
                <w:sz w:val="17"/>
                <w:szCs w:val="17"/>
                <w:color w:val="auto"/>
              </w:rPr>
            </w:pPr>
          </w:p>
        </w:tc>
        <w:tc>
          <w:tcPr>
            <w:tcW w:w="3920" w:type="dxa"/>
            <w:vAlign w:val="bottom"/>
            <w:tcBorders>
              <w:right w:val="single" w:sz="8" w:color="93A1D2"/>
            </w:tcBorders>
          </w:tcPr>
          <w:p>
            <w:pPr>
              <w:jc w:val="center"/>
              <w:ind w:right="190"/>
              <w:spacing w:after="0" w:line="202" w:lineRule="exact"/>
              <w:rPr>
                <w:sz w:val="20"/>
                <w:szCs w:val="20"/>
                <w:color w:val="auto"/>
              </w:rPr>
            </w:pPr>
            <w:r>
              <w:rPr>
                <w:rFonts w:ascii="Arial" w:cs="Arial" w:eastAsia="Arial" w:hAnsi="Arial"/>
                <w:sz w:val="18"/>
                <w:szCs w:val="18"/>
                <w:color w:val="auto"/>
                <w:w w:val="99"/>
              </w:rPr>
              <w:t>1000 Avalon Boulevard, Suite 100</w:t>
            </w:r>
          </w:p>
        </w:tc>
        <w:tc>
          <w:tcPr>
            <w:tcW w:w="240" w:type="dxa"/>
            <w:vAlign w:val="bottom"/>
          </w:tcPr>
          <w:p>
            <w:pPr>
              <w:spacing w:after="0"/>
              <w:rPr>
                <w:sz w:val="17"/>
                <w:szCs w:val="17"/>
                <w:color w:val="auto"/>
              </w:rPr>
            </w:pPr>
          </w:p>
        </w:tc>
        <w:tc>
          <w:tcPr>
            <w:tcW w:w="2260" w:type="dxa"/>
            <w:vAlign w:val="bottom"/>
            <w:tcBorders>
              <w:right w:val="single" w:sz="8" w:color="3465B0"/>
            </w:tcBorders>
          </w:tcPr>
          <w:p>
            <w:pPr>
              <w:spacing w:after="0"/>
              <w:rPr>
                <w:sz w:val="17"/>
                <w:szCs w:val="17"/>
                <w:color w:val="auto"/>
              </w:rPr>
            </w:pPr>
          </w:p>
        </w:tc>
      </w:tr>
      <w:tr>
        <w:trPr>
          <w:trHeight w:val="272"/>
        </w:trPr>
        <w:tc>
          <w:tcPr>
            <w:tcW w:w="80" w:type="dxa"/>
            <w:vAlign w:val="bottom"/>
            <w:tcBorders>
              <w:left w:val="single" w:sz="8" w:color="3465B0"/>
            </w:tcBorders>
          </w:tcPr>
          <w:p>
            <w:pPr>
              <w:spacing w:after="0"/>
              <w:rPr>
                <w:sz w:val="23"/>
                <w:szCs w:val="23"/>
                <w:color w:val="auto"/>
              </w:rPr>
            </w:pPr>
          </w:p>
        </w:tc>
        <w:tc>
          <w:tcPr>
            <w:tcW w:w="2420" w:type="dxa"/>
            <w:vAlign w:val="bottom"/>
            <w:tcBorders>
              <w:right w:val="single" w:sz="8" w:color="93A1D2"/>
            </w:tcBorders>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tcBorders>
              <w:right w:val="single" w:sz="8" w:color="93A1D2"/>
            </w:tcBorders>
          </w:tcPr>
          <w:p>
            <w:pPr>
              <w:jc w:val="center"/>
              <w:ind w:right="150"/>
              <w:spacing w:after="0"/>
              <w:rPr>
                <w:sz w:val="20"/>
                <w:szCs w:val="20"/>
                <w:color w:val="auto"/>
              </w:rPr>
            </w:pPr>
            <w:r>
              <w:rPr>
                <w:rFonts w:ascii="Arial" w:cs="Arial" w:eastAsia="Arial" w:hAnsi="Arial"/>
                <w:sz w:val="18"/>
                <w:szCs w:val="18"/>
                <w:color w:val="auto"/>
              </w:rPr>
              <w:t>Alpharetta, Georgia 30009</w:t>
            </w:r>
          </w:p>
        </w:tc>
        <w:tc>
          <w:tcPr>
            <w:tcW w:w="240" w:type="dxa"/>
            <w:vAlign w:val="bottom"/>
          </w:tcPr>
          <w:p>
            <w:pPr>
              <w:spacing w:after="0"/>
              <w:rPr>
                <w:sz w:val="23"/>
                <w:szCs w:val="23"/>
                <w:color w:val="auto"/>
              </w:rPr>
            </w:pPr>
          </w:p>
        </w:tc>
        <w:tc>
          <w:tcPr>
            <w:tcW w:w="2260" w:type="dxa"/>
            <w:vAlign w:val="bottom"/>
            <w:tcBorders>
              <w:right w:val="single" w:sz="8" w:color="3465B0"/>
            </w:tcBorders>
          </w:tcPr>
          <w:p>
            <w:pPr>
              <w:spacing w:after="0"/>
              <w:rPr>
                <w:sz w:val="23"/>
                <w:szCs w:val="23"/>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2420" w:type="dxa"/>
            <w:vAlign w:val="bottom"/>
            <w:tcBorders>
              <w:right w:val="single" w:sz="8" w:color="3465B0"/>
            </w:tcBorders>
            <w:shd w:val="clear" w:color="auto" w:fill="3465B0"/>
          </w:tcPr>
          <w:p>
            <w:pPr>
              <w:spacing w:after="0" w:line="20" w:lineRule="exact"/>
              <w:rPr>
                <w:sz w:val="1"/>
                <w:szCs w:val="1"/>
                <w:color w:val="auto"/>
              </w:rPr>
            </w:pPr>
          </w:p>
        </w:tc>
        <w:tc>
          <w:tcPr>
            <w:tcW w:w="240" w:type="dxa"/>
            <w:vAlign w:val="bottom"/>
            <w:shd w:val="clear" w:color="auto" w:fill="3465B0"/>
          </w:tcPr>
          <w:p>
            <w:pPr>
              <w:spacing w:after="0" w:line="20" w:lineRule="exact"/>
              <w:rPr>
                <w:sz w:val="1"/>
                <w:szCs w:val="1"/>
                <w:color w:val="auto"/>
              </w:rPr>
            </w:pPr>
          </w:p>
        </w:tc>
        <w:tc>
          <w:tcPr>
            <w:tcW w:w="3920" w:type="dxa"/>
            <w:vAlign w:val="bottom"/>
            <w:tcBorders>
              <w:right w:val="single" w:sz="8" w:color="3465B0"/>
            </w:tcBorders>
            <w:shd w:val="clear" w:color="auto" w:fill="3465B0"/>
          </w:tcPr>
          <w:p>
            <w:pPr>
              <w:spacing w:after="0" w:line="20" w:lineRule="exact"/>
              <w:rPr>
                <w:sz w:val="1"/>
                <w:szCs w:val="1"/>
                <w:color w:val="auto"/>
              </w:rPr>
            </w:pPr>
          </w:p>
        </w:tc>
        <w:tc>
          <w:tcPr>
            <w:tcW w:w="240" w:type="dxa"/>
            <w:vAlign w:val="bottom"/>
            <w:shd w:val="clear" w:color="auto" w:fill="3465B0"/>
          </w:tcPr>
          <w:p>
            <w:pPr>
              <w:spacing w:after="0" w:line="20" w:lineRule="exact"/>
              <w:rPr>
                <w:sz w:val="1"/>
                <w:szCs w:val="1"/>
                <w:color w:val="auto"/>
              </w:rPr>
            </w:pPr>
          </w:p>
        </w:tc>
        <w:tc>
          <w:tcPr>
            <w:tcW w:w="2260" w:type="dxa"/>
            <w:vAlign w:val="bottom"/>
            <w:tcBorders>
              <w:right w:val="single" w:sz="8" w:color="3465B0"/>
            </w:tcBorders>
            <w:shd w:val="clear" w:color="auto" w:fill="3465B0"/>
          </w:tcPr>
          <w:p>
            <w:pPr>
              <w:spacing w:after="0" w:line="20" w:lineRule="exact"/>
              <w:rPr>
                <w:sz w:val="1"/>
                <w:szCs w:val="1"/>
                <w:color w:val="auto"/>
              </w:rPr>
            </w:pPr>
          </w:p>
        </w:tc>
      </w:tr>
    </w:tbl>
    <w:p>
      <w:pPr>
        <w:spacing w:after="0" w:line="319"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37" w:lineRule="exact"/>
        <w:rPr>
          <w:sz w:val="20"/>
          <w:szCs w:val="20"/>
          <w:color w:val="auto"/>
        </w:rPr>
      </w:pPr>
    </w:p>
    <w:tbl>
      <w:tblPr>
        <w:tblLayout w:type="fixed"/>
        <w:tblInd w:w="930" w:type="dxa"/>
        <w:tblCellMar>
          <w:top w:w="0" w:type="dxa"/>
          <w:left w:w="0" w:type="dxa"/>
          <w:bottom w:w="0" w:type="dxa"/>
          <w:right w:w="0" w:type="dxa"/>
        </w:tblCellMar>
      </w:tblPr>
      <w:tr>
        <w:trPr>
          <w:trHeight w:val="268"/>
        </w:trPr>
        <w:tc>
          <w:tcPr>
            <w:tcW w:w="80" w:type="dxa"/>
            <w:vAlign w:val="bottom"/>
            <w:tcBorders>
              <w:top w:val="single" w:sz="8" w:color="3465B0"/>
              <w:left w:val="single" w:sz="8" w:color="3465B0"/>
            </w:tcBorders>
            <w:shd w:val="clear" w:color="auto" w:fill="3465B0"/>
          </w:tcPr>
          <w:p>
            <w:pPr>
              <w:spacing w:after="0"/>
              <w:rPr>
                <w:sz w:val="23"/>
                <w:szCs w:val="23"/>
                <w:color w:val="auto"/>
              </w:rPr>
            </w:pPr>
          </w:p>
        </w:tc>
        <w:tc>
          <w:tcPr>
            <w:tcW w:w="5920" w:type="dxa"/>
            <w:vAlign w:val="bottom"/>
            <w:tcBorders>
              <w:top w:val="single" w:sz="8" w:color="3465B0"/>
              <w:right w:val="single" w:sz="8" w:color="93A1D2"/>
            </w:tcBorders>
            <w:shd w:val="clear" w:color="auto" w:fill="3465B0"/>
          </w:tcPr>
          <w:p>
            <w:pPr>
              <w:spacing w:after="0"/>
              <w:rPr>
                <w:sz w:val="23"/>
                <w:szCs w:val="23"/>
                <w:color w:val="auto"/>
              </w:rPr>
            </w:pPr>
          </w:p>
        </w:tc>
        <w:tc>
          <w:tcPr>
            <w:tcW w:w="80" w:type="dxa"/>
            <w:vAlign w:val="bottom"/>
            <w:tcBorders>
              <w:top w:val="single" w:sz="8" w:color="3465B0"/>
            </w:tcBorders>
            <w:shd w:val="clear" w:color="auto" w:fill="3465B0"/>
          </w:tcPr>
          <w:p>
            <w:pPr>
              <w:spacing w:after="0"/>
              <w:rPr>
                <w:sz w:val="23"/>
                <w:szCs w:val="23"/>
                <w:color w:val="auto"/>
              </w:rPr>
            </w:pPr>
          </w:p>
        </w:tc>
        <w:tc>
          <w:tcPr>
            <w:tcW w:w="1840" w:type="dxa"/>
            <w:vAlign w:val="bottom"/>
            <w:tcBorders>
              <w:top w:val="single" w:sz="8" w:color="3465B0"/>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Board Vote</w:t>
            </w:r>
          </w:p>
        </w:tc>
        <w:tc>
          <w:tcPr>
            <w:tcW w:w="60" w:type="dxa"/>
            <w:vAlign w:val="bottom"/>
            <w:tcBorders>
              <w:top w:val="single" w:sz="8" w:color="3465B0"/>
            </w:tcBorders>
            <w:shd w:val="clear" w:color="auto" w:fill="3465B0"/>
          </w:tcPr>
          <w:p>
            <w:pPr>
              <w:spacing w:after="0"/>
              <w:rPr>
                <w:sz w:val="23"/>
                <w:szCs w:val="23"/>
                <w:color w:val="auto"/>
              </w:rPr>
            </w:pPr>
          </w:p>
        </w:tc>
        <w:tc>
          <w:tcPr>
            <w:tcW w:w="1180" w:type="dxa"/>
            <w:vAlign w:val="bottom"/>
            <w:tcBorders>
              <w:top w:val="single" w:sz="8" w:color="3465B0"/>
              <w:right w:val="single" w:sz="8" w:color="3465B0"/>
            </w:tcBorders>
            <w:gridSpan w:val="4"/>
            <w:shd w:val="clear" w:color="auto" w:fill="3465B0"/>
          </w:tcPr>
          <w:p>
            <w:pPr>
              <w:ind w:left="20"/>
              <w:spacing w:after="0"/>
              <w:rPr>
                <w:sz w:val="20"/>
                <w:szCs w:val="20"/>
                <w:color w:val="auto"/>
              </w:rPr>
            </w:pPr>
            <w:r>
              <w:rPr>
                <w:rFonts w:ascii="Arial" w:cs="Arial" w:eastAsia="Arial" w:hAnsi="Arial"/>
                <w:sz w:val="18"/>
                <w:szCs w:val="18"/>
                <w:b w:val="1"/>
                <w:bCs w:val="1"/>
                <w:color w:val="FFFFFF"/>
              </w:rPr>
              <w:t>For Further</w:t>
            </w:r>
          </w:p>
        </w:tc>
      </w:tr>
      <w:tr>
        <w:trPr>
          <w:trHeight w:val="262"/>
        </w:trPr>
        <w:tc>
          <w:tcPr>
            <w:tcW w:w="80" w:type="dxa"/>
            <w:vAlign w:val="bottom"/>
            <w:tcBorders>
              <w:left w:val="single" w:sz="8" w:color="3465B0"/>
            </w:tcBorders>
            <w:shd w:val="clear" w:color="auto" w:fill="3465B0"/>
          </w:tcPr>
          <w:p>
            <w:pPr>
              <w:spacing w:after="0"/>
              <w:rPr>
                <w:sz w:val="22"/>
                <w:szCs w:val="22"/>
                <w:color w:val="auto"/>
              </w:rPr>
            </w:pPr>
          </w:p>
        </w:tc>
        <w:tc>
          <w:tcPr>
            <w:tcW w:w="5920" w:type="dxa"/>
            <w:vAlign w:val="bottom"/>
            <w:tcBorders>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Company Proposals</w:t>
            </w:r>
          </w:p>
        </w:tc>
        <w:tc>
          <w:tcPr>
            <w:tcW w:w="80" w:type="dxa"/>
            <w:vAlign w:val="bottom"/>
            <w:shd w:val="clear" w:color="auto" w:fill="3465B0"/>
          </w:tcPr>
          <w:p>
            <w:pPr>
              <w:spacing w:after="0"/>
              <w:rPr>
                <w:sz w:val="22"/>
                <w:szCs w:val="22"/>
                <w:color w:val="auto"/>
              </w:rPr>
            </w:pPr>
          </w:p>
        </w:tc>
        <w:tc>
          <w:tcPr>
            <w:tcW w:w="184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Recommendation</w:t>
            </w:r>
          </w:p>
        </w:tc>
        <w:tc>
          <w:tcPr>
            <w:tcW w:w="60" w:type="dxa"/>
            <w:vAlign w:val="bottom"/>
            <w:shd w:val="clear" w:color="auto" w:fill="3465B0"/>
          </w:tcPr>
          <w:p>
            <w:pPr>
              <w:spacing w:after="0"/>
              <w:rPr>
                <w:sz w:val="22"/>
                <w:szCs w:val="22"/>
                <w:color w:val="auto"/>
              </w:rPr>
            </w:pPr>
          </w:p>
        </w:tc>
        <w:tc>
          <w:tcPr>
            <w:tcW w:w="1180" w:type="dxa"/>
            <w:vAlign w:val="bottom"/>
            <w:tcBorders>
              <w:right w:val="single" w:sz="8" w:color="3465B0"/>
            </w:tcBorders>
            <w:gridSpan w:val="4"/>
            <w:shd w:val="clear" w:color="auto" w:fill="3465B0"/>
          </w:tcPr>
          <w:p>
            <w:pPr>
              <w:ind w:left="20"/>
              <w:spacing w:after="0"/>
              <w:rPr>
                <w:sz w:val="20"/>
                <w:szCs w:val="20"/>
                <w:color w:val="auto"/>
              </w:rPr>
            </w:pPr>
            <w:r>
              <w:rPr>
                <w:rFonts w:ascii="Arial" w:cs="Arial" w:eastAsia="Arial" w:hAnsi="Arial"/>
                <w:sz w:val="18"/>
                <w:szCs w:val="18"/>
                <w:b w:val="1"/>
                <w:bCs w:val="1"/>
                <w:color w:val="FFFFFF"/>
              </w:rPr>
              <w:t>Details</w:t>
            </w:r>
          </w:p>
        </w:tc>
      </w:tr>
      <w:tr>
        <w:trPr>
          <w:trHeight w:val="203"/>
        </w:trPr>
        <w:tc>
          <w:tcPr>
            <w:tcW w:w="80" w:type="dxa"/>
            <w:vAlign w:val="bottom"/>
            <w:tcBorders>
              <w:left w:val="single" w:sz="8" w:color="3465B0"/>
            </w:tcBorders>
          </w:tcPr>
          <w:p>
            <w:pPr>
              <w:spacing w:after="0"/>
              <w:rPr>
                <w:sz w:val="17"/>
                <w:szCs w:val="17"/>
                <w:color w:val="auto"/>
              </w:rPr>
            </w:pPr>
          </w:p>
        </w:tc>
        <w:tc>
          <w:tcPr>
            <w:tcW w:w="5920" w:type="dxa"/>
            <w:vAlign w:val="bottom"/>
            <w:tcBorders>
              <w:right w:val="single" w:sz="8" w:color="93A1D2"/>
            </w:tcBorders>
          </w:tcPr>
          <w:p>
            <w:pPr>
              <w:ind w:left="40"/>
              <w:spacing w:after="0" w:line="202" w:lineRule="exact"/>
              <w:rPr>
                <w:sz w:val="20"/>
                <w:szCs w:val="20"/>
                <w:color w:val="auto"/>
              </w:rPr>
            </w:pPr>
            <w:r>
              <w:rPr>
                <w:rFonts w:ascii="Arial" w:cs="Arial" w:eastAsia="Arial" w:hAnsi="Arial"/>
                <w:sz w:val="18"/>
                <w:szCs w:val="18"/>
                <w:b w:val="1"/>
                <w:bCs w:val="1"/>
                <w:color w:val="3465B0"/>
              </w:rPr>
              <w:t xml:space="preserve">Proposal 1:  </w:t>
            </w:r>
            <w:r>
              <w:rPr>
                <w:rFonts w:ascii="Arial" w:cs="Arial" w:eastAsia="Arial" w:hAnsi="Arial"/>
                <w:sz w:val="18"/>
                <w:szCs w:val="18"/>
                <w:color w:val="000000"/>
              </w:rPr>
              <w:t>Election of the eleven director nominees listed in this</w:t>
            </w:r>
          </w:p>
        </w:tc>
        <w:tc>
          <w:tcPr>
            <w:tcW w:w="80" w:type="dxa"/>
            <w:vAlign w:val="bottom"/>
          </w:tcPr>
          <w:p>
            <w:pPr>
              <w:spacing w:after="0"/>
              <w:rPr>
                <w:sz w:val="17"/>
                <w:szCs w:val="17"/>
                <w:color w:val="auto"/>
              </w:rPr>
            </w:pPr>
          </w:p>
        </w:tc>
        <w:tc>
          <w:tcPr>
            <w:tcW w:w="1840" w:type="dxa"/>
            <w:vAlign w:val="bottom"/>
            <w:tcBorders>
              <w:right w:val="single" w:sz="8" w:color="93A1D2"/>
            </w:tcBorders>
          </w:tcPr>
          <w:p>
            <w:pPr>
              <w:spacing w:after="0" w:line="202" w:lineRule="exact"/>
              <w:rPr>
                <w:sz w:val="20"/>
                <w:szCs w:val="20"/>
                <w:color w:val="auto"/>
              </w:rPr>
            </w:pPr>
            <w:r>
              <w:rPr>
                <w:rFonts w:ascii="Arial" w:cs="Arial" w:eastAsia="Arial" w:hAnsi="Arial"/>
                <w:sz w:val="18"/>
                <w:szCs w:val="18"/>
                <w:b w:val="1"/>
                <w:bCs w:val="1"/>
                <w:color w:val="3465B0"/>
              </w:rPr>
              <w:t>FOR</w:t>
            </w:r>
          </w:p>
        </w:tc>
        <w:tc>
          <w:tcPr>
            <w:tcW w:w="60" w:type="dxa"/>
            <w:vAlign w:val="bottom"/>
          </w:tcPr>
          <w:p>
            <w:pPr>
              <w:spacing w:after="0"/>
              <w:rPr>
                <w:sz w:val="17"/>
                <w:szCs w:val="17"/>
                <w:color w:val="auto"/>
              </w:rPr>
            </w:pPr>
          </w:p>
        </w:tc>
        <w:tc>
          <w:tcPr>
            <w:tcW w:w="1180" w:type="dxa"/>
            <w:vAlign w:val="bottom"/>
            <w:tcBorders>
              <w:right w:val="single" w:sz="8" w:color="3465B0"/>
            </w:tcBorders>
            <w:gridSpan w:val="4"/>
          </w:tcPr>
          <w:p>
            <w:pPr>
              <w:ind w:left="20"/>
              <w:spacing w:after="0" w:line="202"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0000EE"/>
              </w:rPr>
              <w:t>8</w:t>
            </w:r>
          </w:p>
        </w:tc>
      </w:tr>
      <w:tr>
        <w:trPr>
          <w:trHeight w:val="227"/>
        </w:trPr>
        <w:tc>
          <w:tcPr>
            <w:tcW w:w="80" w:type="dxa"/>
            <w:vAlign w:val="bottom"/>
            <w:tcBorders>
              <w:left w:val="single" w:sz="8" w:color="3465B0"/>
            </w:tcBorders>
          </w:tcPr>
          <w:p>
            <w:pPr>
              <w:spacing w:after="0"/>
              <w:rPr>
                <w:sz w:val="19"/>
                <w:szCs w:val="19"/>
                <w:color w:val="auto"/>
              </w:rPr>
            </w:pPr>
          </w:p>
        </w:tc>
        <w:tc>
          <w:tcPr>
            <w:tcW w:w="5920" w:type="dxa"/>
            <w:vAlign w:val="bottom"/>
            <w:tcBorders>
              <w:right w:val="single" w:sz="8" w:color="93A1D2"/>
            </w:tcBorders>
          </w:tcPr>
          <w:p>
            <w:pPr>
              <w:ind w:left="1240"/>
              <w:spacing w:after="0"/>
              <w:rPr>
                <w:sz w:val="20"/>
                <w:szCs w:val="20"/>
                <w:color w:val="auto"/>
              </w:rPr>
            </w:pPr>
            <w:r>
              <w:rPr>
                <w:rFonts w:ascii="Arial" w:cs="Arial" w:eastAsia="Arial" w:hAnsi="Arial"/>
                <w:sz w:val="18"/>
                <w:szCs w:val="18"/>
                <w:color w:val="auto"/>
              </w:rPr>
              <w:t>proxy statement.</w:t>
            </w:r>
          </w:p>
        </w:tc>
        <w:tc>
          <w:tcPr>
            <w:tcW w:w="80" w:type="dxa"/>
            <w:vAlign w:val="bottom"/>
          </w:tcPr>
          <w:p>
            <w:pPr>
              <w:spacing w:after="0"/>
              <w:rPr>
                <w:sz w:val="19"/>
                <w:szCs w:val="19"/>
                <w:color w:val="auto"/>
              </w:rPr>
            </w:pPr>
          </w:p>
        </w:tc>
        <w:tc>
          <w:tcPr>
            <w:tcW w:w="1840" w:type="dxa"/>
            <w:vAlign w:val="bottom"/>
            <w:tcBorders>
              <w:right w:val="single" w:sz="8" w:color="93A1D2"/>
            </w:tcBorders>
          </w:tcPr>
          <w:p>
            <w:pPr>
              <w:spacing w:after="0"/>
              <w:rPr>
                <w:sz w:val="20"/>
                <w:szCs w:val="20"/>
                <w:color w:val="auto"/>
              </w:rPr>
            </w:pPr>
            <w:r>
              <w:rPr>
                <w:rFonts w:ascii="Arial" w:cs="Arial" w:eastAsia="Arial" w:hAnsi="Arial"/>
                <w:sz w:val="18"/>
                <w:szCs w:val="18"/>
                <w:color w:val="auto"/>
              </w:rPr>
              <w:t>all nominees</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right w:val="single" w:sz="8" w:color="3465B0"/>
            </w:tcBorders>
          </w:tcPr>
          <w:p>
            <w:pPr>
              <w:spacing w:after="0"/>
              <w:rPr>
                <w:sz w:val="19"/>
                <w:szCs w:val="19"/>
                <w:color w:val="auto"/>
              </w:rPr>
            </w:pPr>
          </w:p>
        </w:tc>
      </w:tr>
      <w:tr>
        <w:trPr>
          <w:trHeight w:val="23"/>
        </w:trPr>
        <w:tc>
          <w:tcPr>
            <w:tcW w:w="80" w:type="dxa"/>
            <w:vAlign w:val="bottom"/>
            <w:tcBorders>
              <w:left w:val="single" w:sz="8" w:color="3465B0"/>
            </w:tcBorders>
          </w:tcPr>
          <w:p>
            <w:pPr>
              <w:spacing w:after="0"/>
              <w:rPr>
                <w:sz w:val="2"/>
                <w:szCs w:val="2"/>
                <w:color w:val="auto"/>
              </w:rPr>
            </w:pPr>
          </w:p>
        </w:tc>
        <w:tc>
          <w:tcPr>
            <w:tcW w:w="5920" w:type="dxa"/>
            <w:vAlign w:val="bottom"/>
            <w:tcBorders>
              <w:right w:val="single" w:sz="8" w:color="93A1D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right w:val="single" w:sz="8" w:color="93A1D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3465B0"/>
            </w:tcBorders>
          </w:tcPr>
          <w:p>
            <w:pPr>
              <w:spacing w:after="0"/>
              <w:rPr>
                <w:sz w:val="2"/>
                <w:szCs w:val="2"/>
                <w:color w:val="auto"/>
              </w:rPr>
            </w:pPr>
          </w:p>
        </w:tc>
      </w:tr>
      <w:tr>
        <w:trPr>
          <w:trHeight w:val="203"/>
        </w:trPr>
        <w:tc>
          <w:tcPr>
            <w:tcW w:w="80" w:type="dxa"/>
            <w:vAlign w:val="bottom"/>
            <w:tcBorders>
              <w:left w:val="single" w:sz="8" w:color="3465B0"/>
            </w:tcBorders>
            <w:shd w:val="clear" w:color="auto" w:fill="CCCCCC"/>
          </w:tcPr>
          <w:p>
            <w:pPr>
              <w:spacing w:after="0"/>
              <w:rPr>
                <w:sz w:val="17"/>
                <w:szCs w:val="17"/>
                <w:color w:val="auto"/>
              </w:rPr>
            </w:pPr>
          </w:p>
        </w:tc>
        <w:tc>
          <w:tcPr>
            <w:tcW w:w="5920" w:type="dxa"/>
            <w:vAlign w:val="bottom"/>
            <w:tcBorders>
              <w:right w:val="single" w:sz="8" w:color="93A1D2"/>
            </w:tcBorders>
            <w:shd w:val="clear" w:color="auto" w:fill="CCCCCC"/>
          </w:tcPr>
          <w:p>
            <w:pPr>
              <w:ind w:left="40"/>
              <w:spacing w:after="0" w:line="202" w:lineRule="exact"/>
              <w:rPr>
                <w:sz w:val="20"/>
                <w:szCs w:val="20"/>
                <w:color w:val="auto"/>
              </w:rPr>
            </w:pPr>
            <w:r>
              <w:rPr>
                <w:rFonts w:ascii="Arial" w:cs="Arial" w:eastAsia="Arial" w:hAnsi="Arial"/>
                <w:sz w:val="18"/>
                <w:szCs w:val="18"/>
                <w:b w:val="1"/>
                <w:bCs w:val="1"/>
                <w:color w:val="3465B0"/>
              </w:rPr>
              <w:t xml:space="preserve">Proposal 2:  </w:t>
            </w:r>
            <w:r>
              <w:rPr>
                <w:rFonts w:ascii="Arial" w:cs="Arial" w:eastAsia="Arial" w:hAnsi="Arial"/>
                <w:sz w:val="18"/>
                <w:szCs w:val="18"/>
                <w:color w:val="000000"/>
              </w:rPr>
              <w:t>Advisory vote to approve the compensation of our named</w:t>
            </w:r>
          </w:p>
        </w:tc>
        <w:tc>
          <w:tcPr>
            <w:tcW w:w="80" w:type="dxa"/>
            <w:vAlign w:val="bottom"/>
            <w:shd w:val="clear" w:color="auto" w:fill="CCCCCC"/>
          </w:tcPr>
          <w:p>
            <w:pPr>
              <w:spacing w:after="0"/>
              <w:rPr>
                <w:sz w:val="17"/>
                <w:szCs w:val="17"/>
                <w:color w:val="auto"/>
              </w:rPr>
            </w:pPr>
          </w:p>
        </w:tc>
        <w:tc>
          <w:tcPr>
            <w:tcW w:w="1840" w:type="dxa"/>
            <w:vAlign w:val="bottom"/>
            <w:tcBorders>
              <w:right w:val="single" w:sz="8" w:color="93A1D2"/>
            </w:tcBorders>
            <w:shd w:val="clear" w:color="auto" w:fill="CCCCCC"/>
          </w:tcPr>
          <w:p>
            <w:pPr>
              <w:spacing w:after="0" w:line="202" w:lineRule="exact"/>
              <w:rPr>
                <w:sz w:val="20"/>
                <w:szCs w:val="20"/>
                <w:color w:val="auto"/>
              </w:rPr>
            </w:pPr>
            <w:r>
              <w:rPr>
                <w:rFonts w:ascii="Arial" w:cs="Arial" w:eastAsia="Arial" w:hAnsi="Arial"/>
                <w:sz w:val="18"/>
                <w:szCs w:val="18"/>
                <w:b w:val="1"/>
                <w:bCs w:val="1"/>
                <w:color w:val="3465B0"/>
              </w:rPr>
              <w:t>FOR</w:t>
            </w:r>
          </w:p>
        </w:tc>
        <w:tc>
          <w:tcPr>
            <w:tcW w:w="60" w:type="dxa"/>
            <w:vAlign w:val="bottom"/>
            <w:shd w:val="clear" w:color="auto" w:fill="CCCCCC"/>
          </w:tcPr>
          <w:p>
            <w:pPr>
              <w:spacing w:after="0"/>
              <w:rPr>
                <w:sz w:val="17"/>
                <w:szCs w:val="17"/>
                <w:color w:val="auto"/>
              </w:rPr>
            </w:pPr>
          </w:p>
        </w:tc>
        <w:tc>
          <w:tcPr>
            <w:tcW w:w="1180" w:type="dxa"/>
            <w:vAlign w:val="bottom"/>
            <w:tcBorders>
              <w:right w:val="single" w:sz="8" w:color="3465B0"/>
            </w:tcBorders>
            <w:gridSpan w:val="4"/>
            <w:shd w:val="clear" w:color="auto" w:fill="CCCCCC"/>
          </w:tcPr>
          <w:p>
            <w:pPr>
              <w:ind w:left="20"/>
              <w:spacing w:after="0" w:line="202"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0000EE"/>
              </w:rPr>
              <w:t>30</w:t>
            </w:r>
          </w:p>
        </w:tc>
      </w:tr>
      <w:tr>
        <w:trPr>
          <w:trHeight w:val="230"/>
        </w:trPr>
        <w:tc>
          <w:tcPr>
            <w:tcW w:w="80" w:type="dxa"/>
            <w:vAlign w:val="bottom"/>
            <w:tcBorders>
              <w:top w:val="single" w:sz="8" w:color="CCCCCC"/>
              <w:left w:val="single" w:sz="8" w:color="3465B0"/>
              <w:bottom w:val="single" w:sz="8" w:color="CCCCCC"/>
            </w:tcBorders>
            <w:shd w:val="clear" w:color="auto" w:fill="CCCCCC"/>
          </w:tcPr>
          <w:p>
            <w:pPr>
              <w:spacing w:after="0"/>
              <w:rPr>
                <w:sz w:val="20"/>
                <w:szCs w:val="20"/>
                <w:color w:val="auto"/>
              </w:rPr>
            </w:pPr>
          </w:p>
        </w:tc>
        <w:tc>
          <w:tcPr>
            <w:tcW w:w="5920" w:type="dxa"/>
            <w:vAlign w:val="bottom"/>
            <w:tcBorders>
              <w:top w:val="single" w:sz="8" w:color="CCCCCC"/>
              <w:bottom w:val="single" w:sz="8" w:color="CCCCCC"/>
              <w:right w:val="single" w:sz="8" w:color="93A1D2"/>
            </w:tcBorders>
            <w:shd w:val="clear" w:color="auto" w:fill="CCCCCC"/>
          </w:tcPr>
          <w:p>
            <w:pPr>
              <w:ind w:left="1240"/>
              <w:spacing w:after="0"/>
              <w:rPr>
                <w:sz w:val="20"/>
                <w:szCs w:val="20"/>
                <w:color w:val="auto"/>
              </w:rPr>
            </w:pPr>
            <w:r>
              <w:rPr>
                <w:rFonts w:ascii="Arial" w:cs="Arial" w:eastAsia="Arial" w:hAnsi="Arial"/>
                <w:sz w:val="18"/>
                <w:szCs w:val="18"/>
                <w:color w:val="auto"/>
              </w:rPr>
              <w:t>executive officers (“Say-on-Pay”).</w:t>
            </w:r>
          </w:p>
        </w:tc>
        <w:tc>
          <w:tcPr>
            <w:tcW w:w="80" w:type="dxa"/>
            <w:vAlign w:val="bottom"/>
            <w:tcBorders>
              <w:top w:val="single" w:sz="8" w:color="CCCCCC"/>
              <w:bottom w:val="single" w:sz="8" w:color="CCCCCC"/>
            </w:tcBorders>
            <w:shd w:val="clear" w:color="auto" w:fill="CCCCCC"/>
          </w:tcPr>
          <w:p>
            <w:pPr>
              <w:spacing w:after="0"/>
              <w:rPr>
                <w:sz w:val="20"/>
                <w:szCs w:val="20"/>
                <w:color w:val="auto"/>
              </w:rPr>
            </w:pPr>
          </w:p>
        </w:tc>
        <w:tc>
          <w:tcPr>
            <w:tcW w:w="1840" w:type="dxa"/>
            <w:vAlign w:val="bottom"/>
            <w:tcBorders>
              <w:top w:val="single" w:sz="8" w:color="CCCCCC"/>
              <w:bottom w:val="single" w:sz="8" w:color="CCCCCC"/>
              <w:right w:val="single" w:sz="8" w:color="93A1D2"/>
            </w:tcBorders>
            <w:shd w:val="clear" w:color="auto" w:fill="CCCCCC"/>
          </w:tcPr>
          <w:p>
            <w:pPr>
              <w:spacing w:after="0"/>
              <w:rPr>
                <w:sz w:val="20"/>
                <w:szCs w:val="20"/>
                <w:color w:val="auto"/>
              </w:rPr>
            </w:pPr>
          </w:p>
        </w:tc>
        <w:tc>
          <w:tcPr>
            <w:tcW w:w="60" w:type="dxa"/>
            <w:vAlign w:val="bottom"/>
            <w:tcBorders>
              <w:top w:val="single" w:sz="8" w:color="CCCCCC"/>
              <w:bottom w:val="single" w:sz="8" w:color="CCCCCC"/>
            </w:tcBorders>
            <w:shd w:val="clear" w:color="auto" w:fill="CCCCCC"/>
          </w:tcPr>
          <w:p>
            <w:pPr>
              <w:spacing w:after="0"/>
              <w:rPr>
                <w:sz w:val="20"/>
                <w:szCs w:val="20"/>
                <w:color w:val="auto"/>
              </w:rPr>
            </w:pPr>
          </w:p>
        </w:tc>
        <w:tc>
          <w:tcPr>
            <w:tcW w:w="480" w:type="dxa"/>
            <w:vAlign w:val="bottom"/>
            <w:tcBorders>
              <w:top w:val="single" w:sz="8" w:color="CCCCCC"/>
              <w:bottom w:val="single" w:sz="8" w:color="CCCCCC"/>
            </w:tcBorders>
            <w:shd w:val="clear" w:color="auto" w:fill="CCCCCC"/>
          </w:tcPr>
          <w:p>
            <w:pPr>
              <w:spacing w:after="0"/>
              <w:rPr>
                <w:sz w:val="20"/>
                <w:szCs w:val="20"/>
                <w:color w:val="auto"/>
              </w:rPr>
            </w:pPr>
          </w:p>
        </w:tc>
        <w:tc>
          <w:tcPr>
            <w:tcW w:w="100" w:type="dxa"/>
            <w:vAlign w:val="bottom"/>
            <w:tcBorders>
              <w:top w:val="single" w:sz="8" w:color="0000EE"/>
              <w:bottom w:val="single" w:sz="8" w:color="CCCCCC"/>
            </w:tcBorders>
            <w:shd w:val="clear" w:color="auto" w:fill="CCCCCC"/>
          </w:tcPr>
          <w:p>
            <w:pPr>
              <w:spacing w:after="0"/>
              <w:rPr>
                <w:sz w:val="20"/>
                <w:szCs w:val="20"/>
                <w:color w:val="auto"/>
              </w:rPr>
            </w:pPr>
          </w:p>
        </w:tc>
        <w:tc>
          <w:tcPr>
            <w:tcW w:w="100" w:type="dxa"/>
            <w:vAlign w:val="bottom"/>
            <w:tcBorders>
              <w:top w:val="single" w:sz="8" w:color="0000EE"/>
              <w:bottom w:val="single" w:sz="8" w:color="CCCCCC"/>
            </w:tcBorders>
            <w:shd w:val="clear" w:color="auto" w:fill="CCCCCC"/>
          </w:tcPr>
          <w:p>
            <w:pPr>
              <w:spacing w:after="0"/>
              <w:rPr>
                <w:sz w:val="20"/>
                <w:szCs w:val="20"/>
                <w:color w:val="auto"/>
              </w:rPr>
            </w:pPr>
          </w:p>
        </w:tc>
        <w:tc>
          <w:tcPr>
            <w:tcW w:w="500" w:type="dxa"/>
            <w:vAlign w:val="bottom"/>
            <w:tcBorders>
              <w:top w:val="single" w:sz="8" w:color="CCCCCC"/>
              <w:bottom w:val="single" w:sz="8" w:color="CCCCCC"/>
              <w:right w:val="single" w:sz="8" w:color="3465B0"/>
            </w:tcBorders>
            <w:shd w:val="clear" w:color="auto" w:fill="CCCCCC"/>
          </w:tcPr>
          <w:p>
            <w:pPr>
              <w:spacing w:after="0"/>
              <w:rPr>
                <w:sz w:val="20"/>
                <w:szCs w:val="20"/>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5920" w:type="dxa"/>
            <w:vAlign w:val="bottom"/>
            <w:tcBorders>
              <w:right w:val="single" w:sz="8" w:color="93A1D2"/>
            </w:tcBorders>
          </w:tcPr>
          <w:p>
            <w:pPr>
              <w:ind w:left="40"/>
              <w:spacing w:after="0" w:line="202" w:lineRule="exact"/>
              <w:rPr>
                <w:sz w:val="20"/>
                <w:szCs w:val="20"/>
                <w:color w:val="auto"/>
              </w:rPr>
            </w:pPr>
            <w:r>
              <w:rPr>
                <w:rFonts w:ascii="Arial" w:cs="Arial" w:eastAsia="Arial" w:hAnsi="Arial"/>
                <w:sz w:val="18"/>
                <w:szCs w:val="18"/>
                <w:b w:val="1"/>
                <w:bCs w:val="1"/>
                <w:color w:val="3465B0"/>
              </w:rPr>
              <w:t xml:space="preserve">Proposal 3:  </w:t>
            </w:r>
            <w:r>
              <w:rPr>
                <w:rFonts w:ascii="Arial" w:cs="Arial" w:eastAsia="Arial" w:hAnsi="Arial"/>
                <w:sz w:val="18"/>
                <w:szCs w:val="18"/>
                <w:color w:val="000000"/>
              </w:rPr>
              <w:t>Ratification of the appointment of Deloitte &amp; Touche LLP</w:t>
            </w:r>
          </w:p>
        </w:tc>
        <w:tc>
          <w:tcPr>
            <w:tcW w:w="80" w:type="dxa"/>
            <w:vAlign w:val="bottom"/>
          </w:tcPr>
          <w:p>
            <w:pPr>
              <w:spacing w:after="0"/>
              <w:rPr>
                <w:sz w:val="17"/>
                <w:szCs w:val="17"/>
                <w:color w:val="auto"/>
              </w:rPr>
            </w:pPr>
          </w:p>
        </w:tc>
        <w:tc>
          <w:tcPr>
            <w:tcW w:w="1840" w:type="dxa"/>
            <w:vAlign w:val="bottom"/>
            <w:tcBorders>
              <w:right w:val="single" w:sz="8" w:color="93A1D2"/>
            </w:tcBorders>
          </w:tcPr>
          <w:p>
            <w:pPr>
              <w:spacing w:after="0" w:line="202" w:lineRule="exact"/>
              <w:rPr>
                <w:sz w:val="20"/>
                <w:szCs w:val="20"/>
                <w:color w:val="auto"/>
              </w:rPr>
            </w:pPr>
            <w:r>
              <w:rPr>
                <w:rFonts w:ascii="Arial" w:cs="Arial" w:eastAsia="Arial" w:hAnsi="Arial"/>
                <w:sz w:val="18"/>
                <w:szCs w:val="18"/>
                <w:b w:val="1"/>
                <w:bCs w:val="1"/>
                <w:color w:val="3465B0"/>
              </w:rPr>
              <w:t>FOR</w:t>
            </w:r>
          </w:p>
        </w:tc>
        <w:tc>
          <w:tcPr>
            <w:tcW w:w="60" w:type="dxa"/>
            <w:vAlign w:val="bottom"/>
          </w:tcPr>
          <w:p>
            <w:pPr>
              <w:spacing w:after="0"/>
              <w:rPr>
                <w:sz w:val="17"/>
                <w:szCs w:val="17"/>
                <w:color w:val="auto"/>
              </w:rPr>
            </w:pPr>
          </w:p>
        </w:tc>
        <w:tc>
          <w:tcPr>
            <w:tcW w:w="1180" w:type="dxa"/>
            <w:vAlign w:val="bottom"/>
            <w:tcBorders>
              <w:right w:val="single" w:sz="8" w:color="3465B0"/>
            </w:tcBorders>
            <w:gridSpan w:val="4"/>
          </w:tcPr>
          <w:p>
            <w:pPr>
              <w:ind w:left="20"/>
              <w:spacing w:after="0" w:line="202"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0000EE"/>
              </w:rPr>
              <w:t>69</w:t>
            </w:r>
          </w:p>
        </w:tc>
      </w:tr>
      <w:tr>
        <w:trPr>
          <w:trHeight w:val="191"/>
        </w:trPr>
        <w:tc>
          <w:tcPr>
            <w:tcW w:w="80" w:type="dxa"/>
            <w:vAlign w:val="bottom"/>
            <w:tcBorders>
              <w:left w:val="single" w:sz="8" w:color="3465B0"/>
            </w:tcBorders>
          </w:tcPr>
          <w:p>
            <w:pPr>
              <w:spacing w:after="0"/>
              <w:rPr>
                <w:sz w:val="16"/>
                <w:szCs w:val="16"/>
                <w:color w:val="auto"/>
              </w:rPr>
            </w:pPr>
          </w:p>
        </w:tc>
        <w:tc>
          <w:tcPr>
            <w:tcW w:w="5920" w:type="dxa"/>
            <w:vAlign w:val="bottom"/>
            <w:tcBorders>
              <w:right w:val="single" w:sz="8" w:color="93A1D2"/>
            </w:tcBorders>
          </w:tcPr>
          <w:p>
            <w:pPr>
              <w:ind w:left="1240"/>
              <w:spacing w:after="0" w:line="191" w:lineRule="exact"/>
              <w:rPr>
                <w:sz w:val="20"/>
                <w:szCs w:val="20"/>
                <w:color w:val="auto"/>
              </w:rPr>
            </w:pPr>
            <w:r>
              <w:rPr>
                <w:rFonts w:ascii="Arial" w:cs="Arial" w:eastAsia="Arial" w:hAnsi="Arial"/>
                <w:sz w:val="18"/>
                <w:szCs w:val="18"/>
                <w:color w:val="auto"/>
              </w:rPr>
              <w:t>as our independent registered public accounting firm for</w:t>
            </w:r>
          </w:p>
        </w:tc>
        <w:tc>
          <w:tcPr>
            <w:tcW w:w="80" w:type="dxa"/>
            <w:vAlign w:val="bottom"/>
          </w:tcPr>
          <w:p>
            <w:pPr>
              <w:spacing w:after="0"/>
              <w:rPr>
                <w:sz w:val="16"/>
                <w:szCs w:val="16"/>
                <w:color w:val="auto"/>
              </w:rPr>
            </w:pPr>
          </w:p>
        </w:tc>
        <w:tc>
          <w:tcPr>
            <w:tcW w:w="184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00" w:type="dxa"/>
            <w:vAlign w:val="bottom"/>
            <w:tcBorders>
              <w:right w:val="single" w:sz="8" w:color="3465B0"/>
            </w:tcBorders>
          </w:tcPr>
          <w:p>
            <w:pPr>
              <w:spacing w:after="0"/>
              <w:rPr>
                <w:sz w:val="16"/>
                <w:szCs w:val="16"/>
                <w:color w:val="auto"/>
              </w:rPr>
            </w:pPr>
          </w:p>
        </w:tc>
      </w:tr>
      <w:tr>
        <w:trPr>
          <w:trHeight w:val="272"/>
        </w:trPr>
        <w:tc>
          <w:tcPr>
            <w:tcW w:w="6000" w:type="dxa"/>
            <w:vAlign w:val="bottom"/>
            <w:tcBorders>
              <w:left w:val="single" w:sz="8" w:color="3465B0"/>
              <w:right w:val="single" w:sz="8" w:color="93A1D2"/>
            </w:tcBorders>
            <w:gridSpan w:val="2"/>
          </w:tcPr>
          <w:p>
            <w:pPr>
              <w:ind w:left="13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3"/>
                <w:szCs w:val="23"/>
                <w:color w:val="auto"/>
              </w:rPr>
            </w:pPr>
          </w:p>
        </w:tc>
        <w:tc>
          <w:tcPr>
            <w:tcW w:w="1840" w:type="dxa"/>
            <w:vAlign w:val="bottom"/>
            <w:tcBorders>
              <w:right w:val="single" w:sz="8" w:color="93A1D2"/>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right w:val="single" w:sz="8" w:color="3465B0"/>
            </w:tcBorders>
          </w:tcPr>
          <w:p>
            <w:pPr>
              <w:spacing w:after="0"/>
              <w:rPr>
                <w:sz w:val="23"/>
                <w:szCs w:val="23"/>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5920" w:type="dxa"/>
            <w:vAlign w:val="bottom"/>
            <w:tcBorders>
              <w:right w:val="single" w:sz="8" w:color="3465B0"/>
            </w:tcBorders>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1840" w:type="dxa"/>
            <w:vAlign w:val="bottom"/>
            <w:tcBorders>
              <w:right w:val="single" w:sz="8" w:color="3465B0"/>
            </w:tcBorders>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480" w:type="dxa"/>
            <w:vAlign w:val="bottom"/>
            <w:shd w:val="clear" w:color="auto" w:fill="3465B0"/>
          </w:tcPr>
          <w:p>
            <w:pPr>
              <w:spacing w:after="0" w:line="20" w:lineRule="exact"/>
              <w:rPr>
                <w:sz w:val="1"/>
                <w:szCs w:val="1"/>
                <w:color w:val="auto"/>
              </w:rPr>
            </w:pPr>
          </w:p>
        </w:tc>
        <w:tc>
          <w:tcPr>
            <w:tcW w:w="100" w:type="dxa"/>
            <w:vAlign w:val="bottom"/>
            <w:shd w:val="clear" w:color="auto" w:fill="3465B0"/>
          </w:tcPr>
          <w:p>
            <w:pPr>
              <w:spacing w:after="0" w:line="20" w:lineRule="exact"/>
              <w:rPr>
                <w:sz w:val="1"/>
                <w:szCs w:val="1"/>
                <w:color w:val="auto"/>
              </w:rPr>
            </w:pPr>
          </w:p>
        </w:tc>
        <w:tc>
          <w:tcPr>
            <w:tcW w:w="100" w:type="dxa"/>
            <w:vAlign w:val="bottom"/>
            <w:shd w:val="clear" w:color="auto" w:fill="3465B0"/>
          </w:tcPr>
          <w:p>
            <w:pPr>
              <w:spacing w:after="0" w:line="20" w:lineRule="exact"/>
              <w:rPr>
                <w:sz w:val="1"/>
                <w:szCs w:val="1"/>
                <w:color w:val="auto"/>
              </w:rPr>
            </w:pPr>
          </w:p>
        </w:tc>
        <w:tc>
          <w:tcPr>
            <w:tcW w:w="500" w:type="dxa"/>
            <w:vAlign w:val="bottom"/>
            <w:tcBorders>
              <w:right w:val="single" w:sz="8" w:color="3465B0"/>
            </w:tcBorders>
            <w:shd w:val="clear" w:color="auto" w:fill="3465B0"/>
          </w:tcPr>
          <w:p>
            <w:pPr>
              <w:spacing w:after="0" w:line="20" w:lineRule="exact"/>
              <w:rPr>
                <w:sz w:val="1"/>
                <w:szCs w:val="1"/>
                <w:color w:val="auto"/>
              </w:rPr>
            </w:pPr>
          </w:p>
        </w:tc>
      </w:tr>
    </w:tbl>
    <w:p>
      <w:pPr>
        <w:spacing w:after="0" w:line="306"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37" w:lineRule="exact"/>
        <w:rPr>
          <w:sz w:val="20"/>
          <w:szCs w:val="20"/>
          <w:color w:val="auto"/>
        </w:rPr>
      </w:pPr>
    </w:p>
    <w:tbl>
      <w:tblPr>
        <w:tblLayout w:type="fixed"/>
        <w:tblInd w:w="930" w:type="dxa"/>
        <w:tblCellMar>
          <w:top w:w="0" w:type="dxa"/>
          <w:left w:w="0" w:type="dxa"/>
          <w:bottom w:w="0" w:type="dxa"/>
          <w:right w:w="0" w:type="dxa"/>
        </w:tblCellMar>
      </w:tblPr>
      <w:tr>
        <w:trPr>
          <w:trHeight w:val="327"/>
        </w:trPr>
        <w:tc>
          <w:tcPr>
            <w:tcW w:w="80" w:type="dxa"/>
            <w:vAlign w:val="bottom"/>
            <w:tcBorders>
              <w:top w:val="single" w:sz="8" w:color="3465B0"/>
              <w:left w:val="single" w:sz="8" w:color="3465B0"/>
            </w:tcBorders>
            <w:shd w:val="clear" w:color="auto" w:fill="3465B0"/>
          </w:tcPr>
          <w:p>
            <w:pPr>
              <w:spacing w:after="0"/>
              <w:rPr>
                <w:sz w:val="24"/>
                <w:szCs w:val="24"/>
                <w:color w:val="auto"/>
              </w:rPr>
            </w:pPr>
          </w:p>
        </w:tc>
        <w:tc>
          <w:tcPr>
            <w:tcW w:w="700" w:type="dxa"/>
            <w:vAlign w:val="bottom"/>
            <w:tcBorders>
              <w:top w:val="single" w:sz="8" w:color="3465B0"/>
            </w:tcBorders>
            <w:shd w:val="clear" w:color="auto" w:fill="3465B0"/>
          </w:tcPr>
          <w:p>
            <w:pPr>
              <w:spacing w:after="0"/>
              <w:rPr>
                <w:sz w:val="24"/>
                <w:szCs w:val="24"/>
                <w:color w:val="auto"/>
              </w:rPr>
            </w:pPr>
          </w:p>
        </w:tc>
        <w:tc>
          <w:tcPr>
            <w:tcW w:w="2060" w:type="dxa"/>
            <w:vAlign w:val="bottom"/>
            <w:tcBorders>
              <w:top w:val="single" w:sz="8" w:color="3465B0"/>
              <w:right w:val="single" w:sz="8" w:color="93A1D2"/>
            </w:tcBorders>
            <w:gridSpan w:val="2"/>
            <w:shd w:val="clear" w:color="auto" w:fill="3465B0"/>
          </w:tcPr>
          <w:p>
            <w:pPr>
              <w:jc w:val="center"/>
              <w:ind w:right="880"/>
              <w:spacing w:after="0"/>
              <w:rPr>
                <w:sz w:val="20"/>
                <w:szCs w:val="20"/>
                <w:color w:val="auto"/>
              </w:rPr>
            </w:pPr>
            <w:r>
              <w:rPr>
                <w:rFonts w:ascii="Arial" w:cs="Arial" w:eastAsia="Arial" w:hAnsi="Arial"/>
                <w:sz w:val="18"/>
                <w:szCs w:val="18"/>
                <w:b w:val="1"/>
                <w:bCs w:val="1"/>
                <w:color w:val="FFFFFF"/>
                <w:w w:val="99"/>
              </w:rPr>
              <w:t>By Internet</w:t>
            </w:r>
          </w:p>
        </w:tc>
        <w:tc>
          <w:tcPr>
            <w:tcW w:w="140" w:type="dxa"/>
            <w:vAlign w:val="bottom"/>
            <w:tcBorders>
              <w:top w:val="single" w:sz="8" w:color="3465B0"/>
            </w:tcBorders>
            <w:shd w:val="clear" w:color="auto" w:fill="3465B0"/>
          </w:tcPr>
          <w:p>
            <w:pPr>
              <w:spacing w:after="0"/>
              <w:rPr>
                <w:sz w:val="24"/>
                <w:szCs w:val="24"/>
                <w:color w:val="auto"/>
              </w:rPr>
            </w:pPr>
          </w:p>
        </w:tc>
        <w:tc>
          <w:tcPr>
            <w:tcW w:w="2100" w:type="dxa"/>
            <w:vAlign w:val="bottom"/>
            <w:tcBorders>
              <w:top w:val="single" w:sz="8" w:color="3465B0"/>
              <w:right w:val="single" w:sz="8" w:color="93A1D2"/>
            </w:tcBorders>
            <w:shd w:val="clear" w:color="auto" w:fill="3465B0"/>
          </w:tcPr>
          <w:p>
            <w:pPr>
              <w:jc w:val="center"/>
              <w:ind w:right="50"/>
              <w:spacing w:after="0"/>
              <w:rPr>
                <w:sz w:val="20"/>
                <w:szCs w:val="20"/>
                <w:color w:val="auto"/>
              </w:rPr>
            </w:pPr>
            <w:r>
              <w:rPr>
                <w:rFonts w:ascii="Arial" w:cs="Arial" w:eastAsia="Arial" w:hAnsi="Arial"/>
                <w:sz w:val="18"/>
                <w:szCs w:val="18"/>
                <w:b w:val="1"/>
                <w:bCs w:val="1"/>
                <w:color w:val="FFFFFF"/>
                <w:w w:val="98"/>
              </w:rPr>
              <w:t>By Telephone</w:t>
            </w:r>
          </w:p>
        </w:tc>
        <w:tc>
          <w:tcPr>
            <w:tcW w:w="160" w:type="dxa"/>
            <w:vAlign w:val="bottom"/>
            <w:tcBorders>
              <w:top w:val="single" w:sz="8" w:color="3465B0"/>
            </w:tcBorders>
            <w:shd w:val="clear" w:color="auto" w:fill="3465B0"/>
          </w:tcPr>
          <w:p>
            <w:pPr>
              <w:spacing w:after="0"/>
              <w:rPr>
                <w:sz w:val="24"/>
                <w:szCs w:val="24"/>
                <w:color w:val="auto"/>
              </w:rPr>
            </w:pPr>
          </w:p>
        </w:tc>
        <w:tc>
          <w:tcPr>
            <w:tcW w:w="1780" w:type="dxa"/>
            <w:vAlign w:val="bottom"/>
            <w:tcBorders>
              <w:top w:val="single" w:sz="8" w:color="3465B0"/>
              <w:right w:val="single" w:sz="8" w:color="93A1D2"/>
            </w:tcBorders>
            <w:shd w:val="clear" w:color="auto" w:fill="3465B0"/>
          </w:tcPr>
          <w:p>
            <w:pPr>
              <w:jc w:val="center"/>
              <w:ind w:right="70"/>
              <w:spacing w:after="0"/>
              <w:rPr>
                <w:sz w:val="20"/>
                <w:szCs w:val="20"/>
                <w:color w:val="auto"/>
              </w:rPr>
            </w:pPr>
            <w:r>
              <w:rPr>
                <w:rFonts w:ascii="Arial" w:cs="Arial" w:eastAsia="Arial" w:hAnsi="Arial"/>
                <w:sz w:val="18"/>
                <w:szCs w:val="18"/>
                <w:b w:val="1"/>
                <w:bCs w:val="1"/>
                <w:color w:val="FFFFFF"/>
                <w:w w:val="98"/>
              </w:rPr>
              <w:t>By Mail</w:t>
            </w:r>
          </w:p>
        </w:tc>
        <w:tc>
          <w:tcPr>
            <w:tcW w:w="140" w:type="dxa"/>
            <w:vAlign w:val="bottom"/>
            <w:tcBorders>
              <w:top w:val="single" w:sz="8" w:color="3465B0"/>
            </w:tcBorders>
            <w:shd w:val="clear" w:color="auto" w:fill="3465B0"/>
          </w:tcPr>
          <w:p>
            <w:pPr>
              <w:spacing w:after="0"/>
              <w:rPr>
                <w:sz w:val="24"/>
                <w:szCs w:val="24"/>
                <w:color w:val="auto"/>
              </w:rPr>
            </w:pPr>
          </w:p>
        </w:tc>
        <w:tc>
          <w:tcPr>
            <w:tcW w:w="2000" w:type="dxa"/>
            <w:vAlign w:val="bottom"/>
            <w:tcBorders>
              <w:top w:val="single" w:sz="8" w:color="3465B0"/>
              <w:right w:val="single" w:sz="8" w:color="3465B0"/>
            </w:tcBorders>
            <w:shd w:val="clear" w:color="auto" w:fill="3465B0"/>
          </w:tcPr>
          <w:p>
            <w:pPr>
              <w:ind w:left="520"/>
              <w:spacing w:after="0"/>
              <w:rPr>
                <w:sz w:val="20"/>
                <w:szCs w:val="20"/>
                <w:color w:val="auto"/>
              </w:rPr>
            </w:pPr>
            <w:r>
              <w:rPr>
                <w:rFonts w:ascii="Arial" w:cs="Arial" w:eastAsia="Arial" w:hAnsi="Arial"/>
                <w:sz w:val="18"/>
                <w:szCs w:val="18"/>
                <w:b w:val="1"/>
                <w:bCs w:val="1"/>
                <w:color w:val="FFFFFF"/>
              </w:rPr>
              <w:t>In Person</w:t>
            </w:r>
          </w:p>
        </w:tc>
        <w:tc>
          <w:tcPr>
            <w:tcW w:w="0" w:type="dxa"/>
            <w:vAlign w:val="bottom"/>
          </w:tcPr>
          <w:p>
            <w:pPr>
              <w:spacing w:after="0"/>
              <w:rPr>
                <w:sz w:val="1"/>
                <w:szCs w:val="1"/>
                <w:color w:val="auto"/>
              </w:rPr>
            </w:pPr>
          </w:p>
        </w:tc>
      </w:tr>
      <w:tr>
        <w:trPr>
          <w:trHeight w:val="211"/>
        </w:trPr>
        <w:tc>
          <w:tcPr>
            <w:tcW w:w="80" w:type="dxa"/>
            <w:vAlign w:val="bottom"/>
            <w:tcBorders>
              <w:left w:val="single" w:sz="8" w:color="3465B0"/>
            </w:tcBorders>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Borders>
              <w:right w:val="single" w:sz="8" w:color="93A1D2"/>
            </w:tcBorders>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Borders>
              <w:right w:val="single" w:sz="8" w:color="93A1D2"/>
            </w:tcBorders>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right w:val="single" w:sz="8" w:color="93A1D2"/>
            </w:tcBorders>
            <w:vMerge w:val="restart"/>
          </w:tcPr>
          <w:p>
            <w:pPr>
              <w:jc w:val="center"/>
              <w:ind w:right="130"/>
              <w:spacing w:after="0"/>
              <w:rPr>
                <w:sz w:val="20"/>
                <w:szCs w:val="20"/>
                <w:color w:val="auto"/>
              </w:rPr>
            </w:pPr>
            <w:r>
              <w:rPr>
                <w:rFonts w:ascii="Arial" w:cs="Arial" w:eastAsia="Arial" w:hAnsi="Arial"/>
                <w:sz w:val="18"/>
                <w:szCs w:val="18"/>
                <w:color w:val="auto"/>
                <w:w w:val="99"/>
              </w:rPr>
              <w:t>Sign, date and</w:t>
            </w:r>
          </w:p>
        </w:tc>
        <w:tc>
          <w:tcPr>
            <w:tcW w:w="140" w:type="dxa"/>
            <w:vAlign w:val="bottom"/>
          </w:tcPr>
          <w:p>
            <w:pPr>
              <w:spacing w:after="0"/>
              <w:rPr>
                <w:sz w:val="18"/>
                <w:szCs w:val="18"/>
                <w:color w:val="auto"/>
              </w:rPr>
            </w:pPr>
          </w:p>
        </w:tc>
        <w:tc>
          <w:tcPr>
            <w:tcW w:w="2000" w:type="dxa"/>
            <w:vAlign w:val="bottom"/>
            <w:tcBorders>
              <w:right w:val="single" w:sz="8" w:color="3465B0"/>
            </w:tcBorders>
          </w:tcPr>
          <w:p>
            <w:pPr>
              <w:jc w:val="center"/>
              <w:ind w:right="110"/>
              <w:spacing w:after="0"/>
              <w:rPr>
                <w:sz w:val="20"/>
                <w:szCs w:val="20"/>
                <w:color w:val="auto"/>
              </w:rPr>
            </w:pPr>
            <w:r>
              <w:rPr>
                <w:rFonts w:ascii="Arial" w:cs="Arial" w:eastAsia="Arial" w:hAnsi="Arial"/>
                <w:sz w:val="18"/>
                <w:szCs w:val="18"/>
                <w:color w:val="auto"/>
                <w:w w:val="99"/>
              </w:rPr>
              <w:t>Attend our Annual</w:t>
            </w:r>
          </w:p>
        </w:tc>
        <w:tc>
          <w:tcPr>
            <w:tcW w:w="0" w:type="dxa"/>
            <w:vAlign w:val="bottom"/>
          </w:tcPr>
          <w:p>
            <w:pPr>
              <w:spacing w:after="0"/>
              <w:rPr>
                <w:sz w:val="1"/>
                <w:szCs w:val="1"/>
                <w:color w:val="auto"/>
              </w:rPr>
            </w:pPr>
          </w:p>
        </w:tc>
      </w:tr>
      <w:tr>
        <w:trPr>
          <w:trHeight w:val="95"/>
        </w:trPr>
        <w:tc>
          <w:tcPr>
            <w:tcW w:w="80" w:type="dxa"/>
            <w:vAlign w:val="bottom"/>
            <w:tcBorders>
              <w:left w:val="single" w:sz="8" w:color="3465B0"/>
            </w:tcBorders>
          </w:tcPr>
          <w:p>
            <w:pPr>
              <w:spacing w:after="0"/>
              <w:rPr>
                <w:sz w:val="8"/>
                <w:szCs w:val="8"/>
                <w:color w:val="auto"/>
              </w:rPr>
            </w:pPr>
          </w:p>
        </w:tc>
        <w:tc>
          <w:tcPr>
            <w:tcW w:w="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60" w:type="dxa"/>
            <w:vAlign w:val="bottom"/>
            <w:tcBorders>
              <w:right w:val="single" w:sz="8" w:color="93A1D2"/>
            </w:tcBorders>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Borders>
              <w:right w:val="single" w:sz="8" w:color="93A1D2"/>
            </w:tcBorders>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Borders>
              <w:right w:val="single" w:sz="8" w:color="93A1D2"/>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tcBorders>
              <w:right w:val="single" w:sz="8" w:color="3465B0"/>
            </w:tcBorders>
            <w:vMerge w:val="restart"/>
          </w:tcPr>
          <w:p>
            <w:pPr>
              <w:jc w:val="center"/>
              <w:ind w:right="110"/>
              <w:spacing w:after="0" w:line="202" w:lineRule="exact"/>
              <w:rPr>
                <w:sz w:val="20"/>
                <w:szCs w:val="20"/>
                <w:color w:val="auto"/>
              </w:rPr>
            </w:pPr>
            <w:r>
              <w:rPr>
                <w:rFonts w:ascii="Arial" w:cs="Arial" w:eastAsia="Arial" w:hAnsi="Arial"/>
                <w:sz w:val="18"/>
                <w:szCs w:val="18"/>
                <w:color w:val="auto"/>
                <w:w w:val="99"/>
              </w:rPr>
              <w:t>Meeting and cast</w:t>
            </w:r>
          </w:p>
        </w:tc>
        <w:tc>
          <w:tcPr>
            <w:tcW w:w="0" w:type="dxa"/>
            <w:vAlign w:val="bottom"/>
          </w:tcPr>
          <w:p>
            <w:pPr>
              <w:spacing w:after="0"/>
              <w:rPr>
                <w:sz w:val="1"/>
                <w:szCs w:val="1"/>
                <w:color w:val="auto"/>
              </w:rPr>
            </w:pPr>
          </w:p>
        </w:tc>
      </w:tr>
      <w:tr>
        <w:trPr>
          <w:trHeight w:val="108"/>
        </w:trPr>
        <w:tc>
          <w:tcPr>
            <w:tcW w:w="80" w:type="dxa"/>
            <w:vAlign w:val="bottom"/>
            <w:tcBorders>
              <w:left w:val="single" w:sz="8" w:color="3465B0"/>
            </w:tcBorders>
          </w:tcPr>
          <w:p>
            <w:pPr>
              <w:spacing w:after="0"/>
              <w:rPr>
                <w:sz w:val="9"/>
                <w:szCs w:val="9"/>
                <w:color w:val="auto"/>
              </w:rPr>
            </w:pPr>
          </w:p>
        </w:tc>
        <w:tc>
          <w:tcPr>
            <w:tcW w:w="2760" w:type="dxa"/>
            <w:vAlign w:val="bottom"/>
            <w:tcBorders>
              <w:right w:val="single" w:sz="8" w:color="93A1D2"/>
            </w:tcBorders>
            <w:gridSpan w:val="3"/>
            <w:vMerge w:val="restart"/>
          </w:tcPr>
          <w:p>
            <w:pPr>
              <w:jc w:val="center"/>
              <w:ind w:right="160"/>
              <w:spacing w:after="0" w:line="195" w:lineRule="exact"/>
              <w:rPr>
                <w:sz w:val="20"/>
                <w:szCs w:val="20"/>
                <w:color w:val="auto"/>
              </w:rPr>
            </w:pPr>
            <w:r>
              <w:rPr>
                <w:rFonts w:ascii="Arial" w:cs="Arial" w:eastAsia="Arial" w:hAnsi="Arial"/>
                <w:sz w:val="18"/>
                <w:szCs w:val="18"/>
                <w:color w:val="auto"/>
                <w:w w:val="99"/>
              </w:rPr>
              <w:t>Visit www.proxyvote.com</w:t>
            </w:r>
          </w:p>
        </w:tc>
        <w:tc>
          <w:tcPr>
            <w:tcW w:w="140" w:type="dxa"/>
            <w:vAlign w:val="bottom"/>
          </w:tcPr>
          <w:p>
            <w:pPr>
              <w:spacing w:after="0"/>
              <w:rPr>
                <w:sz w:val="9"/>
                <w:szCs w:val="9"/>
                <w:color w:val="auto"/>
              </w:rPr>
            </w:pPr>
          </w:p>
        </w:tc>
        <w:tc>
          <w:tcPr>
            <w:tcW w:w="2100" w:type="dxa"/>
            <w:vAlign w:val="bottom"/>
            <w:tcBorders>
              <w:right w:val="single" w:sz="8" w:color="93A1D2"/>
            </w:tcBorders>
            <w:vMerge w:val="restart"/>
          </w:tcPr>
          <w:p>
            <w:pPr>
              <w:jc w:val="center"/>
              <w:ind w:right="50"/>
              <w:spacing w:after="0" w:line="195" w:lineRule="exact"/>
              <w:rPr>
                <w:sz w:val="20"/>
                <w:szCs w:val="20"/>
                <w:color w:val="auto"/>
              </w:rPr>
            </w:pPr>
            <w:r>
              <w:rPr>
                <w:rFonts w:ascii="Arial" w:cs="Arial" w:eastAsia="Arial" w:hAnsi="Arial"/>
                <w:sz w:val="18"/>
                <w:szCs w:val="18"/>
                <w:color w:val="auto"/>
                <w:w w:val="99"/>
              </w:rPr>
              <w:t>Dial 1-800-690-6903</w:t>
            </w:r>
          </w:p>
        </w:tc>
        <w:tc>
          <w:tcPr>
            <w:tcW w:w="160" w:type="dxa"/>
            <w:vAlign w:val="bottom"/>
          </w:tcPr>
          <w:p>
            <w:pPr>
              <w:spacing w:after="0"/>
              <w:rPr>
                <w:sz w:val="9"/>
                <w:szCs w:val="9"/>
                <w:color w:val="auto"/>
              </w:rPr>
            </w:pPr>
          </w:p>
        </w:tc>
        <w:tc>
          <w:tcPr>
            <w:tcW w:w="1780" w:type="dxa"/>
            <w:vAlign w:val="bottom"/>
            <w:tcBorders>
              <w:right w:val="single" w:sz="8" w:color="93A1D2"/>
            </w:tcBorders>
            <w:vMerge w:val="restart"/>
          </w:tcPr>
          <w:p>
            <w:pPr>
              <w:jc w:val="center"/>
              <w:ind w:right="130"/>
              <w:spacing w:after="0" w:line="195" w:lineRule="exact"/>
              <w:rPr>
                <w:sz w:val="20"/>
                <w:szCs w:val="20"/>
                <w:color w:val="auto"/>
              </w:rPr>
            </w:pPr>
            <w:r>
              <w:rPr>
                <w:rFonts w:ascii="Arial" w:cs="Arial" w:eastAsia="Arial" w:hAnsi="Arial"/>
                <w:sz w:val="18"/>
                <w:szCs w:val="18"/>
                <w:color w:val="auto"/>
                <w:w w:val="99"/>
              </w:rPr>
              <w:t>return your proxy</w:t>
            </w:r>
          </w:p>
        </w:tc>
        <w:tc>
          <w:tcPr>
            <w:tcW w:w="140" w:type="dxa"/>
            <w:vAlign w:val="bottom"/>
          </w:tcPr>
          <w:p>
            <w:pPr>
              <w:spacing w:after="0"/>
              <w:rPr>
                <w:sz w:val="9"/>
                <w:szCs w:val="9"/>
                <w:color w:val="auto"/>
              </w:rPr>
            </w:pPr>
          </w:p>
        </w:tc>
        <w:tc>
          <w:tcPr>
            <w:tcW w:w="2000" w:type="dxa"/>
            <w:vAlign w:val="bottom"/>
            <w:tcBorders>
              <w:right w:val="single" w:sz="8" w:color="3465B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0" w:type="dxa"/>
            <w:vAlign w:val="bottom"/>
            <w:tcBorders>
              <w:left w:val="single" w:sz="8" w:color="3465B0"/>
            </w:tcBorders>
          </w:tcPr>
          <w:p>
            <w:pPr>
              <w:spacing w:after="0"/>
              <w:rPr>
                <w:sz w:val="7"/>
                <w:szCs w:val="7"/>
                <w:color w:val="auto"/>
              </w:rPr>
            </w:pPr>
          </w:p>
        </w:tc>
        <w:tc>
          <w:tcPr>
            <w:tcW w:w="2760" w:type="dxa"/>
            <w:vAlign w:val="bottom"/>
            <w:tcBorders>
              <w:right w:val="single" w:sz="8" w:color="93A1D2"/>
            </w:tcBorders>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tcBorders>
              <w:right w:val="single" w:sz="8" w:color="93A1D2"/>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780" w:type="dxa"/>
            <w:vAlign w:val="bottom"/>
            <w:tcBorders>
              <w:right w:val="single" w:sz="8" w:color="93A1D2"/>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tcBorders>
              <w:right w:val="single" w:sz="8" w:color="3465B0"/>
            </w:tcBorders>
            <w:vMerge w:val="restart"/>
          </w:tcPr>
          <w:p>
            <w:pPr>
              <w:jc w:val="center"/>
              <w:ind w:right="110"/>
              <w:spacing w:after="0" w:line="202" w:lineRule="exact"/>
              <w:rPr>
                <w:sz w:val="20"/>
                <w:szCs w:val="20"/>
                <w:color w:val="auto"/>
              </w:rPr>
            </w:pPr>
            <w:r>
              <w:rPr>
                <w:rFonts w:ascii="Arial" w:cs="Arial" w:eastAsia="Arial" w:hAnsi="Arial"/>
                <w:sz w:val="18"/>
                <w:szCs w:val="18"/>
                <w:color w:val="auto"/>
                <w:w w:val="99"/>
              </w:rPr>
              <w:t>your vote during</w:t>
            </w:r>
          </w:p>
        </w:tc>
        <w:tc>
          <w:tcPr>
            <w:tcW w:w="0" w:type="dxa"/>
            <w:vAlign w:val="bottom"/>
          </w:tcPr>
          <w:p>
            <w:pPr>
              <w:spacing w:after="0"/>
              <w:rPr>
                <w:sz w:val="1"/>
                <w:szCs w:val="1"/>
                <w:color w:val="auto"/>
              </w:rPr>
            </w:pPr>
          </w:p>
        </w:tc>
      </w:tr>
      <w:tr>
        <w:trPr>
          <w:trHeight w:val="96"/>
        </w:trPr>
        <w:tc>
          <w:tcPr>
            <w:tcW w:w="80" w:type="dxa"/>
            <w:vAlign w:val="bottom"/>
            <w:tcBorders>
              <w:left w:val="single" w:sz="8" w:color="3465B0"/>
            </w:tcBorders>
          </w:tcPr>
          <w:p>
            <w:pPr>
              <w:spacing w:after="0"/>
              <w:rPr>
                <w:sz w:val="8"/>
                <w:szCs w:val="8"/>
                <w:color w:val="auto"/>
              </w:rPr>
            </w:pPr>
          </w:p>
        </w:tc>
        <w:tc>
          <w:tcPr>
            <w:tcW w:w="700" w:type="dxa"/>
            <w:vAlign w:val="bottom"/>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460" w:type="dxa"/>
            <w:vAlign w:val="bottom"/>
            <w:tcBorders>
              <w:right w:val="single" w:sz="8" w:color="93A1D2"/>
            </w:tcBorders>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tcBorders>
              <w:right w:val="single" w:sz="8" w:color="93A1D2"/>
            </w:tcBorders>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Borders>
              <w:right w:val="single" w:sz="8" w:color="93A1D2"/>
            </w:tcBorders>
            <w:vMerge w:val="restart"/>
          </w:tcPr>
          <w:p>
            <w:pPr>
              <w:jc w:val="center"/>
              <w:ind w:right="70"/>
              <w:spacing w:after="0"/>
              <w:rPr>
                <w:sz w:val="20"/>
                <w:szCs w:val="20"/>
                <w:color w:val="auto"/>
              </w:rPr>
            </w:pPr>
            <w:r>
              <w:rPr>
                <w:rFonts w:ascii="Arial" w:cs="Arial" w:eastAsia="Arial" w:hAnsi="Arial"/>
                <w:sz w:val="18"/>
                <w:szCs w:val="18"/>
                <w:color w:val="auto"/>
              </w:rPr>
              <w:t>card by mail</w:t>
            </w:r>
          </w:p>
        </w:tc>
        <w:tc>
          <w:tcPr>
            <w:tcW w:w="140" w:type="dxa"/>
            <w:vAlign w:val="bottom"/>
          </w:tcPr>
          <w:p>
            <w:pPr>
              <w:spacing w:after="0"/>
              <w:rPr>
                <w:sz w:val="8"/>
                <w:szCs w:val="8"/>
                <w:color w:val="auto"/>
              </w:rPr>
            </w:pPr>
          </w:p>
        </w:tc>
        <w:tc>
          <w:tcPr>
            <w:tcW w:w="2000" w:type="dxa"/>
            <w:vAlign w:val="bottom"/>
            <w:tcBorders>
              <w:right w:val="single" w:sz="8" w:color="3465B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0" w:type="dxa"/>
            <w:vAlign w:val="bottom"/>
            <w:tcBorders>
              <w:left w:val="single" w:sz="8" w:color="3465B0"/>
            </w:tcBorders>
          </w:tcPr>
          <w:p>
            <w:pPr>
              <w:spacing w:after="0"/>
              <w:rPr>
                <w:sz w:val="11"/>
                <w:szCs w:val="11"/>
                <w:color w:val="auto"/>
              </w:rPr>
            </w:pPr>
          </w:p>
        </w:tc>
        <w:tc>
          <w:tcPr>
            <w:tcW w:w="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tcBorders>
              <w:right w:val="single" w:sz="8" w:color="93A1D2"/>
            </w:tcBorders>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tcBorders>
              <w:right w:val="single" w:sz="8" w:color="93A1D2"/>
            </w:tcBorders>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Borders>
              <w:right w:val="single" w:sz="8" w:color="93A1D2"/>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Borders>
              <w:right w:val="single" w:sz="8" w:color="3465B0"/>
            </w:tcBorders>
            <w:vMerge w:val="restart"/>
          </w:tcPr>
          <w:p>
            <w:pPr>
              <w:jc w:val="center"/>
              <w:ind w:right="50"/>
              <w:spacing w:after="0"/>
              <w:rPr>
                <w:sz w:val="20"/>
                <w:szCs w:val="20"/>
                <w:color w:val="auto"/>
              </w:rPr>
            </w:pPr>
            <w:r>
              <w:rPr>
                <w:rFonts w:ascii="Arial" w:cs="Arial" w:eastAsia="Arial" w:hAnsi="Arial"/>
                <w:sz w:val="18"/>
                <w:szCs w:val="18"/>
                <w:color w:val="auto"/>
                <w:w w:val="99"/>
              </w:rPr>
              <w:t>the meeting</w:t>
            </w:r>
          </w:p>
        </w:tc>
        <w:tc>
          <w:tcPr>
            <w:tcW w:w="0" w:type="dxa"/>
            <w:vAlign w:val="bottom"/>
          </w:tcPr>
          <w:p>
            <w:pPr>
              <w:spacing w:after="0"/>
              <w:rPr>
                <w:sz w:val="1"/>
                <w:szCs w:val="1"/>
                <w:color w:val="auto"/>
              </w:rPr>
            </w:pPr>
          </w:p>
        </w:tc>
      </w:tr>
      <w:tr>
        <w:trPr>
          <w:trHeight w:val="141"/>
        </w:trPr>
        <w:tc>
          <w:tcPr>
            <w:tcW w:w="80" w:type="dxa"/>
            <w:vAlign w:val="bottom"/>
            <w:tcBorders>
              <w:left w:val="single" w:sz="8" w:color="3465B0"/>
            </w:tcBorders>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Borders>
              <w:right w:val="single" w:sz="8" w:color="93A1D2"/>
            </w:tcBorders>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Borders>
              <w:right w:val="single" w:sz="8" w:color="93A1D2"/>
            </w:tcBorders>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Borders>
              <w:right w:val="single" w:sz="8" w:color="93A1D2"/>
            </w:tcBorders>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Borders>
              <w:right w:val="single" w:sz="8" w:color="3465B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700" w:type="dxa"/>
            <w:vAlign w:val="bottom"/>
            <w:shd w:val="clear" w:color="auto" w:fill="3465B0"/>
          </w:tcPr>
          <w:p>
            <w:pPr>
              <w:spacing w:after="0" w:line="20" w:lineRule="exact"/>
              <w:rPr>
                <w:sz w:val="1"/>
                <w:szCs w:val="1"/>
                <w:color w:val="auto"/>
              </w:rPr>
            </w:pPr>
          </w:p>
        </w:tc>
        <w:tc>
          <w:tcPr>
            <w:tcW w:w="1600" w:type="dxa"/>
            <w:vAlign w:val="bottom"/>
            <w:shd w:val="clear" w:color="auto" w:fill="3465B0"/>
          </w:tcPr>
          <w:p>
            <w:pPr>
              <w:spacing w:after="0" w:line="20" w:lineRule="exact"/>
              <w:rPr>
                <w:sz w:val="1"/>
                <w:szCs w:val="1"/>
                <w:color w:val="auto"/>
              </w:rPr>
            </w:pPr>
          </w:p>
        </w:tc>
        <w:tc>
          <w:tcPr>
            <w:tcW w:w="460" w:type="dxa"/>
            <w:vAlign w:val="bottom"/>
            <w:tcBorders>
              <w:right w:val="single" w:sz="8" w:color="3465B0"/>
            </w:tcBorders>
            <w:shd w:val="clear" w:color="auto" w:fill="3465B0"/>
          </w:tcPr>
          <w:p>
            <w:pPr>
              <w:spacing w:after="0" w:line="20" w:lineRule="exact"/>
              <w:rPr>
                <w:sz w:val="1"/>
                <w:szCs w:val="1"/>
                <w:color w:val="auto"/>
              </w:rPr>
            </w:pPr>
          </w:p>
        </w:tc>
        <w:tc>
          <w:tcPr>
            <w:tcW w:w="140" w:type="dxa"/>
            <w:vAlign w:val="bottom"/>
            <w:shd w:val="clear" w:color="auto" w:fill="3465B0"/>
          </w:tcPr>
          <w:p>
            <w:pPr>
              <w:spacing w:after="0" w:line="20" w:lineRule="exact"/>
              <w:rPr>
                <w:sz w:val="1"/>
                <w:szCs w:val="1"/>
                <w:color w:val="auto"/>
              </w:rPr>
            </w:pPr>
          </w:p>
        </w:tc>
        <w:tc>
          <w:tcPr>
            <w:tcW w:w="2100" w:type="dxa"/>
            <w:vAlign w:val="bottom"/>
            <w:tcBorders>
              <w:right w:val="single" w:sz="8" w:color="3465B0"/>
            </w:tcBorders>
            <w:shd w:val="clear" w:color="auto" w:fill="3465B0"/>
          </w:tcPr>
          <w:p>
            <w:pPr>
              <w:spacing w:after="0" w:line="20" w:lineRule="exact"/>
              <w:rPr>
                <w:sz w:val="1"/>
                <w:szCs w:val="1"/>
                <w:color w:val="auto"/>
              </w:rPr>
            </w:pPr>
          </w:p>
        </w:tc>
        <w:tc>
          <w:tcPr>
            <w:tcW w:w="160" w:type="dxa"/>
            <w:vAlign w:val="bottom"/>
            <w:shd w:val="clear" w:color="auto" w:fill="3465B0"/>
          </w:tcPr>
          <w:p>
            <w:pPr>
              <w:spacing w:after="0" w:line="20" w:lineRule="exact"/>
              <w:rPr>
                <w:sz w:val="1"/>
                <w:szCs w:val="1"/>
                <w:color w:val="auto"/>
              </w:rPr>
            </w:pPr>
          </w:p>
        </w:tc>
        <w:tc>
          <w:tcPr>
            <w:tcW w:w="1780" w:type="dxa"/>
            <w:vAlign w:val="bottom"/>
            <w:tcBorders>
              <w:right w:val="single" w:sz="8" w:color="3465B0"/>
            </w:tcBorders>
            <w:shd w:val="clear" w:color="auto" w:fill="3465B0"/>
          </w:tcPr>
          <w:p>
            <w:pPr>
              <w:spacing w:after="0" w:line="20" w:lineRule="exact"/>
              <w:rPr>
                <w:sz w:val="1"/>
                <w:szCs w:val="1"/>
                <w:color w:val="auto"/>
              </w:rPr>
            </w:pPr>
          </w:p>
        </w:tc>
        <w:tc>
          <w:tcPr>
            <w:tcW w:w="140" w:type="dxa"/>
            <w:vAlign w:val="bottom"/>
            <w:shd w:val="clear" w:color="auto" w:fill="3465B0"/>
          </w:tcPr>
          <w:p>
            <w:pPr>
              <w:spacing w:after="0" w:line="20" w:lineRule="exact"/>
              <w:rPr>
                <w:sz w:val="1"/>
                <w:szCs w:val="1"/>
                <w:color w:val="auto"/>
              </w:rPr>
            </w:pPr>
          </w:p>
        </w:tc>
        <w:tc>
          <w:tcPr>
            <w:tcW w:w="2000" w:type="dxa"/>
            <w:vAlign w:val="bottom"/>
            <w:tcBorders>
              <w:right w:val="single" w:sz="8" w:color="3465B0"/>
            </w:tcBorders>
            <w:shd w:val="clear" w:color="auto" w:fill="3465B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Stockholders of record at the close of business on April 20, 2026, may vote at the Annual Meeting.</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See full instructions under the heading “Important Information About Voting at the Annual Meeting.”</w:t>
      </w:r>
    </w:p>
    <w:p>
      <w:pPr>
        <w:spacing w:after="0" w:line="144" w:lineRule="exact"/>
        <w:rPr>
          <w:sz w:val="20"/>
          <w:szCs w:val="20"/>
          <w:color w:val="auto"/>
        </w:rPr>
      </w:pPr>
    </w:p>
    <w:p>
      <w:pPr>
        <w:jc w:val="both"/>
        <w:ind w:left="940" w:right="960"/>
        <w:spacing w:after="0" w:line="250" w:lineRule="auto"/>
        <w:rPr>
          <w:sz w:val="20"/>
          <w:szCs w:val="20"/>
          <w:color w:val="auto"/>
        </w:rPr>
      </w:pPr>
      <w:r>
        <w:rPr>
          <w:rFonts w:ascii="Arial" w:cs="Arial" w:eastAsia="Arial" w:hAnsi="Arial"/>
          <w:sz w:val="18"/>
          <w:szCs w:val="18"/>
          <w:b w:val="1"/>
          <w:bCs w:val="1"/>
          <w:color w:val="auto"/>
        </w:rPr>
        <w:t>If you are a stockholder of record and you would like to vote in any manner other than in person during the Annual Meeting, your vote must be received by 11:59 p.m. Eastern Time, on June 16, 2026, to be counted. If you hold shares through a broker, bank or other nominee, please refer to information from your bank, broker or nominee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46990</wp:posOffset>
            </wp:positionV>
            <wp:extent cx="2057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2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00" w:type="dxa"/>
            <w:vAlign w:val="bottom"/>
          </w:tcPr>
          <w:p>
            <w:pPr>
              <w:jc w:val="right"/>
              <w:ind w:right="859"/>
              <w:spacing w:after="0"/>
              <w:rPr>
                <w:sz w:val="20"/>
                <w:szCs w:val="20"/>
                <w:color w:val="auto"/>
              </w:rPr>
            </w:pPr>
            <w:r>
              <w:rPr>
                <w:rFonts w:ascii="Arial" w:cs="Arial" w:eastAsia="Arial" w:hAnsi="Arial"/>
                <w:sz w:val="16"/>
                <w:szCs w:val="16"/>
                <w:b w:val="1"/>
                <w:bCs w:val="1"/>
                <w:color w:val="auto"/>
              </w:rPr>
              <w:t>1</w:t>
            </w:r>
          </w:p>
        </w:tc>
      </w:tr>
      <w:tr>
        <w:trPr>
          <w:trHeight w:val="244"/>
        </w:trPr>
        <w:tc>
          <w:tcPr>
            <w:tcW w:w="9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2025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69"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2025 was a defining year for National Vision. We continued executing our transformation and laid out a strategy centered around modernizing the business, improving the quality of our customer base, and delivering strong financial results. Over the past year, we aligned the organization around a clear mandate: modernize every aspect of the business while expanding operating margins. Our teams executed with urgency and discipline, delivering strong mid-single-digit comparable store sales growth, meaningful operating margin expansion, and solid earnings growth, all while investing to strengthen our long-term competitive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5807710" cy="3227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07710" cy="3227070"/>
                    </a:xfrm>
                    <a:prstGeom prst="rect">
                      <a:avLst/>
                    </a:prstGeom>
                    <a:noFill/>
                  </pic:spPr>
                </pic:pic>
              </a:graphicData>
            </a:graphic>
          </wp:anchor>
        </w:drawing>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2025 Financial Highlights</w:t>
      </w:r>
    </w:p>
    <w:p>
      <w:pPr>
        <w:spacing w:after="0" w:line="104" w:lineRule="exact"/>
        <w:rPr>
          <w:sz w:val="20"/>
          <w:szCs w:val="20"/>
          <w:color w:val="auto"/>
        </w:rPr>
      </w:pPr>
    </w:p>
    <w:p>
      <w:pPr>
        <w:ind w:left="280" w:hanging="181"/>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0"/>
          <w:szCs w:val="10"/>
          <w:color w:val="3465B0"/>
        </w:rPr>
        <w:t>•</w:t>
      </w:r>
      <w:r>
        <w:rPr>
          <w:rFonts w:ascii="Arial" w:cs="Arial" w:eastAsia="Arial" w:hAnsi="Arial"/>
          <w:sz w:val="18"/>
          <w:szCs w:val="18"/>
          <w:color w:val="auto"/>
        </w:rPr>
        <w:t xml:space="preserve">   Comparable store sales growth was 5.9% and Adjusted Comparable Store Sales Growth was 6.0%</w:t>
      </w:r>
    </w:p>
    <w:p>
      <w:pPr>
        <w:spacing w:after="0" w:line="31" w:lineRule="exact"/>
        <w:rPr>
          <w:rFonts w:ascii="Arial" w:cs="Arial" w:eastAsia="Arial" w:hAnsi="Arial"/>
          <w:sz w:val="18"/>
          <w:szCs w:val="18"/>
          <w:color w:val="auto"/>
        </w:rPr>
      </w:pPr>
    </w:p>
    <w:p>
      <w:pPr>
        <w:ind w:left="280" w:hanging="181"/>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0"/>
          <w:szCs w:val="10"/>
          <w:color w:val="3465B0"/>
        </w:rPr>
        <w:t>•</w:t>
      </w:r>
      <w:r>
        <w:rPr>
          <w:rFonts w:ascii="Arial" w:cs="Arial" w:eastAsia="Arial" w:hAnsi="Arial"/>
          <w:sz w:val="18"/>
          <w:szCs w:val="18"/>
          <w:color w:val="auto"/>
        </w:rPr>
        <w:t xml:space="preserve">   Net revenue increased 9.0% over 2024 to $1,987.5 million</w:t>
      </w:r>
    </w:p>
    <w:p>
      <w:pPr>
        <w:spacing w:after="0" w:line="26" w:lineRule="exact"/>
        <w:rPr>
          <w:rFonts w:ascii="Arial" w:cs="Arial" w:eastAsia="Arial" w:hAnsi="Arial"/>
          <w:sz w:val="18"/>
          <w:szCs w:val="18"/>
          <w:color w:val="auto"/>
        </w:rPr>
      </w:pPr>
    </w:p>
    <w:p>
      <w:pPr>
        <w:ind w:left="580" w:right="500" w:hanging="481"/>
        <w:spacing w:after="0" w:line="290" w:lineRule="auto"/>
        <w:tabs>
          <w:tab w:leader="none" w:pos="272"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9"/>
          <w:szCs w:val="9"/>
          <w:color w:val="3465B0"/>
        </w:rPr>
        <w:t>•</w:t>
      </w:r>
      <w:r>
        <w:rPr>
          <w:rFonts w:ascii="Arial" w:cs="Arial" w:eastAsia="Arial" w:hAnsi="Arial"/>
          <w:sz w:val="17"/>
          <w:szCs w:val="17"/>
          <w:color w:val="auto"/>
        </w:rPr>
        <w:t xml:space="preserve">  Net income from continuing operations of $29.6 million and Diluted EPS from continuing operations of $0.37, with Income (loss) from continuing operations margin improving to 1.5% from (1.5)%</w:t>
      </w:r>
    </w:p>
    <w:p>
      <w:pPr>
        <w:ind w:left="580" w:right="400" w:hanging="481"/>
        <w:spacing w:after="0" w:line="281" w:lineRule="auto"/>
        <w:tabs>
          <w:tab w:leader="none" w:pos="272"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9"/>
          <w:szCs w:val="9"/>
          <w:color w:val="3465B0"/>
        </w:rPr>
        <w:t>•</w:t>
      </w:r>
      <w:r>
        <w:rPr>
          <w:rFonts w:ascii="Arial" w:cs="Arial" w:eastAsia="Arial" w:hAnsi="Arial"/>
          <w:sz w:val="17"/>
          <w:szCs w:val="17"/>
          <w:color w:val="auto"/>
        </w:rPr>
        <w:t xml:space="preserve">  Adjusted Operating Income from continuing operations of $102.5 million compared with $65.5 million in fiscal year 2024, with Adjusted Operating Margin improving 5.2% from 3.6%</w:t>
      </w:r>
    </w:p>
    <w:p>
      <w:pPr>
        <w:spacing w:after="0" w:line="1" w:lineRule="exact"/>
        <w:rPr>
          <w:rFonts w:ascii="Arial" w:cs="Arial" w:eastAsia="Arial" w:hAnsi="Arial"/>
          <w:sz w:val="17"/>
          <w:szCs w:val="17"/>
          <w:color w:val="auto"/>
        </w:rPr>
      </w:pPr>
    </w:p>
    <w:p>
      <w:pPr>
        <w:ind w:left="580" w:right="380" w:hanging="481"/>
        <w:spacing w:after="0" w:line="279" w:lineRule="auto"/>
        <w:tabs>
          <w:tab w:leader="none" w:pos="272"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9"/>
          <w:szCs w:val="9"/>
          <w:color w:val="3465B0"/>
        </w:rPr>
        <w:t>•</w:t>
      </w:r>
      <w:r>
        <w:rPr>
          <w:rFonts w:ascii="Arial" w:cs="Arial" w:eastAsia="Arial" w:hAnsi="Arial"/>
          <w:sz w:val="17"/>
          <w:szCs w:val="17"/>
          <w:color w:val="auto"/>
        </w:rPr>
        <w:t xml:space="preserve">  Adjusted Diluted EPS from continuing operations increased to $0.80 compared with $0.52 in fiscal year 2024</w:t>
      </w:r>
    </w:p>
    <w:p>
      <w:pPr>
        <w:spacing w:after="0" w:line="245" w:lineRule="exact"/>
        <w:rPr>
          <w:rFonts w:ascii="Arial" w:cs="Arial" w:eastAsia="Arial" w:hAnsi="Arial"/>
          <w:sz w:val="17"/>
          <w:szCs w:val="17"/>
          <w:color w:val="auto"/>
        </w:rPr>
      </w:pPr>
    </w:p>
    <w:p>
      <w:pPr>
        <w:ind w:left="280" w:hanging="181"/>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0"/>
          <w:szCs w:val="10"/>
          <w:color w:val="3465B0"/>
        </w:rPr>
        <w:t>•</w:t>
      </w:r>
      <w:r>
        <w:rPr>
          <w:rFonts w:ascii="Arial" w:cs="Arial" w:eastAsia="Arial" w:hAnsi="Arial"/>
          <w:sz w:val="18"/>
          <w:szCs w:val="18"/>
          <w:color w:val="auto"/>
        </w:rPr>
        <w:t xml:space="preserve">   Overall store count grew 0.8% to 1,250 stores</w:t>
      </w:r>
    </w:p>
    <w:p>
      <w:pPr>
        <w:spacing w:after="0" w:line="36" w:lineRule="exact"/>
        <w:rPr>
          <w:rFonts w:ascii="Arial" w:cs="Arial" w:eastAsia="Arial" w:hAnsi="Arial"/>
          <w:sz w:val="18"/>
          <w:szCs w:val="18"/>
          <w:color w:val="auto"/>
        </w:rPr>
      </w:pPr>
    </w:p>
    <w:p>
      <w:pPr>
        <w:ind w:left="580" w:right="140" w:hanging="481"/>
        <w:spacing w:after="0" w:line="282" w:lineRule="auto"/>
        <w:tabs>
          <w:tab w:leader="none" w:pos="272"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9"/>
          <w:szCs w:val="9"/>
          <w:color w:val="3465B0"/>
        </w:rPr>
        <w:t>•</w:t>
      </w:r>
      <w:r>
        <w:rPr>
          <w:rFonts w:ascii="Arial" w:cs="Arial" w:eastAsia="Arial" w:hAnsi="Arial"/>
          <w:sz w:val="17"/>
          <w:szCs w:val="17"/>
          <w:color w:val="auto"/>
        </w:rPr>
        <w:t xml:space="preserve">  We ended fiscal 2025 with a cash balance of $38.7 million, and total liquidity of $332 million, including available capacity from our revolving credit facility and with a net debt to adjusted EBITDA of 1.1 times; during fiscal 2025, we repaid $101.3 million in long term debt and convertible notes, bringing our total debt outstanding net of unamortized discounts to $245.9 million at the end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w:t>
      </w:r>
    </w:p>
    <w:p>
      <w:pPr>
        <w:spacing w:after="0" w:line="268"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i w:val="1"/>
          <w:iCs w:val="1"/>
          <w:color w:val="auto"/>
        </w:rPr>
        <w:t>In this proxy statement, we discuss financial measures that are referred to as non-GAAP financial measures, including adjusted comparable store sales growth, adjusted operating income, adjusted diluted EPS and annual incentive adjusted operating income. See Appendix A to this proxy statement for more information regarding these measures and reconciliations to the most directly comparable GAAP measures.</w:t>
      </w:r>
    </w:p>
    <w:p>
      <w:pPr>
        <w:spacing w:after="0" w:line="96" w:lineRule="exact"/>
        <w:rPr>
          <w:sz w:val="20"/>
          <w:szCs w:val="20"/>
          <w:color w:val="auto"/>
        </w:rPr>
      </w:pPr>
    </w:p>
    <w:p>
      <w:pPr>
        <w:jc w:val="both"/>
        <w:ind w:left="20"/>
        <w:spacing w:after="0" w:line="252" w:lineRule="auto"/>
        <w:rPr>
          <w:sz w:val="20"/>
          <w:szCs w:val="20"/>
          <w:color w:val="auto"/>
        </w:rPr>
      </w:pPr>
      <w:r>
        <w:rPr>
          <w:rFonts w:ascii="Arial" w:cs="Arial" w:eastAsia="Arial" w:hAnsi="Arial"/>
          <w:sz w:val="18"/>
          <w:szCs w:val="18"/>
          <w:i w:val="1"/>
          <w:iCs w:val="1"/>
          <w:color w:val="auto"/>
        </w:rPr>
        <w:t>Financial results reflect the results of our former Legacy segment and the substantial majority of AC Lens operations as discontinued operations for all periods presented. Unless otherwise noted, amounts and disclosures in this proxy statement relate to the Company’s continuing operations.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These financial highlights are reproduced from our Annual Report on Form 10-K for the fiscal year ended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January 3, 2026 (the “Annual Report on Form 10-K”), and speak as of March 4, 2026, the date we filed our</w:t>
      </w:r>
    </w:p>
    <w:p>
      <w:pPr>
        <w:ind w:left="20"/>
        <w:spacing w:after="0"/>
        <w:rPr>
          <w:sz w:val="20"/>
          <w:szCs w:val="20"/>
          <w:color w:val="auto"/>
        </w:rPr>
      </w:pPr>
      <w:r>
        <w:rPr>
          <w:rFonts w:ascii="Arial" w:cs="Arial" w:eastAsia="Arial" w:hAnsi="Arial"/>
          <w:sz w:val="18"/>
          <w:szCs w:val="18"/>
          <w:i w:val="1"/>
          <w:iCs w:val="1"/>
          <w:color w:val="auto"/>
        </w:rPr>
        <w:t>Form 10-K with the SEC, unless clearly indicated otherwise.</w:t>
      </w:r>
    </w:p>
    <w:p>
      <w:pPr>
        <w:spacing w:after="0" w:line="70" w:lineRule="exact"/>
        <w:rPr>
          <w:sz w:val="20"/>
          <w:szCs w:val="20"/>
          <w:color w:val="auto"/>
        </w:rPr>
      </w:pPr>
    </w:p>
    <w:p>
      <w:pPr>
        <w:ind w:left="360" w:hanging="346"/>
        <w:spacing w:after="0"/>
        <w:tabs>
          <w:tab w:leader="none" w:pos="360" w:val="left"/>
        </w:tabs>
        <w:numPr>
          <w:ilvl w:val="0"/>
          <w:numId w:val="6"/>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145415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9" w:name="page10"/>
    <w:bookmarkEnd w:id="9"/>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color w:val="auto"/>
        </w:rPr>
        <w:t>The fundamental duty of the Board is to oversee our strategy and the long-term interests of our stockholders. The following provides summary information about our current directors, individually, and our nominees for director in the aggregate. The table below sets forth the composition of the Board and its committees as of the date of this proxy statement. See “Proposal 1—Election of Directors” for more details on our director nominees’ qualifications, skills and experience.</w:t>
      </w:r>
    </w:p>
    <w:p>
      <w:pPr>
        <w:spacing w:after="0" w:line="91" w:lineRule="exact"/>
        <w:rPr>
          <w:sz w:val="20"/>
          <w:szCs w:val="20"/>
          <w:color w:val="auto"/>
        </w:rPr>
      </w:pPr>
    </w:p>
    <w:tbl>
      <w:tblPr>
        <w:tblLayout w:type="fixed"/>
        <w:tblInd w:w="930" w:type="dxa"/>
        <w:tblCellMar>
          <w:top w:w="0" w:type="dxa"/>
          <w:left w:w="0" w:type="dxa"/>
          <w:bottom w:w="0" w:type="dxa"/>
          <w:right w:w="0" w:type="dxa"/>
        </w:tblCellMar>
      </w:tblPr>
      <w:tr>
        <w:trPr>
          <w:trHeight w:val="368"/>
        </w:trPr>
        <w:tc>
          <w:tcPr>
            <w:tcW w:w="146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60" w:type="dxa"/>
            <w:vAlign w:val="bottom"/>
            <w:tcBorders>
              <w:top w:val="single" w:sz="8" w:color="3465B0"/>
            </w:tcBorders>
            <w:shd w:val="clear" w:color="auto" w:fill="3465B0"/>
          </w:tcPr>
          <w:p>
            <w:pPr>
              <w:spacing w:after="0"/>
              <w:rPr>
                <w:sz w:val="24"/>
                <w:szCs w:val="24"/>
                <w:color w:val="auto"/>
              </w:rPr>
            </w:pPr>
          </w:p>
        </w:tc>
        <w:tc>
          <w:tcPr>
            <w:tcW w:w="2040" w:type="dxa"/>
            <w:vAlign w:val="bottom"/>
            <w:tcBorders>
              <w:top w:val="single" w:sz="8" w:color="3465B0"/>
              <w:right w:val="single" w:sz="8" w:color="93A1D2"/>
            </w:tcBorders>
            <w:shd w:val="clear" w:color="auto" w:fill="3465B0"/>
          </w:tcPr>
          <w:p>
            <w:pPr>
              <w:spacing w:after="0"/>
              <w:rPr>
                <w:sz w:val="24"/>
                <w:szCs w:val="24"/>
                <w:color w:val="auto"/>
              </w:rPr>
            </w:pPr>
          </w:p>
        </w:tc>
        <w:tc>
          <w:tcPr>
            <w:tcW w:w="420" w:type="dxa"/>
            <w:vAlign w:val="bottom"/>
            <w:tcBorders>
              <w:top w:val="single" w:sz="8" w:color="3465B0"/>
              <w:right w:val="single" w:sz="8" w:color="93A1D2"/>
            </w:tcBorders>
            <w:shd w:val="clear" w:color="auto" w:fill="3465B0"/>
          </w:tcPr>
          <w:p>
            <w:pPr>
              <w:spacing w:after="0"/>
              <w:rPr>
                <w:sz w:val="24"/>
                <w:szCs w:val="24"/>
                <w:color w:val="auto"/>
              </w:rPr>
            </w:pPr>
          </w:p>
        </w:tc>
        <w:tc>
          <w:tcPr>
            <w:tcW w:w="800" w:type="dxa"/>
            <w:vAlign w:val="bottom"/>
            <w:tcBorders>
              <w:top w:val="single" w:sz="8" w:color="3465B0"/>
              <w:right w:val="single" w:sz="8" w:color="93A1D2"/>
            </w:tcBorders>
            <w:shd w:val="clear" w:color="auto" w:fill="3465B0"/>
          </w:tcPr>
          <w:p>
            <w:pPr>
              <w:spacing w:after="0"/>
              <w:rPr>
                <w:sz w:val="24"/>
                <w:szCs w:val="24"/>
                <w:color w:val="auto"/>
              </w:rPr>
            </w:pPr>
          </w:p>
        </w:tc>
        <w:tc>
          <w:tcPr>
            <w:tcW w:w="1080" w:type="dxa"/>
            <w:vAlign w:val="bottom"/>
            <w:tcBorders>
              <w:top w:val="single" w:sz="8" w:color="3465B0"/>
              <w:right w:val="single" w:sz="8" w:color="93A1D2"/>
            </w:tcBorders>
            <w:shd w:val="clear" w:color="auto" w:fill="3465B0"/>
          </w:tcPr>
          <w:p>
            <w:pPr>
              <w:spacing w:after="0"/>
              <w:rPr>
                <w:sz w:val="24"/>
                <w:szCs w:val="24"/>
                <w:color w:val="auto"/>
              </w:rPr>
            </w:pPr>
          </w:p>
        </w:tc>
        <w:tc>
          <w:tcPr>
            <w:tcW w:w="60" w:type="dxa"/>
            <w:vAlign w:val="bottom"/>
            <w:tcBorders>
              <w:top w:val="single" w:sz="8" w:color="3465B0"/>
            </w:tcBorders>
            <w:shd w:val="clear" w:color="auto" w:fill="3465B0"/>
          </w:tcPr>
          <w:p>
            <w:pPr>
              <w:spacing w:after="0"/>
              <w:rPr>
                <w:sz w:val="24"/>
                <w:szCs w:val="24"/>
                <w:color w:val="auto"/>
              </w:rPr>
            </w:pPr>
          </w:p>
        </w:tc>
        <w:tc>
          <w:tcPr>
            <w:tcW w:w="760" w:type="dxa"/>
            <w:vAlign w:val="bottom"/>
            <w:tcBorders>
              <w:top w:val="single" w:sz="8" w:color="3465B0"/>
            </w:tcBorders>
            <w:shd w:val="clear" w:color="auto" w:fill="3465B0"/>
          </w:tcPr>
          <w:p>
            <w:pPr>
              <w:spacing w:after="0"/>
              <w:rPr>
                <w:sz w:val="24"/>
                <w:szCs w:val="24"/>
                <w:color w:val="auto"/>
              </w:rPr>
            </w:pPr>
          </w:p>
        </w:tc>
        <w:tc>
          <w:tcPr>
            <w:tcW w:w="2480" w:type="dxa"/>
            <w:vAlign w:val="bottom"/>
            <w:tcBorders>
              <w:top w:val="single" w:sz="8" w:color="3465B0"/>
              <w:right w:val="single" w:sz="8" w:color="3465B0"/>
            </w:tcBorders>
            <w:gridSpan w:val="3"/>
            <w:shd w:val="clear" w:color="auto" w:fill="3465B0"/>
          </w:tcPr>
          <w:p>
            <w:pPr>
              <w:spacing w:after="0"/>
              <w:rPr>
                <w:sz w:val="20"/>
                <w:szCs w:val="20"/>
                <w:color w:val="auto"/>
              </w:rPr>
            </w:pPr>
            <w:r>
              <w:rPr>
                <w:rFonts w:ascii="Arial" w:cs="Arial" w:eastAsia="Arial" w:hAnsi="Arial"/>
                <w:sz w:val="14"/>
                <w:szCs w:val="14"/>
                <w:b w:val="1"/>
                <w:bCs w:val="1"/>
                <w:color w:val="FFFFFF"/>
              </w:rPr>
              <w:t>Committee Membership</w:t>
            </w:r>
          </w:p>
        </w:tc>
        <w:tc>
          <w:tcPr>
            <w:tcW w:w="0" w:type="dxa"/>
            <w:vAlign w:val="bottom"/>
          </w:tcPr>
          <w:p>
            <w:pPr>
              <w:spacing w:after="0"/>
              <w:rPr>
                <w:sz w:val="1"/>
                <w:szCs w:val="1"/>
                <w:color w:val="auto"/>
              </w:rPr>
            </w:pPr>
          </w:p>
        </w:tc>
      </w:tr>
      <w:tr>
        <w:trPr>
          <w:trHeight w:val="220"/>
        </w:trPr>
        <w:tc>
          <w:tcPr>
            <w:tcW w:w="1460" w:type="dxa"/>
            <w:vAlign w:val="bottom"/>
            <w:tcBorders>
              <w:left w:val="single" w:sz="8" w:color="3465B0"/>
              <w:right w:val="single" w:sz="8" w:color="93A1D2"/>
            </w:tcBorders>
            <w:shd w:val="clear" w:color="auto" w:fill="3465B0"/>
          </w:tcPr>
          <w:p>
            <w:pPr>
              <w:spacing w:after="0"/>
              <w:rPr>
                <w:sz w:val="19"/>
                <w:szCs w:val="19"/>
                <w:color w:val="auto"/>
              </w:rPr>
            </w:pPr>
          </w:p>
        </w:tc>
        <w:tc>
          <w:tcPr>
            <w:tcW w:w="60" w:type="dxa"/>
            <w:vAlign w:val="bottom"/>
            <w:shd w:val="clear" w:color="auto" w:fill="3465B0"/>
          </w:tcPr>
          <w:p>
            <w:pPr>
              <w:spacing w:after="0"/>
              <w:rPr>
                <w:sz w:val="19"/>
                <w:szCs w:val="19"/>
                <w:color w:val="auto"/>
              </w:rPr>
            </w:pPr>
          </w:p>
        </w:tc>
        <w:tc>
          <w:tcPr>
            <w:tcW w:w="2040" w:type="dxa"/>
            <w:vAlign w:val="bottom"/>
            <w:tcBorders>
              <w:right w:val="single" w:sz="8" w:color="93A1D2"/>
            </w:tcBorders>
            <w:shd w:val="clear" w:color="auto" w:fill="3465B0"/>
          </w:tcPr>
          <w:p>
            <w:pPr>
              <w:spacing w:after="0"/>
              <w:rPr>
                <w:sz w:val="19"/>
                <w:szCs w:val="19"/>
                <w:color w:val="auto"/>
              </w:rPr>
            </w:pPr>
          </w:p>
        </w:tc>
        <w:tc>
          <w:tcPr>
            <w:tcW w:w="420" w:type="dxa"/>
            <w:vAlign w:val="bottom"/>
            <w:tcBorders>
              <w:right w:val="single" w:sz="8" w:color="93A1D2"/>
            </w:tcBorders>
            <w:shd w:val="clear" w:color="auto" w:fill="3465B0"/>
          </w:tcPr>
          <w:p>
            <w:pPr>
              <w:spacing w:after="0"/>
              <w:rPr>
                <w:sz w:val="19"/>
                <w:szCs w:val="19"/>
                <w:color w:val="auto"/>
              </w:rPr>
            </w:pPr>
          </w:p>
        </w:tc>
        <w:tc>
          <w:tcPr>
            <w:tcW w:w="800" w:type="dxa"/>
            <w:vAlign w:val="bottom"/>
            <w:tcBorders>
              <w:right w:val="single" w:sz="8" w:color="93A1D2"/>
            </w:tcBorders>
            <w:shd w:val="clear" w:color="auto" w:fill="3465B0"/>
          </w:tcPr>
          <w:p>
            <w:pPr>
              <w:spacing w:after="0"/>
              <w:rPr>
                <w:sz w:val="19"/>
                <w:szCs w:val="19"/>
                <w:color w:val="auto"/>
              </w:rPr>
            </w:pPr>
          </w:p>
        </w:tc>
        <w:tc>
          <w:tcPr>
            <w:tcW w:w="1080" w:type="dxa"/>
            <w:vAlign w:val="bottom"/>
            <w:tcBorders>
              <w:right w:val="single" w:sz="8" w:color="93A1D2"/>
            </w:tcBorders>
            <w:shd w:val="clear" w:color="auto" w:fill="3465B0"/>
          </w:tcPr>
          <w:p>
            <w:pPr>
              <w:spacing w:after="0"/>
              <w:rPr>
                <w:sz w:val="19"/>
                <w:szCs w:val="19"/>
                <w:color w:val="auto"/>
              </w:rPr>
            </w:pPr>
          </w:p>
        </w:tc>
        <w:tc>
          <w:tcPr>
            <w:tcW w:w="60" w:type="dxa"/>
            <w:vAlign w:val="bottom"/>
            <w:shd w:val="clear" w:color="auto" w:fill="3465B0"/>
          </w:tcPr>
          <w:p>
            <w:pPr>
              <w:spacing w:after="0"/>
              <w:rPr>
                <w:sz w:val="19"/>
                <w:szCs w:val="19"/>
                <w:color w:val="auto"/>
              </w:rPr>
            </w:pPr>
          </w:p>
        </w:tc>
        <w:tc>
          <w:tcPr>
            <w:tcW w:w="760" w:type="dxa"/>
            <w:vAlign w:val="bottom"/>
            <w:shd w:val="clear" w:color="auto" w:fill="3465B0"/>
          </w:tcPr>
          <w:p>
            <w:pPr>
              <w:spacing w:after="0"/>
              <w:rPr>
                <w:sz w:val="19"/>
                <w:szCs w:val="19"/>
                <w:color w:val="auto"/>
              </w:rPr>
            </w:pPr>
          </w:p>
        </w:tc>
        <w:tc>
          <w:tcPr>
            <w:tcW w:w="140" w:type="dxa"/>
            <w:vAlign w:val="bottom"/>
            <w:tcBorders>
              <w:right w:val="single" w:sz="8" w:color="93A1D2"/>
            </w:tcBorders>
            <w:shd w:val="clear" w:color="auto" w:fill="3465B0"/>
          </w:tcPr>
          <w:p>
            <w:pPr>
              <w:spacing w:after="0"/>
              <w:rPr>
                <w:sz w:val="19"/>
                <w:szCs w:val="19"/>
                <w:color w:val="auto"/>
              </w:rPr>
            </w:pPr>
          </w:p>
        </w:tc>
        <w:tc>
          <w:tcPr>
            <w:tcW w:w="1260" w:type="dxa"/>
            <w:vAlign w:val="bottom"/>
            <w:tcBorders>
              <w:right w:val="single" w:sz="8" w:color="93A1D2"/>
            </w:tcBorders>
            <w:shd w:val="clear" w:color="auto" w:fill="3465B0"/>
          </w:tcPr>
          <w:p>
            <w:pPr>
              <w:spacing w:after="0"/>
              <w:rPr>
                <w:sz w:val="19"/>
                <w:szCs w:val="19"/>
                <w:color w:val="auto"/>
              </w:rPr>
            </w:pPr>
          </w:p>
        </w:tc>
        <w:tc>
          <w:tcPr>
            <w:tcW w:w="1080" w:type="dxa"/>
            <w:vAlign w:val="bottom"/>
            <w:tcBorders>
              <w:right w:val="single" w:sz="8" w:color="3465B0"/>
            </w:tcBorders>
            <w:shd w:val="clear" w:color="auto" w:fill="3465B0"/>
          </w:tcPr>
          <w:p>
            <w:pPr>
              <w:ind w:left="60"/>
              <w:spacing w:after="0"/>
              <w:rPr>
                <w:sz w:val="20"/>
                <w:szCs w:val="20"/>
                <w:color w:val="auto"/>
              </w:rPr>
            </w:pPr>
            <w:r>
              <w:rPr>
                <w:rFonts w:ascii="Arial" w:cs="Arial" w:eastAsia="Arial" w:hAnsi="Arial"/>
                <w:sz w:val="14"/>
                <w:szCs w:val="14"/>
                <w:b w:val="1"/>
                <w:bCs w:val="1"/>
                <w:color w:val="FFFFFF"/>
              </w:rPr>
              <w:t>Nominating</w:t>
            </w:r>
          </w:p>
        </w:tc>
        <w:tc>
          <w:tcPr>
            <w:tcW w:w="0" w:type="dxa"/>
            <w:vAlign w:val="bottom"/>
          </w:tcPr>
          <w:p>
            <w:pPr>
              <w:spacing w:after="0"/>
              <w:rPr>
                <w:sz w:val="1"/>
                <w:szCs w:val="1"/>
                <w:color w:val="auto"/>
              </w:rPr>
            </w:pPr>
          </w:p>
        </w:tc>
      </w:tr>
      <w:tr>
        <w:trPr>
          <w:trHeight w:val="162"/>
        </w:trPr>
        <w:tc>
          <w:tcPr>
            <w:tcW w:w="1460" w:type="dxa"/>
            <w:vAlign w:val="bottom"/>
            <w:tcBorders>
              <w:left w:val="single" w:sz="8" w:color="3465B0"/>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2040" w:type="dxa"/>
            <w:vAlign w:val="bottom"/>
            <w:tcBorders>
              <w:right w:val="single" w:sz="8" w:color="93A1D2"/>
            </w:tcBorders>
            <w:shd w:val="clear" w:color="auto" w:fill="3465B0"/>
          </w:tcPr>
          <w:p>
            <w:pPr>
              <w:spacing w:after="0"/>
              <w:rPr>
                <w:sz w:val="14"/>
                <w:szCs w:val="14"/>
                <w:color w:val="auto"/>
              </w:rPr>
            </w:pPr>
          </w:p>
        </w:tc>
        <w:tc>
          <w:tcPr>
            <w:tcW w:w="420" w:type="dxa"/>
            <w:vAlign w:val="bottom"/>
            <w:tcBorders>
              <w:right w:val="single" w:sz="8" w:color="93A1D2"/>
            </w:tcBorders>
            <w:shd w:val="clear" w:color="auto" w:fill="3465B0"/>
          </w:tcPr>
          <w:p>
            <w:pPr>
              <w:spacing w:after="0"/>
              <w:rPr>
                <w:sz w:val="14"/>
                <w:szCs w:val="14"/>
                <w:color w:val="auto"/>
              </w:rPr>
            </w:pPr>
          </w:p>
        </w:tc>
        <w:tc>
          <w:tcPr>
            <w:tcW w:w="800" w:type="dxa"/>
            <w:vAlign w:val="bottom"/>
            <w:tcBorders>
              <w:right w:val="single" w:sz="8" w:color="93A1D2"/>
            </w:tcBorders>
            <w:shd w:val="clear" w:color="auto" w:fill="3465B0"/>
          </w:tcPr>
          <w:p>
            <w:pPr>
              <w:spacing w:after="0"/>
              <w:rPr>
                <w:sz w:val="14"/>
                <w:szCs w:val="14"/>
                <w:color w:val="auto"/>
              </w:rPr>
            </w:pPr>
          </w:p>
        </w:tc>
        <w:tc>
          <w:tcPr>
            <w:tcW w:w="108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760" w:type="dxa"/>
            <w:vAlign w:val="bottom"/>
            <w:shd w:val="clear" w:color="auto" w:fill="3465B0"/>
          </w:tcPr>
          <w:p>
            <w:pPr>
              <w:spacing w:after="0"/>
              <w:rPr>
                <w:sz w:val="14"/>
                <w:szCs w:val="14"/>
                <w:color w:val="auto"/>
              </w:rPr>
            </w:pPr>
          </w:p>
        </w:tc>
        <w:tc>
          <w:tcPr>
            <w:tcW w:w="140" w:type="dxa"/>
            <w:vAlign w:val="bottom"/>
            <w:tcBorders>
              <w:right w:val="single" w:sz="8" w:color="93A1D2"/>
            </w:tcBorders>
            <w:shd w:val="clear" w:color="auto" w:fill="3465B0"/>
          </w:tcPr>
          <w:p>
            <w:pPr>
              <w:spacing w:after="0"/>
              <w:rPr>
                <w:sz w:val="14"/>
                <w:szCs w:val="14"/>
                <w:color w:val="auto"/>
              </w:rPr>
            </w:pPr>
          </w:p>
        </w:tc>
        <w:tc>
          <w:tcPr>
            <w:tcW w:w="1260" w:type="dxa"/>
            <w:vAlign w:val="bottom"/>
            <w:tcBorders>
              <w:right w:val="single" w:sz="8" w:color="93A1D2"/>
            </w:tcBorders>
            <w:shd w:val="clear" w:color="auto" w:fill="3465B0"/>
          </w:tcPr>
          <w:p>
            <w:pPr>
              <w:spacing w:after="0"/>
              <w:rPr>
                <w:sz w:val="14"/>
                <w:szCs w:val="14"/>
                <w:color w:val="auto"/>
              </w:rPr>
            </w:pPr>
          </w:p>
        </w:tc>
        <w:tc>
          <w:tcPr>
            <w:tcW w:w="1080" w:type="dxa"/>
            <w:vAlign w:val="bottom"/>
            <w:tcBorders>
              <w:right w:val="single" w:sz="8" w:color="3465B0"/>
            </w:tcBorders>
            <w:shd w:val="clear" w:color="auto" w:fill="3465B0"/>
          </w:tcPr>
          <w:p>
            <w:pPr>
              <w:ind w:left="60"/>
              <w:spacing w:after="0"/>
              <w:rPr>
                <w:sz w:val="20"/>
                <w:szCs w:val="20"/>
                <w:color w:val="auto"/>
              </w:rPr>
            </w:pPr>
            <w:r>
              <w:rPr>
                <w:rFonts w:ascii="Arial" w:cs="Arial" w:eastAsia="Arial" w:hAnsi="Arial"/>
                <w:sz w:val="14"/>
                <w:szCs w:val="14"/>
                <w:b w:val="1"/>
                <w:bCs w:val="1"/>
                <w:color w:val="FFFFFF"/>
              </w:rPr>
              <w:t>and</w:t>
            </w:r>
          </w:p>
        </w:tc>
        <w:tc>
          <w:tcPr>
            <w:tcW w:w="0" w:type="dxa"/>
            <w:vAlign w:val="bottom"/>
          </w:tcPr>
          <w:p>
            <w:pPr>
              <w:spacing w:after="0"/>
              <w:rPr>
                <w:sz w:val="1"/>
                <w:szCs w:val="1"/>
                <w:color w:val="auto"/>
              </w:rPr>
            </w:pPr>
          </w:p>
        </w:tc>
      </w:tr>
      <w:tr>
        <w:trPr>
          <w:trHeight w:val="162"/>
        </w:trPr>
        <w:tc>
          <w:tcPr>
            <w:tcW w:w="1460" w:type="dxa"/>
            <w:vAlign w:val="bottom"/>
            <w:tcBorders>
              <w:left w:val="single" w:sz="8" w:color="3465B0"/>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2040" w:type="dxa"/>
            <w:vAlign w:val="bottom"/>
            <w:tcBorders>
              <w:right w:val="single" w:sz="8" w:color="93A1D2"/>
            </w:tcBorders>
            <w:shd w:val="clear" w:color="auto" w:fill="3465B0"/>
          </w:tcPr>
          <w:p>
            <w:pPr>
              <w:spacing w:after="0"/>
              <w:rPr>
                <w:sz w:val="14"/>
                <w:szCs w:val="14"/>
                <w:color w:val="auto"/>
              </w:rPr>
            </w:pPr>
          </w:p>
        </w:tc>
        <w:tc>
          <w:tcPr>
            <w:tcW w:w="420" w:type="dxa"/>
            <w:vAlign w:val="bottom"/>
            <w:tcBorders>
              <w:right w:val="single" w:sz="8" w:color="93A1D2"/>
            </w:tcBorders>
            <w:shd w:val="clear" w:color="auto" w:fill="3465B0"/>
          </w:tcPr>
          <w:p>
            <w:pPr>
              <w:spacing w:after="0"/>
              <w:rPr>
                <w:sz w:val="14"/>
                <w:szCs w:val="14"/>
                <w:color w:val="auto"/>
              </w:rPr>
            </w:pPr>
          </w:p>
        </w:tc>
        <w:tc>
          <w:tcPr>
            <w:tcW w:w="800" w:type="dxa"/>
            <w:vAlign w:val="bottom"/>
            <w:tcBorders>
              <w:right w:val="single" w:sz="8" w:color="93A1D2"/>
            </w:tcBorders>
            <w:shd w:val="clear" w:color="auto" w:fill="3465B0"/>
          </w:tcPr>
          <w:p>
            <w:pPr>
              <w:spacing w:after="0"/>
              <w:rPr>
                <w:sz w:val="14"/>
                <w:szCs w:val="14"/>
                <w:color w:val="auto"/>
              </w:rPr>
            </w:pPr>
          </w:p>
        </w:tc>
        <w:tc>
          <w:tcPr>
            <w:tcW w:w="108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760" w:type="dxa"/>
            <w:vAlign w:val="bottom"/>
            <w:shd w:val="clear" w:color="auto" w:fill="3465B0"/>
          </w:tcPr>
          <w:p>
            <w:pPr>
              <w:spacing w:after="0"/>
              <w:rPr>
                <w:sz w:val="14"/>
                <w:szCs w:val="14"/>
                <w:color w:val="auto"/>
              </w:rPr>
            </w:pPr>
          </w:p>
        </w:tc>
        <w:tc>
          <w:tcPr>
            <w:tcW w:w="140" w:type="dxa"/>
            <w:vAlign w:val="bottom"/>
            <w:tcBorders>
              <w:right w:val="single" w:sz="8" w:color="93A1D2"/>
            </w:tcBorders>
            <w:shd w:val="clear" w:color="auto" w:fill="3465B0"/>
          </w:tcPr>
          <w:p>
            <w:pPr>
              <w:spacing w:after="0"/>
              <w:rPr>
                <w:sz w:val="14"/>
                <w:szCs w:val="14"/>
                <w:color w:val="auto"/>
              </w:rPr>
            </w:pPr>
          </w:p>
        </w:tc>
        <w:tc>
          <w:tcPr>
            <w:tcW w:w="1260" w:type="dxa"/>
            <w:vAlign w:val="bottom"/>
            <w:tcBorders>
              <w:right w:val="single" w:sz="8" w:color="93A1D2"/>
            </w:tcBorders>
            <w:shd w:val="clear" w:color="auto" w:fill="3465B0"/>
          </w:tcPr>
          <w:p>
            <w:pPr>
              <w:spacing w:after="0"/>
              <w:rPr>
                <w:sz w:val="14"/>
                <w:szCs w:val="14"/>
                <w:color w:val="auto"/>
              </w:rPr>
            </w:pPr>
          </w:p>
        </w:tc>
        <w:tc>
          <w:tcPr>
            <w:tcW w:w="1080" w:type="dxa"/>
            <w:vAlign w:val="bottom"/>
            <w:tcBorders>
              <w:right w:val="single" w:sz="8" w:color="3465B0"/>
            </w:tcBorders>
            <w:shd w:val="clear" w:color="auto" w:fill="3465B0"/>
          </w:tcPr>
          <w:p>
            <w:pPr>
              <w:ind w:left="60"/>
              <w:spacing w:after="0"/>
              <w:rPr>
                <w:sz w:val="20"/>
                <w:szCs w:val="20"/>
                <w:color w:val="auto"/>
              </w:rPr>
            </w:pPr>
            <w:r>
              <w:rPr>
                <w:rFonts w:ascii="Arial" w:cs="Arial" w:eastAsia="Arial" w:hAnsi="Arial"/>
                <w:sz w:val="14"/>
                <w:szCs w:val="14"/>
                <w:b w:val="1"/>
                <w:bCs w:val="1"/>
                <w:color w:val="FFFFFF"/>
              </w:rPr>
              <w:t>Corporate</w:t>
            </w:r>
          </w:p>
        </w:tc>
        <w:tc>
          <w:tcPr>
            <w:tcW w:w="0" w:type="dxa"/>
            <w:vAlign w:val="bottom"/>
          </w:tcPr>
          <w:p>
            <w:pPr>
              <w:spacing w:after="0"/>
              <w:rPr>
                <w:sz w:val="1"/>
                <w:szCs w:val="1"/>
                <w:color w:val="auto"/>
              </w:rPr>
            </w:pPr>
          </w:p>
        </w:tc>
      </w:tr>
      <w:tr>
        <w:trPr>
          <w:trHeight w:val="162"/>
        </w:trPr>
        <w:tc>
          <w:tcPr>
            <w:tcW w:w="1460" w:type="dxa"/>
            <w:vAlign w:val="bottom"/>
            <w:tcBorders>
              <w:left w:val="single" w:sz="8" w:color="3465B0"/>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2040" w:type="dxa"/>
            <w:vAlign w:val="bottom"/>
            <w:tcBorders>
              <w:right w:val="single" w:sz="8" w:color="93A1D2"/>
            </w:tcBorders>
            <w:shd w:val="clear" w:color="auto" w:fill="3465B0"/>
          </w:tcPr>
          <w:p>
            <w:pPr>
              <w:spacing w:after="0"/>
              <w:rPr>
                <w:sz w:val="14"/>
                <w:szCs w:val="14"/>
                <w:color w:val="auto"/>
              </w:rPr>
            </w:pPr>
          </w:p>
        </w:tc>
        <w:tc>
          <w:tcPr>
            <w:tcW w:w="420" w:type="dxa"/>
            <w:vAlign w:val="bottom"/>
            <w:tcBorders>
              <w:right w:val="single" w:sz="8" w:color="93A1D2"/>
            </w:tcBorders>
            <w:shd w:val="clear" w:color="auto" w:fill="3465B0"/>
          </w:tcPr>
          <w:p>
            <w:pPr>
              <w:spacing w:after="0"/>
              <w:rPr>
                <w:sz w:val="14"/>
                <w:szCs w:val="14"/>
                <w:color w:val="auto"/>
              </w:rPr>
            </w:pPr>
          </w:p>
        </w:tc>
        <w:tc>
          <w:tcPr>
            <w:tcW w:w="800" w:type="dxa"/>
            <w:vAlign w:val="bottom"/>
            <w:tcBorders>
              <w:right w:val="single" w:sz="8" w:color="93A1D2"/>
            </w:tcBorders>
            <w:shd w:val="clear" w:color="auto" w:fill="3465B0"/>
          </w:tcPr>
          <w:p>
            <w:pPr>
              <w:ind w:left="80"/>
              <w:spacing w:after="0"/>
              <w:rPr>
                <w:sz w:val="20"/>
                <w:szCs w:val="20"/>
                <w:color w:val="auto"/>
              </w:rPr>
            </w:pPr>
            <w:r>
              <w:rPr>
                <w:rFonts w:ascii="Arial" w:cs="Arial" w:eastAsia="Arial" w:hAnsi="Arial"/>
                <w:sz w:val="14"/>
                <w:szCs w:val="14"/>
                <w:b w:val="1"/>
                <w:bCs w:val="1"/>
                <w:color w:val="FFFFFF"/>
              </w:rPr>
              <w:t>Director</w:t>
            </w:r>
          </w:p>
        </w:tc>
        <w:tc>
          <w:tcPr>
            <w:tcW w:w="108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760" w:type="dxa"/>
            <w:vAlign w:val="bottom"/>
            <w:shd w:val="clear" w:color="auto" w:fill="3465B0"/>
          </w:tcPr>
          <w:p>
            <w:pPr>
              <w:spacing w:after="0"/>
              <w:rPr>
                <w:sz w:val="20"/>
                <w:szCs w:val="20"/>
                <w:color w:val="auto"/>
              </w:rPr>
            </w:pPr>
            <w:r>
              <w:rPr>
                <w:rFonts w:ascii="Arial" w:cs="Arial" w:eastAsia="Arial" w:hAnsi="Arial"/>
                <w:sz w:val="14"/>
                <w:szCs w:val="14"/>
                <w:b w:val="1"/>
                <w:bCs w:val="1"/>
                <w:color w:val="FFFFFF"/>
              </w:rPr>
              <w:t>Audit</w:t>
            </w:r>
          </w:p>
        </w:tc>
        <w:tc>
          <w:tcPr>
            <w:tcW w:w="140" w:type="dxa"/>
            <w:vAlign w:val="bottom"/>
            <w:tcBorders>
              <w:right w:val="single" w:sz="8" w:color="93A1D2"/>
            </w:tcBorders>
            <w:shd w:val="clear" w:color="auto" w:fill="3465B0"/>
          </w:tcPr>
          <w:p>
            <w:pPr>
              <w:spacing w:after="0"/>
              <w:rPr>
                <w:sz w:val="14"/>
                <w:szCs w:val="14"/>
                <w:color w:val="auto"/>
              </w:rPr>
            </w:pPr>
          </w:p>
        </w:tc>
        <w:tc>
          <w:tcPr>
            <w:tcW w:w="1260" w:type="dxa"/>
            <w:vAlign w:val="bottom"/>
            <w:tcBorders>
              <w:right w:val="single" w:sz="8" w:color="93A1D2"/>
            </w:tcBorders>
            <w:shd w:val="clear" w:color="auto" w:fill="3465B0"/>
          </w:tcPr>
          <w:p>
            <w:pPr>
              <w:ind w:left="60"/>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tcBorders>
              <w:right w:val="single" w:sz="8" w:color="3465B0"/>
            </w:tcBorders>
            <w:shd w:val="clear" w:color="auto" w:fill="3465B0"/>
          </w:tcPr>
          <w:p>
            <w:pPr>
              <w:ind w:left="60"/>
              <w:spacing w:after="0"/>
              <w:rPr>
                <w:sz w:val="20"/>
                <w:szCs w:val="20"/>
                <w:color w:val="auto"/>
              </w:rPr>
            </w:pPr>
            <w:r>
              <w:rPr>
                <w:rFonts w:ascii="Arial" w:cs="Arial" w:eastAsia="Arial" w:hAnsi="Arial"/>
                <w:sz w:val="14"/>
                <w:szCs w:val="14"/>
                <w:b w:val="1"/>
                <w:bCs w:val="1"/>
                <w:color w:val="FFFFFF"/>
              </w:rPr>
              <w:t>Governance</w:t>
            </w:r>
          </w:p>
        </w:tc>
        <w:tc>
          <w:tcPr>
            <w:tcW w:w="0" w:type="dxa"/>
            <w:vAlign w:val="bottom"/>
          </w:tcPr>
          <w:p>
            <w:pPr>
              <w:spacing w:after="0"/>
              <w:rPr>
                <w:sz w:val="1"/>
                <w:szCs w:val="1"/>
                <w:color w:val="auto"/>
              </w:rPr>
            </w:pPr>
          </w:p>
        </w:tc>
      </w:tr>
      <w:tr>
        <w:trPr>
          <w:trHeight w:val="198"/>
        </w:trPr>
        <w:tc>
          <w:tcPr>
            <w:tcW w:w="1460" w:type="dxa"/>
            <w:vAlign w:val="bottom"/>
            <w:tcBorders>
              <w:left w:val="single" w:sz="8" w:color="3465B0"/>
              <w:right w:val="single" w:sz="8" w:color="93A1D2"/>
            </w:tcBorders>
            <w:shd w:val="clear" w:color="auto" w:fill="3465B0"/>
          </w:tcPr>
          <w:p>
            <w:pPr>
              <w:ind w:left="120"/>
              <w:spacing w:after="0"/>
              <w:rPr>
                <w:sz w:val="20"/>
                <w:szCs w:val="20"/>
                <w:color w:val="auto"/>
              </w:rPr>
            </w:pPr>
            <w:r>
              <w:rPr>
                <w:rFonts w:ascii="Arial" w:cs="Arial" w:eastAsia="Arial" w:hAnsi="Arial"/>
                <w:sz w:val="14"/>
                <w:szCs w:val="14"/>
                <w:b w:val="1"/>
                <w:bCs w:val="1"/>
                <w:color w:val="FFFFFF"/>
              </w:rPr>
              <w:t>Directors</w:t>
            </w:r>
          </w:p>
        </w:tc>
        <w:tc>
          <w:tcPr>
            <w:tcW w:w="60" w:type="dxa"/>
            <w:vAlign w:val="bottom"/>
            <w:shd w:val="clear" w:color="auto" w:fill="3465B0"/>
          </w:tcPr>
          <w:p>
            <w:pPr>
              <w:spacing w:after="0"/>
              <w:rPr>
                <w:sz w:val="17"/>
                <w:szCs w:val="17"/>
                <w:color w:val="auto"/>
              </w:rPr>
            </w:pPr>
          </w:p>
        </w:tc>
        <w:tc>
          <w:tcPr>
            <w:tcW w:w="204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4"/>
                <w:szCs w:val="14"/>
                <w:b w:val="1"/>
                <w:bCs w:val="1"/>
                <w:color w:val="FFFFFF"/>
              </w:rPr>
              <w:t>Occupation</w:t>
            </w:r>
          </w:p>
        </w:tc>
        <w:tc>
          <w:tcPr>
            <w:tcW w:w="420" w:type="dxa"/>
            <w:vAlign w:val="bottom"/>
            <w:tcBorders>
              <w:right w:val="single" w:sz="8" w:color="93A1D2"/>
            </w:tcBorders>
            <w:shd w:val="clear" w:color="auto" w:fill="3465B0"/>
          </w:tcPr>
          <w:p>
            <w:pPr>
              <w:jc w:val="center"/>
              <w:spacing w:after="0"/>
              <w:rPr>
                <w:sz w:val="20"/>
                <w:szCs w:val="20"/>
                <w:color w:val="auto"/>
              </w:rPr>
            </w:pPr>
            <w:r>
              <w:rPr>
                <w:rFonts w:ascii="Arial" w:cs="Arial" w:eastAsia="Arial" w:hAnsi="Arial"/>
                <w:sz w:val="14"/>
                <w:szCs w:val="14"/>
                <w:b w:val="1"/>
                <w:bCs w:val="1"/>
                <w:color w:val="FFFFFF"/>
              </w:rPr>
              <w:t>Age</w:t>
            </w:r>
          </w:p>
        </w:tc>
        <w:tc>
          <w:tcPr>
            <w:tcW w:w="800" w:type="dxa"/>
            <w:vAlign w:val="bottom"/>
            <w:tcBorders>
              <w:right w:val="single" w:sz="8" w:color="93A1D2"/>
            </w:tcBorders>
            <w:shd w:val="clear" w:color="auto" w:fill="3465B0"/>
          </w:tcPr>
          <w:p>
            <w:pPr>
              <w:ind w:left="80"/>
              <w:spacing w:after="0"/>
              <w:rPr>
                <w:sz w:val="20"/>
                <w:szCs w:val="20"/>
                <w:color w:val="auto"/>
              </w:rPr>
            </w:pPr>
            <w:r>
              <w:rPr>
                <w:rFonts w:ascii="Arial" w:cs="Arial" w:eastAsia="Arial" w:hAnsi="Arial"/>
                <w:sz w:val="14"/>
                <w:szCs w:val="14"/>
                <w:b w:val="1"/>
                <w:bCs w:val="1"/>
                <w:color w:val="FFFFFF"/>
              </w:rPr>
              <w:t>Since</w:t>
            </w:r>
          </w:p>
        </w:tc>
        <w:tc>
          <w:tcPr>
            <w:tcW w:w="1080" w:type="dxa"/>
            <w:vAlign w:val="bottom"/>
            <w:tcBorders>
              <w:right w:val="single" w:sz="8" w:color="93A1D2"/>
            </w:tcBorders>
            <w:shd w:val="clear" w:color="auto" w:fill="3465B0"/>
          </w:tcPr>
          <w:p>
            <w:pPr>
              <w:ind w:left="60"/>
              <w:spacing w:after="0"/>
              <w:rPr>
                <w:sz w:val="20"/>
                <w:szCs w:val="20"/>
                <w:color w:val="auto"/>
              </w:rPr>
            </w:pPr>
            <w:r>
              <w:rPr>
                <w:rFonts w:ascii="Arial" w:cs="Arial" w:eastAsia="Arial" w:hAnsi="Arial"/>
                <w:sz w:val="14"/>
                <w:szCs w:val="14"/>
                <w:b w:val="1"/>
                <w:bCs w:val="1"/>
                <w:color w:val="FFFFFF"/>
              </w:rPr>
              <w:t>Independent</w:t>
            </w:r>
          </w:p>
        </w:tc>
        <w:tc>
          <w:tcPr>
            <w:tcW w:w="820" w:type="dxa"/>
            <w:vAlign w:val="bottom"/>
            <w:gridSpan w:val="2"/>
            <w:shd w:val="clear" w:color="auto" w:fill="3465B0"/>
          </w:tcPr>
          <w:p>
            <w:pPr>
              <w:ind w:left="60"/>
              <w:spacing w:after="0"/>
              <w:rPr>
                <w:sz w:val="20"/>
                <w:szCs w:val="20"/>
                <w:color w:val="auto"/>
              </w:rPr>
            </w:pPr>
            <w:r>
              <w:rPr>
                <w:rFonts w:ascii="Arial" w:cs="Arial" w:eastAsia="Arial" w:hAnsi="Arial"/>
                <w:sz w:val="14"/>
                <w:szCs w:val="14"/>
                <w:b w:val="1"/>
                <w:bCs w:val="1"/>
                <w:color w:val="FFFFFF"/>
              </w:rPr>
              <w:t>Committee</w:t>
            </w:r>
          </w:p>
        </w:tc>
        <w:tc>
          <w:tcPr>
            <w:tcW w:w="140" w:type="dxa"/>
            <w:vAlign w:val="bottom"/>
            <w:tcBorders>
              <w:right w:val="single" w:sz="8" w:color="93A1D2"/>
            </w:tcBorders>
            <w:shd w:val="clear" w:color="auto" w:fill="3465B0"/>
          </w:tcPr>
          <w:p>
            <w:pPr>
              <w:spacing w:after="0"/>
              <w:rPr>
                <w:sz w:val="17"/>
                <w:szCs w:val="17"/>
                <w:color w:val="auto"/>
              </w:rPr>
            </w:pPr>
          </w:p>
        </w:tc>
        <w:tc>
          <w:tcPr>
            <w:tcW w:w="1260" w:type="dxa"/>
            <w:vAlign w:val="bottom"/>
            <w:tcBorders>
              <w:right w:val="single" w:sz="8" w:color="93A1D2"/>
            </w:tcBorders>
            <w:shd w:val="clear" w:color="auto" w:fill="3465B0"/>
          </w:tcPr>
          <w:p>
            <w:pPr>
              <w:ind w:left="60"/>
              <w:spacing w:after="0"/>
              <w:rPr>
                <w:sz w:val="20"/>
                <w:szCs w:val="20"/>
                <w:color w:val="auto"/>
              </w:rPr>
            </w:pPr>
            <w:r>
              <w:rPr>
                <w:rFonts w:ascii="Arial" w:cs="Arial" w:eastAsia="Arial" w:hAnsi="Arial"/>
                <w:sz w:val="14"/>
                <w:szCs w:val="14"/>
                <w:b w:val="1"/>
                <w:bCs w:val="1"/>
                <w:color w:val="FFFFFF"/>
              </w:rPr>
              <w:t>Committee</w:t>
            </w:r>
          </w:p>
        </w:tc>
        <w:tc>
          <w:tcPr>
            <w:tcW w:w="1080" w:type="dxa"/>
            <w:vAlign w:val="bottom"/>
            <w:tcBorders>
              <w:right w:val="single" w:sz="8" w:color="3465B0"/>
            </w:tcBorders>
            <w:shd w:val="clear" w:color="auto" w:fill="3465B0"/>
          </w:tcPr>
          <w:p>
            <w:pPr>
              <w:ind w:left="60"/>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4"/>
                <w:szCs w:val="14"/>
                <w:color w:val="auto"/>
              </w:rPr>
              <w:t>L. Reade Fahs</w:t>
            </w:r>
          </w:p>
        </w:tc>
        <w:tc>
          <w:tcPr>
            <w:tcW w:w="60" w:type="dxa"/>
            <w:vAlign w:val="bottom"/>
          </w:tcPr>
          <w:p>
            <w:pPr>
              <w:spacing w:after="0"/>
              <w:rPr>
                <w:sz w:val="14"/>
                <w:szCs w:val="14"/>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Executive Chairman,</w:t>
            </w:r>
          </w:p>
        </w:tc>
        <w:tc>
          <w:tcPr>
            <w:tcW w:w="420" w:type="dxa"/>
            <w:vAlign w:val="bottom"/>
            <w:tcBorders>
              <w:right w:val="single" w:sz="8" w:color="93A1D2"/>
            </w:tcBorders>
          </w:tcPr>
          <w:p>
            <w:pPr>
              <w:jc w:val="center"/>
              <w:spacing w:after="0"/>
              <w:rPr>
                <w:sz w:val="20"/>
                <w:szCs w:val="20"/>
                <w:color w:val="auto"/>
              </w:rPr>
            </w:pPr>
            <w:r>
              <w:rPr>
                <w:rFonts w:ascii="Arial" w:cs="Arial" w:eastAsia="Arial" w:hAnsi="Arial"/>
                <w:sz w:val="14"/>
                <w:szCs w:val="14"/>
                <w:color w:val="auto"/>
              </w:rPr>
              <w:t>65</w:t>
            </w:r>
          </w:p>
        </w:tc>
        <w:tc>
          <w:tcPr>
            <w:tcW w:w="800" w:type="dxa"/>
            <w:vAlign w:val="bottom"/>
            <w:tcBorders>
              <w:right w:val="single" w:sz="8" w:color="93A1D2"/>
            </w:tcBorders>
          </w:tcPr>
          <w:p>
            <w:pPr>
              <w:jc w:val="right"/>
              <w:ind w:right="168"/>
              <w:spacing w:after="0"/>
              <w:rPr>
                <w:sz w:val="20"/>
                <w:szCs w:val="20"/>
                <w:color w:val="auto"/>
              </w:rPr>
            </w:pPr>
            <w:r>
              <w:rPr>
                <w:rFonts w:ascii="Arial" w:cs="Arial" w:eastAsia="Arial" w:hAnsi="Arial"/>
                <w:sz w:val="14"/>
                <w:szCs w:val="14"/>
                <w:color w:val="auto"/>
              </w:rPr>
              <w:t>2014</w:t>
            </w:r>
          </w:p>
        </w:tc>
        <w:tc>
          <w:tcPr>
            <w:tcW w:w="1080" w:type="dxa"/>
            <w:vAlign w:val="bottom"/>
            <w:tcBorders>
              <w:right w:val="single" w:sz="8" w:color="93A1D2"/>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93A1D2"/>
            </w:tcBorders>
          </w:tcPr>
          <w:p>
            <w:pPr>
              <w:spacing w:after="0"/>
              <w:rPr>
                <w:sz w:val="14"/>
                <w:szCs w:val="14"/>
                <w:color w:val="auto"/>
              </w:rPr>
            </w:pPr>
          </w:p>
        </w:tc>
        <w:tc>
          <w:tcPr>
            <w:tcW w:w="1260" w:type="dxa"/>
            <w:vAlign w:val="bottom"/>
            <w:tcBorders>
              <w:right w:val="single" w:sz="8" w:color="93A1D2"/>
            </w:tcBorders>
          </w:tcPr>
          <w:p>
            <w:pPr>
              <w:spacing w:after="0"/>
              <w:rPr>
                <w:sz w:val="14"/>
                <w:szCs w:val="14"/>
                <w:color w:val="auto"/>
              </w:rPr>
            </w:pPr>
          </w:p>
        </w:tc>
        <w:tc>
          <w:tcPr>
            <w:tcW w:w="1080" w:type="dxa"/>
            <w:vAlign w:val="bottom"/>
            <w:tcBorders>
              <w:right w:val="single" w:sz="8" w:color="3465B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National Vision Holdings, Inc.</w:t>
            </w:r>
          </w:p>
        </w:tc>
        <w:tc>
          <w:tcPr>
            <w:tcW w:w="420" w:type="dxa"/>
            <w:vAlign w:val="bottom"/>
            <w:tcBorders>
              <w:right w:val="single" w:sz="8" w:color="93A1D2"/>
            </w:tcBorders>
          </w:tcPr>
          <w:p>
            <w:pPr>
              <w:spacing w:after="0"/>
              <w:rPr>
                <w:sz w:val="16"/>
                <w:szCs w:val="16"/>
                <w:color w:val="auto"/>
              </w:rPr>
            </w:pPr>
          </w:p>
        </w:tc>
        <w:tc>
          <w:tcPr>
            <w:tcW w:w="800" w:type="dxa"/>
            <w:vAlign w:val="bottom"/>
            <w:tcBorders>
              <w:right w:val="single" w:sz="8" w:color="93A1D2"/>
            </w:tcBorders>
          </w:tcPr>
          <w:p>
            <w:pPr>
              <w:spacing w:after="0"/>
              <w:rPr>
                <w:sz w:val="16"/>
                <w:szCs w:val="16"/>
                <w:color w:val="auto"/>
              </w:rPr>
            </w:pPr>
          </w:p>
        </w:tc>
        <w:tc>
          <w:tcPr>
            <w:tcW w:w="108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93A1D2"/>
            </w:tcBorders>
          </w:tcPr>
          <w:p>
            <w:pPr>
              <w:spacing w:after="0"/>
              <w:rPr>
                <w:sz w:val="16"/>
                <w:szCs w:val="16"/>
                <w:color w:val="auto"/>
              </w:rPr>
            </w:pPr>
          </w:p>
        </w:tc>
        <w:tc>
          <w:tcPr>
            <w:tcW w:w="1260" w:type="dxa"/>
            <w:vAlign w:val="bottom"/>
            <w:tcBorders>
              <w:right w:val="single" w:sz="8" w:color="93A1D2"/>
            </w:tcBorders>
          </w:tcPr>
          <w:p>
            <w:pPr>
              <w:spacing w:after="0"/>
              <w:rPr>
                <w:sz w:val="16"/>
                <w:szCs w:val="16"/>
                <w:color w:val="auto"/>
              </w:rPr>
            </w:pPr>
          </w:p>
        </w:tc>
        <w:tc>
          <w:tcPr>
            <w:tcW w:w="108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4"/>
                <w:szCs w:val="14"/>
                <w:color w:val="auto"/>
              </w:rPr>
              <w:t>Alexander N.</w:t>
            </w:r>
          </w:p>
        </w:tc>
        <w:tc>
          <w:tcPr>
            <w:tcW w:w="60" w:type="dxa"/>
            <w:vAlign w:val="bottom"/>
            <w:shd w:val="clear" w:color="auto" w:fill="CCCCCC"/>
          </w:tcPr>
          <w:p>
            <w:pPr>
              <w:spacing w:after="0"/>
              <w:rPr>
                <w:sz w:val="14"/>
                <w:szCs w:val="14"/>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Chief Executive Officer,</w:t>
            </w:r>
          </w:p>
        </w:tc>
        <w:tc>
          <w:tcPr>
            <w:tcW w:w="420" w:type="dxa"/>
            <w:vAlign w:val="bottom"/>
            <w:tcBorders>
              <w:right w:val="single" w:sz="8" w:color="93A1D2"/>
            </w:tcBorders>
            <w:shd w:val="clear" w:color="auto" w:fill="CCCCCC"/>
          </w:tcPr>
          <w:p>
            <w:pPr>
              <w:jc w:val="center"/>
              <w:spacing w:after="0"/>
              <w:rPr>
                <w:sz w:val="20"/>
                <w:szCs w:val="20"/>
                <w:color w:val="auto"/>
              </w:rPr>
            </w:pPr>
            <w:r>
              <w:rPr>
                <w:rFonts w:ascii="Arial" w:cs="Arial" w:eastAsia="Arial" w:hAnsi="Arial"/>
                <w:sz w:val="14"/>
                <w:szCs w:val="14"/>
                <w:color w:val="auto"/>
              </w:rPr>
              <w:t>47</w:t>
            </w:r>
          </w:p>
        </w:tc>
        <w:tc>
          <w:tcPr>
            <w:tcW w:w="800" w:type="dxa"/>
            <w:vAlign w:val="bottom"/>
            <w:tcBorders>
              <w:right w:val="single" w:sz="8" w:color="93A1D2"/>
            </w:tcBorders>
            <w:shd w:val="clear" w:color="auto" w:fill="CCCCCC"/>
          </w:tcPr>
          <w:p>
            <w:pPr>
              <w:jc w:val="right"/>
              <w:ind w:right="168"/>
              <w:spacing w:after="0"/>
              <w:rPr>
                <w:sz w:val="20"/>
                <w:szCs w:val="20"/>
                <w:color w:val="auto"/>
              </w:rPr>
            </w:pPr>
            <w:r>
              <w:rPr>
                <w:rFonts w:ascii="Arial" w:cs="Arial" w:eastAsia="Arial" w:hAnsi="Arial"/>
                <w:sz w:val="14"/>
                <w:szCs w:val="14"/>
                <w:color w:val="auto"/>
              </w:rPr>
              <w:t>2025</w:t>
            </w:r>
          </w:p>
        </w:tc>
        <w:tc>
          <w:tcPr>
            <w:tcW w:w="1080" w:type="dxa"/>
            <w:vAlign w:val="bottom"/>
            <w:tcBorders>
              <w:right w:val="single" w:sz="8" w:color="93A1D2"/>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140" w:type="dxa"/>
            <w:vAlign w:val="bottom"/>
            <w:tcBorders>
              <w:right w:val="single" w:sz="8" w:color="93A1D2"/>
            </w:tcBorders>
            <w:shd w:val="clear" w:color="auto" w:fill="CCCCCC"/>
          </w:tcPr>
          <w:p>
            <w:pPr>
              <w:spacing w:after="0"/>
              <w:rPr>
                <w:sz w:val="14"/>
                <w:szCs w:val="14"/>
                <w:color w:val="auto"/>
              </w:rPr>
            </w:pPr>
          </w:p>
        </w:tc>
        <w:tc>
          <w:tcPr>
            <w:tcW w:w="1260" w:type="dxa"/>
            <w:vAlign w:val="bottom"/>
            <w:tcBorders>
              <w:right w:val="single" w:sz="8" w:color="93A1D2"/>
            </w:tcBorders>
            <w:shd w:val="clear" w:color="auto" w:fill="CCCCCC"/>
          </w:tcPr>
          <w:p>
            <w:pPr>
              <w:spacing w:after="0"/>
              <w:rPr>
                <w:sz w:val="14"/>
                <w:szCs w:val="14"/>
                <w:color w:val="auto"/>
              </w:rPr>
            </w:pPr>
          </w:p>
        </w:tc>
        <w:tc>
          <w:tcPr>
            <w:tcW w:w="1080" w:type="dxa"/>
            <w:vAlign w:val="bottom"/>
            <w:tcBorders>
              <w:right w:val="single" w:sz="8" w:color="3465B0"/>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4"/>
                <w:szCs w:val="14"/>
                <w:color w:val="auto"/>
              </w:rPr>
              <w:t>Wilkes</w:t>
            </w:r>
          </w:p>
        </w:tc>
        <w:tc>
          <w:tcPr>
            <w:tcW w:w="60" w:type="dxa"/>
            <w:vAlign w:val="bottom"/>
            <w:shd w:val="clear" w:color="auto" w:fill="CCCCCC"/>
          </w:tcPr>
          <w:p>
            <w:pPr>
              <w:spacing w:after="0"/>
              <w:rPr>
                <w:sz w:val="16"/>
                <w:szCs w:val="16"/>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National Vision Holdings, Inc.</w:t>
            </w:r>
          </w:p>
        </w:tc>
        <w:tc>
          <w:tcPr>
            <w:tcW w:w="420" w:type="dxa"/>
            <w:vAlign w:val="bottom"/>
            <w:tcBorders>
              <w:right w:val="single" w:sz="8" w:color="93A1D2"/>
            </w:tcBorders>
            <w:shd w:val="clear" w:color="auto" w:fill="CCCCCC"/>
          </w:tcPr>
          <w:p>
            <w:pPr>
              <w:spacing w:after="0"/>
              <w:rPr>
                <w:sz w:val="16"/>
                <w:szCs w:val="16"/>
                <w:color w:val="auto"/>
              </w:rPr>
            </w:pPr>
          </w:p>
        </w:tc>
        <w:tc>
          <w:tcPr>
            <w:tcW w:w="80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60" w:type="dxa"/>
            <w:vAlign w:val="bottom"/>
            <w:shd w:val="clear" w:color="auto" w:fill="CCCCCC"/>
          </w:tcPr>
          <w:p>
            <w:pPr>
              <w:spacing w:after="0"/>
              <w:rPr>
                <w:sz w:val="16"/>
                <w:szCs w:val="16"/>
                <w:color w:val="auto"/>
              </w:rPr>
            </w:pPr>
          </w:p>
        </w:tc>
        <w:tc>
          <w:tcPr>
            <w:tcW w:w="140" w:type="dxa"/>
            <w:vAlign w:val="bottom"/>
            <w:tcBorders>
              <w:right w:val="single" w:sz="8" w:color="93A1D2"/>
            </w:tcBorders>
            <w:shd w:val="clear" w:color="auto" w:fill="CCCCCC"/>
          </w:tcPr>
          <w:p>
            <w:pPr>
              <w:spacing w:after="0"/>
              <w:rPr>
                <w:sz w:val="16"/>
                <w:szCs w:val="16"/>
                <w:color w:val="auto"/>
              </w:rPr>
            </w:pPr>
          </w:p>
        </w:tc>
        <w:tc>
          <w:tcPr>
            <w:tcW w:w="126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60" w:type="dxa"/>
            <w:vAlign w:val="bottom"/>
            <w:tcBorders>
              <w:left w:val="single" w:sz="8" w:color="3465B0"/>
              <w:right w:val="single" w:sz="8" w:color="93A1D2"/>
            </w:tcBorders>
          </w:tcPr>
          <w:p>
            <w:pPr>
              <w:ind w:left="120"/>
              <w:spacing w:after="0" w:line="149" w:lineRule="exact"/>
              <w:rPr>
                <w:sz w:val="20"/>
                <w:szCs w:val="20"/>
                <w:color w:val="auto"/>
              </w:rPr>
            </w:pPr>
            <w:r>
              <w:rPr>
                <w:rFonts w:ascii="Arial" w:cs="Arial" w:eastAsia="Arial" w:hAnsi="Arial"/>
                <w:sz w:val="14"/>
                <w:szCs w:val="14"/>
                <w:color w:val="auto"/>
              </w:rPr>
              <w:t>D. Randolph</w:t>
            </w:r>
          </w:p>
        </w:tc>
        <w:tc>
          <w:tcPr>
            <w:tcW w:w="60" w:type="dxa"/>
            <w:vAlign w:val="bottom"/>
          </w:tcPr>
          <w:p>
            <w:pPr>
              <w:spacing w:after="0"/>
              <w:rPr>
                <w:sz w:val="12"/>
                <w:szCs w:val="12"/>
                <w:color w:val="auto"/>
              </w:rPr>
            </w:pPr>
          </w:p>
        </w:tc>
        <w:tc>
          <w:tcPr>
            <w:tcW w:w="2040" w:type="dxa"/>
            <w:vAlign w:val="bottom"/>
            <w:tcBorders>
              <w:right w:val="single" w:sz="8" w:color="93A1D2"/>
            </w:tcBorders>
          </w:tcPr>
          <w:p>
            <w:pPr>
              <w:spacing w:after="0" w:line="149" w:lineRule="exact"/>
              <w:rPr>
                <w:sz w:val="20"/>
                <w:szCs w:val="20"/>
                <w:color w:val="auto"/>
              </w:rPr>
            </w:pPr>
            <w:r>
              <w:rPr>
                <w:rFonts w:ascii="Arial" w:cs="Arial" w:eastAsia="Arial" w:hAnsi="Arial"/>
                <w:sz w:val="14"/>
                <w:szCs w:val="14"/>
                <w:color w:val="auto"/>
              </w:rPr>
              <w:t>Senior Advisor,</w:t>
            </w:r>
          </w:p>
        </w:tc>
        <w:tc>
          <w:tcPr>
            <w:tcW w:w="420" w:type="dxa"/>
            <w:vAlign w:val="bottom"/>
            <w:tcBorders>
              <w:right w:val="single" w:sz="8" w:color="93A1D2"/>
            </w:tcBorders>
          </w:tcPr>
          <w:p>
            <w:pPr>
              <w:jc w:val="center"/>
              <w:spacing w:after="0" w:line="149" w:lineRule="exact"/>
              <w:rPr>
                <w:sz w:val="20"/>
                <w:szCs w:val="20"/>
                <w:color w:val="auto"/>
              </w:rPr>
            </w:pPr>
            <w:r>
              <w:rPr>
                <w:rFonts w:ascii="Arial" w:cs="Arial" w:eastAsia="Arial" w:hAnsi="Arial"/>
                <w:sz w:val="14"/>
                <w:szCs w:val="14"/>
                <w:color w:val="auto"/>
              </w:rPr>
              <w:t>61</w:t>
            </w:r>
          </w:p>
        </w:tc>
        <w:tc>
          <w:tcPr>
            <w:tcW w:w="800" w:type="dxa"/>
            <w:vAlign w:val="bottom"/>
            <w:tcBorders>
              <w:right w:val="single" w:sz="8" w:color="93A1D2"/>
            </w:tcBorders>
          </w:tcPr>
          <w:p>
            <w:pPr>
              <w:jc w:val="right"/>
              <w:ind w:right="168"/>
              <w:spacing w:after="0" w:line="149" w:lineRule="exact"/>
              <w:rPr>
                <w:sz w:val="20"/>
                <w:szCs w:val="20"/>
                <w:color w:val="auto"/>
              </w:rPr>
            </w:pPr>
            <w:r>
              <w:rPr>
                <w:rFonts w:ascii="Arial" w:cs="Arial" w:eastAsia="Arial" w:hAnsi="Arial"/>
                <w:sz w:val="14"/>
                <w:szCs w:val="14"/>
                <w:color w:val="auto"/>
              </w:rPr>
              <w:t>2014</w:t>
            </w:r>
          </w:p>
        </w:tc>
        <w:tc>
          <w:tcPr>
            <w:tcW w:w="1080" w:type="dxa"/>
            <w:vAlign w:val="bottom"/>
            <w:tcBorders>
              <w:right w:val="single" w:sz="8" w:color="93A1D2"/>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right w:val="single" w:sz="8" w:color="93A1D2"/>
            </w:tcBorders>
          </w:tcPr>
          <w:p>
            <w:pPr>
              <w:spacing w:after="0"/>
              <w:rPr>
                <w:sz w:val="12"/>
                <w:szCs w:val="12"/>
                <w:color w:val="auto"/>
              </w:rPr>
            </w:pPr>
          </w:p>
        </w:tc>
        <w:tc>
          <w:tcPr>
            <w:tcW w:w="1260" w:type="dxa"/>
            <w:vAlign w:val="bottom"/>
            <w:tcBorders>
              <w:right w:val="single" w:sz="8" w:color="93A1D2"/>
            </w:tcBorders>
          </w:tcPr>
          <w:p>
            <w:pPr>
              <w:spacing w:after="0"/>
              <w:rPr>
                <w:sz w:val="12"/>
                <w:szCs w:val="12"/>
                <w:color w:val="auto"/>
              </w:rPr>
            </w:pPr>
          </w:p>
        </w:tc>
        <w:tc>
          <w:tcPr>
            <w:tcW w:w="1080" w:type="dxa"/>
            <w:vAlign w:val="bottom"/>
            <w:tcBorders>
              <w:right w:val="single" w:sz="8" w:color="3465B0"/>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460" w:type="dxa"/>
            <w:vAlign w:val="bottom"/>
            <w:tcBorders>
              <w:left w:val="single" w:sz="8" w:color="3465B0"/>
              <w:right w:val="single" w:sz="8" w:color="93A1D2"/>
            </w:tcBorders>
          </w:tcPr>
          <w:p>
            <w:pPr>
              <w:ind w:left="680"/>
              <w:spacing w:after="0" w:line="41" w:lineRule="exact"/>
              <w:rPr>
                <w:sz w:val="20"/>
                <w:szCs w:val="20"/>
                <w:color w:val="auto"/>
              </w:rPr>
            </w:pPr>
            <w:r>
              <w:rPr>
                <w:rFonts w:ascii="Arial" w:cs="Arial" w:eastAsia="Arial" w:hAnsi="Arial"/>
                <w:sz w:val="4"/>
                <w:szCs w:val="4"/>
                <w:color w:val="auto"/>
              </w:rPr>
              <w:t> </w:t>
            </w:r>
          </w:p>
        </w:tc>
        <w:tc>
          <w:tcPr>
            <w:tcW w:w="60" w:type="dxa"/>
            <w:vAlign w:val="bottom"/>
          </w:tcPr>
          <w:p>
            <w:pPr>
              <w:spacing w:after="0"/>
              <w:rPr>
                <w:sz w:val="3"/>
                <w:szCs w:val="3"/>
                <w:color w:val="auto"/>
              </w:rPr>
            </w:pPr>
          </w:p>
        </w:tc>
        <w:tc>
          <w:tcPr>
            <w:tcW w:w="2040" w:type="dxa"/>
            <w:vAlign w:val="bottom"/>
            <w:tcBorders>
              <w:right w:val="single" w:sz="8" w:color="93A1D2"/>
            </w:tcBorders>
            <w:vMerge w:val="restart"/>
          </w:tcPr>
          <w:p>
            <w:pPr>
              <w:spacing w:after="0"/>
              <w:rPr>
                <w:sz w:val="20"/>
                <w:szCs w:val="20"/>
                <w:color w:val="auto"/>
              </w:rPr>
            </w:pPr>
            <w:r>
              <w:rPr>
                <w:rFonts w:ascii="Arial" w:cs="Arial" w:eastAsia="Arial" w:hAnsi="Arial"/>
                <w:sz w:val="14"/>
                <w:szCs w:val="14"/>
                <w:color w:val="auto"/>
              </w:rPr>
              <w:t>Berkshire Partners, LLC</w:t>
            </w:r>
          </w:p>
        </w:tc>
        <w:tc>
          <w:tcPr>
            <w:tcW w:w="420" w:type="dxa"/>
            <w:vAlign w:val="bottom"/>
            <w:tcBorders>
              <w:right w:val="single" w:sz="8" w:color="93A1D2"/>
            </w:tcBorders>
          </w:tcPr>
          <w:p>
            <w:pPr>
              <w:spacing w:after="0"/>
              <w:rPr>
                <w:sz w:val="3"/>
                <w:szCs w:val="3"/>
                <w:color w:val="auto"/>
              </w:rPr>
            </w:pPr>
          </w:p>
        </w:tc>
        <w:tc>
          <w:tcPr>
            <w:tcW w:w="800" w:type="dxa"/>
            <w:vAlign w:val="bottom"/>
            <w:tcBorders>
              <w:right w:val="single" w:sz="8" w:color="93A1D2"/>
            </w:tcBorders>
          </w:tcPr>
          <w:p>
            <w:pPr>
              <w:spacing w:after="0"/>
              <w:rPr>
                <w:sz w:val="3"/>
                <w:szCs w:val="3"/>
                <w:color w:val="auto"/>
              </w:rPr>
            </w:pPr>
          </w:p>
        </w:tc>
        <w:tc>
          <w:tcPr>
            <w:tcW w:w="1080" w:type="dxa"/>
            <w:vAlign w:val="bottom"/>
            <w:tcBorders>
              <w:right w:val="single" w:sz="8" w:color="93A1D2"/>
            </w:tcBorders>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Borders>
              <w:right w:val="single" w:sz="8" w:color="93A1D2"/>
            </w:tcBorders>
          </w:tcPr>
          <w:p>
            <w:pPr>
              <w:spacing w:after="0"/>
              <w:rPr>
                <w:sz w:val="3"/>
                <w:szCs w:val="3"/>
                <w:color w:val="auto"/>
              </w:rPr>
            </w:pPr>
          </w:p>
        </w:tc>
        <w:tc>
          <w:tcPr>
            <w:tcW w:w="1260" w:type="dxa"/>
            <w:vAlign w:val="bottom"/>
            <w:tcBorders>
              <w:right w:val="single" w:sz="8" w:color="93A1D2"/>
            </w:tcBorders>
          </w:tcPr>
          <w:p>
            <w:pPr>
              <w:spacing w:after="0"/>
              <w:rPr>
                <w:sz w:val="3"/>
                <w:szCs w:val="3"/>
                <w:color w:val="auto"/>
              </w:rPr>
            </w:pPr>
          </w:p>
        </w:tc>
        <w:tc>
          <w:tcPr>
            <w:tcW w:w="1080" w:type="dxa"/>
            <w:vAlign w:val="bottom"/>
            <w:tcBorders>
              <w:right w:val="single" w:sz="8" w:color="3465B0"/>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4"/>
                <w:szCs w:val="14"/>
                <w:color w:val="auto"/>
              </w:rPr>
              <w:t>Peeler</w:t>
            </w:r>
          </w:p>
        </w:tc>
        <w:tc>
          <w:tcPr>
            <w:tcW w:w="60" w:type="dxa"/>
            <w:vAlign w:val="bottom"/>
          </w:tcPr>
          <w:p>
            <w:pPr>
              <w:spacing w:after="0"/>
              <w:rPr>
                <w:sz w:val="14"/>
                <w:szCs w:val="14"/>
                <w:color w:val="auto"/>
              </w:rPr>
            </w:pPr>
          </w:p>
        </w:tc>
        <w:tc>
          <w:tcPr>
            <w:tcW w:w="2040" w:type="dxa"/>
            <w:vAlign w:val="bottom"/>
            <w:tcBorders>
              <w:right w:val="single" w:sz="8" w:color="93A1D2"/>
            </w:tcBorders>
            <w:vMerge w:val="continue"/>
          </w:tcPr>
          <w:p>
            <w:pPr>
              <w:spacing w:after="0"/>
              <w:rPr>
                <w:sz w:val="14"/>
                <w:szCs w:val="14"/>
                <w:color w:val="auto"/>
              </w:rPr>
            </w:pPr>
          </w:p>
        </w:tc>
        <w:tc>
          <w:tcPr>
            <w:tcW w:w="420" w:type="dxa"/>
            <w:vAlign w:val="bottom"/>
            <w:tcBorders>
              <w:right w:val="single" w:sz="8" w:color="93A1D2"/>
            </w:tcBorders>
          </w:tcPr>
          <w:p>
            <w:pPr>
              <w:spacing w:after="0"/>
              <w:rPr>
                <w:sz w:val="14"/>
                <w:szCs w:val="14"/>
                <w:color w:val="auto"/>
              </w:rPr>
            </w:pPr>
          </w:p>
        </w:tc>
        <w:tc>
          <w:tcPr>
            <w:tcW w:w="800" w:type="dxa"/>
            <w:vAlign w:val="bottom"/>
            <w:tcBorders>
              <w:right w:val="single" w:sz="8" w:color="93A1D2"/>
            </w:tcBorders>
          </w:tcPr>
          <w:p>
            <w:pPr>
              <w:spacing w:after="0"/>
              <w:rPr>
                <w:sz w:val="14"/>
                <w:szCs w:val="14"/>
                <w:color w:val="auto"/>
              </w:rPr>
            </w:pPr>
          </w:p>
        </w:tc>
        <w:tc>
          <w:tcPr>
            <w:tcW w:w="1080" w:type="dxa"/>
            <w:vAlign w:val="bottom"/>
            <w:tcBorders>
              <w:right w:val="single" w:sz="8" w:color="93A1D2"/>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93A1D2"/>
            </w:tcBorders>
          </w:tcPr>
          <w:p>
            <w:pPr>
              <w:spacing w:after="0"/>
              <w:rPr>
                <w:sz w:val="14"/>
                <w:szCs w:val="14"/>
                <w:color w:val="auto"/>
              </w:rPr>
            </w:pPr>
          </w:p>
        </w:tc>
        <w:tc>
          <w:tcPr>
            <w:tcW w:w="1260" w:type="dxa"/>
            <w:vAlign w:val="bottom"/>
            <w:tcBorders>
              <w:right w:val="single" w:sz="8" w:color="93A1D2"/>
            </w:tcBorders>
          </w:tcPr>
          <w:p>
            <w:pPr>
              <w:spacing w:after="0"/>
              <w:rPr>
                <w:sz w:val="14"/>
                <w:szCs w:val="14"/>
                <w:color w:val="auto"/>
              </w:rPr>
            </w:pPr>
          </w:p>
        </w:tc>
        <w:tc>
          <w:tcPr>
            <w:tcW w:w="1080" w:type="dxa"/>
            <w:vAlign w:val="bottom"/>
            <w:tcBorders>
              <w:right w:val="single" w:sz="8" w:color="3465B0"/>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4"/>
                <w:szCs w:val="14"/>
                <w:color w:val="auto"/>
              </w:rPr>
              <w:t>Jose Armario</w:t>
            </w:r>
          </w:p>
        </w:tc>
        <w:tc>
          <w:tcPr>
            <w:tcW w:w="60" w:type="dxa"/>
            <w:vAlign w:val="bottom"/>
            <w:shd w:val="clear" w:color="auto" w:fill="CCCCCC"/>
          </w:tcPr>
          <w:p>
            <w:pPr>
              <w:spacing w:after="0"/>
              <w:rPr>
                <w:sz w:val="14"/>
                <w:szCs w:val="14"/>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Chief Executive Officer,</w:t>
            </w:r>
          </w:p>
        </w:tc>
        <w:tc>
          <w:tcPr>
            <w:tcW w:w="420" w:type="dxa"/>
            <w:vAlign w:val="bottom"/>
            <w:tcBorders>
              <w:right w:val="single" w:sz="8" w:color="93A1D2"/>
            </w:tcBorders>
            <w:shd w:val="clear" w:color="auto" w:fill="CCCCCC"/>
          </w:tcPr>
          <w:p>
            <w:pPr>
              <w:jc w:val="center"/>
              <w:spacing w:after="0"/>
              <w:rPr>
                <w:sz w:val="20"/>
                <w:szCs w:val="20"/>
                <w:color w:val="auto"/>
              </w:rPr>
            </w:pPr>
            <w:r>
              <w:rPr>
                <w:rFonts w:ascii="Arial" w:cs="Arial" w:eastAsia="Arial" w:hAnsi="Arial"/>
                <w:sz w:val="14"/>
                <w:szCs w:val="14"/>
                <w:color w:val="auto"/>
              </w:rPr>
              <w:t>67</w:t>
            </w:r>
          </w:p>
        </w:tc>
        <w:tc>
          <w:tcPr>
            <w:tcW w:w="800" w:type="dxa"/>
            <w:vAlign w:val="bottom"/>
            <w:tcBorders>
              <w:right w:val="single" w:sz="8" w:color="93A1D2"/>
            </w:tcBorders>
            <w:shd w:val="clear" w:color="auto" w:fill="CCCCCC"/>
          </w:tcPr>
          <w:p>
            <w:pPr>
              <w:jc w:val="right"/>
              <w:ind w:right="168"/>
              <w:spacing w:after="0"/>
              <w:rPr>
                <w:sz w:val="20"/>
                <w:szCs w:val="20"/>
                <w:color w:val="auto"/>
              </w:rPr>
            </w:pPr>
            <w:r>
              <w:rPr>
                <w:rFonts w:ascii="Arial" w:cs="Arial" w:eastAsia="Arial" w:hAnsi="Arial"/>
                <w:sz w:val="14"/>
                <w:szCs w:val="14"/>
                <w:color w:val="auto"/>
              </w:rPr>
              <w:t>2021</w:t>
            </w:r>
          </w:p>
        </w:tc>
        <w:tc>
          <w:tcPr>
            <w:tcW w:w="1080" w:type="dxa"/>
            <w:vAlign w:val="bottom"/>
            <w:tcBorders>
              <w:right w:val="single" w:sz="8" w:color="93A1D2"/>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140" w:type="dxa"/>
            <w:vAlign w:val="bottom"/>
            <w:tcBorders>
              <w:right w:val="single" w:sz="8" w:color="93A1D2"/>
            </w:tcBorders>
            <w:shd w:val="clear" w:color="auto" w:fill="CCCCCC"/>
          </w:tcPr>
          <w:p>
            <w:pPr>
              <w:spacing w:after="0"/>
              <w:rPr>
                <w:sz w:val="14"/>
                <w:szCs w:val="14"/>
                <w:color w:val="auto"/>
              </w:rPr>
            </w:pPr>
          </w:p>
        </w:tc>
        <w:tc>
          <w:tcPr>
            <w:tcW w:w="1260" w:type="dxa"/>
            <w:vAlign w:val="bottom"/>
            <w:tcBorders>
              <w:right w:val="single" w:sz="8" w:color="93A1D2"/>
            </w:tcBorders>
            <w:shd w:val="clear" w:color="auto" w:fill="CCCCCC"/>
          </w:tcPr>
          <w:p>
            <w:pPr>
              <w:spacing w:after="0"/>
              <w:rPr>
                <w:sz w:val="14"/>
                <w:szCs w:val="14"/>
                <w:color w:val="auto"/>
              </w:rPr>
            </w:pPr>
          </w:p>
        </w:tc>
        <w:tc>
          <w:tcPr>
            <w:tcW w:w="1080" w:type="dxa"/>
            <w:vAlign w:val="bottom"/>
            <w:tcBorders>
              <w:right w:val="single" w:sz="8" w:color="3465B0"/>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Bojangles’, Inc.</w:t>
            </w:r>
          </w:p>
        </w:tc>
        <w:tc>
          <w:tcPr>
            <w:tcW w:w="420" w:type="dxa"/>
            <w:vAlign w:val="bottom"/>
            <w:tcBorders>
              <w:right w:val="single" w:sz="8" w:color="93A1D2"/>
            </w:tcBorders>
            <w:shd w:val="clear" w:color="auto" w:fill="CCCCCC"/>
          </w:tcPr>
          <w:p>
            <w:pPr>
              <w:spacing w:after="0"/>
              <w:rPr>
                <w:sz w:val="16"/>
                <w:szCs w:val="16"/>
                <w:color w:val="auto"/>
              </w:rPr>
            </w:pPr>
          </w:p>
        </w:tc>
        <w:tc>
          <w:tcPr>
            <w:tcW w:w="80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60" w:type="dxa"/>
            <w:vAlign w:val="bottom"/>
            <w:shd w:val="clear" w:color="auto" w:fill="CCCCCC"/>
          </w:tcPr>
          <w:p>
            <w:pPr>
              <w:spacing w:after="0"/>
              <w:rPr>
                <w:sz w:val="16"/>
                <w:szCs w:val="16"/>
                <w:color w:val="auto"/>
              </w:rPr>
            </w:pPr>
          </w:p>
        </w:tc>
        <w:tc>
          <w:tcPr>
            <w:tcW w:w="140" w:type="dxa"/>
            <w:vAlign w:val="bottom"/>
            <w:tcBorders>
              <w:right w:val="single" w:sz="8" w:color="93A1D2"/>
            </w:tcBorders>
            <w:shd w:val="clear" w:color="auto" w:fill="CCCCCC"/>
          </w:tcPr>
          <w:p>
            <w:pPr>
              <w:spacing w:after="0"/>
              <w:rPr>
                <w:sz w:val="16"/>
                <w:szCs w:val="16"/>
                <w:color w:val="auto"/>
              </w:rPr>
            </w:pPr>
          </w:p>
        </w:tc>
        <w:tc>
          <w:tcPr>
            <w:tcW w:w="126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4"/>
                <w:szCs w:val="14"/>
                <w:color w:val="auto"/>
              </w:rPr>
              <w:t>Virginia A. Hepner</w:t>
            </w:r>
          </w:p>
        </w:tc>
        <w:tc>
          <w:tcPr>
            <w:tcW w:w="60" w:type="dxa"/>
            <w:vAlign w:val="bottom"/>
          </w:tcPr>
          <w:p>
            <w:pPr>
              <w:spacing w:after="0"/>
              <w:rPr>
                <w:sz w:val="14"/>
                <w:szCs w:val="14"/>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Retired Chief Executive</w:t>
            </w:r>
          </w:p>
        </w:tc>
        <w:tc>
          <w:tcPr>
            <w:tcW w:w="420" w:type="dxa"/>
            <w:vAlign w:val="bottom"/>
            <w:tcBorders>
              <w:right w:val="single" w:sz="8" w:color="93A1D2"/>
            </w:tcBorders>
          </w:tcPr>
          <w:p>
            <w:pPr>
              <w:jc w:val="center"/>
              <w:spacing w:after="0"/>
              <w:rPr>
                <w:sz w:val="20"/>
                <w:szCs w:val="20"/>
                <w:color w:val="auto"/>
              </w:rPr>
            </w:pPr>
            <w:r>
              <w:rPr>
                <w:rFonts w:ascii="Arial" w:cs="Arial" w:eastAsia="Arial" w:hAnsi="Arial"/>
                <w:sz w:val="14"/>
                <w:szCs w:val="14"/>
                <w:color w:val="auto"/>
              </w:rPr>
              <w:t>68</w:t>
            </w:r>
          </w:p>
        </w:tc>
        <w:tc>
          <w:tcPr>
            <w:tcW w:w="800" w:type="dxa"/>
            <w:vAlign w:val="bottom"/>
            <w:tcBorders>
              <w:right w:val="single" w:sz="8" w:color="93A1D2"/>
            </w:tcBorders>
          </w:tcPr>
          <w:p>
            <w:pPr>
              <w:jc w:val="right"/>
              <w:ind w:right="168"/>
              <w:spacing w:after="0"/>
              <w:rPr>
                <w:sz w:val="20"/>
                <w:szCs w:val="20"/>
                <w:color w:val="auto"/>
              </w:rPr>
            </w:pPr>
            <w:r>
              <w:rPr>
                <w:rFonts w:ascii="Arial" w:cs="Arial" w:eastAsia="Arial" w:hAnsi="Arial"/>
                <w:sz w:val="14"/>
                <w:szCs w:val="14"/>
                <w:color w:val="auto"/>
              </w:rPr>
              <w:t>2018</w:t>
            </w:r>
          </w:p>
        </w:tc>
        <w:tc>
          <w:tcPr>
            <w:tcW w:w="1080" w:type="dxa"/>
            <w:vAlign w:val="bottom"/>
            <w:tcBorders>
              <w:right w:val="single" w:sz="8" w:color="93A1D2"/>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93A1D2"/>
            </w:tcBorders>
          </w:tcPr>
          <w:p>
            <w:pPr>
              <w:spacing w:after="0"/>
              <w:rPr>
                <w:sz w:val="14"/>
                <w:szCs w:val="14"/>
                <w:color w:val="auto"/>
              </w:rPr>
            </w:pPr>
          </w:p>
        </w:tc>
        <w:tc>
          <w:tcPr>
            <w:tcW w:w="1260" w:type="dxa"/>
            <w:vAlign w:val="bottom"/>
            <w:tcBorders>
              <w:right w:val="single" w:sz="8" w:color="93A1D2"/>
            </w:tcBorders>
          </w:tcPr>
          <w:p>
            <w:pPr>
              <w:spacing w:after="0"/>
              <w:rPr>
                <w:sz w:val="14"/>
                <w:szCs w:val="14"/>
                <w:color w:val="auto"/>
              </w:rPr>
            </w:pPr>
          </w:p>
        </w:tc>
        <w:tc>
          <w:tcPr>
            <w:tcW w:w="1080" w:type="dxa"/>
            <w:vAlign w:val="bottom"/>
            <w:tcBorders>
              <w:right w:val="single" w:sz="8" w:color="3465B0"/>
            </w:tcBorders>
            <w:vMerge w:val="restart"/>
          </w:tcPr>
          <w:p>
            <w:pPr>
              <w:ind w:left="60"/>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62"/>
        </w:trPr>
        <w:tc>
          <w:tcPr>
            <w:tcW w:w="1460" w:type="dxa"/>
            <w:vAlign w:val="bottom"/>
            <w:tcBorders>
              <w:left w:val="single" w:sz="8" w:color="3465B0"/>
              <w:right w:val="single" w:sz="8" w:color="93A1D2"/>
            </w:tcBorders>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Officer, The Woodruff Arts</w:t>
            </w:r>
          </w:p>
        </w:tc>
        <w:tc>
          <w:tcPr>
            <w:tcW w:w="420" w:type="dxa"/>
            <w:vAlign w:val="bottom"/>
            <w:tcBorders>
              <w:right w:val="single" w:sz="8" w:color="93A1D2"/>
            </w:tcBorders>
          </w:tcPr>
          <w:p>
            <w:pPr>
              <w:spacing w:after="0"/>
              <w:rPr>
                <w:sz w:val="14"/>
                <w:szCs w:val="14"/>
                <w:color w:val="auto"/>
              </w:rPr>
            </w:pPr>
          </w:p>
        </w:tc>
        <w:tc>
          <w:tcPr>
            <w:tcW w:w="800" w:type="dxa"/>
            <w:vAlign w:val="bottom"/>
            <w:tcBorders>
              <w:right w:val="single" w:sz="8" w:color="93A1D2"/>
            </w:tcBorders>
          </w:tcPr>
          <w:p>
            <w:pPr>
              <w:spacing w:after="0"/>
              <w:rPr>
                <w:sz w:val="14"/>
                <w:szCs w:val="14"/>
                <w:color w:val="auto"/>
              </w:rPr>
            </w:pPr>
          </w:p>
        </w:tc>
        <w:tc>
          <w:tcPr>
            <w:tcW w:w="1080" w:type="dxa"/>
            <w:vAlign w:val="bottom"/>
            <w:tcBorders>
              <w:right w:val="single" w:sz="8" w:color="93A1D2"/>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93A1D2"/>
            </w:tcBorders>
          </w:tcPr>
          <w:p>
            <w:pPr>
              <w:spacing w:after="0"/>
              <w:rPr>
                <w:sz w:val="14"/>
                <w:szCs w:val="14"/>
                <w:color w:val="auto"/>
              </w:rPr>
            </w:pPr>
          </w:p>
        </w:tc>
        <w:tc>
          <w:tcPr>
            <w:tcW w:w="1260" w:type="dxa"/>
            <w:vAlign w:val="bottom"/>
            <w:tcBorders>
              <w:right w:val="single" w:sz="8" w:color="93A1D2"/>
            </w:tcBorders>
          </w:tcPr>
          <w:p>
            <w:pPr>
              <w:spacing w:after="0"/>
              <w:rPr>
                <w:sz w:val="14"/>
                <w:szCs w:val="14"/>
                <w:color w:val="auto"/>
              </w:rPr>
            </w:pPr>
          </w:p>
        </w:tc>
        <w:tc>
          <w:tcPr>
            <w:tcW w:w="1080" w:type="dxa"/>
            <w:vAlign w:val="bottom"/>
            <w:tcBorders>
              <w:right w:val="single" w:sz="8" w:color="3465B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Center</w:t>
            </w:r>
          </w:p>
        </w:tc>
        <w:tc>
          <w:tcPr>
            <w:tcW w:w="420" w:type="dxa"/>
            <w:vAlign w:val="bottom"/>
            <w:tcBorders>
              <w:right w:val="single" w:sz="8" w:color="93A1D2"/>
            </w:tcBorders>
          </w:tcPr>
          <w:p>
            <w:pPr>
              <w:spacing w:after="0"/>
              <w:rPr>
                <w:sz w:val="16"/>
                <w:szCs w:val="16"/>
                <w:color w:val="auto"/>
              </w:rPr>
            </w:pPr>
          </w:p>
        </w:tc>
        <w:tc>
          <w:tcPr>
            <w:tcW w:w="800" w:type="dxa"/>
            <w:vAlign w:val="bottom"/>
            <w:tcBorders>
              <w:right w:val="single" w:sz="8" w:color="93A1D2"/>
            </w:tcBorders>
          </w:tcPr>
          <w:p>
            <w:pPr>
              <w:spacing w:after="0"/>
              <w:rPr>
                <w:sz w:val="16"/>
                <w:szCs w:val="16"/>
                <w:color w:val="auto"/>
              </w:rPr>
            </w:pPr>
          </w:p>
        </w:tc>
        <w:tc>
          <w:tcPr>
            <w:tcW w:w="108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93A1D2"/>
            </w:tcBorders>
          </w:tcPr>
          <w:p>
            <w:pPr>
              <w:spacing w:after="0"/>
              <w:rPr>
                <w:sz w:val="16"/>
                <w:szCs w:val="16"/>
                <w:color w:val="auto"/>
              </w:rPr>
            </w:pPr>
          </w:p>
        </w:tc>
        <w:tc>
          <w:tcPr>
            <w:tcW w:w="1260" w:type="dxa"/>
            <w:vAlign w:val="bottom"/>
            <w:tcBorders>
              <w:right w:val="single" w:sz="8" w:color="93A1D2"/>
            </w:tcBorders>
          </w:tcPr>
          <w:p>
            <w:pPr>
              <w:spacing w:after="0"/>
              <w:rPr>
                <w:sz w:val="16"/>
                <w:szCs w:val="16"/>
                <w:color w:val="auto"/>
              </w:rPr>
            </w:pPr>
          </w:p>
        </w:tc>
        <w:tc>
          <w:tcPr>
            <w:tcW w:w="108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4"/>
                <w:szCs w:val="14"/>
                <w:color w:val="auto"/>
              </w:rPr>
              <w:t>Susan S.</w:t>
            </w:r>
          </w:p>
        </w:tc>
        <w:tc>
          <w:tcPr>
            <w:tcW w:w="60" w:type="dxa"/>
            <w:vAlign w:val="bottom"/>
            <w:shd w:val="clear" w:color="auto" w:fill="CCCCCC"/>
          </w:tcPr>
          <w:p>
            <w:pPr>
              <w:spacing w:after="0"/>
              <w:rPr>
                <w:sz w:val="14"/>
                <w:szCs w:val="14"/>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Retired Chief Marketing</w:t>
            </w:r>
          </w:p>
        </w:tc>
        <w:tc>
          <w:tcPr>
            <w:tcW w:w="420" w:type="dxa"/>
            <w:vAlign w:val="bottom"/>
            <w:tcBorders>
              <w:right w:val="single" w:sz="8" w:color="93A1D2"/>
            </w:tcBorders>
            <w:shd w:val="clear" w:color="auto" w:fill="CCCCCC"/>
          </w:tcPr>
          <w:p>
            <w:pPr>
              <w:jc w:val="center"/>
              <w:spacing w:after="0"/>
              <w:rPr>
                <w:sz w:val="20"/>
                <w:szCs w:val="20"/>
                <w:color w:val="auto"/>
              </w:rPr>
            </w:pPr>
            <w:r>
              <w:rPr>
                <w:rFonts w:ascii="Arial" w:cs="Arial" w:eastAsia="Arial" w:hAnsi="Arial"/>
                <w:sz w:val="14"/>
                <w:szCs w:val="14"/>
                <w:color w:val="auto"/>
              </w:rPr>
              <w:t>60</w:t>
            </w:r>
          </w:p>
        </w:tc>
        <w:tc>
          <w:tcPr>
            <w:tcW w:w="800" w:type="dxa"/>
            <w:vAlign w:val="bottom"/>
            <w:tcBorders>
              <w:right w:val="single" w:sz="8" w:color="93A1D2"/>
            </w:tcBorders>
            <w:shd w:val="clear" w:color="auto" w:fill="CCCCCC"/>
          </w:tcPr>
          <w:p>
            <w:pPr>
              <w:jc w:val="right"/>
              <w:ind w:right="168"/>
              <w:spacing w:after="0"/>
              <w:rPr>
                <w:sz w:val="20"/>
                <w:szCs w:val="20"/>
                <w:color w:val="auto"/>
              </w:rPr>
            </w:pPr>
            <w:r>
              <w:rPr>
                <w:rFonts w:ascii="Arial" w:cs="Arial" w:eastAsia="Arial" w:hAnsi="Arial"/>
                <w:sz w:val="14"/>
                <w:szCs w:val="14"/>
                <w:color w:val="auto"/>
              </w:rPr>
              <w:t>2020</w:t>
            </w:r>
          </w:p>
        </w:tc>
        <w:tc>
          <w:tcPr>
            <w:tcW w:w="1080" w:type="dxa"/>
            <w:vAlign w:val="bottom"/>
            <w:tcBorders>
              <w:right w:val="single" w:sz="8" w:color="93A1D2"/>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140" w:type="dxa"/>
            <w:vAlign w:val="bottom"/>
            <w:tcBorders>
              <w:right w:val="single" w:sz="8" w:color="93A1D2"/>
            </w:tcBorders>
            <w:shd w:val="clear" w:color="auto" w:fill="CCCCCC"/>
          </w:tcPr>
          <w:p>
            <w:pPr>
              <w:spacing w:after="0"/>
              <w:rPr>
                <w:sz w:val="14"/>
                <w:szCs w:val="14"/>
                <w:color w:val="auto"/>
              </w:rPr>
            </w:pPr>
          </w:p>
        </w:tc>
        <w:tc>
          <w:tcPr>
            <w:tcW w:w="1260" w:type="dxa"/>
            <w:vAlign w:val="bottom"/>
            <w:tcBorders>
              <w:right w:val="single" w:sz="8" w:color="93A1D2"/>
            </w:tcBorders>
            <w:vMerge w:val="restart"/>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1080" w:type="dxa"/>
            <w:vAlign w:val="bottom"/>
            <w:tcBorders>
              <w:right w:val="single" w:sz="8" w:color="3465B0"/>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4"/>
                <w:szCs w:val="14"/>
                <w:color w:val="auto"/>
              </w:rPr>
              <w:t>Johnson</w:t>
            </w:r>
          </w:p>
        </w:tc>
        <w:tc>
          <w:tcPr>
            <w:tcW w:w="60" w:type="dxa"/>
            <w:vAlign w:val="bottom"/>
            <w:shd w:val="clear" w:color="auto" w:fill="CCCCCC"/>
          </w:tcPr>
          <w:p>
            <w:pPr>
              <w:spacing w:after="0"/>
              <w:rPr>
                <w:sz w:val="14"/>
                <w:szCs w:val="14"/>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Officer, Prudential Financial,</w:t>
            </w:r>
          </w:p>
        </w:tc>
        <w:tc>
          <w:tcPr>
            <w:tcW w:w="420" w:type="dxa"/>
            <w:vAlign w:val="bottom"/>
            <w:tcBorders>
              <w:right w:val="single" w:sz="8" w:color="93A1D2"/>
            </w:tcBorders>
            <w:shd w:val="clear" w:color="auto" w:fill="CCCCCC"/>
          </w:tcPr>
          <w:p>
            <w:pPr>
              <w:spacing w:after="0"/>
              <w:rPr>
                <w:sz w:val="14"/>
                <w:szCs w:val="14"/>
                <w:color w:val="auto"/>
              </w:rPr>
            </w:pPr>
          </w:p>
        </w:tc>
        <w:tc>
          <w:tcPr>
            <w:tcW w:w="800" w:type="dxa"/>
            <w:vAlign w:val="bottom"/>
            <w:tcBorders>
              <w:right w:val="single" w:sz="8" w:color="93A1D2"/>
            </w:tcBorders>
            <w:shd w:val="clear" w:color="auto" w:fill="CCCCCC"/>
          </w:tcPr>
          <w:p>
            <w:pPr>
              <w:spacing w:after="0"/>
              <w:rPr>
                <w:sz w:val="14"/>
                <w:szCs w:val="14"/>
                <w:color w:val="auto"/>
              </w:rPr>
            </w:pPr>
          </w:p>
        </w:tc>
        <w:tc>
          <w:tcPr>
            <w:tcW w:w="1080" w:type="dxa"/>
            <w:vAlign w:val="bottom"/>
            <w:tcBorders>
              <w:right w:val="single" w:sz="8" w:color="93A1D2"/>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140" w:type="dxa"/>
            <w:vAlign w:val="bottom"/>
            <w:tcBorders>
              <w:right w:val="single" w:sz="8" w:color="93A1D2"/>
            </w:tcBorders>
            <w:shd w:val="clear" w:color="auto" w:fill="CCCCCC"/>
          </w:tcPr>
          <w:p>
            <w:pPr>
              <w:spacing w:after="0"/>
              <w:rPr>
                <w:sz w:val="14"/>
                <w:szCs w:val="14"/>
                <w:color w:val="auto"/>
              </w:rPr>
            </w:pPr>
          </w:p>
        </w:tc>
        <w:tc>
          <w:tcPr>
            <w:tcW w:w="1260" w:type="dxa"/>
            <w:vAlign w:val="bottom"/>
            <w:tcBorders>
              <w:right w:val="single" w:sz="8" w:color="93A1D2"/>
            </w:tcBorders>
            <w:vMerge w:val="continue"/>
            <w:shd w:val="clear" w:color="auto" w:fill="CCCCCC"/>
          </w:tcPr>
          <w:p>
            <w:pPr>
              <w:spacing w:after="0"/>
              <w:rPr>
                <w:sz w:val="14"/>
                <w:szCs w:val="14"/>
                <w:color w:val="auto"/>
              </w:rPr>
            </w:pPr>
          </w:p>
        </w:tc>
        <w:tc>
          <w:tcPr>
            <w:tcW w:w="1080" w:type="dxa"/>
            <w:vAlign w:val="bottom"/>
            <w:tcBorders>
              <w:right w:val="single" w:sz="8" w:color="3465B0"/>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Inc.</w:t>
            </w:r>
          </w:p>
        </w:tc>
        <w:tc>
          <w:tcPr>
            <w:tcW w:w="420" w:type="dxa"/>
            <w:vAlign w:val="bottom"/>
            <w:tcBorders>
              <w:right w:val="single" w:sz="8" w:color="93A1D2"/>
            </w:tcBorders>
            <w:shd w:val="clear" w:color="auto" w:fill="CCCCCC"/>
          </w:tcPr>
          <w:p>
            <w:pPr>
              <w:spacing w:after="0"/>
              <w:rPr>
                <w:sz w:val="16"/>
                <w:szCs w:val="16"/>
                <w:color w:val="auto"/>
              </w:rPr>
            </w:pPr>
          </w:p>
        </w:tc>
        <w:tc>
          <w:tcPr>
            <w:tcW w:w="80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60" w:type="dxa"/>
            <w:vAlign w:val="bottom"/>
            <w:shd w:val="clear" w:color="auto" w:fill="CCCCCC"/>
          </w:tcPr>
          <w:p>
            <w:pPr>
              <w:spacing w:after="0"/>
              <w:rPr>
                <w:sz w:val="16"/>
                <w:szCs w:val="16"/>
                <w:color w:val="auto"/>
              </w:rPr>
            </w:pPr>
          </w:p>
        </w:tc>
        <w:tc>
          <w:tcPr>
            <w:tcW w:w="140" w:type="dxa"/>
            <w:vAlign w:val="bottom"/>
            <w:tcBorders>
              <w:right w:val="single" w:sz="8" w:color="93A1D2"/>
            </w:tcBorders>
            <w:shd w:val="clear" w:color="auto" w:fill="CCCCCC"/>
          </w:tcPr>
          <w:p>
            <w:pPr>
              <w:spacing w:after="0"/>
              <w:rPr>
                <w:sz w:val="16"/>
                <w:szCs w:val="16"/>
                <w:color w:val="auto"/>
              </w:rPr>
            </w:pPr>
          </w:p>
        </w:tc>
        <w:tc>
          <w:tcPr>
            <w:tcW w:w="126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4"/>
                <w:szCs w:val="14"/>
                <w:color w:val="auto"/>
              </w:rPr>
              <w:t>Naomi Kelman</w:t>
            </w:r>
          </w:p>
        </w:tc>
        <w:tc>
          <w:tcPr>
            <w:tcW w:w="60" w:type="dxa"/>
            <w:vAlign w:val="bottom"/>
          </w:tcPr>
          <w:p>
            <w:pPr>
              <w:spacing w:after="0"/>
              <w:rPr>
                <w:sz w:val="14"/>
                <w:szCs w:val="14"/>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Retired President &amp; Chief</w:t>
            </w:r>
          </w:p>
        </w:tc>
        <w:tc>
          <w:tcPr>
            <w:tcW w:w="420" w:type="dxa"/>
            <w:vAlign w:val="bottom"/>
            <w:tcBorders>
              <w:right w:val="single" w:sz="8" w:color="93A1D2"/>
            </w:tcBorders>
          </w:tcPr>
          <w:p>
            <w:pPr>
              <w:jc w:val="center"/>
              <w:spacing w:after="0"/>
              <w:rPr>
                <w:sz w:val="20"/>
                <w:szCs w:val="20"/>
                <w:color w:val="auto"/>
              </w:rPr>
            </w:pPr>
            <w:r>
              <w:rPr>
                <w:rFonts w:ascii="Arial" w:cs="Arial" w:eastAsia="Arial" w:hAnsi="Arial"/>
                <w:sz w:val="14"/>
                <w:szCs w:val="14"/>
                <w:color w:val="auto"/>
              </w:rPr>
              <w:t>67</w:t>
            </w:r>
          </w:p>
        </w:tc>
        <w:tc>
          <w:tcPr>
            <w:tcW w:w="800" w:type="dxa"/>
            <w:vAlign w:val="bottom"/>
            <w:tcBorders>
              <w:right w:val="single" w:sz="8" w:color="93A1D2"/>
            </w:tcBorders>
          </w:tcPr>
          <w:p>
            <w:pPr>
              <w:jc w:val="right"/>
              <w:ind w:right="168"/>
              <w:spacing w:after="0"/>
              <w:rPr>
                <w:sz w:val="20"/>
                <w:szCs w:val="20"/>
                <w:color w:val="auto"/>
              </w:rPr>
            </w:pPr>
            <w:r>
              <w:rPr>
                <w:rFonts w:ascii="Arial" w:cs="Arial" w:eastAsia="Arial" w:hAnsi="Arial"/>
                <w:sz w:val="14"/>
                <w:szCs w:val="14"/>
                <w:color w:val="auto"/>
              </w:rPr>
              <w:t>2020</w:t>
            </w:r>
          </w:p>
        </w:tc>
        <w:tc>
          <w:tcPr>
            <w:tcW w:w="1080" w:type="dxa"/>
            <w:vAlign w:val="bottom"/>
            <w:tcBorders>
              <w:right w:val="single" w:sz="8" w:color="93A1D2"/>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93A1D2"/>
            </w:tcBorders>
          </w:tcPr>
          <w:p>
            <w:pPr>
              <w:spacing w:after="0"/>
              <w:rPr>
                <w:sz w:val="14"/>
                <w:szCs w:val="14"/>
                <w:color w:val="auto"/>
              </w:rPr>
            </w:pPr>
          </w:p>
        </w:tc>
        <w:tc>
          <w:tcPr>
            <w:tcW w:w="1260" w:type="dxa"/>
            <w:vAlign w:val="bottom"/>
            <w:tcBorders>
              <w:right w:val="single" w:sz="8" w:color="93A1D2"/>
            </w:tcBorders>
          </w:tcPr>
          <w:p>
            <w:pPr>
              <w:spacing w:after="0"/>
              <w:rPr>
                <w:sz w:val="14"/>
                <w:szCs w:val="14"/>
                <w:color w:val="auto"/>
              </w:rPr>
            </w:pPr>
          </w:p>
        </w:tc>
        <w:tc>
          <w:tcPr>
            <w:tcW w:w="1080" w:type="dxa"/>
            <w:vAlign w:val="bottom"/>
            <w:tcBorders>
              <w:right w:val="single" w:sz="8" w:color="3465B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Executive Officer, Willow</w:t>
            </w:r>
          </w:p>
        </w:tc>
        <w:tc>
          <w:tcPr>
            <w:tcW w:w="420" w:type="dxa"/>
            <w:vAlign w:val="bottom"/>
            <w:tcBorders>
              <w:right w:val="single" w:sz="8" w:color="93A1D2"/>
            </w:tcBorders>
          </w:tcPr>
          <w:p>
            <w:pPr>
              <w:spacing w:after="0"/>
              <w:rPr>
                <w:sz w:val="16"/>
                <w:szCs w:val="16"/>
                <w:color w:val="auto"/>
              </w:rPr>
            </w:pPr>
          </w:p>
        </w:tc>
        <w:tc>
          <w:tcPr>
            <w:tcW w:w="800" w:type="dxa"/>
            <w:vAlign w:val="bottom"/>
            <w:tcBorders>
              <w:right w:val="single" w:sz="8" w:color="93A1D2"/>
            </w:tcBorders>
          </w:tcPr>
          <w:p>
            <w:pPr>
              <w:spacing w:after="0"/>
              <w:rPr>
                <w:sz w:val="16"/>
                <w:szCs w:val="16"/>
                <w:color w:val="auto"/>
              </w:rPr>
            </w:pPr>
          </w:p>
        </w:tc>
        <w:tc>
          <w:tcPr>
            <w:tcW w:w="108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93A1D2"/>
            </w:tcBorders>
          </w:tcPr>
          <w:p>
            <w:pPr>
              <w:spacing w:after="0"/>
              <w:rPr>
                <w:sz w:val="16"/>
                <w:szCs w:val="16"/>
                <w:color w:val="auto"/>
              </w:rPr>
            </w:pPr>
          </w:p>
        </w:tc>
        <w:tc>
          <w:tcPr>
            <w:tcW w:w="1260" w:type="dxa"/>
            <w:vAlign w:val="bottom"/>
            <w:tcBorders>
              <w:right w:val="single" w:sz="8" w:color="93A1D2"/>
            </w:tcBorders>
          </w:tcPr>
          <w:p>
            <w:pPr>
              <w:spacing w:after="0"/>
              <w:rPr>
                <w:sz w:val="16"/>
                <w:szCs w:val="16"/>
                <w:color w:val="auto"/>
              </w:rPr>
            </w:pPr>
          </w:p>
        </w:tc>
        <w:tc>
          <w:tcPr>
            <w:tcW w:w="108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4"/>
                <w:szCs w:val="14"/>
                <w:color w:val="auto"/>
              </w:rPr>
              <w:t>James M. McGrann</w:t>
            </w:r>
          </w:p>
        </w:tc>
        <w:tc>
          <w:tcPr>
            <w:tcW w:w="60" w:type="dxa"/>
            <w:vAlign w:val="bottom"/>
            <w:shd w:val="clear" w:color="auto" w:fill="CCCCCC"/>
          </w:tcPr>
          <w:p>
            <w:pPr>
              <w:spacing w:after="0"/>
              <w:rPr>
                <w:sz w:val="14"/>
                <w:szCs w:val="14"/>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Chief Executive Officer,</w:t>
            </w:r>
          </w:p>
        </w:tc>
        <w:tc>
          <w:tcPr>
            <w:tcW w:w="420" w:type="dxa"/>
            <w:vAlign w:val="bottom"/>
            <w:tcBorders>
              <w:right w:val="single" w:sz="8" w:color="93A1D2"/>
            </w:tcBorders>
            <w:shd w:val="clear" w:color="auto" w:fill="CCCCCC"/>
          </w:tcPr>
          <w:p>
            <w:pPr>
              <w:jc w:val="center"/>
              <w:spacing w:after="0"/>
              <w:rPr>
                <w:sz w:val="20"/>
                <w:szCs w:val="20"/>
                <w:color w:val="auto"/>
              </w:rPr>
            </w:pPr>
            <w:r>
              <w:rPr>
                <w:rFonts w:ascii="Arial" w:cs="Arial" w:eastAsia="Arial" w:hAnsi="Arial"/>
                <w:sz w:val="14"/>
                <w:szCs w:val="14"/>
                <w:color w:val="auto"/>
              </w:rPr>
              <w:t>64</w:t>
            </w:r>
          </w:p>
        </w:tc>
        <w:tc>
          <w:tcPr>
            <w:tcW w:w="800" w:type="dxa"/>
            <w:vAlign w:val="bottom"/>
            <w:tcBorders>
              <w:right w:val="single" w:sz="8" w:color="93A1D2"/>
            </w:tcBorders>
            <w:shd w:val="clear" w:color="auto" w:fill="CCCCCC"/>
          </w:tcPr>
          <w:p>
            <w:pPr>
              <w:jc w:val="right"/>
              <w:ind w:right="168"/>
              <w:spacing w:after="0"/>
              <w:rPr>
                <w:sz w:val="20"/>
                <w:szCs w:val="20"/>
                <w:color w:val="auto"/>
              </w:rPr>
            </w:pPr>
            <w:r>
              <w:rPr>
                <w:rFonts w:ascii="Arial" w:cs="Arial" w:eastAsia="Arial" w:hAnsi="Arial"/>
                <w:sz w:val="14"/>
                <w:szCs w:val="14"/>
                <w:color w:val="auto"/>
              </w:rPr>
              <w:t>2025</w:t>
            </w:r>
          </w:p>
        </w:tc>
        <w:tc>
          <w:tcPr>
            <w:tcW w:w="1080" w:type="dxa"/>
            <w:vAlign w:val="bottom"/>
            <w:tcBorders>
              <w:right w:val="single" w:sz="8" w:color="93A1D2"/>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140" w:type="dxa"/>
            <w:vAlign w:val="bottom"/>
            <w:tcBorders>
              <w:right w:val="single" w:sz="8" w:color="93A1D2"/>
            </w:tcBorders>
            <w:shd w:val="clear" w:color="auto" w:fill="CCCCCC"/>
          </w:tcPr>
          <w:p>
            <w:pPr>
              <w:spacing w:after="0"/>
              <w:rPr>
                <w:sz w:val="14"/>
                <w:szCs w:val="14"/>
                <w:color w:val="auto"/>
              </w:rPr>
            </w:pPr>
          </w:p>
        </w:tc>
        <w:tc>
          <w:tcPr>
            <w:tcW w:w="1260" w:type="dxa"/>
            <w:vAlign w:val="bottom"/>
            <w:tcBorders>
              <w:right w:val="single" w:sz="8" w:color="93A1D2"/>
            </w:tcBorders>
            <w:shd w:val="clear" w:color="auto" w:fill="CCCCCC"/>
          </w:tcPr>
          <w:p>
            <w:pPr>
              <w:spacing w:after="0"/>
              <w:rPr>
                <w:sz w:val="14"/>
                <w:szCs w:val="14"/>
                <w:color w:val="auto"/>
              </w:rPr>
            </w:pPr>
          </w:p>
        </w:tc>
        <w:tc>
          <w:tcPr>
            <w:tcW w:w="1080" w:type="dxa"/>
            <w:vAlign w:val="bottom"/>
            <w:tcBorders>
              <w:right w:val="single" w:sz="8" w:color="3465B0"/>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Advancing Eyecare</w:t>
            </w:r>
          </w:p>
        </w:tc>
        <w:tc>
          <w:tcPr>
            <w:tcW w:w="420" w:type="dxa"/>
            <w:vAlign w:val="bottom"/>
            <w:tcBorders>
              <w:right w:val="single" w:sz="8" w:color="93A1D2"/>
            </w:tcBorders>
            <w:shd w:val="clear" w:color="auto" w:fill="CCCCCC"/>
          </w:tcPr>
          <w:p>
            <w:pPr>
              <w:spacing w:after="0"/>
              <w:rPr>
                <w:sz w:val="16"/>
                <w:szCs w:val="16"/>
                <w:color w:val="auto"/>
              </w:rPr>
            </w:pPr>
          </w:p>
        </w:tc>
        <w:tc>
          <w:tcPr>
            <w:tcW w:w="80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60" w:type="dxa"/>
            <w:vAlign w:val="bottom"/>
            <w:shd w:val="clear" w:color="auto" w:fill="CCCCCC"/>
          </w:tcPr>
          <w:p>
            <w:pPr>
              <w:spacing w:after="0"/>
              <w:rPr>
                <w:sz w:val="16"/>
                <w:szCs w:val="16"/>
                <w:color w:val="auto"/>
              </w:rPr>
            </w:pPr>
          </w:p>
        </w:tc>
        <w:tc>
          <w:tcPr>
            <w:tcW w:w="140" w:type="dxa"/>
            <w:vAlign w:val="bottom"/>
            <w:tcBorders>
              <w:right w:val="single" w:sz="8" w:color="93A1D2"/>
            </w:tcBorders>
            <w:shd w:val="clear" w:color="auto" w:fill="CCCCCC"/>
          </w:tcPr>
          <w:p>
            <w:pPr>
              <w:spacing w:after="0"/>
              <w:rPr>
                <w:sz w:val="16"/>
                <w:szCs w:val="16"/>
                <w:color w:val="auto"/>
              </w:rPr>
            </w:pPr>
          </w:p>
        </w:tc>
        <w:tc>
          <w:tcPr>
            <w:tcW w:w="126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4"/>
                <w:szCs w:val="14"/>
                <w:color w:val="auto"/>
              </w:rPr>
              <w:t>Michael J.</w:t>
            </w:r>
          </w:p>
        </w:tc>
        <w:tc>
          <w:tcPr>
            <w:tcW w:w="60" w:type="dxa"/>
            <w:vAlign w:val="bottom"/>
          </w:tcPr>
          <w:p>
            <w:pPr>
              <w:spacing w:after="0"/>
              <w:rPr>
                <w:sz w:val="14"/>
                <w:szCs w:val="14"/>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President and Chief Operating</w:t>
            </w:r>
          </w:p>
        </w:tc>
        <w:tc>
          <w:tcPr>
            <w:tcW w:w="420" w:type="dxa"/>
            <w:vAlign w:val="bottom"/>
            <w:tcBorders>
              <w:right w:val="single" w:sz="8" w:color="93A1D2"/>
            </w:tcBorders>
          </w:tcPr>
          <w:p>
            <w:pPr>
              <w:jc w:val="center"/>
              <w:spacing w:after="0"/>
              <w:rPr>
                <w:sz w:val="20"/>
                <w:szCs w:val="20"/>
                <w:color w:val="auto"/>
              </w:rPr>
            </w:pPr>
            <w:r>
              <w:rPr>
                <w:rFonts w:ascii="Arial" w:cs="Arial" w:eastAsia="Arial" w:hAnsi="Arial"/>
                <w:sz w:val="14"/>
                <w:szCs w:val="14"/>
                <w:color w:val="auto"/>
              </w:rPr>
              <w:t>59</w:t>
            </w:r>
          </w:p>
        </w:tc>
        <w:tc>
          <w:tcPr>
            <w:tcW w:w="800" w:type="dxa"/>
            <w:vAlign w:val="bottom"/>
            <w:tcBorders>
              <w:right w:val="single" w:sz="8" w:color="93A1D2"/>
            </w:tcBorders>
          </w:tcPr>
          <w:p>
            <w:pPr>
              <w:jc w:val="right"/>
              <w:ind w:right="168"/>
              <w:spacing w:after="0"/>
              <w:rPr>
                <w:sz w:val="20"/>
                <w:szCs w:val="20"/>
                <w:color w:val="auto"/>
              </w:rPr>
            </w:pPr>
            <w:r>
              <w:rPr>
                <w:rFonts w:ascii="Arial" w:cs="Arial" w:eastAsia="Arial" w:hAnsi="Arial"/>
                <w:sz w:val="14"/>
                <w:szCs w:val="14"/>
                <w:color w:val="auto"/>
              </w:rPr>
              <w:t>2025</w:t>
            </w:r>
          </w:p>
        </w:tc>
        <w:tc>
          <w:tcPr>
            <w:tcW w:w="1080" w:type="dxa"/>
            <w:vAlign w:val="bottom"/>
            <w:tcBorders>
              <w:right w:val="single" w:sz="8" w:color="93A1D2"/>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93A1D2"/>
            </w:tcBorders>
          </w:tcPr>
          <w:p>
            <w:pPr>
              <w:spacing w:after="0"/>
              <w:rPr>
                <w:sz w:val="14"/>
                <w:szCs w:val="14"/>
                <w:color w:val="auto"/>
              </w:rPr>
            </w:pPr>
          </w:p>
        </w:tc>
        <w:tc>
          <w:tcPr>
            <w:tcW w:w="1260" w:type="dxa"/>
            <w:vAlign w:val="bottom"/>
            <w:tcBorders>
              <w:right w:val="single" w:sz="8" w:color="93A1D2"/>
            </w:tcBorders>
          </w:tcPr>
          <w:p>
            <w:pPr>
              <w:spacing w:after="0"/>
              <w:rPr>
                <w:sz w:val="14"/>
                <w:szCs w:val="14"/>
                <w:color w:val="auto"/>
              </w:rPr>
            </w:pPr>
          </w:p>
        </w:tc>
        <w:tc>
          <w:tcPr>
            <w:tcW w:w="1080" w:type="dxa"/>
            <w:vAlign w:val="bottom"/>
            <w:tcBorders>
              <w:right w:val="single" w:sz="8" w:color="3465B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4"/>
                <w:szCs w:val="14"/>
                <w:color w:val="auto"/>
              </w:rPr>
              <w:t>Nicholson</w:t>
            </w:r>
          </w:p>
        </w:tc>
        <w:tc>
          <w:tcPr>
            <w:tcW w:w="60" w:type="dxa"/>
            <w:vAlign w:val="bottom"/>
          </w:tcPr>
          <w:p>
            <w:pPr>
              <w:spacing w:after="0"/>
              <w:rPr>
                <w:sz w:val="16"/>
                <w:szCs w:val="16"/>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Officer, J.Crew Group</w:t>
            </w:r>
          </w:p>
        </w:tc>
        <w:tc>
          <w:tcPr>
            <w:tcW w:w="420" w:type="dxa"/>
            <w:vAlign w:val="bottom"/>
            <w:tcBorders>
              <w:right w:val="single" w:sz="8" w:color="93A1D2"/>
            </w:tcBorders>
          </w:tcPr>
          <w:p>
            <w:pPr>
              <w:spacing w:after="0"/>
              <w:rPr>
                <w:sz w:val="16"/>
                <w:szCs w:val="16"/>
                <w:color w:val="auto"/>
              </w:rPr>
            </w:pPr>
          </w:p>
        </w:tc>
        <w:tc>
          <w:tcPr>
            <w:tcW w:w="800" w:type="dxa"/>
            <w:vAlign w:val="bottom"/>
            <w:tcBorders>
              <w:right w:val="single" w:sz="8" w:color="93A1D2"/>
            </w:tcBorders>
          </w:tcPr>
          <w:p>
            <w:pPr>
              <w:spacing w:after="0"/>
              <w:rPr>
                <w:sz w:val="16"/>
                <w:szCs w:val="16"/>
                <w:color w:val="auto"/>
              </w:rPr>
            </w:pPr>
          </w:p>
        </w:tc>
        <w:tc>
          <w:tcPr>
            <w:tcW w:w="108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93A1D2"/>
            </w:tcBorders>
          </w:tcPr>
          <w:p>
            <w:pPr>
              <w:spacing w:after="0"/>
              <w:rPr>
                <w:sz w:val="16"/>
                <w:szCs w:val="16"/>
                <w:color w:val="auto"/>
              </w:rPr>
            </w:pPr>
          </w:p>
        </w:tc>
        <w:tc>
          <w:tcPr>
            <w:tcW w:w="1260" w:type="dxa"/>
            <w:vAlign w:val="bottom"/>
            <w:tcBorders>
              <w:right w:val="single" w:sz="8" w:color="93A1D2"/>
            </w:tcBorders>
          </w:tcPr>
          <w:p>
            <w:pPr>
              <w:spacing w:after="0"/>
              <w:rPr>
                <w:sz w:val="16"/>
                <w:szCs w:val="16"/>
                <w:color w:val="auto"/>
              </w:rPr>
            </w:pPr>
          </w:p>
        </w:tc>
        <w:tc>
          <w:tcPr>
            <w:tcW w:w="108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4"/>
                <w:szCs w:val="14"/>
                <w:color w:val="auto"/>
              </w:rPr>
              <w:t>Susan O’Farrell</w:t>
            </w:r>
          </w:p>
        </w:tc>
        <w:tc>
          <w:tcPr>
            <w:tcW w:w="60" w:type="dxa"/>
            <w:vAlign w:val="bottom"/>
            <w:shd w:val="clear" w:color="auto" w:fill="CCCCCC"/>
          </w:tcPr>
          <w:p>
            <w:pPr>
              <w:spacing w:after="0"/>
              <w:rPr>
                <w:sz w:val="14"/>
                <w:szCs w:val="14"/>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Retired Chief Financial</w:t>
            </w:r>
          </w:p>
        </w:tc>
        <w:tc>
          <w:tcPr>
            <w:tcW w:w="420" w:type="dxa"/>
            <w:vAlign w:val="bottom"/>
            <w:tcBorders>
              <w:right w:val="single" w:sz="8" w:color="93A1D2"/>
            </w:tcBorders>
            <w:shd w:val="clear" w:color="auto" w:fill="CCCCCC"/>
          </w:tcPr>
          <w:p>
            <w:pPr>
              <w:jc w:val="center"/>
              <w:spacing w:after="0"/>
              <w:rPr>
                <w:sz w:val="20"/>
                <w:szCs w:val="20"/>
                <w:color w:val="auto"/>
              </w:rPr>
            </w:pPr>
            <w:r>
              <w:rPr>
                <w:rFonts w:ascii="Arial" w:cs="Arial" w:eastAsia="Arial" w:hAnsi="Arial"/>
                <w:sz w:val="14"/>
                <w:szCs w:val="14"/>
                <w:color w:val="auto"/>
              </w:rPr>
              <w:t>62</w:t>
            </w:r>
          </w:p>
        </w:tc>
        <w:tc>
          <w:tcPr>
            <w:tcW w:w="800" w:type="dxa"/>
            <w:vAlign w:val="bottom"/>
            <w:tcBorders>
              <w:right w:val="single" w:sz="8" w:color="93A1D2"/>
            </w:tcBorders>
            <w:shd w:val="clear" w:color="auto" w:fill="CCCCCC"/>
          </w:tcPr>
          <w:p>
            <w:pPr>
              <w:jc w:val="right"/>
              <w:ind w:right="168"/>
              <w:spacing w:after="0"/>
              <w:rPr>
                <w:sz w:val="20"/>
                <w:szCs w:val="20"/>
                <w:color w:val="auto"/>
              </w:rPr>
            </w:pPr>
            <w:r>
              <w:rPr>
                <w:rFonts w:ascii="Arial" w:cs="Arial" w:eastAsia="Arial" w:hAnsi="Arial"/>
                <w:sz w:val="14"/>
                <w:szCs w:val="14"/>
                <w:color w:val="auto"/>
              </w:rPr>
              <w:t>2024</w:t>
            </w:r>
          </w:p>
        </w:tc>
        <w:tc>
          <w:tcPr>
            <w:tcW w:w="1080" w:type="dxa"/>
            <w:vAlign w:val="bottom"/>
            <w:tcBorders>
              <w:right w:val="single" w:sz="8" w:color="93A1D2"/>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60" w:type="dxa"/>
            <w:vAlign w:val="bottom"/>
            <w:vMerge w:val="restart"/>
            <w:shd w:val="clear" w:color="auto" w:fill="CCCCCC"/>
          </w:tcPr>
          <w:p>
            <w:pPr>
              <w:spacing w:after="0"/>
              <w:rPr>
                <w:sz w:val="20"/>
                <w:szCs w:val="20"/>
                <w:color w:val="auto"/>
              </w:rPr>
            </w:pPr>
            <w:r>
              <w:rPr>
                <w:rFonts w:ascii="Arial" w:cs="Arial" w:eastAsia="Arial" w:hAnsi="Arial"/>
                <w:sz w:val="14"/>
                <w:szCs w:val="14"/>
                <w:color w:val="auto"/>
              </w:rPr>
              <w:t> </w:t>
            </w:r>
          </w:p>
        </w:tc>
        <w:tc>
          <w:tcPr>
            <w:tcW w:w="140" w:type="dxa"/>
            <w:vAlign w:val="bottom"/>
            <w:tcBorders>
              <w:right w:val="single" w:sz="8" w:color="93A1D2"/>
            </w:tcBorders>
            <w:shd w:val="clear" w:color="auto" w:fill="CCCCCC"/>
          </w:tcPr>
          <w:p>
            <w:pPr>
              <w:spacing w:after="0"/>
              <w:rPr>
                <w:sz w:val="14"/>
                <w:szCs w:val="14"/>
                <w:color w:val="auto"/>
              </w:rPr>
            </w:pPr>
          </w:p>
        </w:tc>
        <w:tc>
          <w:tcPr>
            <w:tcW w:w="1260" w:type="dxa"/>
            <w:vAlign w:val="bottom"/>
            <w:tcBorders>
              <w:right w:val="single" w:sz="8" w:color="93A1D2"/>
            </w:tcBorders>
            <w:shd w:val="clear" w:color="auto" w:fill="CCCCCC"/>
          </w:tcPr>
          <w:p>
            <w:pPr>
              <w:spacing w:after="0"/>
              <w:rPr>
                <w:sz w:val="14"/>
                <w:szCs w:val="14"/>
                <w:color w:val="auto"/>
              </w:rPr>
            </w:pPr>
          </w:p>
        </w:tc>
        <w:tc>
          <w:tcPr>
            <w:tcW w:w="1080" w:type="dxa"/>
            <w:vAlign w:val="bottom"/>
            <w:tcBorders>
              <w:right w:val="single" w:sz="8" w:color="3465B0"/>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3465B0"/>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2040" w:type="dxa"/>
            <w:vAlign w:val="bottom"/>
            <w:tcBorders>
              <w:right w:val="single" w:sz="8" w:color="93A1D2"/>
            </w:tcBorders>
            <w:shd w:val="clear" w:color="auto" w:fill="CCCCCC"/>
          </w:tcPr>
          <w:p>
            <w:pPr>
              <w:spacing w:after="0"/>
              <w:rPr>
                <w:sz w:val="20"/>
                <w:szCs w:val="20"/>
                <w:color w:val="auto"/>
              </w:rPr>
            </w:pPr>
            <w:r>
              <w:rPr>
                <w:rFonts w:ascii="Arial" w:cs="Arial" w:eastAsia="Arial" w:hAnsi="Arial"/>
                <w:sz w:val="14"/>
                <w:szCs w:val="14"/>
                <w:color w:val="auto"/>
              </w:rPr>
              <w:t>Officer, Bluelinx Holdings, Inc.</w:t>
            </w:r>
          </w:p>
        </w:tc>
        <w:tc>
          <w:tcPr>
            <w:tcW w:w="420" w:type="dxa"/>
            <w:vAlign w:val="bottom"/>
            <w:tcBorders>
              <w:right w:val="single" w:sz="8" w:color="93A1D2"/>
            </w:tcBorders>
            <w:shd w:val="clear" w:color="auto" w:fill="CCCCCC"/>
          </w:tcPr>
          <w:p>
            <w:pPr>
              <w:spacing w:after="0"/>
              <w:rPr>
                <w:sz w:val="16"/>
                <w:szCs w:val="16"/>
                <w:color w:val="auto"/>
              </w:rPr>
            </w:pPr>
          </w:p>
        </w:tc>
        <w:tc>
          <w:tcPr>
            <w:tcW w:w="80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60" w:type="dxa"/>
            <w:vAlign w:val="bottom"/>
            <w:vMerge w:val="continue"/>
            <w:shd w:val="clear" w:color="auto" w:fill="CCCCCC"/>
          </w:tcPr>
          <w:p>
            <w:pPr>
              <w:spacing w:after="0"/>
              <w:rPr>
                <w:sz w:val="16"/>
                <w:szCs w:val="16"/>
                <w:color w:val="auto"/>
              </w:rPr>
            </w:pPr>
          </w:p>
        </w:tc>
        <w:tc>
          <w:tcPr>
            <w:tcW w:w="140" w:type="dxa"/>
            <w:vAlign w:val="bottom"/>
            <w:tcBorders>
              <w:right w:val="single" w:sz="8" w:color="93A1D2"/>
            </w:tcBorders>
            <w:shd w:val="clear" w:color="auto" w:fill="CCCCCC"/>
          </w:tcPr>
          <w:p>
            <w:pPr>
              <w:spacing w:after="0"/>
              <w:rPr>
                <w:sz w:val="16"/>
                <w:szCs w:val="16"/>
                <w:color w:val="auto"/>
              </w:rPr>
            </w:pPr>
          </w:p>
        </w:tc>
        <w:tc>
          <w:tcPr>
            <w:tcW w:w="1260" w:type="dxa"/>
            <w:vAlign w:val="bottom"/>
            <w:tcBorders>
              <w:right w:val="single" w:sz="8" w:color="93A1D2"/>
            </w:tcBorders>
            <w:shd w:val="clear" w:color="auto" w:fill="CCCCCC"/>
          </w:tcPr>
          <w:p>
            <w:pPr>
              <w:spacing w:after="0"/>
              <w:rPr>
                <w:sz w:val="16"/>
                <w:szCs w:val="16"/>
                <w:color w:val="auto"/>
              </w:rPr>
            </w:pPr>
          </w:p>
        </w:tc>
        <w:tc>
          <w:tcPr>
            <w:tcW w:w="108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4"/>
                <w:szCs w:val="14"/>
                <w:color w:val="auto"/>
              </w:rPr>
              <w:t>Caitlin Zulla</w:t>
            </w:r>
          </w:p>
        </w:tc>
        <w:tc>
          <w:tcPr>
            <w:tcW w:w="60" w:type="dxa"/>
            <w:vAlign w:val="bottom"/>
          </w:tcPr>
          <w:p>
            <w:pPr>
              <w:spacing w:after="0"/>
              <w:rPr>
                <w:sz w:val="14"/>
                <w:szCs w:val="14"/>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Chief Executive Officer,</w:t>
            </w:r>
          </w:p>
        </w:tc>
        <w:tc>
          <w:tcPr>
            <w:tcW w:w="420" w:type="dxa"/>
            <w:vAlign w:val="bottom"/>
            <w:tcBorders>
              <w:right w:val="single" w:sz="8" w:color="93A1D2"/>
            </w:tcBorders>
          </w:tcPr>
          <w:p>
            <w:pPr>
              <w:jc w:val="center"/>
              <w:spacing w:after="0"/>
              <w:rPr>
                <w:sz w:val="20"/>
                <w:szCs w:val="20"/>
                <w:color w:val="auto"/>
              </w:rPr>
            </w:pPr>
            <w:r>
              <w:rPr>
                <w:rFonts w:ascii="Arial" w:cs="Arial" w:eastAsia="Arial" w:hAnsi="Arial"/>
                <w:sz w:val="14"/>
                <w:szCs w:val="14"/>
                <w:color w:val="auto"/>
              </w:rPr>
              <w:t>48</w:t>
            </w:r>
          </w:p>
        </w:tc>
        <w:tc>
          <w:tcPr>
            <w:tcW w:w="800" w:type="dxa"/>
            <w:vAlign w:val="bottom"/>
            <w:tcBorders>
              <w:right w:val="single" w:sz="8" w:color="93A1D2"/>
            </w:tcBorders>
          </w:tcPr>
          <w:p>
            <w:pPr>
              <w:jc w:val="right"/>
              <w:ind w:right="168"/>
              <w:spacing w:after="0"/>
              <w:rPr>
                <w:sz w:val="20"/>
                <w:szCs w:val="20"/>
                <w:color w:val="auto"/>
              </w:rPr>
            </w:pPr>
            <w:r>
              <w:rPr>
                <w:rFonts w:ascii="Arial" w:cs="Arial" w:eastAsia="Arial" w:hAnsi="Arial"/>
                <w:sz w:val="14"/>
                <w:szCs w:val="14"/>
                <w:color w:val="auto"/>
              </w:rPr>
              <w:t>2024</w:t>
            </w:r>
          </w:p>
        </w:tc>
        <w:tc>
          <w:tcPr>
            <w:tcW w:w="1080" w:type="dxa"/>
            <w:vAlign w:val="bottom"/>
            <w:tcBorders>
              <w:right w:val="single" w:sz="8" w:color="93A1D2"/>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93A1D2"/>
            </w:tcBorders>
          </w:tcPr>
          <w:p>
            <w:pPr>
              <w:spacing w:after="0"/>
              <w:rPr>
                <w:sz w:val="14"/>
                <w:szCs w:val="14"/>
                <w:color w:val="auto"/>
              </w:rPr>
            </w:pPr>
          </w:p>
        </w:tc>
        <w:tc>
          <w:tcPr>
            <w:tcW w:w="1260" w:type="dxa"/>
            <w:vAlign w:val="bottom"/>
            <w:tcBorders>
              <w:right w:val="single" w:sz="8" w:color="93A1D2"/>
            </w:tcBorders>
          </w:tcPr>
          <w:p>
            <w:pPr>
              <w:spacing w:after="0"/>
              <w:rPr>
                <w:sz w:val="14"/>
                <w:szCs w:val="14"/>
                <w:color w:val="auto"/>
              </w:rPr>
            </w:pPr>
          </w:p>
        </w:tc>
        <w:tc>
          <w:tcPr>
            <w:tcW w:w="1080" w:type="dxa"/>
            <w:vAlign w:val="bottom"/>
            <w:tcBorders>
              <w:right w:val="single" w:sz="8" w:color="3465B0"/>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460" w:type="dxa"/>
            <w:vAlign w:val="bottom"/>
            <w:tcBorders>
              <w:left w:val="single" w:sz="8" w:color="3465B0"/>
              <w:right w:val="single" w:sz="8" w:color="93A1D2"/>
            </w:tcBorders>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Lumexa Imaging</w:t>
            </w:r>
          </w:p>
        </w:tc>
        <w:tc>
          <w:tcPr>
            <w:tcW w:w="42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1080" w:type="dxa"/>
            <w:vAlign w:val="bottom"/>
            <w:tcBorders>
              <w:right w:val="single" w:sz="8" w:color="93A1D2"/>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93A1D2"/>
            </w:tcBorders>
          </w:tcPr>
          <w:p>
            <w:pPr>
              <w:spacing w:after="0"/>
              <w:rPr>
                <w:sz w:val="19"/>
                <w:szCs w:val="19"/>
                <w:color w:val="auto"/>
              </w:rPr>
            </w:pPr>
          </w:p>
        </w:tc>
        <w:tc>
          <w:tcPr>
            <w:tcW w:w="1260" w:type="dxa"/>
            <w:vAlign w:val="bottom"/>
            <w:tcBorders>
              <w:right w:val="single" w:sz="8" w:color="93A1D2"/>
            </w:tcBorders>
          </w:tcPr>
          <w:p>
            <w:pPr>
              <w:spacing w:after="0"/>
              <w:rPr>
                <w:sz w:val="19"/>
                <w:szCs w:val="19"/>
                <w:color w:val="auto"/>
              </w:rPr>
            </w:pPr>
          </w:p>
        </w:tc>
        <w:tc>
          <w:tcPr>
            <w:tcW w:w="108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left w:val="single" w:sz="8" w:color="3465B0"/>
              <w:right w:val="single" w:sz="8" w:color="3465B0"/>
            </w:tcBorders>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2040" w:type="dxa"/>
            <w:vAlign w:val="bottom"/>
            <w:tcBorders>
              <w:right w:val="single" w:sz="8" w:color="3465B0"/>
            </w:tcBorders>
            <w:shd w:val="clear" w:color="auto" w:fill="3465B0"/>
          </w:tcPr>
          <w:p>
            <w:pPr>
              <w:spacing w:after="0" w:line="20" w:lineRule="exact"/>
              <w:rPr>
                <w:sz w:val="1"/>
                <w:szCs w:val="1"/>
                <w:color w:val="auto"/>
              </w:rPr>
            </w:pPr>
          </w:p>
        </w:tc>
        <w:tc>
          <w:tcPr>
            <w:tcW w:w="420" w:type="dxa"/>
            <w:vAlign w:val="bottom"/>
            <w:tcBorders>
              <w:right w:val="single" w:sz="8" w:color="3465B0"/>
            </w:tcBorders>
            <w:shd w:val="clear" w:color="auto" w:fill="3465B0"/>
          </w:tcPr>
          <w:p>
            <w:pPr>
              <w:spacing w:after="0" w:line="20" w:lineRule="exact"/>
              <w:rPr>
                <w:sz w:val="1"/>
                <w:szCs w:val="1"/>
                <w:color w:val="auto"/>
              </w:rPr>
            </w:pPr>
          </w:p>
        </w:tc>
        <w:tc>
          <w:tcPr>
            <w:tcW w:w="800" w:type="dxa"/>
            <w:vAlign w:val="bottom"/>
            <w:tcBorders>
              <w:right w:val="single" w:sz="8" w:color="3465B0"/>
            </w:tcBorders>
            <w:shd w:val="clear" w:color="auto" w:fill="3465B0"/>
          </w:tcPr>
          <w:p>
            <w:pPr>
              <w:spacing w:after="0" w:line="20" w:lineRule="exact"/>
              <w:rPr>
                <w:sz w:val="1"/>
                <w:szCs w:val="1"/>
                <w:color w:val="auto"/>
              </w:rPr>
            </w:pPr>
          </w:p>
        </w:tc>
        <w:tc>
          <w:tcPr>
            <w:tcW w:w="1080" w:type="dxa"/>
            <w:vAlign w:val="bottom"/>
            <w:tcBorders>
              <w:right w:val="single" w:sz="8" w:color="3465B0"/>
            </w:tcBorders>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760" w:type="dxa"/>
            <w:vAlign w:val="bottom"/>
            <w:shd w:val="clear" w:color="auto" w:fill="3465B0"/>
          </w:tcPr>
          <w:p>
            <w:pPr>
              <w:spacing w:after="0" w:line="20" w:lineRule="exact"/>
              <w:rPr>
                <w:sz w:val="1"/>
                <w:szCs w:val="1"/>
                <w:color w:val="auto"/>
              </w:rPr>
            </w:pPr>
          </w:p>
        </w:tc>
        <w:tc>
          <w:tcPr>
            <w:tcW w:w="140" w:type="dxa"/>
            <w:vAlign w:val="bottom"/>
            <w:tcBorders>
              <w:right w:val="single" w:sz="8" w:color="3465B0"/>
            </w:tcBorders>
            <w:shd w:val="clear" w:color="auto" w:fill="3465B0"/>
          </w:tcPr>
          <w:p>
            <w:pPr>
              <w:spacing w:after="0" w:line="20" w:lineRule="exact"/>
              <w:rPr>
                <w:sz w:val="1"/>
                <w:szCs w:val="1"/>
                <w:color w:val="auto"/>
              </w:rPr>
            </w:pPr>
          </w:p>
        </w:tc>
        <w:tc>
          <w:tcPr>
            <w:tcW w:w="1260" w:type="dxa"/>
            <w:vAlign w:val="bottom"/>
            <w:tcBorders>
              <w:right w:val="single" w:sz="8" w:color="3465B0"/>
            </w:tcBorders>
            <w:shd w:val="clear" w:color="auto" w:fill="3465B0"/>
          </w:tcPr>
          <w:p>
            <w:pPr>
              <w:spacing w:after="0" w:line="20" w:lineRule="exact"/>
              <w:rPr>
                <w:sz w:val="1"/>
                <w:szCs w:val="1"/>
                <w:color w:val="auto"/>
              </w:rPr>
            </w:pPr>
          </w:p>
        </w:tc>
        <w:tc>
          <w:tcPr>
            <w:tcW w:w="1080" w:type="dxa"/>
            <w:vAlign w:val="bottom"/>
            <w:tcBorders>
              <w:right w:val="single" w:sz="8" w:color="3465B0"/>
            </w:tcBorders>
            <w:shd w:val="clear" w:color="auto" w:fill="3465B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-2127250</wp:posOffset>
            </wp:positionV>
            <wp:extent cx="77470" cy="77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-2127250</wp:posOffset>
            </wp:positionV>
            <wp:extent cx="76835" cy="77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-2239010</wp:posOffset>
            </wp:positionV>
            <wp:extent cx="7747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-2239010</wp:posOffset>
            </wp:positionV>
            <wp:extent cx="76835"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-2016125</wp:posOffset>
            </wp:positionV>
            <wp:extent cx="77470"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-2016125</wp:posOffset>
            </wp:positionV>
            <wp:extent cx="76835"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-1793240</wp:posOffset>
            </wp:positionV>
            <wp:extent cx="7747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-1793240</wp:posOffset>
            </wp:positionV>
            <wp:extent cx="76835"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-1467485</wp:posOffset>
            </wp:positionV>
            <wp:extent cx="77470" cy="93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-1467485</wp:posOffset>
            </wp:positionV>
            <wp:extent cx="76835" cy="774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-1141730</wp:posOffset>
            </wp:positionV>
            <wp:extent cx="77470"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-1141730</wp:posOffset>
            </wp:positionV>
            <wp:extent cx="77470"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-1141730</wp:posOffset>
            </wp:positionV>
            <wp:extent cx="76835" cy="9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-918845</wp:posOffset>
            </wp:positionV>
            <wp:extent cx="7747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-918845</wp:posOffset>
            </wp:positionV>
            <wp:extent cx="76835"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-695960</wp:posOffset>
            </wp:positionV>
            <wp:extent cx="7747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-695960</wp:posOffset>
            </wp:positionV>
            <wp:extent cx="7747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-695960</wp:posOffset>
            </wp:positionV>
            <wp:extent cx="76835"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-473075</wp:posOffset>
            </wp:positionV>
            <wp:extent cx="7747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-473075</wp:posOffset>
            </wp:positionV>
            <wp:extent cx="77470" cy="768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-250190</wp:posOffset>
            </wp:positionV>
            <wp:extent cx="7747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-250190</wp:posOffset>
            </wp:positionV>
            <wp:extent cx="76835"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-95885</wp:posOffset>
            </wp:positionV>
            <wp:extent cx="76835" cy="768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-95885</wp:posOffset>
            </wp:positionV>
            <wp:extent cx="197485" cy="774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7485" cy="77470"/>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109220</wp:posOffset>
            </wp:positionV>
            <wp:extent cx="20574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2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00" w:type="dxa"/>
            <w:vAlign w:val="bottom"/>
          </w:tcPr>
          <w:p>
            <w:pPr>
              <w:jc w:val="right"/>
              <w:ind w:right="859"/>
              <w:spacing w:after="0"/>
              <w:rPr>
                <w:sz w:val="20"/>
                <w:szCs w:val="20"/>
                <w:color w:val="auto"/>
              </w:rPr>
            </w:pPr>
            <w:r>
              <w:rPr>
                <w:rFonts w:ascii="Arial" w:cs="Arial" w:eastAsia="Arial" w:hAnsi="Arial"/>
                <w:sz w:val="16"/>
                <w:szCs w:val="16"/>
                <w:b w:val="1"/>
                <w:bCs w:val="1"/>
                <w:color w:val="auto"/>
              </w:rPr>
              <w:t>3</w:t>
            </w:r>
          </w:p>
        </w:tc>
      </w:tr>
      <w:tr>
        <w:trPr>
          <w:trHeight w:val="244"/>
        </w:trPr>
        <w:tc>
          <w:tcPr>
            <w:tcW w:w="9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7"/>
          <w:szCs w:val="17"/>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-144145</wp:posOffset>
            </wp:positionV>
            <wp:extent cx="5795010" cy="46805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468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spacing w:after="0" w:line="88" w:lineRule="exact"/>
        <w:rPr>
          <w:sz w:val="20"/>
          <w:szCs w:val="20"/>
          <w:color w:val="auto"/>
        </w:rPr>
      </w:pPr>
    </w:p>
    <w:p>
      <w:pPr>
        <w:ind w:left="360" w:hanging="346"/>
        <w:spacing w:after="0"/>
        <w:tabs>
          <w:tab w:leader="none" w:pos="360" w:val="left"/>
        </w:tabs>
        <w:numPr>
          <w:ilvl w:val="0"/>
          <w:numId w:val="7"/>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bookmarkStart w:id="11" w:name="page12"/>
    <w:bookmarkEnd w:id="11"/>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69"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We maintain robust governance and Board practices that promote independence, accountability and effectiveness in the boardroom.</w:t>
      </w:r>
    </w:p>
    <w:p>
      <w:pPr>
        <w:spacing w:after="0" w:line="149"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Key Governance Developments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2040" w:type="dxa"/>
            <w:vAlign w:val="bottom"/>
          </w:tcPr>
          <w:p>
            <w:pPr>
              <w:ind w:left="20"/>
              <w:spacing w:after="0"/>
              <w:rPr>
                <w:sz w:val="20"/>
                <w:szCs w:val="20"/>
                <w:color w:val="auto"/>
              </w:rPr>
            </w:pPr>
            <w:r>
              <w:rPr>
                <w:rFonts w:ascii="Arial" w:cs="Arial" w:eastAsia="Arial" w:hAnsi="Arial"/>
                <w:sz w:val="18"/>
                <w:szCs w:val="18"/>
                <w:b w:val="1"/>
                <w:bCs w:val="1"/>
                <w:color w:val="3465B0"/>
              </w:rPr>
              <w:t>CEO Succession</w:t>
            </w:r>
          </w:p>
        </w:tc>
        <w:tc>
          <w:tcPr>
            <w:tcW w:w="7100" w:type="dxa"/>
            <w:vAlign w:val="bottom"/>
          </w:tcPr>
          <w:p>
            <w:pPr>
              <w:ind w:left="360"/>
              <w:spacing w:after="0"/>
              <w:rPr>
                <w:sz w:val="20"/>
                <w:szCs w:val="20"/>
                <w:color w:val="auto"/>
              </w:rPr>
            </w:pPr>
            <w:r>
              <w:rPr>
                <w:rFonts w:ascii="Arial" w:cs="Arial" w:eastAsia="Arial" w:hAnsi="Arial"/>
                <w:sz w:val="18"/>
                <w:szCs w:val="18"/>
                <w:color w:val="auto"/>
              </w:rPr>
              <w:t>We have completed our previously announced CEO succession plan, under which,</w:t>
            </w:r>
          </w:p>
        </w:tc>
      </w:tr>
      <w:tr>
        <w:trPr>
          <w:trHeight w:val="203"/>
        </w:trPr>
        <w:tc>
          <w:tcPr>
            <w:tcW w:w="2040" w:type="dxa"/>
            <w:vAlign w:val="bottom"/>
          </w:tcPr>
          <w:p>
            <w:pPr>
              <w:spacing w:after="0"/>
              <w:rPr>
                <w:sz w:val="17"/>
                <w:szCs w:val="17"/>
                <w:color w:val="auto"/>
              </w:rPr>
            </w:pPr>
          </w:p>
        </w:tc>
        <w:tc>
          <w:tcPr>
            <w:tcW w:w="7100" w:type="dxa"/>
            <w:vAlign w:val="bottom"/>
          </w:tcPr>
          <w:p>
            <w:pPr>
              <w:ind w:left="360"/>
              <w:spacing w:after="0" w:line="202" w:lineRule="exact"/>
              <w:rPr>
                <w:sz w:val="20"/>
                <w:szCs w:val="20"/>
                <w:color w:val="auto"/>
              </w:rPr>
            </w:pPr>
            <w:r>
              <w:rPr>
                <w:rFonts w:ascii="Arial" w:cs="Arial" w:eastAsia="Arial" w:hAnsi="Arial"/>
                <w:sz w:val="18"/>
                <w:szCs w:val="18"/>
                <w:color w:val="auto"/>
              </w:rPr>
              <w:t>effective August 1, 2025, Alex Wilkes succeeded Reade Fahs as the Company’s</w:t>
            </w:r>
          </w:p>
        </w:tc>
      </w:tr>
      <w:tr>
        <w:trPr>
          <w:trHeight w:val="203"/>
        </w:trPr>
        <w:tc>
          <w:tcPr>
            <w:tcW w:w="2040" w:type="dxa"/>
            <w:vAlign w:val="bottom"/>
          </w:tcPr>
          <w:p>
            <w:pPr>
              <w:spacing w:after="0"/>
              <w:rPr>
                <w:sz w:val="17"/>
                <w:szCs w:val="17"/>
                <w:color w:val="auto"/>
              </w:rPr>
            </w:pPr>
          </w:p>
        </w:tc>
        <w:tc>
          <w:tcPr>
            <w:tcW w:w="7100" w:type="dxa"/>
            <w:vAlign w:val="bottom"/>
          </w:tcPr>
          <w:p>
            <w:pPr>
              <w:ind w:left="360"/>
              <w:spacing w:after="0" w:line="202" w:lineRule="exact"/>
              <w:rPr>
                <w:sz w:val="20"/>
                <w:szCs w:val="20"/>
                <w:color w:val="auto"/>
              </w:rPr>
            </w:pPr>
            <w:r>
              <w:rPr>
                <w:rFonts w:ascii="Arial" w:cs="Arial" w:eastAsia="Arial" w:hAnsi="Arial"/>
                <w:sz w:val="18"/>
                <w:szCs w:val="18"/>
                <w:color w:val="auto"/>
              </w:rPr>
              <w:t>Chief Executive Officer and was appointed to the Company’s Board of Directors. In</w:t>
            </w:r>
          </w:p>
        </w:tc>
      </w:tr>
      <w:tr>
        <w:trPr>
          <w:trHeight w:val="203"/>
        </w:trPr>
        <w:tc>
          <w:tcPr>
            <w:tcW w:w="2040" w:type="dxa"/>
            <w:vAlign w:val="bottom"/>
          </w:tcPr>
          <w:p>
            <w:pPr>
              <w:spacing w:after="0"/>
              <w:rPr>
                <w:sz w:val="17"/>
                <w:szCs w:val="17"/>
                <w:color w:val="auto"/>
              </w:rPr>
            </w:pPr>
          </w:p>
        </w:tc>
        <w:tc>
          <w:tcPr>
            <w:tcW w:w="7100" w:type="dxa"/>
            <w:vAlign w:val="bottom"/>
          </w:tcPr>
          <w:p>
            <w:pPr>
              <w:ind w:left="360"/>
              <w:spacing w:after="0" w:line="202" w:lineRule="exact"/>
              <w:rPr>
                <w:sz w:val="20"/>
                <w:szCs w:val="20"/>
                <w:color w:val="auto"/>
              </w:rPr>
            </w:pPr>
            <w:r>
              <w:rPr>
                <w:rFonts w:ascii="Arial" w:cs="Arial" w:eastAsia="Arial" w:hAnsi="Arial"/>
                <w:sz w:val="18"/>
                <w:szCs w:val="18"/>
                <w:color w:val="auto"/>
              </w:rPr>
              <w:t>addition, Reade Fahs assumed the role of Executive Chairman, with Randy Peeler</w:t>
            </w:r>
          </w:p>
        </w:tc>
      </w:tr>
      <w:tr>
        <w:trPr>
          <w:trHeight w:val="239"/>
        </w:trPr>
        <w:tc>
          <w:tcPr>
            <w:tcW w:w="204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assuming the role of Lead Independent Director.</w:t>
            </w:r>
          </w:p>
        </w:tc>
      </w:tr>
      <w:tr>
        <w:trPr>
          <w:trHeight w:val="50"/>
        </w:trPr>
        <w:tc>
          <w:tcPr>
            <w:tcW w:w="2040" w:type="dxa"/>
            <w:vAlign w:val="bottom"/>
            <w:tcBorders>
              <w:bottom w:val="single" w:sz="8" w:color="auto"/>
            </w:tcBorders>
          </w:tcPr>
          <w:p>
            <w:pPr>
              <w:spacing w:after="0"/>
              <w:rPr>
                <w:sz w:val="4"/>
                <w:szCs w:val="4"/>
                <w:color w:val="auto"/>
              </w:rPr>
            </w:pPr>
          </w:p>
        </w:tc>
        <w:tc>
          <w:tcPr>
            <w:tcW w:w="7100" w:type="dxa"/>
            <w:vAlign w:val="bottom"/>
            <w:tcBorders>
              <w:bottom w:val="single" w:sz="8" w:color="auto"/>
            </w:tcBorders>
          </w:tcPr>
          <w:p>
            <w:pPr>
              <w:spacing w:after="0"/>
              <w:rPr>
                <w:sz w:val="4"/>
                <w:szCs w:val="4"/>
                <w:color w:val="auto"/>
              </w:rPr>
            </w:pPr>
          </w:p>
        </w:tc>
      </w:tr>
      <w:tr>
        <w:trPr>
          <w:trHeight w:val="245"/>
        </w:trPr>
        <w:tc>
          <w:tcPr>
            <w:tcW w:w="2040" w:type="dxa"/>
            <w:vAlign w:val="bottom"/>
          </w:tcPr>
          <w:p>
            <w:pPr>
              <w:ind w:left="20"/>
              <w:spacing w:after="0"/>
              <w:rPr>
                <w:sz w:val="20"/>
                <w:szCs w:val="20"/>
                <w:color w:val="auto"/>
              </w:rPr>
            </w:pPr>
            <w:r>
              <w:rPr>
                <w:rFonts w:ascii="Arial" w:cs="Arial" w:eastAsia="Arial" w:hAnsi="Arial"/>
                <w:sz w:val="18"/>
                <w:szCs w:val="18"/>
                <w:b w:val="1"/>
                <w:bCs w:val="1"/>
                <w:color w:val="3465B0"/>
              </w:rPr>
              <w:t>Board Refreshment</w:t>
            </w:r>
          </w:p>
        </w:tc>
        <w:tc>
          <w:tcPr>
            <w:tcW w:w="7100" w:type="dxa"/>
            <w:vAlign w:val="bottom"/>
          </w:tcPr>
          <w:p>
            <w:pPr>
              <w:ind w:left="360"/>
              <w:spacing w:after="0"/>
              <w:rPr>
                <w:sz w:val="20"/>
                <w:szCs w:val="20"/>
                <w:color w:val="auto"/>
              </w:rPr>
            </w:pPr>
            <w:r>
              <w:rPr>
                <w:rFonts w:ascii="Arial" w:cs="Arial" w:eastAsia="Arial" w:hAnsi="Arial"/>
                <w:sz w:val="18"/>
                <w:szCs w:val="18"/>
                <w:color w:val="auto"/>
              </w:rPr>
              <w:t>In the last year, we added two new independent directors, while another longer-</w:t>
            </w:r>
          </w:p>
        </w:tc>
      </w:tr>
      <w:tr>
        <w:trPr>
          <w:trHeight w:val="239"/>
        </w:trPr>
        <w:tc>
          <w:tcPr>
            <w:tcW w:w="204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tenured director transitioned off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31750</wp:posOffset>
            </wp:positionV>
            <wp:extent cx="58032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92" w:lineRule="exact"/>
        <w:rPr>
          <w:sz w:val="20"/>
          <w:szCs w:val="20"/>
          <w:color w:val="auto"/>
        </w:rPr>
      </w:pPr>
    </w:p>
    <w:p>
      <w:pPr>
        <w:ind w:left="940"/>
        <w:spacing w:after="0"/>
        <w:tabs>
          <w:tab w:leader="none" w:pos="3300" w:val="left"/>
        </w:tabs>
        <w:rPr>
          <w:sz w:val="20"/>
          <w:szCs w:val="20"/>
          <w:color w:val="auto"/>
        </w:rPr>
      </w:pPr>
      <w:r>
        <w:rPr>
          <w:rFonts w:ascii="Arial" w:cs="Arial" w:eastAsia="Arial" w:hAnsi="Arial"/>
          <w:sz w:val="18"/>
          <w:szCs w:val="18"/>
          <w:b w:val="1"/>
          <w:bCs w:val="1"/>
          <w:color w:val="3465B0"/>
        </w:rPr>
        <w:t>Committee Composition</w:t>
      </w:r>
      <w:r>
        <w:rPr>
          <w:sz w:val="20"/>
          <w:szCs w:val="20"/>
          <w:color w:val="auto"/>
        </w:rPr>
        <w:tab/>
      </w:r>
      <w:r>
        <w:rPr>
          <w:rFonts w:ascii="Arial" w:cs="Arial" w:eastAsia="Arial" w:hAnsi="Arial"/>
          <w:sz w:val="17"/>
          <w:szCs w:val="17"/>
          <w:color w:val="auto"/>
        </w:rPr>
        <w:t>We refreshed our committee composition and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34925</wp:posOffset>
            </wp:positionV>
            <wp:extent cx="5803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61" w:lineRule="exact"/>
        <w:rPr>
          <w:sz w:val="20"/>
          <w:szCs w:val="20"/>
          <w:color w:val="auto"/>
        </w:rPr>
      </w:pPr>
    </w:p>
    <w:tbl>
      <w:tblPr>
        <w:tblLayout w:type="fixed"/>
        <w:tblInd w:w="930" w:type="dxa"/>
        <w:tblCellMar>
          <w:top w:w="0" w:type="dxa"/>
          <w:left w:w="0" w:type="dxa"/>
          <w:bottom w:w="0" w:type="dxa"/>
          <w:right w:w="0" w:type="dxa"/>
        </w:tblCellMar>
      </w:tblPr>
      <w:tr>
        <w:trPr>
          <w:trHeight w:val="327"/>
        </w:trPr>
        <w:tc>
          <w:tcPr>
            <w:tcW w:w="80" w:type="dxa"/>
            <w:vAlign w:val="bottom"/>
            <w:tcBorders>
              <w:left w:val="single" w:sz="8" w:color="3465B0"/>
            </w:tcBorders>
            <w:shd w:val="clear" w:color="auto" w:fill="3465B0"/>
          </w:tcPr>
          <w:p>
            <w:pPr>
              <w:spacing w:after="0"/>
              <w:rPr>
                <w:sz w:val="24"/>
                <w:szCs w:val="24"/>
                <w:color w:val="auto"/>
              </w:rPr>
            </w:pPr>
          </w:p>
        </w:tc>
        <w:tc>
          <w:tcPr>
            <w:tcW w:w="4520" w:type="dxa"/>
            <w:vAlign w:val="bottom"/>
            <w:tcBorders>
              <w:right w:val="single" w:sz="8" w:color="3465B0"/>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Corporate Governance and Board Practices</w:t>
            </w:r>
          </w:p>
        </w:tc>
        <w:tc>
          <w:tcPr>
            <w:tcW w:w="4560" w:type="dxa"/>
            <w:vAlign w:val="bottom"/>
            <w:tcBorders>
              <w:right w:val="single" w:sz="8" w:color="3465B0"/>
            </w:tcBorders>
            <w:shd w:val="clear" w:color="auto" w:fill="3465B0"/>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 w:type="dxa"/>
            <w:vAlign w:val="bottom"/>
            <w:tcBorders>
              <w:left w:val="single" w:sz="8" w:color="3465B0"/>
            </w:tcBorders>
          </w:tcPr>
          <w:p>
            <w:pPr>
              <w:spacing w:after="0"/>
              <w:rPr>
                <w:sz w:val="23"/>
                <w:szCs w:val="23"/>
                <w:color w:val="auto"/>
              </w:rPr>
            </w:pPr>
          </w:p>
        </w:tc>
        <w:tc>
          <w:tcPr>
            <w:tcW w:w="452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All directors are elected annually</w:t>
            </w:r>
          </w:p>
        </w:tc>
        <w:tc>
          <w:tcPr>
            <w:tcW w:w="4560" w:type="dxa"/>
            <w:vAlign w:val="bottom"/>
            <w:tcBorders>
              <w:right w:val="single" w:sz="8" w:color="3465B0"/>
            </w:tcBorders>
          </w:tcPr>
          <w:p>
            <w:pPr>
              <w:ind w:left="180"/>
              <w:spacing w:after="0"/>
              <w:rPr>
                <w:sz w:val="20"/>
                <w:szCs w:val="20"/>
                <w:color w:val="auto"/>
              </w:rPr>
            </w:pPr>
            <w:r>
              <w:rPr>
                <w:rFonts w:ascii="Arial" w:cs="Arial" w:eastAsia="Arial" w:hAnsi="Arial"/>
                <w:sz w:val="18"/>
                <w:szCs w:val="18"/>
                <w:color w:val="auto"/>
              </w:rPr>
              <w:t>    Regular review of committee charters and</w:t>
            </w:r>
          </w:p>
        </w:tc>
        <w:tc>
          <w:tcPr>
            <w:tcW w:w="0" w:type="dxa"/>
            <w:vAlign w:val="bottom"/>
          </w:tcPr>
          <w:p>
            <w:pPr>
              <w:spacing w:after="0"/>
              <w:rPr>
                <w:sz w:val="1"/>
                <w:szCs w:val="1"/>
                <w:color w:val="auto"/>
              </w:rPr>
            </w:pPr>
          </w:p>
        </w:tc>
      </w:tr>
      <w:tr>
        <w:trPr>
          <w:trHeight w:val="235"/>
        </w:trPr>
        <w:tc>
          <w:tcPr>
            <w:tcW w:w="80" w:type="dxa"/>
            <w:vAlign w:val="bottom"/>
            <w:tcBorders>
              <w:left w:val="single" w:sz="8" w:color="3465B0"/>
            </w:tcBorders>
          </w:tcPr>
          <w:p>
            <w:pPr>
              <w:spacing w:after="0"/>
              <w:rPr>
                <w:sz w:val="20"/>
                <w:szCs w:val="20"/>
                <w:color w:val="auto"/>
              </w:rPr>
            </w:pPr>
          </w:p>
        </w:tc>
        <w:tc>
          <w:tcPr>
            <w:tcW w:w="452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Majority voting in uncontested director elections</w:t>
            </w:r>
          </w:p>
        </w:tc>
        <w:tc>
          <w:tcPr>
            <w:tcW w:w="4560" w:type="dxa"/>
            <w:vAlign w:val="bottom"/>
            <w:tcBorders>
              <w:right w:val="single" w:sz="8" w:color="3465B0"/>
            </w:tcBorders>
          </w:tcPr>
          <w:p>
            <w:pPr>
              <w:ind w:left="360"/>
              <w:spacing w:after="0"/>
              <w:rPr>
                <w:sz w:val="20"/>
                <w:szCs w:val="20"/>
                <w:color w:val="auto"/>
              </w:rPr>
            </w:pPr>
            <w:r>
              <w:rPr>
                <w:rFonts w:ascii="Arial" w:cs="Arial" w:eastAsia="Arial" w:hAnsi="Arial"/>
                <w:sz w:val="18"/>
                <w:szCs w:val="18"/>
                <w:color w:val="auto"/>
              </w:rPr>
              <w:t>Corporate Governance Guidelines incorporating</w:t>
            </w:r>
          </w:p>
        </w:tc>
        <w:tc>
          <w:tcPr>
            <w:tcW w:w="0" w:type="dxa"/>
            <w:vAlign w:val="bottom"/>
          </w:tcPr>
          <w:p>
            <w:pPr>
              <w:spacing w:after="0"/>
              <w:rPr>
                <w:sz w:val="1"/>
                <w:szCs w:val="1"/>
                <w:color w:val="auto"/>
              </w:rPr>
            </w:pPr>
          </w:p>
        </w:tc>
      </w:tr>
      <w:tr>
        <w:trPr>
          <w:trHeight w:val="224"/>
        </w:trPr>
        <w:tc>
          <w:tcPr>
            <w:tcW w:w="80" w:type="dxa"/>
            <w:vAlign w:val="bottom"/>
            <w:tcBorders>
              <w:left w:val="single" w:sz="8" w:color="3465B0"/>
            </w:tcBorders>
          </w:tcPr>
          <w:p>
            <w:pPr>
              <w:spacing w:after="0"/>
              <w:rPr>
                <w:sz w:val="19"/>
                <w:szCs w:val="19"/>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Recently updated bylaws to enhance corporate</w:t>
            </w:r>
          </w:p>
        </w:tc>
        <w:tc>
          <w:tcPr>
            <w:tcW w:w="4560" w:type="dxa"/>
            <w:vAlign w:val="bottom"/>
            <w:tcBorders>
              <w:right w:val="single" w:sz="8" w:color="3465B0"/>
            </w:tcBorders>
          </w:tcPr>
          <w:p>
            <w:pPr>
              <w:ind w:left="360"/>
              <w:spacing w:after="0"/>
              <w:rPr>
                <w:sz w:val="20"/>
                <w:szCs w:val="20"/>
                <w:color w:val="auto"/>
              </w:rPr>
            </w:pPr>
            <w:r>
              <w:rPr>
                <w:rFonts w:ascii="Arial" w:cs="Arial" w:eastAsia="Arial" w:hAnsi="Arial"/>
                <w:sz w:val="18"/>
                <w:szCs w:val="18"/>
                <w:color w:val="auto"/>
              </w:rPr>
              <w:t>evolving best practices, as appropriate</w:t>
            </w:r>
          </w:p>
        </w:tc>
        <w:tc>
          <w:tcPr>
            <w:tcW w:w="0" w:type="dxa"/>
            <w:vAlign w:val="bottom"/>
          </w:tcPr>
          <w:p>
            <w:pPr>
              <w:spacing w:after="0"/>
              <w:rPr>
                <w:sz w:val="1"/>
                <w:szCs w:val="1"/>
                <w:color w:val="auto"/>
              </w:rPr>
            </w:pPr>
          </w:p>
        </w:tc>
      </w:tr>
      <w:tr>
        <w:trPr>
          <w:trHeight w:val="54"/>
        </w:trPr>
        <w:tc>
          <w:tcPr>
            <w:tcW w:w="80" w:type="dxa"/>
            <w:vAlign w:val="bottom"/>
            <w:tcBorders>
              <w:left w:val="single" w:sz="8" w:color="3465B0"/>
            </w:tcBorders>
          </w:tcPr>
          <w:p>
            <w:pPr>
              <w:spacing w:after="0"/>
              <w:rPr>
                <w:sz w:val="4"/>
                <w:szCs w:val="4"/>
                <w:color w:val="auto"/>
              </w:rPr>
            </w:pPr>
          </w:p>
        </w:tc>
        <w:tc>
          <w:tcPr>
            <w:tcW w:w="4520" w:type="dxa"/>
            <w:vAlign w:val="bottom"/>
            <w:tcBorders>
              <w:right w:val="single" w:sz="8" w:color="93A1D2"/>
            </w:tcBorders>
            <w:vMerge w:val="continue"/>
          </w:tcPr>
          <w:p>
            <w:pPr>
              <w:spacing w:after="0"/>
              <w:rPr>
                <w:sz w:val="4"/>
                <w:szCs w:val="4"/>
                <w:color w:val="auto"/>
              </w:rPr>
            </w:pPr>
          </w:p>
        </w:tc>
        <w:tc>
          <w:tcPr>
            <w:tcW w:w="4560" w:type="dxa"/>
            <w:vAlign w:val="bottom"/>
            <w:tcBorders>
              <w:right w:val="single" w:sz="8" w:color="3465B0"/>
            </w:tcBorders>
            <w:vMerge w:val="restart"/>
          </w:tcPr>
          <w:p>
            <w:pPr>
              <w:ind w:left="180"/>
              <w:spacing w:after="0"/>
              <w:rPr>
                <w:sz w:val="20"/>
                <w:szCs w:val="20"/>
                <w:color w:val="auto"/>
              </w:rPr>
            </w:pPr>
            <w:r>
              <w:rPr>
                <w:rFonts w:ascii="Arial" w:cs="Arial" w:eastAsia="Arial" w:hAnsi="Arial"/>
                <w:sz w:val="18"/>
                <w:szCs w:val="18"/>
                <w:color w:val="auto"/>
                <w:w w:val="99"/>
              </w:rPr>
              <w:t>    Strong, proactive stockholder engagement program</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4520" w:type="dxa"/>
            <w:vAlign w:val="bottom"/>
            <w:tcBorders>
              <w:right w:val="single" w:sz="8" w:color="93A1D2"/>
            </w:tcBorders>
          </w:tcPr>
          <w:p>
            <w:pPr>
              <w:ind w:left="340"/>
              <w:spacing w:after="0" w:line="202" w:lineRule="exact"/>
              <w:rPr>
                <w:sz w:val="20"/>
                <w:szCs w:val="20"/>
                <w:color w:val="auto"/>
              </w:rPr>
            </w:pPr>
            <w:r>
              <w:rPr>
                <w:rFonts w:ascii="Arial" w:cs="Arial" w:eastAsia="Arial" w:hAnsi="Arial"/>
                <w:sz w:val="18"/>
                <w:szCs w:val="18"/>
                <w:color w:val="auto"/>
              </w:rPr>
              <w:t>governance practices</w:t>
            </w:r>
          </w:p>
        </w:tc>
        <w:tc>
          <w:tcPr>
            <w:tcW w:w="4560" w:type="dxa"/>
            <w:vAlign w:val="bottom"/>
            <w:tcBorders>
              <w:right w:val="single" w:sz="8" w:color="3465B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452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Lead Independent Director of the Board</w:t>
            </w:r>
          </w:p>
        </w:tc>
        <w:tc>
          <w:tcPr>
            <w:tcW w:w="4560" w:type="dxa"/>
            <w:vAlign w:val="bottom"/>
            <w:tcBorders>
              <w:right w:val="single" w:sz="8" w:color="3465B0"/>
            </w:tcBorders>
          </w:tcPr>
          <w:p>
            <w:pPr>
              <w:ind w:left="180"/>
              <w:spacing w:after="0"/>
              <w:rPr>
                <w:sz w:val="20"/>
                <w:szCs w:val="20"/>
                <w:color w:val="auto"/>
              </w:rPr>
            </w:pPr>
            <w:r>
              <w:rPr>
                <w:rFonts w:ascii="Arial" w:cs="Arial" w:eastAsia="Arial" w:hAnsi="Arial"/>
                <w:sz w:val="18"/>
                <w:szCs w:val="18"/>
                <w:color w:val="auto"/>
              </w:rPr>
              <w:t>    Annual Board and committee self-assessments</w:t>
            </w:r>
          </w:p>
        </w:tc>
        <w:tc>
          <w:tcPr>
            <w:tcW w:w="0" w:type="dxa"/>
            <w:vAlign w:val="bottom"/>
          </w:tcPr>
          <w:p>
            <w:pPr>
              <w:spacing w:after="0"/>
              <w:rPr>
                <w:sz w:val="1"/>
                <w:szCs w:val="1"/>
                <w:color w:val="auto"/>
              </w:rPr>
            </w:pPr>
          </w:p>
        </w:tc>
      </w:tr>
      <w:tr>
        <w:trPr>
          <w:trHeight w:val="235"/>
        </w:trPr>
        <w:tc>
          <w:tcPr>
            <w:tcW w:w="80" w:type="dxa"/>
            <w:vAlign w:val="bottom"/>
            <w:tcBorders>
              <w:left w:val="single" w:sz="8" w:color="3465B0"/>
            </w:tcBorders>
          </w:tcPr>
          <w:p>
            <w:pPr>
              <w:spacing w:after="0"/>
              <w:rPr>
                <w:sz w:val="20"/>
                <w:szCs w:val="20"/>
                <w:color w:val="auto"/>
              </w:rPr>
            </w:pPr>
          </w:p>
        </w:tc>
        <w:tc>
          <w:tcPr>
            <w:tcW w:w="452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Nine of eleven director nominees are independent</w:t>
            </w:r>
          </w:p>
        </w:tc>
        <w:tc>
          <w:tcPr>
            <w:tcW w:w="4560" w:type="dxa"/>
            <w:vAlign w:val="bottom"/>
            <w:tcBorders>
              <w:right w:val="single" w:sz="8" w:color="3465B0"/>
            </w:tcBorders>
          </w:tcPr>
          <w:p>
            <w:pPr>
              <w:ind w:left="180"/>
              <w:spacing w:after="0"/>
              <w:rPr>
                <w:sz w:val="20"/>
                <w:szCs w:val="20"/>
                <w:color w:val="auto"/>
              </w:rPr>
            </w:pPr>
            <w:r>
              <w:rPr>
                <w:rFonts w:ascii="Arial" w:cs="Arial" w:eastAsia="Arial" w:hAnsi="Arial"/>
                <w:sz w:val="18"/>
                <w:szCs w:val="18"/>
                <w:color w:val="auto"/>
              </w:rPr>
              <w:t>    Regular Board executive sessions without</w:t>
            </w:r>
          </w:p>
        </w:tc>
        <w:tc>
          <w:tcPr>
            <w:tcW w:w="0" w:type="dxa"/>
            <w:vAlign w:val="bottom"/>
          </w:tcPr>
          <w:p>
            <w:pPr>
              <w:spacing w:after="0"/>
              <w:rPr>
                <w:sz w:val="1"/>
                <w:szCs w:val="1"/>
                <w:color w:val="auto"/>
              </w:rPr>
            </w:pPr>
          </w:p>
        </w:tc>
      </w:tr>
      <w:tr>
        <w:trPr>
          <w:trHeight w:val="224"/>
        </w:trPr>
        <w:tc>
          <w:tcPr>
            <w:tcW w:w="80" w:type="dxa"/>
            <w:vAlign w:val="bottom"/>
            <w:tcBorders>
              <w:left w:val="single" w:sz="8" w:color="3465B0"/>
            </w:tcBorders>
          </w:tcPr>
          <w:p>
            <w:pPr>
              <w:spacing w:after="0"/>
              <w:rPr>
                <w:sz w:val="19"/>
                <w:szCs w:val="19"/>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All committee members are independent</w:t>
            </w:r>
          </w:p>
        </w:tc>
        <w:tc>
          <w:tcPr>
            <w:tcW w:w="4560" w:type="dxa"/>
            <w:vAlign w:val="bottom"/>
            <w:tcBorders>
              <w:right w:val="single" w:sz="8" w:color="3465B0"/>
            </w:tcBorders>
          </w:tcPr>
          <w:p>
            <w:pPr>
              <w:ind w:left="360"/>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90"/>
        </w:trPr>
        <w:tc>
          <w:tcPr>
            <w:tcW w:w="80" w:type="dxa"/>
            <w:vAlign w:val="bottom"/>
            <w:tcBorders>
              <w:left w:val="single" w:sz="8" w:color="3465B0"/>
            </w:tcBorders>
          </w:tcPr>
          <w:p>
            <w:pPr>
              <w:spacing w:after="0"/>
              <w:rPr>
                <w:sz w:val="7"/>
                <w:szCs w:val="7"/>
                <w:color w:val="auto"/>
              </w:rPr>
            </w:pPr>
          </w:p>
        </w:tc>
        <w:tc>
          <w:tcPr>
            <w:tcW w:w="4520" w:type="dxa"/>
            <w:vAlign w:val="bottom"/>
            <w:tcBorders>
              <w:right w:val="single" w:sz="8" w:color="93A1D2"/>
            </w:tcBorders>
            <w:vMerge w:val="continue"/>
          </w:tcPr>
          <w:p>
            <w:pPr>
              <w:spacing w:after="0"/>
              <w:rPr>
                <w:sz w:val="7"/>
                <w:szCs w:val="7"/>
                <w:color w:val="auto"/>
              </w:rPr>
            </w:pPr>
          </w:p>
        </w:tc>
        <w:tc>
          <w:tcPr>
            <w:tcW w:w="4560" w:type="dxa"/>
            <w:vAlign w:val="bottom"/>
            <w:tcBorders>
              <w:right w:val="single" w:sz="8" w:color="3465B0"/>
            </w:tcBorders>
            <w:vMerge w:val="restart"/>
          </w:tcPr>
          <w:p>
            <w:pPr>
              <w:ind w:left="180"/>
              <w:spacing w:after="0" w:line="202" w:lineRule="exact"/>
              <w:rPr>
                <w:sz w:val="20"/>
                <w:szCs w:val="20"/>
                <w:color w:val="auto"/>
              </w:rPr>
            </w:pPr>
            <w:r>
              <w:rPr>
                <w:rFonts w:ascii="Arial" w:cs="Arial" w:eastAsia="Arial" w:hAnsi="Arial"/>
                <w:sz w:val="18"/>
                <w:szCs w:val="18"/>
                <w:color w:val="auto"/>
              </w:rPr>
              <w:t>    Formal Board and committee oversight of our</w:t>
            </w:r>
          </w:p>
        </w:tc>
        <w:tc>
          <w:tcPr>
            <w:tcW w:w="0" w:type="dxa"/>
            <w:vAlign w:val="bottom"/>
          </w:tcPr>
          <w:p>
            <w:pPr>
              <w:spacing w:after="0"/>
              <w:rPr>
                <w:sz w:val="1"/>
                <w:szCs w:val="1"/>
                <w:color w:val="auto"/>
              </w:rPr>
            </w:pPr>
          </w:p>
        </w:tc>
      </w:tr>
      <w:tr>
        <w:trPr>
          <w:trHeight w:val="112"/>
        </w:trPr>
        <w:tc>
          <w:tcPr>
            <w:tcW w:w="80" w:type="dxa"/>
            <w:vAlign w:val="bottom"/>
            <w:tcBorders>
              <w:left w:val="single" w:sz="8" w:color="3465B0"/>
            </w:tcBorders>
          </w:tcPr>
          <w:p>
            <w:pPr>
              <w:spacing w:after="0"/>
              <w:rPr>
                <w:sz w:val="9"/>
                <w:szCs w:val="9"/>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Five new independent directors over the last five</w:t>
            </w:r>
          </w:p>
        </w:tc>
        <w:tc>
          <w:tcPr>
            <w:tcW w:w="4560" w:type="dxa"/>
            <w:vAlign w:val="bottom"/>
            <w:tcBorders>
              <w:right w:val="single" w:sz="8" w:color="3465B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tcBorders>
              <w:left w:val="single" w:sz="8" w:color="3465B0"/>
            </w:tcBorders>
          </w:tcPr>
          <w:p>
            <w:pPr>
              <w:spacing w:after="0"/>
              <w:rPr>
                <w:sz w:val="9"/>
                <w:szCs w:val="9"/>
                <w:color w:val="auto"/>
              </w:rPr>
            </w:pPr>
          </w:p>
        </w:tc>
        <w:tc>
          <w:tcPr>
            <w:tcW w:w="4520" w:type="dxa"/>
            <w:vAlign w:val="bottom"/>
            <w:tcBorders>
              <w:right w:val="single" w:sz="8" w:color="93A1D2"/>
            </w:tcBorders>
            <w:vMerge w:val="continue"/>
          </w:tcPr>
          <w:p>
            <w:pPr>
              <w:spacing w:after="0"/>
              <w:rPr>
                <w:sz w:val="9"/>
                <w:szCs w:val="9"/>
                <w:color w:val="auto"/>
              </w:rPr>
            </w:pPr>
          </w:p>
        </w:tc>
        <w:tc>
          <w:tcPr>
            <w:tcW w:w="4560" w:type="dxa"/>
            <w:vAlign w:val="bottom"/>
            <w:tcBorders>
              <w:right w:val="single" w:sz="8" w:color="3465B0"/>
            </w:tcBorders>
            <w:vMerge w:val="restart"/>
          </w:tcPr>
          <w:p>
            <w:pPr>
              <w:ind w:left="360"/>
              <w:spacing w:after="0" w:line="202" w:lineRule="exact"/>
              <w:rPr>
                <w:sz w:val="20"/>
                <w:szCs w:val="20"/>
                <w:color w:val="auto"/>
              </w:rPr>
            </w:pPr>
            <w:r>
              <w:rPr>
                <w:rFonts w:ascii="Arial" w:cs="Arial" w:eastAsia="Arial" w:hAnsi="Arial"/>
                <w:sz w:val="18"/>
                <w:szCs w:val="18"/>
                <w:color w:val="auto"/>
              </w:rPr>
              <w:t>business strategy, enterprise risk management,</w:t>
            </w:r>
          </w:p>
        </w:tc>
        <w:tc>
          <w:tcPr>
            <w:tcW w:w="0" w:type="dxa"/>
            <w:vAlign w:val="bottom"/>
          </w:tcPr>
          <w:p>
            <w:pPr>
              <w:spacing w:after="0"/>
              <w:rPr>
                <w:sz w:val="1"/>
                <w:szCs w:val="1"/>
                <w:color w:val="auto"/>
              </w:rPr>
            </w:pPr>
          </w:p>
        </w:tc>
      </w:tr>
      <w:tr>
        <w:trPr>
          <w:trHeight w:val="95"/>
        </w:trPr>
        <w:tc>
          <w:tcPr>
            <w:tcW w:w="80" w:type="dxa"/>
            <w:vAlign w:val="bottom"/>
            <w:tcBorders>
              <w:left w:val="single" w:sz="8" w:color="3465B0"/>
            </w:tcBorders>
          </w:tcPr>
          <w:p>
            <w:pPr>
              <w:spacing w:after="0"/>
              <w:rPr>
                <w:sz w:val="8"/>
                <w:szCs w:val="8"/>
                <w:color w:val="auto"/>
              </w:rPr>
            </w:pPr>
          </w:p>
        </w:tc>
        <w:tc>
          <w:tcPr>
            <w:tcW w:w="4520" w:type="dxa"/>
            <w:vAlign w:val="bottom"/>
            <w:tcBorders>
              <w:right w:val="single" w:sz="8" w:color="93A1D2"/>
            </w:tcBorders>
            <w:vMerge w:val="restart"/>
          </w:tcPr>
          <w:p>
            <w:pPr>
              <w:ind w:left="340"/>
              <w:spacing w:after="0"/>
              <w:rPr>
                <w:sz w:val="20"/>
                <w:szCs w:val="20"/>
                <w:color w:val="auto"/>
              </w:rPr>
            </w:pPr>
            <w:r>
              <w:rPr>
                <w:rFonts w:ascii="Arial" w:cs="Arial" w:eastAsia="Arial" w:hAnsi="Arial"/>
                <w:sz w:val="18"/>
                <w:szCs w:val="18"/>
                <w:color w:val="auto"/>
              </w:rPr>
              <w:t>years</w:t>
            </w:r>
          </w:p>
        </w:tc>
        <w:tc>
          <w:tcPr>
            <w:tcW w:w="4560" w:type="dxa"/>
            <w:vAlign w:val="bottom"/>
            <w:tcBorders>
              <w:right w:val="single" w:sz="8" w:color="3465B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3465B0"/>
            </w:tcBorders>
          </w:tcPr>
          <w:p>
            <w:pPr>
              <w:spacing w:after="0"/>
              <w:rPr>
                <w:sz w:val="12"/>
                <w:szCs w:val="12"/>
                <w:color w:val="auto"/>
              </w:rPr>
            </w:pPr>
          </w:p>
        </w:tc>
        <w:tc>
          <w:tcPr>
            <w:tcW w:w="4520" w:type="dxa"/>
            <w:vAlign w:val="bottom"/>
            <w:tcBorders>
              <w:right w:val="single" w:sz="8" w:color="93A1D2"/>
            </w:tcBorders>
            <w:vMerge w:val="continue"/>
          </w:tcPr>
          <w:p>
            <w:pPr>
              <w:spacing w:after="0"/>
              <w:rPr>
                <w:sz w:val="12"/>
                <w:szCs w:val="12"/>
                <w:color w:val="auto"/>
              </w:rPr>
            </w:pPr>
          </w:p>
        </w:tc>
        <w:tc>
          <w:tcPr>
            <w:tcW w:w="4560" w:type="dxa"/>
            <w:vAlign w:val="bottom"/>
            <w:tcBorders>
              <w:right w:val="single" w:sz="8" w:color="3465B0"/>
            </w:tcBorders>
            <w:vMerge w:val="restart"/>
          </w:tcPr>
          <w:p>
            <w:pPr>
              <w:ind w:left="360"/>
              <w:spacing w:after="0" w:line="202" w:lineRule="exact"/>
              <w:rPr>
                <w:sz w:val="20"/>
                <w:szCs w:val="20"/>
                <w:color w:val="auto"/>
              </w:rPr>
            </w:pPr>
            <w:r>
              <w:rPr>
                <w:rFonts w:ascii="Arial" w:cs="Arial" w:eastAsia="Arial" w:hAnsi="Arial"/>
                <w:sz w:val="18"/>
                <w:szCs w:val="18"/>
                <w:color w:val="auto"/>
              </w:rPr>
              <w:t>cybersecurity, compensation strategy, and</w:t>
            </w:r>
          </w:p>
        </w:tc>
        <w:tc>
          <w:tcPr>
            <w:tcW w:w="0" w:type="dxa"/>
            <w:vAlign w:val="bottom"/>
          </w:tcPr>
          <w:p>
            <w:pPr>
              <w:spacing w:after="0"/>
              <w:rPr>
                <w:sz w:val="1"/>
                <w:szCs w:val="1"/>
                <w:color w:val="auto"/>
              </w:rPr>
            </w:pPr>
          </w:p>
        </w:tc>
      </w:tr>
      <w:tr>
        <w:trPr>
          <w:trHeight w:val="58"/>
        </w:trPr>
        <w:tc>
          <w:tcPr>
            <w:tcW w:w="80" w:type="dxa"/>
            <w:vAlign w:val="bottom"/>
            <w:tcBorders>
              <w:left w:val="single" w:sz="8" w:color="3465B0"/>
            </w:tcBorders>
          </w:tcPr>
          <w:p>
            <w:pPr>
              <w:spacing w:after="0"/>
              <w:rPr>
                <w:sz w:val="5"/>
                <w:szCs w:val="5"/>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Nine experienced current and former CEOs/CFOs</w:t>
            </w:r>
          </w:p>
        </w:tc>
        <w:tc>
          <w:tcPr>
            <w:tcW w:w="4560" w:type="dxa"/>
            <w:vAlign w:val="bottom"/>
            <w:tcBorders>
              <w:right w:val="single" w:sz="8" w:color="3465B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3465B0"/>
            </w:tcBorders>
          </w:tcPr>
          <w:p>
            <w:pPr>
              <w:spacing w:after="0"/>
              <w:rPr>
                <w:sz w:val="18"/>
                <w:szCs w:val="18"/>
                <w:color w:val="auto"/>
              </w:rPr>
            </w:pPr>
          </w:p>
        </w:tc>
        <w:tc>
          <w:tcPr>
            <w:tcW w:w="4520" w:type="dxa"/>
            <w:vAlign w:val="bottom"/>
            <w:tcBorders>
              <w:right w:val="single" w:sz="8" w:color="93A1D2"/>
            </w:tcBorders>
            <w:vMerge w:val="continue"/>
          </w:tcPr>
          <w:p>
            <w:pPr>
              <w:spacing w:after="0"/>
              <w:rPr>
                <w:sz w:val="18"/>
                <w:szCs w:val="18"/>
                <w:color w:val="auto"/>
              </w:rPr>
            </w:pPr>
          </w:p>
        </w:tc>
        <w:tc>
          <w:tcPr>
            <w:tcW w:w="4560" w:type="dxa"/>
            <w:vAlign w:val="bottom"/>
            <w:tcBorders>
              <w:right w:val="single" w:sz="8" w:color="3465B0"/>
            </w:tcBorders>
          </w:tcPr>
          <w:p>
            <w:pPr>
              <w:ind w:left="360"/>
              <w:spacing w:after="0"/>
              <w:rPr>
                <w:sz w:val="20"/>
                <w:szCs w:val="20"/>
                <w:color w:val="auto"/>
              </w:rPr>
            </w:pPr>
            <w:r>
              <w:rPr>
                <w:rFonts w:ascii="Arial" w:cs="Arial" w:eastAsia="Arial" w:hAnsi="Arial"/>
                <w:sz w:val="18"/>
                <w:szCs w:val="18"/>
                <w:color w:val="auto"/>
              </w:rPr>
              <w:t>sustainability program and strategy</w:t>
            </w:r>
          </w:p>
        </w:tc>
        <w:tc>
          <w:tcPr>
            <w:tcW w:w="0" w:type="dxa"/>
            <w:vAlign w:val="bottom"/>
          </w:tcPr>
          <w:p>
            <w:pPr>
              <w:spacing w:after="0"/>
              <w:rPr>
                <w:sz w:val="1"/>
                <w:szCs w:val="1"/>
                <w:color w:val="auto"/>
              </w:rPr>
            </w:pPr>
          </w:p>
        </w:tc>
      </w:tr>
      <w:tr>
        <w:trPr>
          <w:trHeight w:val="221"/>
        </w:trPr>
        <w:tc>
          <w:tcPr>
            <w:tcW w:w="80" w:type="dxa"/>
            <w:vAlign w:val="bottom"/>
            <w:tcBorders>
              <w:left w:val="single" w:sz="8" w:color="3465B0"/>
            </w:tcBorders>
          </w:tcPr>
          <w:p>
            <w:pPr>
              <w:spacing w:after="0"/>
              <w:rPr>
                <w:sz w:val="19"/>
                <w:szCs w:val="19"/>
                <w:color w:val="auto"/>
              </w:rPr>
            </w:pPr>
          </w:p>
        </w:tc>
        <w:tc>
          <w:tcPr>
            <w:tcW w:w="452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Of our eleven director nominees, five are female</w:t>
            </w:r>
          </w:p>
        </w:tc>
        <w:tc>
          <w:tcPr>
            <w:tcW w:w="4560" w:type="dxa"/>
            <w:vAlign w:val="bottom"/>
            <w:tcBorders>
              <w:right w:val="single" w:sz="8" w:color="3465B0"/>
            </w:tcBorders>
          </w:tcPr>
          <w:p>
            <w:pPr>
              <w:ind w:left="180"/>
              <w:spacing w:after="0"/>
              <w:rPr>
                <w:sz w:val="20"/>
                <w:szCs w:val="20"/>
                <w:color w:val="auto"/>
              </w:rPr>
            </w:pPr>
            <w:r>
              <w:rPr>
                <w:rFonts w:ascii="Arial" w:cs="Arial" w:eastAsia="Arial" w:hAnsi="Arial"/>
                <w:sz w:val="18"/>
                <w:szCs w:val="18"/>
                <w:color w:val="auto"/>
              </w:rPr>
              <w:t>    Robust director and executive stock ownership</w:t>
            </w:r>
          </w:p>
        </w:tc>
        <w:tc>
          <w:tcPr>
            <w:tcW w:w="0" w:type="dxa"/>
            <w:vAlign w:val="bottom"/>
          </w:tcPr>
          <w:p>
            <w:pPr>
              <w:spacing w:after="0"/>
              <w:rPr>
                <w:sz w:val="1"/>
                <w:szCs w:val="1"/>
                <w:color w:val="auto"/>
              </w:rPr>
            </w:pPr>
          </w:p>
        </w:tc>
      </w:tr>
      <w:tr>
        <w:trPr>
          <w:trHeight w:val="238"/>
        </w:trPr>
        <w:tc>
          <w:tcPr>
            <w:tcW w:w="80" w:type="dxa"/>
            <w:vAlign w:val="bottom"/>
            <w:tcBorders>
              <w:left w:val="single" w:sz="8" w:color="3465B0"/>
            </w:tcBorders>
          </w:tcPr>
          <w:p>
            <w:pPr>
              <w:spacing w:after="0"/>
              <w:rPr>
                <w:sz w:val="20"/>
                <w:szCs w:val="20"/>
                <w:color w:val="auto"/>
              </w:rPr>
            </w:pPr>
          </w:p>
        </w:tc>
        <w:tc>
          <w:tcPr>
            <w:tcW w:w="452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and two are racially or ethnically diverse</w:t>
            </w:r>
          </w:p>
        </w:tc>
        <w:tc>
          <w:tcPr>
            <w:tcW w:w="4560" w:type="dxa"/>
            <w:vAlign w:val="bottom"/>
            <w:tcBorders>
              <w:right w:val="single" w:sz="8" w:color="3465B0"/>
            </w:tcBorders>
          </w:tcPr>
          <w:p>
            <w:pPr>
              <w:ind w:left="360"/>
              <w:spacing w:after="0"/>
              <w:rPr>
                <w:sz w:val="20"/>
                <w:szCs w:val="20"/>
                <w:color w:val="auto"/>
              </w:rPr>
            </w:pPr>
            <w:r>
              <w:rPr>
                <w:rFonts w:ascii="Arial" w:cs="Arial" w:eastAsia="Arial" w:hAnsi="Arial"/>
                <w:sz w:val="18"/>
                <w:szCs w:val="18"/>
                <w:color w:val="auto"/>
              </w:rPr>
              <w:t>guidelines</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4520" w:type="dxa"/>
            <w:vAlign w:val="bottom"/>
            <w:tcBorders>
              <w:right w:val="single" w:sz="8" w:color="93A1D2"/>
            </w:tcBorders>
          </w:tcPr>
          <w:p>
            <w:pPr>
              <w:ind w:left="160"/>
              <w:spacing w:after="0" w:line="202" w:lineRule="exact"/>
              <w:rPr>
                <w:sz w:val="20"/>
                <w:szCs w:val="20"/>
                <w:color w:val="auto"/>
              </w:rPr>
            </w:pPr>
            <w:r>
              <w:rPr>
                <w:rFonts w:ascii="Arial" w:cs="Arial" w:eastAsia="Arial" w:hAnsi="Arial"/>
                <w:sz w:val="18"/>
                <w:szCs w:val="18"/>
                <w:color w:val="auto"/>
              </w:rPr>
              <w:t>    No restrictions on directors’ access to</w:t>
            </w:r>
          </w:p>
        </w:tc>
        <w:tc>
          <w:tcPr>
            <w:tcW w:w="4560" w:type="dxa"/>
            <w:vAlign w:val="bottom"/>
            <w:tcBorders>
              <w:right w:val="single" w:sz="8" w:color="3465B0"/>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0" w:type="dxa"/>
            <w:vAlign w:val="bottom"/>
            <w:tcBorders>
              <w:left w:val="single" w:sz="8" w:color="3465B0"/>
            </w:tcBorders>
          </w:tcPr>
          <w:p>
            <w:pPr>
              <w:spacing w:after="0"/>
              <w:rPr>
                <w:sz w:val="23"/>
                <w:szCs w:val="23"/>
                <w:color w:val="auto"/>
              </w:rPr>
            </w:pPr>
          </w:p>
        </w:tc>
        <w:tc>
          <w:tcPr>
            <w:tcW w:w="452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management</w:t>
            </w:r>
          </w:p>
        </w:tc>
        <w:tc>
          <w:tcPr>
            <w:tcW w:w="4560" w:type="dxa"/>
            <w:vAlign w:val="bottom"/>
            <w:tcBorders>
              <w:right w:val="single" w:sz="8" w:color="3465B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4520" w:type="dxa"/>
            <w:vAlign w:val="bottom"/>
            <w:tcBorders>
              <w:right w:val="single" w:sz="8" w:color="3465B0"/>
            </w:tcBorders>
            <w:shd w:val="clear" w:color="auto" w:fill="3465B0"/>
          </w:tcPr>
          <w:p>
            <w:pPr>
              <w:spacing w:after="0" w:line="20" w:lineRule="exact"/>
              <w:rPr>
                <w:sz w:val="1"/>
                <w:szCs w:val="1"/>
                <w:color w:val="auto"/>
              </w:rPr>
            </w:pPr>
          </w:p>
        </w:tc>
        <w:tc>
          <w:tcPr>
            <w:tcW w:w="4560" w:type="dxa"/>
            <w:vAlign w:val="bottom"/>
            <w:tcBorders>
              <w:right w:val="single" w:sz="8" w:color="3465B0"/>
            </w:tcBorders>
            <w:shd w:val="clear" w:color="auto" w:fill="3465B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-2144395</wp:posOffset>
            </wp:positionV>
            <wp:extent cx="76835"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-1981835</wp:posOffset>
            </wp:positionV>
            <wp:extent cx="76835"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-1818640</wp:posOffset>
            </wp:positionV>
            <wp:extent cx="76835"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-1527175</wp:posOffset>
            </wp:positionV>
            <wp:extent cx="76835"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-1364615</wp:posOffset>
            </wp:positionV>
            <wp:extent cx="76835"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-1201420</wp:posOffset>
            </wp:positionV>
            <wp:extent cx="76835"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-1038860</wp:posOffset>
            </wp:positionV>
            <wp:extent cx="76835"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-747395</wp:posOffset>
            </wp:positionV>
            <wp:extent cx="76835"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-584200</wp:posOffset>
            </wp:positionV>
            <wp:extent cx="76835"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-292735</wp:posOffset>
            </wp:positionV>
            <wp:extent cx="76835"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-2144395</wp:posOffset>
            </wp:positionV>
            <wp:extent cx="76835" cy="93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-1724660</wp:posOffset>
            </wp:positionV>
            <wp:extent cx="76835"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-1561465</wp:posOffset>
            </wp:positionV>
            <wp:extent cx="76835"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-1398905</wp:posOffset>
            </wp:positionV>
            <wp:extent cx="76835" cy="93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-1107440</wp:posOffset>
            </wp:positionV>
            <wp:extent cx="76835" cy="93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-558800</wp:posOffset>
            </wp:positionV>
            <wp:extent cx="76835"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spacing w:after="0" w:line="299"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color w:val="auto"/>
        </w:rPr>
        <w:t>We strive to create an executive compensation program that strikes the right balance of pay for performance with an overarching goal to motivate our leaders to contribute to the achievement of our financial goals and focus on long-term value for our stockholders. Our executive compensation program has three main components: (1) base salary; (2) annual cash incentive compensation; and (3) long-term incentive awards. Each component is designed to be consistent with our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55245</wp:posOffset>
            </wp:positionV>
            <wp:extent cx="20574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2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00" w:type="dxa"/>
            <w:vAlign w:val="bottom"/>
          </w:tcPr>
          <w:p>
            <w:pPr>
              <w:jc w:val="right"/>
              <w:ind w:right="859"/>
              <w:spacing w:after="0"/>
              <w:rPr>
                <w:sz w:val="20"/>
                <w:szCs w:val="20"/>
                <w:color w:val="auto"/>
              </w:rPr>
            </w:pPr>
            <w:r>
              <w:rPr>
                <w:rFonts w:ascii="Arial" w:cs="Arial" w:eastAsia="Arial" w:hAnsi="Arial"/>
                <w:sz w:val="16"/>
                <w:szCs w:val="16"/>
                <w:b w:val="1"/>
                <w:bCs w:val="1"/>
                <w:color w:val="auto"/>
              </w:rPr>
              <w:t>5</w:t>
            </w:r>
          </w:p>
        </w:tc>
      </w:tr>
      <w:tr>
        <w:trPr>
          <w:trHeight w:val="244"/>
        </w:trPr>
        <w:tc>
          <w:tcPr>
            <w:tcW w:w="9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compensation and governance practices that support these principles include the following:</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80" w:type="dxa"/>
            <w:vAlign w:val="bottom"/>
            <w:tcBorders>
              <w:top w:val="single" w:sz="8" w:color="3465B0"/>
              <w:left w:val="single" w:sz="8" w:color="3465B0"/>
            </w:tcBorders>
            <w:shd w:val="clear" w:color="auto" w:fill="3465B0"/>
          </w:tcPr>
          <w:p>
            <w:pPr>
              <w:spacing w:after="0"/>
              <w:rPr>
                <w:sz w:val="24"/>
                <w:szCs w:val="24"/>
                <w:color w:val="auto"/>
              </w:rPr>
            </w:pPr>
          </w:p>
        </w:tc>
        <w:tc>
          <w:tcPr>
            <w:tcW w:w="5260" w:type="dxa"/>
            <w:vAlign w:val="bottom"/>
            <w:tcBorders>
              <w:top w:val="single" w:sz="8" w:color="3465B0"/>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What We Do:</w:t>
            </w:r>
          </w:p>
        </w:tc>
        <w:tc>
          <w:tcPr>
            <w:tcW w:w="60" w:type="dxa"/>
            <w:vAlign w:val="bottom"/>
            <w:tcBorders>
              <w:top w:val="single" w:sz="8" w:color="3465B0"/>
            </w:tcBorders>
            <w:shd w:val="clear" w:color="auto" w:fill="3465B0"/>
          </w:tcPr>
          <w:p>
            <w:pPr>
              <w:spacing w:after="0"/>
              <w:rPr>
                <w:sz w:val="24"/>
                <w:szCs w:val="24"/>
                <w:color w:val="auto"/>
              </w:rPr>
            </w:pPr>
          </w:p>
        </w:tc>
        <w:tc>
          <w:tcPr>
            <w:tcW w:w="3760" w:type="dxa"/>
            <w:vAlign w:val="bottom"/>
            <w:tcBorders>
              <w:top w:val="single" w:sz="8" w:color="3465B0"/>
              <w:right w:val="single" w:sz="8" w:color="3465B0"/>
            </w:tcBorders>
            <w:shd w:val="clear" w:color="auto" w:fill="3465B0"/>
          </w:tcPr>
          <w:p>
            <w:pPr>
              <w:ind w:left="20"/>
              <w:spacing w:after="0"/>
              <w:rPr>
                <w:sz w:val="20"/>
                <w:szCs w:val="20"/>
                <w:color w:val="auto"/>
              </w:rPr>
            </w:pPr>
            <w:r>
              <w:rPr>
                <w:rFonts w:ascii="Arial" w:cs="Arial" w:eastAsia="Arial" w:hAnsi="Arial"/>
                <w:sz w:val="18"/>
                <w:szCs w:val="18"/>
                <w:b w:val="1"/>
                <w:bCs w:val="1"/>
                <w:color w:val="FFFFFF"/>
              </w:rPr>
              <w:t>What We Don’t Do:</w:t>
            </w:r>
          </w:p>
        </w:tc>
        <w:tc>
          <w:tcPr>
            <w:tcW w:w="0" w:type="dxa"/>
            <w:vAlign w:val="bottom"/>
          </w:tcPr>
          <w:p>
            <w:pPr>
              <w:spacing w:after="0"/>
              <w:rPr>
                <w:sz w:val="1"/>
                <w:szCs w:val="1"/>
                <w:color w:val="auto"/>
              </w:rPr>
            </w:pPr>
          </w:p>
        </w:tc>
      </w:tr>
      <w:tr>
        <w:trPr>
          <w:trHeight w:val="265"/>
        </w:trPr>
        <w:tc>
          <w:tcPr>
            <w:tcW w:w="80" w:type="dxa"/>
            <w:vAlign w:val="bottom"/>
            <w:tcBorders>
              <w:left w:val="single" w:sz="8" w:color="3465B0"/>
            </w:tcBorders>
          </w:tcPr>
          <w:p>
            <w:pPr>
              <w:spacing w:after="0"/>
              <w:rPr>
                <w:sz w:val="23"/>
                <w:szCs w:val="23"/>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Pay for performance, with high percentages of performance-</w:t>
            </w:r>
          </w:p>
        </w:tc>
        <w:tc>
          <w:tcPr>
            <w:tcW w:w="60" w:type="dxa"/>
            <w:vAlign w:val="bottom"/>
          </w:tcPr>
          <w:p>
            <w:pPr>
              <w:spacing w:after="0"/>
              <w:rPr>
                <w:sz w:val="23"/>
                <w:szCs w:val="23"/>
                <w:color w:val="auto"/>
              </w:rPr>
            </w:pPr>
          </w:p>
        </w:tc>
        <w:tc>
          <w:tcPr>
            <w:tcW w:w="3760" w:type="dxa"/>
            <w:vAlign w:val="bottom"/>
            <w:tcBorders>
              <w:right w:val="single" w:sz="8" w:color="3465B0"/>
            </w:tcBorders>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excise tax gross-ups</w:t>
            </w: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based and long-term equity compensation</w:t>
            </w:r>
          </w:p>
        </w:tc>
        <w:tc>
          <w:tcPr>
            <w:tcW w:w="60" w:type="dxa"/>
            <w:vAlign w:val="bottom"/>
          </w:tcPr>
          <w:p>
            <w:pPr>
              <w:spacing w:after="0"/>
              <w:rPr>
                <w:sz w:val="22"/>
                <w:szCs w:val="22"/>
                <w:color w:val="auto"/>
              </w:rPr>
            </w:pPr>
          </w:p>
        </w:tc>
        <w:tc>
          <w:tcPr>
            <w:tcW w:w="3760" w:type="dxa"/>
            <w:vAlign w:val="bottom"/>
            <w:tcBorders>
              <w:right w:val="single" w:sz="8" w:color="3465B0"/>
            </w:tcBorders>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the Company’s stock by</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5260" w:type="dxa"/>
            <w:vAlign w:val="bottom"/>
            <w:tcBorders>
              <w:right w:val="single" w:sz="8" w:color="93A1D2"/>
            </w:tcBorders>
          </w:tcPr>
          <w:p>
            <w:pPr>
              <w:ind w:left="160"/>
              <w:spacing w:after="0" w:line="202" w:lineRule="exact"/>
              <w:rPr>
                <w:sz w:val="20"/>
                <w:szCs w:val="20"/>
                <w:color w:val="auto"/>
              </w:rPr>
            </w:pPr>
            <w:r>
              <w:rPr>
                <w:rFonts w:ascii="Arial" w:cs="Arial" w:eastAsia="Arial" w:hAnsi="Arial"/>
                <w:sz w:val="18"/>
                <w:szCs w:val="18"/>
                <w:color w:val="auto"/>
              </w:rPr>
              <w:t>    Grant performance stock units that vest based on</w:t>
            </w:r>
          </w:p>
        </w:tc>
        <w:tc>
          <w:tcPr>
            <w:tcW w:w="60" w:type="dxa"/>
            <w:vAlign w:val="bottom"/>
          </w:tcPr>
          <w:p>
            <w:pPr>
              <w:spacing w:after="0"/>
              <w:rPr>
                <w:sz w:val="17"/>
                <w:szCs w:val="17"/>
                <w:color w:val="auto"/>
              </w:rPr>
            </w:pPr>
          </w:p>
        </w:tc>
        <w:tc>
          <w:tcPr>
            <w:tcW w:w="376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NEOs or directors</w:t>
            </w:r>
          </w:p>
        </w:tc>
        <w:tc>
          <w:tcPr>
            <w:tcW w:w="0" w:type="dxa"/>
            <w:vAlign w:val="bottom"/>
          </w:tcPr>
          <w:p>
            <w:pPr>
              <w:spacing w:after="0"/>
              <w:rPr>
                <w:sz w:val="1"/>
                <w:szCs w:val="1"/>
                <w:color w:val="auto"/>
              </w:rPr>
            </w:pPr>
          </w:p>
        </w:tc>
      </w:tr>
      <w:tr>
        <w:trPr>
          <w:trHeight w:val="235"/>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achievement of performance goals over a three-year</w:t>
            </w:r>
          </w:p>
        </w:tc>
        <w:tc>
          <w:tcPr>
            <w:tcW w:w="60" w:type="dxa"/>
            <w:vAlign w:val="bottom"/>
          </w:tcPr>
          <w:p>
            <w:pPr>
              <w:spacing w:after="0"/>
              <w:rPr>
                <w:sz w:val="20"/>
                <w:szCs w:val="20"/>
                <w:color w:val="auto"/>
              </w:rPr>
            </w:pPr>
          </w:p>
        </w:tc>
        <w:tc>
          <w:tcPr>
            <w:tcW w:w="3760" w:type="dxa"/>
            <w:vAlign w:val="bottom"/>
            <w:tcBorders>
              <w:right w:val="single" w:sz="8" w:color="3465B0"/>
            </w:tcBorders>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supplemental executive retirement</w:t>
            </w:r>
          </w:p>
        </w:tc>
        <w:tc>
          <w:tcPr>
            <w:tcW w:w="0" w:type="dxa"/>
            <w:vAlign w:val="bottom"/>
          </w:tcPr>
          <w:p>
            <w:pPr>
              <w:spacing w:after="0"/>
              <w:rPr>
                <w:sz w:val="1"/>
                <w:szCs w:val="1"/>
                <w:color w:val="auto"/>
              </w:rPr>
            </w:pPr>
          </w:p>
        </w:tc>
      </w:tr>
      <w:tr>
        <w:trPr>
          <w:trHeight w:val="188"/>
        </w:trPr>
        <w:tc>
          <w:tcPr>
            <w:tcW w:w="80" w:type="dxa"/>
            <w:vAlign w:val="bottom"/>
            <w:tcBorders>
              <w:left w:val="single" w:sz="8" w:color="3465B0"/>
            </w:tcBorders>
          </w:tcPr>
          <w:p>
            <w:pPr>
              <w:spacing w:after="0"/>
              <w:rPr>
                <w:sz w:val="16"/>
                <w:szCs w:val="16"/>
                <w:color w:val="auto"/>
              </w:rPr>
            </w:pPr>
          </w:p>
        </w:tc>
        <w:tc>
          <w:tcPr>
            <w:tcW w:w="5260" w:type="dxa"/>
            <w:vAlign w:val="bottom"/>
            <w:tcBorders>
              <w:right w:val="single" w:sz="8" w:color="93A1D2"/>
            </w:tcBorders>
          </w:tcPr>
          <w:p>
            <w:pPr>
              <w:ind w:left="340"/>
              <w:spacing w:after="0" w:line="189" w:lineRule="exact"/>
              <w:rPr>
                <w:sz w:val="20"/>
                <w:szCs w:val="20"/>
                <w:color w:val="auto"/>
              </w:rPr>
            </w:pPr>
            <w:r>
              <w:rPr>
                <w:rFonts w:ascii="Arial" w:cs="Arial" w:eastAsia="Arial" w:hAnsi="Arial"/>
                <w:sz w:val="18"/>
                <w:szCs w:val="18"/>
                <w:color w:val="auto"/>
              </w:rPr>
              <w:t>performance period and, beginning in 2025, include a</w:t>
            </w:r>
          </w:p>
        </w:tc>
        <w:tc>
          <w:tcPr>
            <w:tcW w:w="60" w:type="dxa"/>
            <w:vAlign w:val="bottom"/>
          </w:tcPr>
          <w:p>
            <w:pPr>
              <w:spacing w:after="0"/>
              <w:rPr>
                <w:sz w:val="16"/>
                <w:szCs w:val="16"/>
                <w:color w:val="auto"/>
              </w:rPr>
            </w:pPr>
          </w:p>
        </w:tc>
        <w:tc>
          <w:tcPr>
            <w:tcW w:w="3760" w:type="dxa"/>
            <w:vAlign w:val="bottom"/>
            <w:tcBorders>
              <w:right w:val="single" w:sz="8" w:color="3465B0"/>
            </w:tcBorders>
          </w:tcPr>
          <w:p>
            <w:pPr>
              <w:ind w:left="260"/>
              <w:spacing w:after="0" w:line="189" w:lineRule="exact"/>
              <w:rPr>
                <w:sz w:val="20"/>
                <w:szCs w:val="20"/>
                <w:color w:val="auto"/>
              </w:rPr>
            </w:pPr>
            <w:r>
              <w:rPr>
                <w:rFonts w:ascii="Arial" w:cs="Arial" w:eastAsia="Arial" w:hAnsi="Arial"/>
                <w:sz w:val="18"/>
                <w:szCs w:val="18"/>
                <w:color w:val="auto"/>
              </w:rPr>
              <w:t>plans</w:t>
            </w:r>
          </w:p>
        </w:tc>
        <w:tc>
          <w:tcPr>
            <w:tcW w:w="0" w:type="dxa"/>
            <w:vAlign w:val="bottom"/>
          </w:tcPr>
          <w:p>
            <w:pPr>
              <w:spacing w:after="0"/>
              <w:rPr>
                <w:sz w:val="1"/>
                <w:szCs w:val="1"/>
                <w:color w:val="auto"/>
              </w:rPr>
            </w:pPr>
          </w:p>
        </w:tc>
      </w:tr>
      <w:tr>
        <w:trPr>
          <w:trHeight w:val="238"/>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relative shareholder return component</w:t>
            </w:r>
          </w:p>
        </w:tc>
        <w:tc>
          <w:tcPr>
            <w:tcW w:w="60" w:type="dxa"/>
            <w:vAlign w:val="bottom"/>
          </w:tcPr>
          <w:p>
            <w:pPr>
              <w:spacing w:after="0"/>
              <w:rPr>
                <w:sz w:val="20"/>
                <w:szCs w:val="20"/>
                <w:color w:val="auto"/>
              </w:rPr>
            </w:pPr>
          </w:p>
        </w:tc>
        <w:tc>
          <w:tcPr>
            <w:tcW w:w="3760" w:type="dxa"/>
            <w:vAlign w:val="bottom"/>
            <w:tcBorders>
              <w:right w:val="single" w:sz="8" w:color="3465B0"/>
            </w:tcBorders>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option repricing without stockholder</w:t>
            </w:r>
          </w:p>
        </w:tc>
        <w:tc>
          <w:tcPr>
            <w:tcW w:w="0" w:type="dxa"/>
            <w:vAlign w:val="bottom"/>
          </w:tcPr>
          <w:p>
            <w:pPr>
              <w:spacing w:after="0"/>
              <w:rPr>
                <w:sz w:val="1"/>
                <w:szCs w:val="1"/>
                <w:color w:val="auto"/>
              </w:rPr>
            </w:pPr>
          </w:p>
        </w:tc>
      </w:tr>
      <w:tr>
        <w:trPr>
          <w:trHeight w:val="54"/>
        </w:trPr>
        <w:tc>
          <w:tcPr>
            <w:tcW w:w="80" w:type="dxa"/>
            <w:vAlign w:val="bottom"/>
            <w:tcBorders>
              <w:left w:val="single" w:sz="8" w:color="3465B0"/>
            </w:tcBorders>
          </w:tcPr>
          <w:p>
            <w:pPr>
              <w:spacing w:after="0"/>
              <w:rPr>
                <w:sz w:val="4"/>
                <w:szCs w:val="4"/>
                <w:color w:val="auto"/>
              </w:rPr>
            </w:pPr>
          </w:p>
        </w:tc>
        <w:tc>
          <w:tcPr>
            <w:tcW w:w="526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Award annual cash incentives based on performance</w:t>
            </w:r>
          </w:p>
        </w:tc>
        <w:tc>
          <w:tcPr>
            <w:tcW w:w="60" w:type="dxa"/>
            <w:vAlign w:val="bottom"/>
          </w:tcPr>
          <w:p>
            <w:pPr>
              <w:spacing w:after="0"/>
              <w:rPr>
                <w:sz w:val="4"/>
                <w:szCs w:val="4"/>
                <w:color w:val="auto"/>
              </w:rPr>
            </w:pPr>
          </w:p>
        </w:tc>
        <w:tc>
          <w:tcPr>
            <w:tcW w:w="3760" w:type="dxa"/>
            <w:vAlign w:val="bottom"/>
            <w:tcBorders>
              <w:right w:val="single" w:sz="8" w:color="3465B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80" w:type="dxa"/>
            <w:vAlign w:val="bottom"/>
            <w:tcBorders>
              <w:left w:val="single" w:sz="8" w:color="3465B0"/>
            </w:tcBorders>
          </w:tcPr>
          <w:p>
            <w:pPr>
              <w:spacing w:after="0"/>
              <w:rPr>
                <w:sz w:val="15"/>
                <w:szCs w:val="15"/>
                <w:color w:val="auto"/>
              </w:rPr>
            </w:pPr>
          </w:p>
        </w:tc>
        <w:tc>
          <w:tcPr>
            <w:tcW w:w="5260" w:type="dxa"/>
            <w:vAlign w:val="bottom"/>
            <w:tcBorders>
              <w:right w:val="single" w:sz="8" w:color="93A1D2"/>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tcBorders>
              <w:right w:val="single" w:sz="8" w:color="3465B0"/>
            </w:tcBorders>
          </w:tcPr>
          <w:p>
            <w:pPr>
              <w:ind w:left="260"/>
              <w:spacing w:after="0" w:line="181" w:lineRule="exact"/>
              <w:rPr>
                <w:sz w:val="20"/>
                <w:szCs w:val="20"/>
                <w:color w:val="auto"/>
              </w:rPr>
            </w:pPr>
            <w:r>
              <w:rPr>
                <w:rFonts w:ascii="Arial" w:cs="Arial" w:eastAsia="Arial" w:hAnsi="Arial"/>
                <w:sz w:val="18"/>
                <w:szCs w:val="18"/>
                <w:color w:val="auto"/>
              </w:rPr>
              <w:t>approval</w:t>
            </w:r>
          </w:p>
        </w:tc>
        <w:tc>
          <w:tcPr>
            <w:tcW w:w="0" w:type="dxa"/>
            <w:vAlign w:val="bottom"/>
          </w:tcPr>
          <w:p>
            <w:pPr>
              <w:spacing w:after="0"/>
              <w:rPr>
                <w:sz w:val="1"/>
                <w:szCs w:val="1"/>
                <w:color w:val="auto"/>
              </w:rPr>
            </w:pPr>
          </w:p>
        </w:tc>
      </w:tr>
      <w:tr>
        <w:trPr>
          <w:trHeight w:val="224"/>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against predefined performance metrics</w:t>
            </w:r>
          </w:p>
        </w:tc>
        <w:tc>
          <w:tcPr>
            <w:tcW w:w="60" w:type="dxa"/>
            <w:vAlign w:val="bottom"/>
          </w:tcPr>
          <w:p>
            <w:pPr>
              <w:spacing w:after="0"/>
              <w:rPr>
                <w:sz w:val="19"/>
                <w:szCs w:val="19"/>
                <w:color w:val="auto"/>
              </w:rPr>
            </w:pPr>
          </w:p>
        </w:tc>
        <w:tc>
          <w:tcPr>
            <w:tcW w:w="3760" w:type="dxa"/>
            <w:vAlign w:val="bottom"/>
            <w:tcBorders>
              <w:right w:val="single" w:sz="8" w:color="3465B0"/>
            </w:tcBorders>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significant perquisites for executive</w:t>
            </w:r>
          </w:p>
        </w:tc>
        <w:tc>
          <w:tcPr>
            <w:tcW w:w="0" w:type="dxa"/>
            <w:vAlign w:val="bottom"/>
          </w:tcPr>
          <w:p>
            <w:pPr>
              <w:spacing w:after="0"/>
              <w:rPr>
                <w:sz w:val="1"/>
                <w:szCs w:val="1"/>
                <w:color w:val="auto"/>
              </w:rPr>
            </w:pPr>
          </w:p>
        </w:tc>
      </w:tr>
      <w:tr>
        <w:trPr>
          <w:trHeight w:val="54"/>
        </w:trPr>
        <w:tc>
          <w:tcPr>
            <w:tcW w:w="80" w:type="dxa"/>
            <w:vAlign w:val="bottom"/>
            <w:tcBorders>
              <w:left w:val="single" w:sz="8" w:color="3465B0"/>
            </w:tcBorders>
          </w:tcPr>
          <w:p>
            <w:pPr>
              <w:spacing w:after="0"/>
              <w:rPr>
                <w:sz w:val="4"/>
                <w:szCs w:val="4"/>
                <w:color w:val="auto"/>
              </w:rPr>
            </w:pPr>
          </w:p>
        </w:tc>
        <w:tc>
          <w:tcPr>
            <w:tcW w:w="526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Maintain robust stock ownership guidelines for our NEOs</w:t>
            </w:r>
          </w:p>
        </w:tc>
        <w:tc>
          <w:tcPr>
            <w:tcW w:w="60" w:type="dxa"/>
            <w:vAlign w:val="bottom"/>
          </w:tcPr>
          <w:p>
            <w:pPr>
              <w:spacing w:after="0"/>
              <w:rPr>
                <w:sz w:val="4"/>
                <w:szCs w:val="4"/>
                <w:color w:val="auto"/>
              </w:rPr>
            </w:pPr>
          </w:p>
        </w:tc>
        <w:tc>
          <w:tcPr>
            <w:tcW w:w="3760" w:type="dxa"/>
            <w:vAlign w:val="bottom"/>
            <w:tcBorders>
              <w:right w:val="single" w:sz="8" w:color="3465B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80" w:type="dxa"/>
            <w:vAlign w:val="bottom"/>
            <w:tcBorders>
              <w:left w:val="single" w:sz="8" w:color="3465B0"/>
            </w:tcBorders>
          </w:tcPr>
          <w:p>
            <w:pPr>
              <w:spacing w:after="0"/>
              <w:rPr>
                <w:sz w:val="15"/>
                <w:szCs w:val="15"/>
                <w:color w:val="auto"/>
              </w:rPr>
            </w:pPr>
          </w:p>
        </w:tc>
        <w:tc>
          <w:tcPr>
            <w:tcW w:w="5260" w:type="dxa"/>
            <w:vAlign w:val="bottom"/>
            <w:tcBorders>
              <w:right w:val="single" w:sz="8" w:color="93A1D2"/>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tcBorders>
              <w:right w:val="single" w:sz="8" w:color="3465B0"/>
            </w:tcBorders>
          </w:tcPr>
          <w:p>
            <w:pPr>
              <w:ind w:left="260"/>
              <w:spacing w:after="0" w:line="181" w:lineRule="exact"/>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24"/>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and directors</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28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Chief Executive Officer—6x annual base salary</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5260" w:type="dxa"/>
            <w:vAlign w:val="bottom"/>
            <w:tcBorders>
              <w:right w:val="single" w:sz="8" w:color="93A1D2"/>
            </w:tcBorders>
          </w:tcPr>
          <w:p>
            <w:pPr>
              <w:ind w:left="28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Other NEOs—3x annual base salary</w:t>
            </w:r>
          </w:p>
        </w:tc>
        <w:tc>
          <w:tcPr>
            <w:tcW w:w="60" w:type="dxa"/>
            <w:vAlign w:val="bottom"/>
          </w:tcPr>
          <w:p>
            <w:pPr>
              <w:spacing w:after="0"/>
              <w:rPr>
                <w:sz w:val="22"/>
                <w:szCs w:val="22"/>
                <w:color w:val="auto"/>
              </w:rPr>
            </w:pPr>
          </w:p>
        </w:tc>
        <w:tc>
          <w:tcPr>
            <w:tcW w:w="3760" w:type="dxa"/>
            <w:vAlign w:val="bottom"/>
            <w:tcBorders>
              <w:right w:val="single" w:sz="8" w:color="3465B0"/>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5260" w:type="dxa"/>
            <w:vAlign w:val="bottom"/>
            <w:tcBorders>
              <w:right w:val="single" w:sz="8" w:color="93A1D2"/>
            </w:tcBorders>
          </w:tcPr>
          <w:p>
            <w:pPr>
              <w:ind w:left="28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Non-Employee Directors—5x annual cash retainer</w:t>
            </w:r>
          </w:p>
        </w:tc>
        <w:tc>
          <w:tcPr>
            <w:tcW w:w="60" w:type="dxa"/>
            <w:vAlign w:val="bottom"/>
          </w:tcPr>
          <w:p>
            <w:pPr>
              <w:spacing w:after="0"/>
              <w:rPr>
                <w:sz w:val="22"/>
                <w:szCs w:val="22"/>
                <w:color w:val="auto"/>
              </w:rPr>
            </w:pPr>
          </w:p>
        </w:tc>
        <w:tc>
          <w:tcPr>
            <w:tcW w:w="3760" w:type="dxa"/>
            <w:vAlign w:val="bottom"/>
            <w:tcBorders>
              <w:right w:val="single" w:sz="8" w:color="3465B0"/>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Review our compensation programs and strategy annually</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with robust Board and committee oversight</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Hold an annual Say-on-Pay vote supported by a strong</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stockholder engagement strategy</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Require “Double-Trigger” vesting for change in control</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provisions</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Maintain an incentive compensation recovery (“clawback”)</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policy</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0" w:type="dxa"/>
            <w:vAlign w:val="bottom"/>
            <w:tcBorders>
              <w:left w:val="single" w:sz="8" w:color="3465B0"/>
            </w:tcBorders>
          </w:tcPr>
          <w:p>
            <w:pPr>
              <w:spacing w:after="0"/>
              <w:rPr>
                <w:sz w:val="24"/>
                <w:szCs w:val="24"/>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Retain an independent compensation consultant</w:t>
            </w:r>
          </w:p>
        </w:tc>
        <w:tc>
          <w:tcPr>
            <w:tcW w:w="60" w:type="dxa"/>
            <w:vAlign w:val="bottom"/>
          </w:tcPr>
          <w:p>
            <w:pPr>
              <w:spacing w:after="0"/>
              <w:rPr>
                <w:sz w:val="24"/>
                <w:szCs w:val="24"/>
                <w:color w:val="auto"/>
              </w:rPr>
            </w:pPr>
          </w:p>
        </w:tc>
        <w:tc>
          <w:tcPr>
            <w:tcW w:w="3760" w:type="dxa"/>
            <w:vAlign w:val="bottom"/>
            <w:tcBorders>
              <w:right w:val="single" w:sz="8" w:color="3465B0"/>
            </w:tcBorders>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5340" w:type="dxa"/>
            <w:vAlign w:val="bottom"/>
            <w:tcBorders>
              <w:top w:val="single" w:sz="8" w:color="3465B0"/>
            </w:tcBorders>
            <w:gridSpan w:val="2"/>
          </w:tcPr>
          <w:p>
            <w:pPr>
              <w:ind w:left="20"/>
              <w:spacing w:after="0"/>
              <w:rPr>
                <w:sz w:val="20"/>
                <w:szCs w:val="20"/>
                <w:color w:val="auto"/>
              </w:rPr>
            </w:pPr>
            <w:r>
              <w:rPr>
                <w:rFonts w:ascii="Arial" w:cs="Arial" w:eastAsia="Arial" w:hAnsi="Arial"/>
                <w:sz w:val="18"/>
                <w:szCs w:val="18"/>
                <w:b w:val="1"/>
                <w:bCs w:val="1"/>
                <w:color w:val="3465B0"/>
              </w:rPr>
              <w:t>2025 Executive Compensation Developments</w:t>
            </w:r>
          </w:p>
        </w:tc>
        <w:tc>
          <w:tcPr>
            <w:tcW w:w="60" w:type="dxa"/>
            <w:vAlign w:val="bottom"/>
            <w:tcBorders>
              <w:top w:val="single" w:sz="8" w:color="3465B0"/>
            </w:tcBorders>
          </w:tcPr>
          <w:p>
            <w:pPr>
              <w:spacing w:after="0"/>
              <w:rPr>
                <w:sz w:val="24"/>
                <w:szCs w:val="24"/>
                <w:color w:val="auto"/>
              </w:rPr>
            </w:pPr>
          </w:p>
        </w:tc>
        <w:tc>
          <w:tcPr>
            <w:tcW w:w="3760" w:type="dxa"/>
            <w:vAlign w:val="bottom"/>
            <w:tcBorders>
              <w:top w:val="single" w:sz="8" w:color="3465B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-3547745</wp:posOffset>
            </wp:positionV>
            <wp:extent cx="76835"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-3256280</wp:posOffset>
            </wp:positionV>
            <wp:extent cx="76835" cy="93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-2707640</wp:posOffset>
            </wp:positionV>
            <wp:extent cx="76835"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-2416175</wp:posOffset>
            </wp:positionV>
            <wp:extent cx="76835"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-1635760</wp:posOffset>
            </wp:positionV>
            <wp:extent cx="76835"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-1344295</wp:posOffset>
            </wp:positionV>
            <wp:extent cx="76835"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-1052830</wp:posOffset>
            </wp:positionV>
            <wp:extent cx="76835" cy="93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-761365</wp:posOffset>
            </wp:positionV>
            <wp:extent cx="76835"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-469900</wp:posOffset>
            </wp:positionV>
            <wp:extent cx="76835"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94615"/>
                    </a:xfrm>
                    <a:prstGeom prst="rect">
                      <a:avLst/>
                    </a:prstGeom>
                    <a:noFill/>
                  </pic:spPr>
                </pic:pic>
              </a:graphicData>
            </a:graphic>
          </wp:anchor>
        </w:drawing>
      </w:r>
    </w:p>
    <w:p>
      <w:pPr>
        <w:spacing w:after="0" w:line="98"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To further align the interests of our executive officers with the interests of our stockholders and to promote long-term value creation for stockholders, the compensation committee approved certain changes to our annual cash incentive program and long-term equity incentive program for 2025. Engaging with stockholders to understand their priorities and areas of focus is fundamental to our commitment to good governance and, over the past several years, feedback received from these discussions has helped inform these and other enhancements to our executive compensation programs and disclosures.</w:t>
      </w:r>
    </w:p>
    <w:p>
      <w:pPr>
        <w:sectPr>
          <w:pgSz w:w="11900" w:h="16838" w:orient="portrait"/>
          <w:cols w:equalWidth="0" w:num="1">
            <w:col w:w="9160"/>
          </w:cols>
          <w:pgMar w:left="1360" w:top="114" w:right="1379" w:bottom="1440" w:gutter="0" w:footer="0" w:header="0"/>
        </w:sectPr>
      </w:pPr>
    </w:p>
    <w:p>
      <w:pPr>
        <w:spacing w:after="0" w:line="7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i w:val="1"/>
          <w:iCs w:val="1"/>
          <w:color w:val="auto"/>
        </w:rPr>
        <w:t>Additional performance metric added to the annual cash incentive program</w:t>
      </w:r>
      <w:r>
        <w:rPr>
          <w:rFonts w:ascii="Arial" w:cs="Arial" w:eastAsia="Arial" w:hAnsi="Arial"/>
          <w:sz w:val="18"/>
          <w:szCs w:val="18"/>
          <w:color w:val="auto"/>
        </w:rPr>
        <w:t>. For 2025, our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incentive program included Adjusted Comparable Same Store Sales Growth as a second corporate performance metric, in addition to Annual Incentive Adjusted Operating Income. Adjusted Comparable Store Sales Growth is a key metric used by both management and shareholders to assess the operational health and overall performance of each brand and the Company as a whole.</w:t>
      </w:r>
    </w:p>
    <w:p>
      <w:pPr>
        <w:spacing w:after="0" w:line="6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i w:val="1"/>
          <w:iCs w:val="1"/>
          <w:color w:val="auto"/>
        </w:rPr>
        <w:t>Enhanced PSU design, including relative total shareholder return component</w:t>
      </w:r>
      <w:r>
        <w:rPr>
          <w:rFonts w:ascii="Arial" w:cs="Arial" w:eastAsia="Arial" w:hAnsi="Arial"/>
          <w:sz w:val="18"/>
          <w:szCs w:val="18"/>
          <w:color w:val="auto"/>
        </w:rPr>
        <w:t>. For 2025,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stock units (“PSUs”) included relative total shareholder return as a third performance metric (weighted 25%), in addition to financial performance goals related to growth in annual Adjusted Operating Income (50%) and Return on Invested Capital (25%).</w:t>
      </w:r>
    </w:p>
    <w:p>
      <w:pPr>
        <w:spacing w:after="0" w:line="174"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3465B0"/>
        </w:rPr>
        <w:t>2026 Executive Compensation Updates</w:t>
      </w:r>
    </w:p>
    <w:p>
      <w:pPr>
        <w:spacing w:after="0" w:line="15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In March 2026, the compensation committee approved a special, one-time design for the PSUs granted in 2026 to the Company’s senior leadership, including our executive officers, to further align the interests of our executive officers with the interests of our stockholders, further promote long-term value creation for stockholders, and help secure the benefit of our executive officers’ leadership in a highly competitive market. The core portion of these 2026 PSUs is similar to the PSUs granted in 2025, with 25% vesting based on attainment of relative total shareholder return, and the remainder vesting based on achievement of financial performance goals related to growth in annual Adjusted Operating Income (50%) and Return on Invested Capital (25%) (together, the “Base 2026 PSUs”).</w:t>
      </w:r>
    </w:p>
    <w:p>
      <w:pPr>
        <w:spacing w:after="0" w:line="57" w:lineRule="exact"/>
        <w:rPr>
          <w:sz w:val="20"/>
          <w:szCs w:val="20"/>
          <w:color w:val="auto"/>
        </w:rPr>
      </w:pPr>
    </w:p>
    <w:p>
      <w:pPr>
        <w:ind w:left="360" w:hanging="346"/>
        <w:spacing w:after="0"/>
        <w:tabs>
          <w:tab w:leader="none" w:pos="360" w:val="left"/>
        </w:tabs>
        <w:numPr>
          <w:ilvl w:val="0"/>
          <w:numId w:val="8"/>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13" w:name="page14"/>
    <w:bookmarkEnd w:id="13"/>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Regardless of our performance against the goals relating to growth in annual Adjusted Operating Income, the AOI portion of the Base 2026 PSUs will not vest if the Company’s Adjusted Operating Income growth is negative over the three-year performance period.</w:t>
      </w:r>
    </w:p>
    <w:p>
      <w:pPr>
        <w:spacing w:after="0" w:line="88"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The 2026 PSUs also include a special, one-time modifier based on total stockholder return milestones during the three-year performance period (the “Modifier PSUs”). These Modifier PSUs are entirely performance-based, only apply to the number of Base 2026 PSUs actually earned over the performance period, have a longer vesting requirement than the Base 2026 PSUs (50% on the fourth anniversary of the grant date and 50% on the fifth anniversary of the grant date, assuming the milestone requirements are met), and will only deliver significant value to the recipients if the Company’s stock price significantly exceeds the 20-day average leading up to the grant date. The compensation committee does not expect to grant similar modifier awards in the coming years.</w:t>
      </w:r>
    </w:p>
    <w:p>
      <w:pPr>
        <w:spacing w:after="0" w:line="117" w:lineRule="exact"/>
        <w:rPr>
          <w:sz w:val="20"/>
          <w:szCs w:val="20"/>
          <w:color w:val="auto"/>
        </w:rPr>
      </w:pPr>
    </w:p>
    <w:p>
      <w:pPr>
        <w:jc w:val="both"/>
        <w:ind w:left="940" w:right="940"/>
        <w:spacing w:after="0" w:line="271" w:lineRule="auto"/>
        <w:rPr>
          <w:sz w:val="20"/>
          <w:szCs w:val="20"/>
          <w:color w:val="auto"/>
        </w:rPr>
      </w:pPr>
      <w:r>
        <w:rPr>
          <w:rFonts w:ascii="Arial" w:cs="Arial" w:eastAsia="Arial" w:hAnsi="Arial"/>
          <w:sz w:val="18"/>
          <w:szCs w:val="18"/>
          <w:color w:val="auto"/>
        </w:rPr>
        <w:t>See “Executive Compensation” for a detailed discussion of the design and evolution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40640</wp:posOffset>
            </wp:positionV>
            <wp:extent cx="20574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2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00" w:type="dxa"/>
            <w:vAlign w:val="bottom"/>
          </w:tcPr>
          <w:p>
            <w:pPr>
              <w:jc w:val="right"/>
              <w:ind w:right="859"/>
              <w:spacing w:after="0"/>
              <w:rPr>
                <w:sz w:val="20"/>
                <w:szCs w:val="20"/>
                <w:color w:val="auto"/>
              </w:rPr>
            </w:pPr>
            <w:r>
              <w:rPr>
                <w:rFonts w:ascii="Arial" w:cs="Arial" w:eastAsia="Arial" w:hAnsi="Arial"/>
                <w:sz w:val="16"/>
                <w:szCs w:val="16"/>
                <w:b w:val="1"/>
                <w:bCs w:val="1"/>
                <w:color w:val="auto"/>
              </w:rPr>
              <w:t>7</w:t>
            </w:r>
          </w:p>
        </w:tc>
      </w:tr>
      <w:tr>
        <w:trPr>
          <w:trHeight w:val="244"/>
        </w:trPr>
        <w:tc>
          <w:tcPr>
            <w:tcW w:w="9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3465B0"/>
        </w:rPr>
        <w:t>Corporate Governance Matters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32"/>
          <w:szCs w:val="32"/>
          <w:color w:val="auto"/>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5807710" cy="14871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07710" cy="1487170"/>
                    </a:xfrm>
                    <a:prstGeom prst="rect">
                      <a:avLst/>
                    </a:prstGeom>
                    <a:noFill/>
                  </pic:spPr>
                </pic:pic>
              </a:graphicData>
            </a:graphic>
          </wp:anchor>
        </w:drawing>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The Board recommends that you vote “FOR” all of the director nominees listed.</w:t>
      </w:r>
    </w:p>
    <w:p>
      <w:pPr>
        <w:spacing w:after="0" w:line="108" w:lineRule="exact"/>
        <w:rPr>
          <w:sz w:val="20"/>
          <w:szCs w:val="20"/>
          <w:color w:val="auto"/>
        </w:rPr>
      </w:pPr>
    </w:p>
    <w:p>
      <w:pPr>
        <w:jc w:val="both"/>
        <w:ind w:left="100" w:right="240"/>
        <w:spacing w:after="0" w:line="245" w:lineRule="auto"/>
        <w:rPr>
          <w:sz w:val="20"/>
          <w:szCs w:val="20"/>
          <w:color w:val="auto"/>
        </w:rPr>
      </w:pPr>
      <w:r>
        <w:rPr>
          <w:rFonts w:ascii="Arial" w:cs="Arial" w:eastAsia="Arial" w:hAnsi="Arial"/>
          <w:sz w:val="18"/>
          <w:szCs w:val="18"/>
          <w:b w:val="1"/>
          <w:bCs w:val="1"/>
          <w:color w:val="3465B0"/>
        </w:rPr>
        <w:t>W</w:t>
      </w:r>
      <w:r>
        <w:rPr>
          <w:rFonts w:ascii="Arial" w:cs="Arial" w:eastAsia="Arial" w:hAnsi="Arial"/>
          <w:sz w:val="12"/>
          <w:szCs w:val="12"/>
          <w:b w:val="1"/>
          <w:bCs w:val="1"/>
          <w:color w:val="3465B0"/>
        </w:rPr>
        <w:t>hat</w:t>
      </w:r>
      <w:r>
        <w:rPr>
          <w:rFonts w:ascii="Arial" w:cs="Arial" w:eastAsia="Arial" w:hAnsi="Arial"/>
          <w:sz w:val="18"/>
          <w:szCs w:val="18"/>
          <w:b w:val="1"/>
          <w:bCs w:val="1"/>
          <w:color w:val="3465B0"/>
        </w:rPr>
        <w:t xml:space="preserve"> A</w:t>
      </w:r>
      <w:r>
        <w:rPr>
          <w:rFonts w:ascii="Arial" w:cs="Arial" w:eastAsia="Arial" w:hAnsi="Arial"/>
          <w:sz w:val="12"/>
          <w:szCs w:val="12"/>
          <w:b w:val="1"/>
          <w:bCs w:val="1"/>
          <w:color w:val="3465B0"/>
        </w:rPr>
        <w:t>m</w:t>
      </w:r>
      <w:r>
        <w:rPr>
          <w:rFonts w:ascii="Arial" w:cs="Arial" w:eastAsia="Arial" w:hAnsi="Arial"/>
          <w:sz w:val="18"/>
          <w:szCs w:val="18"/>
          <w:b w:val="1"/>
          <w:bCs w:val="1"/>
          <w:color w:val="3465B0"/>
        </w:rPr>
        <w:t xml:space="preserve"> I </w:t>
      </w:r>
      <w:r>
        <w:rPr>
          <w:rFonts w:ascii="Arial" w:cs="Arial" w:eastAsia="Arial" w:hAnsi="Arial"/>
          <w:sz w:val="18"/>
          <w:szCs w:val="18"/>
          <w:color w:val="000000"/>
        </w:rPr>
        <w:t>We are asking stockholders to elect the eleven director nominees listed below for election at the</w:t>
      </w:r>
      <w:r>
        <w:rPr>
          <w:rFonts w:ascii="Arial" w:cs="Arial" w:eastAsia="Arial" w:hAnsi="Arial"/>
          <w:sz w:val="18"/>
          <w:szCs w:val="18"/>
          <w:b w:val="1"/>
          <w:bCs w:val="1"/>
          <w:color w:val="3465B0"/>
        </w:rPr>
        <w:t xml:space="preserve"> V</w:t>
      </w:r>
      <w:r>
        <w:rPr>
          <w:rFonts w:ascii="Arial" w:cs="Arial" w:eastAsia="Arial" w:hAnsi="Arial"/>
          <w:sz w:val="12"/>
          <w:szCs w:val="12"/>
          <w:b w:val="1"/>
          <w:bCs w:val="1"/>
          <w:color w:val="3465B0"/>
        </w:rPr>
        <w:t>oting on</w:t>
      </w:r>
      <w:r>
        <w:rPr>
          <w:rFonts w:ascii="Arial" w:cs="Arial" w:eastAsia="Arial" w:hAnsi="Arial"/>
          <w:sz w:val="18"/>
          <w:szCs w:val="18"/>
          <w:b w:val="1"/>
          <w:bCs w:val="1"/>
          <w:color w:val="3465B0"/>
        </w:rPr>
        <w:t xml:space="preserve">? </w:t>
      </w:r>
      <w:r>
        <w:rPr>
          <w:rFonts w:ascii="Arial" w:cs="Arial" w:eastAsia="Arial" w:hAnsi="Arial"/>
          <w:sz w:val="18"/>
          <w:szCs w:val="18"/>
          <w:color w:val="000000"/>
        </w:rPr>
        <w:t>Annual Meeting for a term of one year. If elected, each director will hold office until the 2027</w:t>
      </w:r>
    </w:p>
    <w:p>
      <w:pPr>
        <w:ind w:left="1260"/>
        <w:spacing w:after="0"/>
        <w:rPr>
          <w:sz w:val="20"/>
          <w:szCs w:val="20"/>
          <w:color w:val="auto"/>
        </w:rPr>
      </w:pPr>
      <w:r>
        <w:rPr>
          <w:rFonts w:ascii="Arial" w:cs="Arial" w:eastAsia="Arial" w:hAnsi="Arial"/>
          <w:sz w:val="18"/>
          <w:szCs w:val="18"/>
          <w:color w:val="auto"/>
        </w:rPr>
        <w:t>annual meeting and until their respective successors are elected and qualified. </w:t>
      </w:r>
    </w:p>
    <w:p>
      <w:pPr>
        <w:spacing w:after="0" w:line="86"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18"/>
          <w:szCs w:val="18"/>
          <w:b w:val="1"/>
          <w:bCs w:val="1"/>
          <w:color w:val="3465B0"/>
        </w:rPr>
        <w:t>V</w:t>
      </w:r>
      <w:r>
        <w:rPr>
          <w:rFonts w:ascii="Arial" w:cs="Arial" w:eastAsia="Arial" w:hAnsi="Arial"/>
          <w:sz w:val="12"/>
          <w:szCs w:val="12"/>
          <w:b w:val="1"/>
          <w:bCs w:val="1"/>
          <w:color w:val="3465B0"/>
        </w:rPr>
        <w:t>ote</w:t>
      </w:r>
      <w:r>
        <w:rPr>
          <w:sz w:val="20"/>
          <w:szCs w:val="20"/>
          <w:color w:val="auto"/>
        </w:rPr>
        <w:tab/>
      </w:r>
      <w:r>
        <w:rPr>
          <w:rFonts w:ascii="Arial" w:cs="Arial" w:eastAsia="Arial" w:hAnsi="Arial"/>
          <w:sz w:val="18"/>
          <w:szCs w:val="18"/>
          <w:color w:val="auto"/>
        </w:rPr>
        <w:t>To be elected, a director must receive a majority of the votes cast in respect of the shares</w:t>
      </w:r>
    </w:p>
    <w:p>
      <w:pPr>
        <w:spacing w:after="0" w:line="14" w:lineRule="exact"/>
        <w:rPr>
          <w:sz w:val="20"/>
          <w:szCs w:val="20"/>
          <w:color w:val="auto"/>
        </w:rPr>
      </w:pPr>
    </w:p>
    <w:p>
      <w:pPr>
        <w:jc w:val="both"/>
        <w:ind w:left="1260" w:right="240" w:hanging="1156"/>
        <w:spacing w:after="0"/>
        <w:tabs>
          <w:tab w:leader="none" w:pos="1240" w:val="left"/>
        </w:tabs>
        <w:rPr>
          <w:sz w:val="20"/>
          <w:szCs w:val="20"/>
          <w:color w:val="auto"/>
        </w:rPr>
      </w:pPr>
      <w:r>
        <w:rPr>
          <w:rFonts w:ascii="Arial" w:cs="Arial" w:eastAsia="Arial" w:hAnsi="Arial"/>
          <w:sz w:val="18"/>
          <w:szCs w:val="18"/>
          <w:b w:val="1"/>
          <w:bCs w:val="1"/>
          <w:color w:val="3465B0"/>
        </w:rPr>
        <w:t>R</w:t>
      </w:r>
      <w:r>
        <w:rPr>
          <w:rFonts w:ascii="Arial" w:cs="Arial" w:eastAsia="Arial" w:hAnsi="Arial"/>
          <w:sz w:val="12"/>
          <w:szCs w:val="12"/>
          <w:b w:val="1"/>
          <w:bCs w:val="1"/>
          <w:color w:val="3465B0"/>
        </w:rPr>
        <w:t>equired</w:t>
      </w:r>
      <w:r>
        <w:rPr>
          <w:sz w:val="20"/>
          <w:szCs w:val="20"/>
          <w:color w:val="auto"/>
        </w:rPr>
        <w:tab/>
      </w:r>
      <w:r>
        <w:rPr>
          <w:rFonts w:ascii="Arial" w:cs="Arial" w:eastAsia="Arial" w:hAnsi="Arial"/>
          <w:sz w:val="18"/>
          <w:szCs w:val="18"/>
          <w:color w:val="auto"/>
        </w:rPr>
        <w:t>present in person or represented by proxy at the meeting and entitled to vote on the election of directors (meaning the number of shares voted “FOR” a nominee must exceed the number of shares voted “AGAINST” such nominee). “Abstentions” and “broker non-votes” will not be counted as a vote cast either “FOR” or “AGAINST” a nominee’s election.</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Presented on the following pages are the eleven director nominees recommended by the Board of Directors for election at the Annual Meeting.</w:t>
      </w:r>
    </w:p>
    <w:p>
      <w:pPr>
        <w:spacing w:after="0" w:line="86"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Upon the recommendation of the nominating and corporate governance committee, the Board has nominated D. Randolph Peeler, L. Reade Fahs, Jose Armario, Virginia A. Hepner, Susan S. Johnson, James M. McGrann, Michael J. Nicholson, Naomi Kelman, Susan O’Farrell, Alex Wilkes and Caitlin Zulla for re-election as directors for a one-year term expiring at the 2027 annual meeting.</w:t>
      </w:r>
    </w:p>
    <w:p>
      <w:pPr>
        <w:spacing w:after="0" w:line="93"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All of the nominees listed in this proxy statement are incumbent directors, whose terms expire on the date of the Annual Meeting. With the exception of Mr. Fahs, our Executive Chair, and Alex Wilkes, our Chief Executive Officer, all are independent directors. The nominating and corporate governance committee evaluated and recommended each director nominee in accordance with its charter and our Corporate Governance Guidelines. We have no reason to believe that any of the director nominees will be unable or unwilling to serve if elected; however, in the unlikely event that any of them ceases to be a candidate for election by the time of the Annual Meeting, proxies may be voted for a substitute nominee recommended by the Board, or the Board may elect to reduce its size.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CEO Succession in 2025</w:t>
      </w:r>
    </w:p>
    <w:p>
      <w:pPr>
        <w:spacing w:after="0" w:line="139"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During 2025, we completed our previously announced CEO succession plan, under which, effective August 1, 2025, Alex Wilkes succeeded Reade Fahs as the Company’s Chief Executive Officer and was appointed to the Company’s Board of Directors. In addition, Reade Fahs assumed the role of Executive Chairman, with Randy Peeler assuming the role of Lead Independent Director.</w:t>
      </w:r>
    </w:p>
    <w:p>
      <w:pPr>
        <w:spacing w:after="0" w:line="51" w:lineRule="exact"/>
        <w:rPr>
          <w:sz w:val="20"/>
          <w:szCs w:val="20"/>
          <w:color w:val="auto"/>
        </w:rPr>
      </w:pPr>
    </w:p>
    <w:p>
      <w:pPr>
        <w:ind w:left="360" w:hanging="346"/>
        <w:spacing w:after="0"/>
        <w:tabs>
          <w:tab w:leader="none" w:pos="360" w:val="left"/>
        </w:tabs>
        <w:numPr>
          <w:ilvl w:val="0"/>
          <w:numId w:val="9"/>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15" w:name="page16"/>
    <w:bookmarkEnd w:id="15"/>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Biographical Information</w:t>
      </w:r>
    </w:p>
    <w:p>
      <w:pPr>
        <w:spacing w:after="0" w:line="139"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The following pages set forth biographical information, including a description of their principal occupation, business experience, and the primary qualifications, attributes, and skills (represented by the icons below) that the nominating and corporate governance committee considered in recommending them as director nominees, as well as the Board committees on which each director nominee will serve as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216535</wp:posOffset>
            </wp:positionV>
            <wp:extent cx="916940" cy="130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2014</w:t>
      </w:r>
    </w:p>
    <w:p>
      <w:pPr>
        <w:spacing w:after="0" w:line="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65</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3465B0"/>
        </w:rPr>
        <w:t>L. Reade Fahs</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47231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91" w:lineRule="exact"/>
        <w:rPr>
          <w:sz w:val="20"/>
          <w:szCs w:val="20"/>
          <w:color w:val="auto"/>
        </w:rPr>
      </w:pPr>
    </w:p>
    <w:p>
      <w:pPr>
        <w:jc w:val="both"/>
        <w:ind w:left="5" w:right="940"/>
        <w:spacing w:after="0" w:line="252" w:lineRule="auto"/>
        <w:rPr>
          <w:sz w:val="20"/>
          <w:szCs w:val="20"/>
          <w:color w:val="auto"/>
        </w:rPr>
      </w:pPr>
      <w:r>
        <w:rPr>
          <w:rFonts w:ascii="Arial" w:cs="Arial" w:eastAsia="Arial" w:hAnsi="Arial"/>
          <w:sz w:val="16"/>
          <w:szCs w:val="16"/>
          <w:color w:val="auto"/>
        </w:rPr>
        <w:t>Mr. Fahs has served as the Executive Chairman of our Board of Directors since August 2025. Prior to that, Mr. Fahs served as the Chief Executive Officer of the Company beginning in 2014 until August 2025. Prior to our initial public offering, Mr. Fahs served as the President and Chief Executive officer of National Vision, Inc. (“NVI”) beginning in 2003, having joined NVI in 2002 as President and Chief Operating Officer. Mr. Fahs brings a unique perspective to our Board as our previous CEO and with his extensive knowledge of the Company, its operations, and business, along with senior leadership, public company board and risk oversight experience, in additional to his optical and retail industry knowledge, marketing and human capital experience.</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445" w:right="940" w:hanging="445"/>
        <w:spacing w:after="0" w:line="281" w:lineRule="auto"/>
        <w:tabs>
          <w:tab w:leader="none" w:pos="164"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Chief Executive Officer of First Tuesday, a professional networking forum for established technology entrepreneurs and companies (1999-2001)</w:t>
      </w:r>
    </w:p>
    <w:p>
      <w:pPr>
        <w:spacing w:after="0" w:line="1" w:lineRule="exact"/>
        <w:rPr>
          <w:rFonts w:ascii="Arial" w:cs="Arial" w:eastAsia="Arial" w:hAnsi="Arial"/>
          <w:sz w:val="16"/>
          <w:szCs w:val="16"/>
          <w:color w:val="auto"/>
        </w:rPr>
      </w:pPr>
    </w:p>
    <w:p>
      <w:pPr>
        <w:ind w:left="165" w:hanging="165"/>
        <w:spacing w:after="0"/>
        <w:tabs>
          <w:tab w:leader="none" w:pos="1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Managing Director of Vision Express U.K., a leading optical retailer (1997-1999)</w:t>
      </w:r>
    </w:p>
    <w:p>
      <w:pPr>
        <w:spacing w:after="0" w:line="59" w:lineRule="exact"/>
        <w:rPr>
          <w:rFonts w:ascii="Arial" w:cs="Arial" w:eastAsia="Arial" w:hAnsi="Arial"/>
          <w:sz w:val="16"/>
          <w:szCs w:val="16"/>
          <w:color w:val="auto"/>
        </w:rPr>
      </w:pPr>
    </w:p>
    <w:p>
      <w:pPr>
        <w:ind w:left="165" w:hanging="165"/>
        <w:spacing w:after="0"/>
        <w:tabs>
          <w:tab w:leader="none" w:pos="1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Various positions at LensCrafters, a leading eyewear retailer (1986-1996)</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VisionSpring, a social enterprise that works to ensure affordable access to eyewear</w:t>
      </w:r>
    </w:p>
    <w:p>
      <w:pPr>
        <w:spacing w:after="0" w:line="21" w:lineRule="exact"/>
        <w:rPr>
          <w:sz w:val="20"/>
          <w:szCs w:val="20"/>
          <w:color w:val="auto"/>
        </w:rPr>
      </w:pPr>
    </w:p>
    <w:p>
      <w:pPr>
        <w:ind w:left="405"/>
        <w:spacing w:after="0"/>
        <w:rPr>
          <w:sz w:val="20"/>
          <w:szCs w:val="20"/>
          <w:color w:val="auto"/>
        </w:rPr>
      </w:pPr>
      <w:r>
        <w:rPr>
          <w:rFonts w:ascii="Arial" w:cs="Arial" w:eastAsia="Arial" w:hAnsi="Arial"/>
          <w:sz w:val="16"/>
          <w:szCs w:val="16"/>
          <w:color w:val="auto"/>
        </w:rPr>
        <w:t>(Chairman, 2006-2024; Roving Ambassador, February 2024-March 2025; and board member,</w:t>
      </w:r>
    </w:p>
    <w:p>
      <w:pPr>
        <w:spacing w:after="0" w:line="5" w:lineRule="exact"/>
        <w:rPr>
          <w:sz w:val="20"/>
          <w:szCs w:val="20"/>
          <w:color w:val="auto"/>
        </w:rPr>
      </w:pPr>
    </w:p>
    <w:p>
      <w:pPr>
        <w:ind w:left="405"/>
        <w:spacing w:after="0"/>
        <w:rPr>
          <w:sz w:val="20"/>
          <w:szCs w:val="20"/>
          <w:color w:val="auto"/>
        </w:rPr>
      </w:pPr>
      <w:r>
        <w:rPr>
          <w:rFonts w:ascii="Arial" w:cs="Arial" w:eastAsia="Arial" w:hAnsi="Arial"/>
          <w:sz w:val="16"/>
          <w:szCs w:val="16"/>
          <w:color w:val="auto"/>
        </w:rPr>
        <w:t>February 2024-present)</w:t>
      </w:r>
    </w:p>
    <w:p>
      <w:pPr>
        <w:spacing w:after="0" w:line="43" w:lineRule="exact"/>
        <w:rPr>
          <w:sz w:val="20"/>
          <w:szCs w:val="20"/>
          <w:color w:val="auto"/>
        </w:rPr>
      </w:pPr>
    </w:p>
    <w:p>
      <w:pPr>
        <w:ind w:left="165" w:hanging="165"/>
        <w:spacing w:after="0"/>
        <w:tabs>
          <w:tab w:leader="none" w:pos="1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Restoring Vision, a nonprofit organization committed to ending the global vision crisis</w:t>
      </w:r>
    </w:p>
    <w:p>
      <w:pPr>
        <w:spacing w:after="0" w:line="59" w:lineRule="exact"/>
        <w:rPr>
          <w:rFonts w:ascii="Arial" w:cs="Arial" w:eastAsia="Arial" w:hAnsi="Arial"/>
          <w:sz w:val="16"/>
          <w:szCs w:val="16"/>
          <w:color w:val="auto"/>
        </w:rPr>
      </w:pPr>
    </w:p>
    <w:p>
      <w:pPr>
        <w:ind w:left="445" w:right="940" w:hanging="445"/>
        <w:spacing w:after="0" w:line="286" w:lineRule="auto"/>
        <w:tabs>
          <w:tab w:leader="none" w:pos="1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PetVet Care Centers, a network of locally owned general practice, specialty, emergency and equine veterinary hospitals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5080</wp:posOffset>
            </wp:positionV>
            <wp:extent cx="58032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635"/>
            <w:col w:w="8385"/>
          </w:cols>
          <w:pgMar w:left="440" w:top="11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-1398905</wp:posOffset>
            </wp:positionV>
            <wp:extent cx="916940" cy="13030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2025</w:t>
      </w:r>
    </w:p>
    <w:p>
      <w:pPr>
        <w:spacing w:after="0" w:line="1"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47</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Alex Wilkes</w:t>
      </w:r>
    </w:p>
    <w:p>
      <w:pPr>
        <w:spacing w:after="0" w:line="58" w:lineRule="exact"/>
        <w:rPr>
          <w:sz w:val="20"/>
          <w:szCs w:val="20"/>
          <w:color w:val="auto"/>
        </w:rPr>
      </w:pPr>
    </w:p>
    <w:p>
      <w:pPr>
        <w:jc w:val="both"/>
        <w:ind w:right="940"/>
        <w:spacing w:after="0" w:line="253" w:lineRule="auto"/>
        <w:rPr>
          <w:sz w:val="20"/>
          <w:szCs w:val="20"/>
          <w:color w:val="auto"/>
        </w:rPr>
      </w:pPr>
      <w:r>
        <w:rPr>
          <w:rFonts w:ascii="Arial" w:cs="Arial" w:eastAsia="Arial" w:hAnsi="Arial"/>
          <w:sz w:val="16"/>
          <w:szCs w:val="16"/>
          <w:color w:val="auto"/>
        </w:rPr>
        <w:t>Mr. Wilkes has served as Chief Executive Officer of the Company since August 2025, having joined the Company as President in August 2024. As CEO, he leads the company’s enterprise-wide strategy, growth and transformation efforts, focused on delivering long-term stockholder value by enhancing the customer and patient experience. Mr. Wilkes was appointed to the Board in August 2025. With more than a decade of leadership in the eye care industry, Mr. Wilkes brings a strong track record of accelerating performance, operational excellence and developing strategies that position brands for sustained success.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180" w:hanging="171"/>
        <w:spacing w:after="0"/>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President, Americas at CooperVision, a global leader in contact lenses (2022-2024)</w:t>
      </w:r>
    </w:p>
    <w:p>
      <w:pPr>
        <w:spacing w:after="0" w:line="59" w:lineRule="exact"/>
        <w:rPr>
          <w:rFonts w:ascii="Arial" w:cs="Arial" w:eastAsia="Arial" w:hAnsi="Arial"/>
          <w:sz w:val="16"/>
          <w:szCs w:val="16"/>
          <w:color w:val="auto"/>
        </w:rPr>
      </w:pPr>
    </w:p>
    <w:p>
      <w:pPr>
        <w:ind w:left="460" w:right="960" w:hanging="451"/>
        <w:spacing w:after="0" w:line="259" w:lineRule="auto"/>
        <w:tabs>
          <w:tab w:leader="none" w:pos="17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Various leadership positions at EssliorLuxottica, a leading global eyewear company, including Senior Vice President (2016-2022), General Manager of Pearle Vision (2016-2022), Vice President - Vision Care of LensCrafters (2012-2016) and Senior Director – Strategy of LensCrafters (2010-2012)</w:t>
      </w:r>
    </w:p>
    <w:p>
      <w:pPr>
        <w:spacing w:after="0" w:line="15" w:lineRule="exact"/>
        <w:rPr>
          <w:rFonts w:ascii="Arial" w:cs="Arial" w:eastAsia="Arial" w:hAnsi="Arial"/>
          <w:sz w:val="16"/>
          <w:szCs w:val="16"/>
          <w:color w:val="auto"/>
        </w:rPr>
      </w:pPr>
    </w:p>
    <w:p>
      <w:pPr>
        <w:ind w:left="180" w:hanging="171"/>
        <w:spacing w:after="0"/>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Management and consulting roles with Accenture and Deloitte (2003-2010)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46355</wp:posOffset>
            </wp:positionV>
            <wp:extent cx="58032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03265" cy="889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123825</wp:posOffset>
            </wp:positionV>
            <wp:extent cx="20574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620"/>
            <w:col w:w="8380"/>
          </w:cols>
          <w:pgMar w:left="440" w:top="114" w:right="4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2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00" w:type="dxa"/>
            <w:vAlign w:val="bottom"/>
          </w:tcPr>
          <w:p>
            <w:pPr>
              <w:jc w:val="right"/>
              <w:ind w:right="859"/>
              <w:spacing w:after="0"/>
              <w:rPr>
                <w:sz w:val="20"/>
                <w:szCs w:val="20"/>
                <w:color w:val="auto"/>
              </w:rPr>
            </w:pPr>
            <w:r>
              <w:rPr>
                <w:rFonts w:ascii="Arial" w:cs="Arial" w:eastAsia="Arial" w:hAnsi="Arial"/>
                <w:sz w:val="16"/>
                <w:szCs w:val="16"/>
                <w:b w:val="1"/>
                <w:bCs w:val="1"/>
                <w:color w:val="auto"/>
              </w:rPr>
              <w:t>9</w:t>
            </w:r>
          </w:p>
        </w:tc>
      </w:tr>
      <w:tr>
        <w:trPr>
          <w:trHeight w:val="244"/>
        </w:trPr>
        <w:tc>
          <w:tcPr>
            <w:tcW w:w="9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7"/>
          <w:szCs w:val="17"/>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138430</wp:posOffset>
            </wp:positionV>
            <wp:extent cx="916940" cy="130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2014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61</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Independent</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Committees:</w:t>
      </w:r>
    </w:p>
    <w:p>
      <w:pPr>
        <w:spacing w:after="0" w:line="55" w:lineRule="exact"/>
        <w:rPr>
          <w:sz w:val="20"/>
          <w:szCs w:val="20"/>
          <w:color w:val="auto"/>
        </w:rPr>
      </w:pPr>
    </w:p>
    <w:p>
      <w:pPr>
        <w:ind w:left="80"/>
        <w:spacing w:after="0" w:line="256" w:lineRule="auto"/>
        <w:rPr>
          <w:sz w:val="20"/>
          <w:szCs w:val="20"/>
          <w:color w:val="auto"/>
        </w:rPr>
      </w:pPr>
      <w:r>
        <w:rPr>
          <w:rFonts w:ascii="Arial" w:cs="Arial" w:eastAsia="Arial" w:hAnsi="Arial"/>
          <w:sz w:val="14"/>
          <w:szCs w:val="14"/>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3465B0"/>
        </w:rPr>
        <w:t>D. Randolph Peeler</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47231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91"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color w:val="auto"/>
        </w:rPr>
        <w:t>Mr. Peeler has served as the Lead Independent Director of our Board of Directors since August 2025. Prior to that, Mr. Peeler served Chair of our Board of Directors since September 2020. Mr. Peeler is a Senior Advisor at Berkshire Partners LLC (“Berkshire”), a private equity firm. Mr. Peeler joined Berkshire in 1996 and became a Managing Director in 2000. Mr. Peeler brings to our Board of Directors acquisition and capital market transactions knowledge from years of experience in the private equity industry, along with board experience from serving as a director of several of Berkshire’s current or former portfolio companies, industry experience in the optical/healthcare and retail industries, senior leadership experience, financial/accounting experience, human capital experience and public company board and risk oversight experience.</w:t>
      </w:r>
    </w:p>
    <w:p>
      <w:pPr>
        <w:spacing w:after="0" w:line="22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165" w:hanging="165"/>
        <w:spacing w:after="0"/>
        <w:tabs>
          <w:tab w:leader="none" w:pos="1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Co-founded a privately-owned healthcare services company</w:t>
      </w:r>
    </w:p>
    <w:p>
      <w:pPr>
        <w:spacing w:after="0" w:line="59" w:lineRule="exact"/>
        <w:rPr>
          <w:rFonts w:ascii="Arial" w:cs="Arial" w:eastAsia="Arial" w:hAnsi="Arial"/>
          <w:sz w:val="16"/>
          <w:szCs w:val="16"/>
          <w:color w:val="auto"/>
        </w:rPr>
      </w:pPr>
    </w:p>
    <w:p>
      <w:pPr>
        <w:ind w:left="445" w:right="20" w:hanging="445"/>
        <w:spacing w:after="0" w:line="281" w:lineRule="auto"/>
        <w:tabs>
          <w:tab w:leader="none" w:pos="1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Special Assistant for the Assistant Secretary for Economic Policy in the U.S. Department of the Treasury</w:t>
      </w:r>
    </w:p>
    <w:p>
      <w:pPr>
        <w:spacing w:after="0" w:line="1" w:lineRule="exact"/>
        <w:rPr>
          <w:rFonts w:ascii="Arial" w:cs="Arial" w:eastAsia="Arial" w:hAnsi="Arial"/>
          <w:sz w:val="16"/>
          <w:szCs w:val="16"/>
          <w:color w:val="auto"/>
        </w:rPr>
      </w:pPr>
    </w:p>
    <w:p>
      <w:pPr>
        <w:ind w:left="165" w:hanging="165"/>
        <w:spacing w:after="0"/>
        <w:tabs>
          <w:tab w:leader="none" w:pos="1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Consultant with Cannon Associates and Bain &amp; Co.</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445" w:right="20" w:hanging="445"/>
        <w:spacing w:after="0" w:line="281" w:lineRule="auto"/>
        <w:tabs>
          <w:tab w:leader="none" w:pos="1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DVx Ventures, a venture studio with a unique approach to building companies from concept to scale (private)</w:t>
      </w:r>
    </w:p>
    <w:p>
      <w:pPr>
        <w:spacing w:after="0" w:line="1" w:lineRule="exact"/>
        <w:rPr>
          <w:rFonts w:ascii="Arial" w:cs="Arial" w:eastAsia="Arial" w:hAnsi="Arial"/>
          <w:sz w:val="16"/>
          <w:szCs w:val="16"/>
          <w:color w:val="auto"/>
        </w:rPr>
      </w:pPr>
    </w:p>
    <w:p>
      <w:pPr>
        <w:ind w:left="445" w:hanging="445"/>
        <w:spacing w:after="0" w:line="286" w:lineRule="auto"/>
        <w:tabs>
          <w:tab w:leader="none" w:pos="1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CPK Media, LLC d/b/a Christopher Kimball’s Milk Street Kitchen, a multi-channel food media company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5080</wp:posOffset>
            </wp:positionV>
            <wp:extent cx="58032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635"/>
            <w:col w:w="7445"/>
          </w:cols>
          <w:pgMar w:left="1360" w:top="114"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-1398905</wp:posOffset>
            </wp:positionV>
            <wp:extent cx="916940" cy="130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2021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67</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3465B0"/>
        </w:rPr>
        <w:t>Independent</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3465B0"/>
        </w:rPr>
        <w:t>Committees:</w:t>
      </w:r>
    </w:p>
    <w:p>
      <w:pPr>
        <w:spacing w:after="0" w:line="55" w:lineRule="exact"/>
        <w:rPr>
          <w:sz w:val="20"/>
          <w:szCs w:val="20"/>
          <w:color w:val="auto"/>
        </w:rPr>
      </w:pPr>
    </w:p>
    <w:p>
      <w:pPr>
        <w:ind w:left="100"/>
        <w:spacing w:after="0" w:line="256" w:lineRule="auto"/>
        <w:rPr>
          <w:sz w:val="20"/>
          <w:szCs w:val="20"/>
          <w:color w:val="auto"/>
        </w:rPr>
      </w:pPr>
      <w:r>
        <w:rPr>
          <w:rFonts w:ascii="Arial" w:cs="Arial" w:eastAsia="Arial" w:hAnsi="Arial"/>
          <w:sz w:val="14"/>
          <w:szCs w:val="14"/>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Jose Armario</w:t>
      </w:r>
    </w:p>
    <w:p>
      <w:pPr>
        <w:spacing w:after="0" w:line="4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Mr. Armario has served as the Chief Executive Officer and President and a member of the board of directors of Bojangles’, Inc. (“Bojangles”), a restaurant operator and franchisor, since 2019. Mr. Armario brings to our Board senior leadership, public company board, financial and accounting, risk oversight and retail industry experience from his role as Chief Executive Officer of Bojangles, prior executive positions and board work, along with optical and healthcare industry, marketing, ESG and sustainability, and human capital experience.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460" w:right="20" w:hanging="451"/>
        <w:spacing w:after="0" w:line="281" w:lineRule="auto"/>
        <w:tabs>
          <w:tab w:leader="none" w:pos="17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Founder and Chief Executive Officer of consulting firms Armario Enterprises, LLC and PowerC,LLC, (2016-2019)</w:t>
      </w:r>
    </w:p>
    <w:p>
      <w:pPr>
        <w:spacing w:after="0" w:line="1" w:lineRule="exact"/>
        <w:rPr>
          <w:rFonts w:ascii="Arial" w:cs="Arial" w:eastAsia="Arial" w:hAnsi="Arial"/>
          <w:sz w:val="16"/>
          <w:szCs w:val="16"/>
          <w:color w:val="auto"/>
        </w:rPr>
      </w:pPr>
    </w:p>
    <w:p>
      <w:pPr>
        <w:ind w:left="460" w:right="20" w:hanging="451"/>
        <w:spacing w:after="0" w:line="281" w:lineRule="auto"/>
        <w:tabs>
          <w:tab w:leader="none" w:pos="17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Corporate Executive Vice President, Supply Chain, Development and Franchising of McDonald’s Corporation (2011-2015)</w:t>
      </w:r>
    </w:p>
    <w:p>
      <w:pPr>
        <w:spacing w:after="0" w:line="1" w:lineRule="exact"/>
        <w:rPr>
          <w:rFonts w:ascii="Arial" w:cs="Arial" w:eastAsia="Arial" w:hAnsi="Arial"/>
          <w:sz w:val="16"/>
          <w:szCs w:val="16"/>
          <w:color w:val="auto"/>
        </w:rPr>
      </w:pPr>
    </w:p>
    <w:p>
      <w:pPr>
        <w:ind w:left="180" w:hanging="171"/>
        <w:spacing w:after="0"/>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Various leadership positions at McDonald’s Corporation (1996-2011)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180" w:hanging="171"/>
        <w:spacing w:after="0"/>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Bojangles, Inc. (private)</w:t>
      </w:r>
    </w:p>
    <w:p>
      <w:pPr>
        <w:spacing w:after="0" w:line="59" w:lineRule="exact"/>
        <w:rPr>
          <w:rFonts w:ascii="Arial" w:cs="Arial" w:eastAsia="Arial" w:hAnsi="Arial"/>
          <w:sz w:val="16"/>
          <w:szCs w:val="16"/>
          <w:color w:val="auto"/>
        </w:rPr>
      </w:pPr>
    </w:p>
    <w:p>
      <w:pPr>
        <w:ind w:left="460" w:right="20" w:hanging="451"/>
        <w:spacing w:after="0" w:line="286" w:lineRule="auto"/>
        <w:tabs>
          <w:tab w:leader="none" w:pos="17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Golden State Foods, a global food services and logistics company specializing in quick-service restaurants (private) (2018-2024)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5080</wp:posOffset>
            </wp:positionV>
            <wp:extent cx="58032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03265" cy="889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1100" w:space="620"/>
            <w:col w:w="7440"/>
          </w:cols>
          <w:pgMar w:left="1360" w:top="114" w:right="1379" w:bottom="1440" w:gutter="0" w:footer="0" w:header="0"/>
          <w:type w:val="continuous"/>
        </w:sectPr>
      </w:pPr>
    </w:p>
    <w:p>
      <w:pPr>
        <w:ind w:left="360" w:hanging="346"/>
        <w:spacing w:after="0"/>
        <w:tabs>
          <w:tab w:leader="none" w:pos="360" w:val="left"/>
        </w:tabs>
        <w:numPr>
          <w:ilvl w:val="0"/>
          <w:numId w:val="17"/>
        </w:numPr>
        <w:rPr>
          <w:rFonts w:ascii="Arial" w:cs="Arial" w:eastAsia="Arial" w:hAnsi="Arial"/>
          <w:sz w:val="15"/>
          <w:szCs w:val="15"/>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17" w:name="page18"/>
    <w:bookmarkEnd w:id="17"/>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-1398905</wp:posOffset>
            </wp:positionV>
            <wp:extent cx="916940" cy="130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2018</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68</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Independent</w:t>
      </w:r>
    </w:p>
    <w:p>
      <w:pPr>
        <w:spacing w:after="0" w:line="136"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Committees:</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Nominating and</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Corporate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Committee (Chair)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3945"/>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-118745</wp:posOffset>
            </wp:positionV>
            <wp:extent cx="573468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26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3465B0"/>
        </w:rPr>
        <w:t>Virginia A. Hepner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47231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92" w:lineRule="exact"/>
        <w:rPr>
          <w:sz w:val="20"/>
          <w:szCs w:val="20"/>
          <w:color w:val="auto"/>
        </w:rPr>
      </w:pPr>
    </w:p>
    <w:p>
      <w:pPr>
        <w:jc w:val="both"/>
        <w:ind w:left="5" w:right="960"/>
        <w:spacing w:after="0" w:line="254" w:lineRule="auto"/>
        <w:rPr>
          <w:sz w:val="20"/>
          <w:szCs w:val="20"/>
          <w:color w:val="auto"/>
        </w:rPr>
      </w:pPr>
      <w:r>
        <w:rPr>
          <w:rFonts w:ascii="Arial" w:cs="Arial" w:eastAsia="Arial" w:hAnsi="Arial"/>
          <w:sz w:val="16"/>
          <w:szCs w:val="16"/>
          <w:color w:val="auto"/>
        </w:rPr>
        <w:t>Ms. Hepner most recently served as the President and Chief Executive Officer, and is a Life Trustee, of The Woodruff Arts Center in Atlanta, Georgia, from 2012 to 2017. Ms. Hepner brings to our Board senior leadership experience, public company board knowledge and risk oversight experience from her time as CEO of The Woodruff Arts Center and other board positions, government/regulatory experience and corporate sustainability and human capital experience, along with over 25 years of financial and accounting experience.</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445" w:right="960" w:hanging="445"/>
        <w:spacing w:after="0" w:line="281" w:lineRule="auto"/>
        <w:tabs>
          <w:tab w:leader="none" w:pos="1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Investor in GHL, Inc., a real estate partnership for commercial properties in metro Atlanta (2005-2022)</w:t>
      </w:r>
    </w:p>
    <w:p>
      <w:pPr>
        <w:spacing w:after="0" w:line="1" w:lineRule="exact"/>
        <w:rPr>
          <w:rFonts w:ascii="Arial" w:cs="Arial" w:eastAsia="Arial" w:hAnsi="Arial"/>
          <w:sz w:val="16"/>
          <w:szCs w:val="16"/>
          <w:color w:val="auto"/>
        </w:rPr>
      </w:pPr>
    </w:p>
    <w:p>
      <w:pPr>
        <w:ind w:left="445" w:right="960" w:hanging="445"/>
        <w:spacing w:after="0" w:line="281" w:lineRule="auto"/>
        <w:tabs>
          <w:tab w:leader="none" w:pos="1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Strategic Advisor at DMI Music &amp; Media Solutions, a full-service entertainment and music company (2011-2019)</w:t>
      </w:r>
    </w:p>
    <w:p>
      <w:pPr>
        <w:spacing w:after="0" w:line="1" w:lineRule="exact"/>
        <w:rPr>
          <w:rFonts w:ascii="Arial" w:cs="Arial" w:eastAsia="Arial" w:hAnsi="Arial"/>
          <w:sz w:val="16"/>
          <w:szCs w:val="16"/>
          <w:color w:val="auto"/>
        </w:rPr>
      </w:pPr>
    </w:p>
    <w:p>
      <w:pPr>
        <w:ind w:left="445" w:right="960" w:hanging="445"/>
        <w:spacing w:after="0" w:line="286" w:lineRule="auto"/>
        <w:tabs>
          <w:tab w:leader="none" w:pos="1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Executive Vice President and various other leadership positions at Wachovia Bank and its predecessors (1979-2005)</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445" w:right="960" w:hanging="445"/>
        <w:spacing w:after="0" w:line="281" w:lineRule="auto"/>
        <w:tabs>
          <w:tab w:leader="none" w:pos="1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Oxford Industries, a leader in the apparel industry (public) (nominating, compensation and governance committee chair)</w:t>
      </w:r>
    </w:p>
    <w:p>
      <w:pPr>
        <w:spacing w:after="0" w:line="1" w:lineRule="exact"/>
        <w:rPr>
          <w:rFonts w:ascii="Arial" w:cs="Arial" w:eastAsia="Arial" w:hAnsi="Arial"/>
          <w:sz w:val="16"/>
          <w:szCs w:val="16"/>
          <w:color w:val="auto"/>
        </w:rPr>
      </w:pPr>
    </w:p>
    <w:p>
      <w:pPr>
        <w:ind w:left="165" w:hanging="165"/>
        <w:spacing w:after="0"/>
        <w:tabs>
          <w:tab w:leader="none" w:pos="1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Huntington Bank, the 10th largest U.S. bank (public)</w:t>
      </w:r>
    </w:p>
    <w:p>
      <w:pPr>
        <w:spacing w:after="0" w:line="59" w:lineRule="exact"/>
        <w:rPr>
          <w:rFonts w:ascii="Arial" w:cs="Arial" w:eastAsia="Arial" w:hAnsi="Arial"/>
          <w:sz w:val="16"/>
          <w:szCs w:val="16"/>
          <w:color w:val="auto"/>
        </w:rPr>
      </w:pPr>
    </w:p>
    <w:p>
      <w:pPr>
        <w:ind w:left="445" w:right="940" w:hanging="445"/>
        <w:spacing w:after="0" w:line="281" w:lineRule="auto"/>
        <w:tabs>
          <w:tab w:leader="none" w:pos="1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Cadence Bancorporation, a commercial banking company (public), merged into Huntington Bank effective February 2026 (audit committee chair) (2020-2025)</w:t>
      </w:r>
    </w:p>
    <w:p>
      <w:pPr>
        <w:spacing w:after="0" w:line="1" w:lineRule="exact"/>
        <w:rPr>
          <w:rFonts w:ascii="Arial" w:cs="Arial" w:eastAsia="Arial" w:hAnsi="Arial"/>
          <w:sz w:val="16"/>
          <w:szCs w:val="16"/>
          <w:color w:val="auto"/>
        </w:rPr>
      </w:pPr>
    </w:p>
    <w:p>
      <w:pPr>
        <w:ind w:left="165" w:hanging="165"/>
        <w:spacing w:after="0"/>
        <w:tabs>
          <w:tab w:leader="none" w:pos="1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State Bank &amp; Trust Company, now a division of Cadence Bank (2010-2019)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46355</wp:posOffset>
            </wp:positionV>
            <wp:extent cx="58032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032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455"/>
            <w:col w:w="8385"/>
          </w:cols>
          <w:pgMar w:left="440" w:top="11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-1398905</wp:posOffset>
            </wp:positionV>
            <wp:extent cx="916940" cy="130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2020</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60</w:t>
      </w:r>
    </w:p>
    <w:p>
      <w:pPr>
        <w:spacing w:after="0" w:line="4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3465B0"/>
        </w:rPr>
        <w:t>Independent</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3465B0"/>
        </w:rPr>
        <w:t>Committees:</w:t>
      </w:r>
    </w:p>
    <w:p>
      <w:pPr>
        <w:spacing w:after="0" w:line="5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Committee (Chair)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3465B0"/>
        </w:rPr>
        <w:t>Susan Somersille Johnson</w:t>
      </w:r>
    </w:p>
    <w:p>
      <w:pPr>
        <w:spacing w:after="0" w:line="45" w:lineRule="exact"/>
        <w:rPr>
          <w:sz w:val="20"/>
          <w:szCs w:val="20"/>
          <w:color w:val="auto"/>
        </w:rPr>
      </w:pPr>
    </w:p>
    <w:p>
      <w:pPr>
        <w:jc w:val="both"/>
        <w:ind w:right="960"/>
        <w:spacing w:after="0" w:line="256" w:lineRule="auto"/>
        <w:rPr>
          <w:sz w:val="20"/>
          <w:szCs w:val="20"/>
          <w:color w:val="auto"/>
        </w:rPr>
      </w:pPr>
      <w:r>
        <w:rPr>
          <w:rFonts w:ascii="Arial" w:cs="Arial" w:eastAsia="Arial" w:hAnsi="Arial"/>
          <w:sz w:val="16"/>
          <w:szCs w:val="16"/>
          <w:color w:val="auto"/>
        </w:rPr>
        <w:t>Ms. Johnson most recently served as the Chief Marketing Officer for Prudential Financial, Inc., a provider of financial products and services, from 2020 to 2024. Ms. Johnson brings to our Board of Directors extensive marketing and digital communication, retail, ESG and sustainability, and financial and accounting experience, along with senior leadership, public company board and risk oversight experience.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460" w:right="940" w:hanging="451"/>
        <w:spacing w:after="0" w:line="281" w:lineRule="auto"/>
        <w:tabs>
          <w:tab w:leader="none" w:pos="17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Executive Vice President and Chief Marketing Officer of Truist Financial, a bank holding company, a full-service financial services company (2014-2020)</w:t>
      </w:r>
    </w:p>
    <w:p>
      <w:pPr>
        <w:spacing w:after="0" w:line="1" w:lineRule="exact"/>
        <w:rPr>
          <w:rFonts w:ascii="Arial" w:cs="Arial" w:eastAsia="Arial" w:hAnsi="Arial"/>
          <w:sz w:val="16"/>
          <w:szCs w:val="16"/>
          <w:color w:val="auto"/>
        </w:rPr>
      </w:pPr>
    </w:p>
    <w:p>
      <w:pPr>
        <w:ind w:left="460" w:right="940" w:hanging="451"/>
        <w:spacing w:after="0" w:line="281" w:lineRule="auto"/>
        <w:tabs>
          <w:tab w:leader="none" w:pos="17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Vice President, Global Marketing, of NCR Corporation, a software, consulting and technology company (2012-2014)</w:t>
      </w:r>
    </w:p>
    <w:p>
      <w:pPr>
        <w:spacing w:after="0" w:line="1" w:lineRule="exact"/>
        <w:rPr>
          <w:rFonts w:ascii="Arial" w:cs="Arial" w:eastAsia="Arial" w:hAnsi="Arial"/>
          <w:sz w:val="16"/>
          <w:szCs w:val="16"/>
          <w:color w:val="auto"/>
        </w:rPr>
      </w:pPr>
    </w:p>
    <w:p>
      <w:pPr>
        <w:ind w:left="460" w:right="960" w:hanging="451"/>
        <w:spacing w:after="0" w:line="286" w:lineRule="auto"/>
        <w:tabs>
          <w:tab w:leader="none" w:pos="17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Global Head of Customer Marketing; Head of Software Marketing Programs, of Nokia Corporation, a telecommunications company (2007-2012)</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460" w:right="960" w:hanging="451"/>
        <w:spacing w:after="0" w:line="286" w:lineRule="auto"/>
        <w:tabs>
          <w:tab w:leader="none" w:pos="17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Constellation Brands, a leading international producer and marketer of beer, wine, and spirits (public) (2017-2024)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5080</wp:posOffset>
            </wp:positionV>
            <wp:extent cx="58032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03265" cy="889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81915</wp:posOffset>
            </wp:positionV>
            <wp:extent cx="205740"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40"/>
            <w:col w:w="8380"/>
          </w:cols>
          <w:pgMar w:left="440" w:top="114" w:right="43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8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40" w:type="dxa"/>
            <w:vAlign w:val="bottom"/>
          </w:tcPr>
          <w:p>
            <w:pPr>
              <w:jc w:val="right"/>
              <w:ind w:right="859"/>
              <w:spacing w:after="0"/>
              <w:rPr>
                <w:sz w:val="20"/>
                <w:szCs w:val="20"/>
                <w:color w:val="auto"/>
              </w:rPr>
            </w:pPr>
            <w:r>
              <w:rPr>
                <w:rFonts w:ascii="Arial" w:cs="Arial" w:eastAsia="Arial" w:hAnsi="Arial"/>
                <w:sz w:val="16"/>
                <w:szCs w:val="16"/>
                <w:b w:val="1"/>
                <w:bCs w:val="1"/>
                <w:color w:val="auto"/>
              </w:rPr>
              <w:t>11</w:t>
            </w:r>
          </w:p>
        </w:tc>
      </w:tr>
      <w:tr>
        <w:trPr>
          <w:trHeight w:val="258"/>
        </w:trPr>
        <w:tc>
          <w:tcPr>
            <w:tcW w:w="95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type w:val="continuous"/>
        </w:sectPr>
      </w:pPr>
    </w:p>
    <w:bookmarkStart w:id="18" w:name="page19"/>
    <w:bookmarkEnd w:id="1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7"/>
          <w:szCs w:val="17"/>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138430</wp:posOffset>
            </wp:positionV>
            <wp:extent cx="916940" cy="130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2020</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67</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Independent</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Committees:</w:t>
      </w:r>
    </w:p>
    <w:p>
      <w:pPr>
        <w:spacing w:after="0" w:line="55" w:lineRule="exact"/>
        <w:rPr>
          <w:sz w:val="20"/>
          <w:szCs w:val="20"/>
          <w:color w:val="auto"/>
        </w:rPr>
      </w:pPr>
    </w:p>
    <w:p>
      <w:pPr>
        <w:ind w:left="80"/>
        <w:spacing w:after="0" w:line="263" w:lineRule="auto"/>
        <w:rPr>
          <w:sz w:val="20"/>
          <w:szCs w:val="20"/>
          <w:color w:val="auto"/>
        </w:rPr>
      </w:pPr>
      <w:r>
        <w:rPr>
          <w:rFonts w:ascii="Arial" w:cs="Arial" w:eastAsia="Arial" w:hAnsi="Arial"/>
          <w:sz w:val="14"/>
          <w:szCs w:val="14"/>
          <w:color w:val="auto"/>
        </w:rPr>
        <w:t>Audit Committee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312420</wp:posOffset>
            </wp:positionV>
            <wp:extent cx="916940" cy="130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3465B0"/>
        </w:rPr>
        <w:t>Naomi Kelman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47231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92" w:lineRule="exact"/>
        <w:rPr>
          <w:sz w:val="20"/>
          <w:szCs w:val="20"/>
          <w:color w:val="auto"/>
        </w:rPr>
      </w:pPr>
    </w:p>
    <w:p>
      <w:pPr>
        <w:jc w:val="both"/>
        <w:ind w:left="5" w:right="20"/>
        <w:spacing w:after="0" w:line="256" w:lineRule="auto"/>
        <w:rPr>
          <w:sz w:val="20"/>
          <w:szCs w:val="20"/>
          <w:color w:val="auto"/>
        </w:rPr>
      </w:pPr>
      <w:r>
        <w:rPr>
          <w:rFonts w:ascii="Arial" w:cs="Arial" w:eastAsia="Arial" w:hAnsi="Arial"/>
          <w:sz w:val="16"/>
          <w:szCs w:val="16"/>
          <w:color w:val="auto"/>
        </w:rPr>
        <w:t>Ms. Kelman most recently served as President and Chief Executive Officer of Willow Innovations, Inc., a revolutionary women’s health company, from 2014 to 2019. Ms. Kelman brings to our Board of Directors extensive knowledge of the healthcare industry and senior leadership, marketing and digital communication, government/regulatory and human capital knowledge from her time as CEO of Willow and prior leadership roles in the optical and healthcare industries.</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165" w:hanging="165"/>
        <w:spacing w:after="0"/>
        <w:tabs>
          <w:tab w:leader="none" w:pos="1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Global Division Head of Novartis OTC, a division of Novartis, a healthcare company (2011-2012)</w:t>
      </w:r>
    </w:p>
    <w:p>
      <w:pPr>
        <w:spacing w:after="0" w:line="59" w:lineRule="exact"/>
        <w:rPr>
          <w:rFonts w:ascii="Arial" w:cs="Arial" w:eastAsia="Arial" w:hAnsi="Arial"/>
          <w:sz w:val="16"/>
          <w:szCs w:val="16"/>
          <w:color w:val="auto"/>
        </w:rPr>
      </w:pPr>
    </w:p>
    <w:p>
      <w:pPr>
        <w:ind w:left="165" w:hanging="165"/>
        <w:spacing w:after="0"/>
        <w:tabs>
          <w:tab w:leader="none" w:pos="1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Various executive roles at Johnson &amp; Johnson, a focused healthcare company (2000-2011)</w:t>
      </w:r>
    </w:p>
    <w:p>
      <w:pPr>
        <w:spacing w:after="0" w:line="59" w:lineRule="exact"/>
        <w:rPr>
          <w:rFonts w:ascii="Arial" w:cs="Arial" w:eastAsia="Arial" w:hAnsi="Arial"/>
          <w:sz w:val="16"/>
          <w:szCs w:val="16"/>
          <w:color w:val="auto"/>
        </w:rPr>
      </w:pPr>
    </w:p>
    <w:p>
      <w:pPr>
        <w:ind w:left="165" w:hanging="165"/>
        <w:spacing w:after="0"/>
        <w:tabs>
          <w:tab w:leader="none" w:pos="1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President, Lifescan North America, One Touch diabetes business (2009-2011)</w:t>
      </w:r>
    </w:p>
    <w:p>
      <w:pPr>
        <w:spacing w:after="0" w:line="59" w:lineRule="exact"/>
        <w:rPr>
          <w:rFonts w:ascii="Arial" w:cs="Arial" w:eastAsia="Arial" w:hAnsi="Arial"/>
          <w:sz w:val="16"/>
          <w:szCs w:val="16"/>
          <w:color w:val="auto"/>
        </w:rPr>
      </w:pPr>
    </w:p>
    <w:p>
      <w:pPr>
        <w:ind w:left="445" w:hanging="445"/>
        <w:spacing w:after="0" w:line="286" w:lineRule="auto"/>
        <w:tabs>
          <w:tab w:leader="none" w:pos="1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President, Vistakon Americas (Acuvue Contact Lenses), a division of Johnson &amp; Johnson Vision Care (2004-2009)</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165" w:hanging="165"/>
        <w:spacing w:after="0"/>
        <w:tabs>
          <w:tab w:leader="none" w:pos="1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Mirvie, a biotechnology company (private)</w:t>
      </w:r>
    </w:p>
    <w:p>
      <w:pPr>
        <w:spacing w:after="0" w:line="59" w:lineRule="exact"/>
        <w:rPr>
          <w:rFonts w:ascii="Arial" w:cs="Arial" w:eastAsia="Arial" w:hAnsi="Arial"/>
          <w:sz w:val="16"/>
          <w:szCs w:val="16"/>
          <w:color w:val="auto"/>
        </w:rPr>
      </w:pPr>
    </w:p>
    <w:p>
      <w:pPr>
        <w:ind w:left="165" w:hanging="165"/>
        <w:spacing w:after="0"/>
        <w:tabs>
          <w:tab w:leader="none" w:pos="1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Blue River PetCare (Chair), a leading operator of veterinary hospitals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46355</wp:posOffset>
            </wp:positionV>
            <wp:extent cx="58032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40" w:space="575"/>
            <w:col w:w="7445"/>
          </w:cols>
          <w:pgMar w:left="1360" w:top="114"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2025</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64</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Independent</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Committees:</w:t>
      </w:r>
    </w:p>
    <w:p>
      <w:pPr>
        <w:spacing w:after="0" w:line="55" w:lineRule="exact"/>
        <w:rPr>
          <w:sz w:val="20"/>
          <w:szCs w:val="20"/>
          <w:color w:val="auto"/>
        </w:rPr>
      </w:pPr>
    </w:p>
    <w:p>
      <w:pPr>
        <w:ind w:left="80" w:right="80"/>
        <w:spacing w:after="0" w:line="285" w:lineRule="auto"/>
        <w:rPr>
          <w:sz w:val="20"/>
          <w:szCs w:val="20"/>
          <w:color w:val="auto"/>
        </w:rPr>
      </w:pPr>
      <w:r>
        <w:rPr>
          <w:rFonts w:ascii="Arial" w:cs="Arial" w:eastAsia="Arial" w:hAnsi="Arial"/>
          <w:sz w:val="14"/>
          <w:szCs w:val="14"/>
          <w:color w:val="auto"/>
        </w:rPr>
        <w:t>Compensation Committee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3465B0"/>
        </w:rPr>
        <w:t>James M. McGrann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47231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92" w:lineRule="exact"/>
        <w:rPr>
          <w:sz w:val="20"/>
          <w:szCs w:val="20"/>
          <w:color w:val="auto"/>
        </w:rPr>
      </w:pPr>
    </w:p>
    <w:p>
      <w:pPr>
        <w:jc w:val="both"/>
        <w:ind w:left="5" w:right="20"/>
        <w:spacing w:after="0" w:line="266" w:lineRule="auto"/>
        <w:rPr>
          <w:sz w:val="20"/>
          <w:szCs w:val="20"/>
          <w:color w:val="auto"/>
        </w:rPr>
      </w:pPr>
      <w:r>
        <w:rPr>
          <w:rFonts w:ascii="Arial" w:cs="Arial" w:eastAsia="Arial" w:hAnsi="Arial"/>
          <w:sz w:val="16"/>
          <w:szCs w:val="16"/>
          <w:color w:val="auto"/>
        </w:rPr>
        <w:t>Mr. McGrann has served as the Chief Executive Officer of Advancing Eyecare, a leading provider of ophthalmic instruments, since 2023. Mr. McGrann brings to the Board deep experience across the optical space as an eye care industry veteran with nearly 30 years of experience across the industry.</w:t>
      </w:r>
    </w:p>
    <w:p>
      <w:pPr>
        <w:spacing w:after="0" w:line="1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445" w:right="20" w:hanging="445"/>
        <w:spacing w:after="0" w:line="281" w:lineRule="auto"/>
        <w:tabs>
          <w:tab w:leader="none" w:pos="1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President and Chief Operating Officer of Percept Corporation, a wearable technology company (2023)</w:t>
      </w:r>
    </w:p>
    <w:p>
      <w:pPr>
        <w:spacing w:after="0" w:line="1" w:lineRule="exact"/>
        <w:rPr>
          <w:rFonts w:ascii="Arial" w:cs="Arial" w:eastAsia="Arial" w:hAnsi="Arial"/>
          <w:sz w:val="16"/>
          <w:szCs w:val="16"/>
          <w:color w:val="auto"/>
        </w:rPr>
      </w:pPr>
    </w:p>
    <w:p>
      <w:pPr>
        <w:ind w:left="445" w:right="20" w:hanging="445"/>
        <w:spacing w:after="0" w:line="281" w:lineRule="auto"/>
        <w:tabs>
          <w:tab w:leader="none" w:pos="1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Founder and Chief Executive Officer of HH&amp;S Management Consulting, LLC, a business consulting firm (2017-2023)</w:t>
      </w:r>
    </w:p>
    <w:p>
      <w:pPr>
        <w:spacing w:after="0" w:line="1" w:lineRule="exact"/>
        <w:rPr>
          <w:rFonts w:ascii="Arial" w:cs="Arial" w:eastAsia="Arial" w:hAnsi="Arial"/>
          <w:sz w:val="16"/>
          <w:szCs w:val="16"/>
          <w:color w:val="auto"/>
        </w:rPr>
      </w:pPr>
    </w:p>
    <w:p>
      <w:pPr>
        <w:ind w:left="445" w:hanging="445"/>
        <w:spacing w:after="0" w:line="281" w:lineRule="auto"/>
        <w:tabs>
          <w:tab w:leader="none" w:pos="1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Chairman and Chief Executive Officer of Professional Eye Care Associates of America (PECAA), a community of independent eye care professionals, (2017-2022)</w:t>
      </w:r>
    </w:p>
    <w:p>
      <w:pPr>
        <w:spacing w:after="0" w:line="1" w:lineRule="exact"/>
        <w:rPr>
          <w:rFonts w:ascii="Arial" w:cs="Arial" w:eastAsia="Arial" w:hAnsi="Arial"/>
          <w:sz w:val="16"/>
          <w:szCs w:val="16"/>
          <w:color w:val="auto"/>
        </w:rPr>
      </w:pPr>
    </w:p>
    <w:p>
      <w:pPr>
        <w:ind w:left="445" w:right="20" w:hanging="445"/>
        <w:spacing w:after="0" w:line="281" w:lineRule="auto"/>
        <w:tabs>
          <w:tab w:leader="none" w:pos="1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President and Chief Executive Officer of VSP Global, a vision care health insurance company (2015-2017)</w:t>
      </w:r>
    </w:p>
    <w:p>
      <w:pPr>
        <w:spacing w:after="0" w:line="1" w:lineRule="exact"/>
        <w:rPr>
          <w:rFonts w:ascii="Arial" w:cs="Arial" w:eastAsia="Arial" w:hAnsi="Arial"/>
          <w:sz w:val="16"/>
          <w:szCs w:val="16"/>
          <w:color w:val="auto"/>
        </w:rPr>
      </w:pPr>
    </w:p>
    <w:p>
      <w:pPr>
        <w:ind w:left="165" w:hanging="165"/>
        <w:spacing w:after="0"/>
        <w:tabs>
          <w:tab w:leader="none" w:pos="1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President (2011-2015) and Chief Technology Officer (2010-2012) of VSP Vision Care</w:t>
      </w:r>
    </w:p>
    <w:p>
      <w:pPr>
        <w:spacing w:after="0" w:line="59" w:lineRule="exact"/>
        <w:rPr>
          <w:rFonts w:ascii="Arial" w:cs="Arial" w:eastAsia="Arial" w:hAnsi="Arial"/>
          <w:sz w:val="16"/>
          <w:szCs w:val="16"/>
          <w:color w:val="auto"/>
        </w:rPr>
      </w:pPr>
    </w:p>
    <w:p>
      <w:pPr>
        <w:ind w:left="165" w:hanging="165"/>
        <w:spacing w:after="0"/>
        <w:tabs>
          <w:tab w:leader="none" w:pos="1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President and Chief Executive Officer of Eyefinity, a VSP Vision company (2008-2012)</w:t>
      </w:r>
    </w:p>
    <w:p>
      <w:pPr>
        <w:spacing w:after="0" w:line="59" w:lineRule="exact"/>
        <w:rPr>
          <w:rFonts w:ascii="Arial" w:cs="Arial" w:eastAsia="Arial" w:hAnsi="Arial"/>
          <w:sz w:val="16"/>
          <w:szCs w:val="16"/>
          <w:color w:val="auto"/>
        </w:rPr>
      </w:pPr>
    </w:p>
    <w:p>
      <w:pPr>
        <w:ind w:left="445" w:hanging="445"/>
        <w:spacing w:after="0" w:line="286" w:lineRule="auto"/>
        <w:tabs>
          <w:tab w:leader="none" w:pos="1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Senior Vice President and Chief Information Officer of Marchon Eyewear, Inc., one of the world’s largest manufacturers and distributors of eyewear (1999-2008)</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445" w:hanging="445"/>
        <w:spacing w:after="0" w:line="281" w:lineRule="auto"/>
        <w:tabs>
          <w:tab w:leader="none" w:pos="1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The Vision Council (Vice Chair), a non-profit organization serving as a global voice for eyewear and eyecare</w:t>
      </w:r>
    </w:p>
    <w:p>
      <w:pPr>
        <w:spacing w:after="0" w:line="1" w:lineRule="exact"/>
        <w:rPr>
          <w:rFonts w:ascii="Arial" w:cs="Arial" w:eastAsia="Arial" w:hAnsi="Arial"/>
          <w:sz w:val="16"/>
          <w:szCs w:val="16"/>
          <w:color w:val="auto"/>
        </w:rPr>
      </w:pPr>
    </w:p>
    <w:p>
      <w:pPr>
        <w:ind w:left="445" w:hanging="445"/>
        <w:spacing w:after="0" w:line="281" w:lineRule="auto"/>
        <w:tabs>
          <w:tab w:leader="none" w:pos="1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Prevent Blindness (Chair), the nation’s leading non-profit voluntary eye health organization dedicated to preventing blindness and preserving sight</w:t>
      </w:r>
    </w:p>
    <w:p>
      <w:pPr>
        <w:spacing w:after="0" w:line="1" w:lineRule="exact"/>
        <w:rPr>
          <w:rFonts w:ascii="Arial" w:cs="Arial" w:eastAsia="Arial" w:hAnsi="Arial"/>
          <w:sz w:val="16"/>
          <w:szCs w:val="16"/>
          <w:color w:val="auto"/>
        </w:rPr>
      </w:pPr>
    </w:p>
    <w:p>
      <w:pPr>
        <w:ind w:left="165" w:hanging="165"/>
        <w:spacing w:after="0"/>
        <w:tabs>
          <w:tab w:leader="none" w:pos="1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Percept Corporation (private)</w:t>
      </w:r>
    </w:p>
    <w:p>
      <w:pPr>
        <w:spacing w:after="0" w:line="59" w:lineRule="exact"/>
        <w:rPr>
          <w:rFonts w:ascii="Arial" w:cs="Arial" w:eastAsia="Arial" w:hAnsi="Arial"/>
          <w:sz w:val="16"/>
          <w:szCs w:val="16"/>
          <w:color w:val="auto"/>
        </w:rPr>
      </w:pPr>
    </w:p>
    <w:p>
      <w:pPr>
        <w:ind w:left="165" w:hanging="165"/>
        <w:spacing w:after="0"/>
        <w:tabs>
          <w:tab w:leader="none" w:pos="1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Ocuco, an optical software company (private)</w:t>
      </w:r>
    </w:p>
    <w:p>
      <w:pPr>
        <w:spacing w:after="0" w:line="59" w:lineRule="exact"/>
        <w:rPr>
          <w:rFonts w:ascii="Arial" w:cs="Arial" w:eastAsia="Arial" w:hAnsi="Arial"/>
          <w:sz w:val="16"/>
          <w:szCs w:val="16"/>
          <w:color w:val="auto"/>
        </w:rPr>
      </w:pPr>
    </w:p>
    <w:p>
      <w:pPr>
        <w:ind w:left="445" w:right="20" w:hanging="445"/>
        <w:spacing w:after="0" w:line="275" w:lineRule="auto"/>
        <w:tabs>
          <w:tab w:leader="none" w:pos="1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Kepler Vision, a management services organization providing non-clinical administrative support services to Optometry practices nationwide (private) (2023-2025) (compensation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127000</wp:posOffset>
            </wp:positionV>
            <wp:extent cx="58032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635"/>
            <w:col w:w="7445"/>
          </w:cols>
          <w:pgMar w:left="1360" w:top="114" w:right="1379" w:bottom="1440" w:gutter="0" w:footer="0" w:header="0"/>
          <w:type w:val="continuous"/>
        </w:sectPr>
      </w:pPr>
    </w:p>
    <w:p>
      <w:pPr>
        <w:spacing w:after="0" w:line="90" w:lineRule="exact"/>
        <w:rPr>
          <w:sz w:val="20"/>
          <w:szCs w:val="20"/>
          <w:color w:val="auto"/>
        </w:rPr>
      </w:pPr>
    </w:p>
    <w:p>
      <w:pPr>
        <w:ind w:left="360" w:hanging="346"/>
        <w:spacing w:after="0"/>
        <w:tabs>
          <w:tab w:leader="none" w:pos="360" w:val="left"/>
        </w:tabs>
        <w:numPr>
          <w:ilvl w:val="0"/>
          <w:numId w:val="26"/>
        </w:numPr>
        <w:rPr>
          <w:rFonts w:ascii="Arial" w:cs="Arial" w:eastAsia="Arial" w:hAnsi="Arial"/>
          <w:sz w:val="15"/>
          <w:szCs w:val="15"/>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19" w:name="page20"/>
    <w:bookmarkEnd w:id="19"/>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-1398905</wp:posOffset>
            </wp:positionV>
            <wp:extent cx="916940" cy="130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2025</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59</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Independent</w:t>
      </w:r>
    </w:p>
    <w:p>
      <w:pPr>
        <w:spacing w:after="0" w:line="136"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Committees:</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Audit Committee</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Nominating and</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Corporate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477520</wp:posOffset>
            </wp:positionV>
            <wp:extent cx="916940" cy="130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3945"/>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-118745</wp:posOffset>
            </wp:positionV>
            <wp:extent cx="573468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26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3465B0"/>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47231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92" w:lineRule="exact"/>
        <w:rPr>
          <w:sz w:val="20"/>
          <w:szCs w:val="20"/>
          <w:color w:val="auto"/>
        </w:rPr>
      </w:pPr>
    </w:p>
    <w:p>
      <w:pPr>
        <w:jc w:val="both"/>
        <w:ind w:left="5" w:right="960"/>
        <w:spacing w:after="0" w:line="254" w:lineRule="auto"/>
        <w:rPr>
          <w:sz w:val="20"/>
          <w:szCs w:val="20"/>
          <w:color w:val="auto"/>
        </w:rPr>
      </w:pPr>
      <w:r>
        <w:rPr>
          <w:rFonts w:ascii="Arial" w:cs="Arial" w:eastAsia="Arial" w:hAnsi="Arial"/>
          <w:sz w:val="16"/>
          <w:szCs w:val="16"/>
          <w:color w:val="auto"/>
        </w:rPr>
        <w:t>Mr. Nicholson has served as the President and Chief Operating Officer of J.Crew Group, an internationally recognized omnichannel retailer and family of legacy American brands; J.Crew, J.Crew Factory and Madewell, since 2020, having previously served as Interim Chief Executive officer from 2019 to 2020 and Chief Financial Officer from 2016 to 2017. Mr. Nicholson is a seasoned retail executive and brings to the Board extensive expertise in business transformation, operations, and finance. Mr. Nicholson is also a Certified Public Accountant.</w:t>
      </w:r>
    </w:p>
    <w:p>
      <w:pPr>
        <w:spacing w:after="0" w:line="15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445" w:right="960" w:hanging="445"/>
        <w:spacing w:after="0" w:line="266" w:lineRule="auto"/>
        <w:tabs>
          <w:tab w:leader="none" w:pos="1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Executive Vice President, Chief Operating Officer and Chief Financial Officer of ANN, Inc., the parent Company of Ann Taylor and LOFT, two of the leading women’s specialty retail fashion brands in North America (2007-2015)</w:t>
      </w:r>
    </w:p>
    <w:p>
      <w:pPr>
        <w:spacing w:after="0" w:line="9" w:lineRule="exact"/>
        <w:rPr>
          <w:rFonts w:ascii="Arial" w:cs="Arial" w:eastAsia="Arial" w:hAnsi="Arial"/>
          <w:sz w:val="16"/>
          <w:szCs w:val="16"/>
          <w:color w:val="auto"/>
        </w:rPr>
      </w:pPr>
    </w:p>
    <w:p>
      <w:pPr>
        <w:ind w:left="445" w:right="940" w:hanging="445"/>
        <w:spacing w:after="0" w:line="266" w:lineRule="auto"/>
        <w:tabs>
          <w:tab w:leader="none" w:pos="1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Various executive positions at Limited Brands, Inc., a specialty retail company, including Executive Vice President, Chief Operating Officer and Chief Financial Officer for Victoria’s Secret Beauty, a subsidiary of Limited Brands, Inc., at the time. (2000-2007)</w:t>
      </w:r>
    </w:p>
    <w:p>
      <w:pPr>
        <w:spacing w:after="0" w:line="9" w:lineRule="exact"/>
        <w:rPr>
          <w:rFonts w:ascii="Arial" w:cs="Arial" w:eastAsia="Arial" w:hAnsi="Arial"/>
          <w:sz w:val="16"/>
          <w:szCs w:val="16"/>
          <w:color w:val="auto"/>
        </w:rPr>
      </w:pPr>
    </w:p>
    <w:p>
      <w:pPr>
        <w:ind w:left="445" w:right="960" w:hanging="445"/>
        <w:spacing w:after="0" w:line="286" w:lineRule="auto"/>
        <w:tabs>
          <w:tab w:leader="none" w:pos="1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Senior leadership positions at Colgate-Palmolive, Altria, and PwC, where he played key roles in developing financial strategy and implementing operational excellence (1988-2000)</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445" w:right="960" w:hanging="445"/>
        <w:spacing w:after="0" w:line="286" w:lineRule="auto"/>
        <w:tabs>
          <w:tab w:leader="none" w:pos="1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The Container Store (audit committee chair), a national, multi-channel retailer dedicated to helping people improve their lives through the power of organization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5080</wp:posOffset>
            </wp:positionV>
            <wp:extent cx="58032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575"/>
            <w:col w:w="8385"/>
          </w:cols>
          <w:pgMar w:left="440" w:top="11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2024</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62</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Independent</w:t>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3465B0"/>
        </w:rPr>
        <w:t>Committees:</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Audit Committee</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(Chair)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3465B0"/>
        </w:rPr>
        <w:t>Susan O’Farrell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47231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92" w:lineRule="exact"/>
        <w:rPr>
          <w:sz w:val="20"/>
          <w:szCs w:val="20"/>
          <w:color w:val="auto"/>
        </w:rPr>
      </w:pPr>
    </w:p>
    <w:p>
      <w:pPr>
        <w:jc w:val="both"/>
        <w:ind w:left="5" w:right="940"/>
        <w:spacing w:after="0" w:line="255" w:lineRule="auto"/>
        <w:rPr>
          <w:sz w:val="20"/>
          <w:szCs w:val="20"/>
          <w:color w:val="auto"/>
        </w:rPr>
      </w:pPr>
      <w:r>
        <w:rPr>
          <w:rFonts w:ascii="Arial" w:cs="Arial" w:eastAsia="Arial" w:hAnsi="Arial"/>
          <w:sz w:val="16"/>
          <w:szCs w:val="16"/>
          <w:color w:val="auto"/>
        </w:rPr>
        <w:t>Ms. O’Farrell most recently served as Chief Financial Officer, Principal Accounting Officer and Treasurer at BlueLinx Holdings, Inc., a wholesale distributor of building and industrial products from 2014 to 2020. Ms. O’Farrell brings to the Board a wealth of financial and operational experience encompassing IT, procurement, supply chain and logistics in growth and transformational environments and is qualified financial expert and a holder of the CERT Certificate in Cybersecurity Oversight from Carnegie Mellon.</w:t>
      </w:r>
    </w:p>
    <w:p>
      <w:pPr>
        <w:spacing w:after="0" w:line="19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445" w:right="960" w:hanging="445"/>
        <w:spacing w:after="0" w:line="281" w:lineRule="auto"/>
        <w:tabs>
          <w:tab w:leader="none" w:pos="1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Senior financial executive in various roles at The Home Depot, a leading home improvement omni-channel retailer (1999-2014)</w:t>
      </w:r>
    </w:p>
    <w:p>
      <w:pPr>
        <w:spacing w:after="0" w:line="1" w:lineRule="exact"/>
        <w:rPr>
          <w:rFonts w:ascii="Arial" w:cs="Arial" w:eastAsia="Arial" w:hAnsi="Arial"/>
          <w:sz w:val="16"/>
          <w:szCs w:val="16"/>
          <w:color w:val="auto"/>
        </w:rPr>
      </w:pPr>
    </w:p>
    <w:p>
      <w:pPr>
        <w:ind w:left="445" w:right="960" w:hanging="445"/>
        <w:spacing w:after="0" w:line="286" w:lineRule="auto"/>
        <w:tabs>
          <w:tab w:leader="none" w:pos="1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Director of Southern Company Gas, formerly AGL Resources, an American Fortune 500 energy services holding company (1996-1999)</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Other Directorships</w:t>
      </w:r>
    </w:p>
    <w:p>
      <w:pPr>
        <w:spacing w:after="0" w:line="59" w:lineRule="exact"/>
        <w:rPr>
          <w:sz w:val="20"/>
          <w:szCs w:val="20"/>
          <w:color w:val="auto"/>
        </w:rPr>
      </w:pPr>
    </w:p>
    <w:p>
      <w:pPr>
        <w:ind w:left="165" w:hanging="165"/>
        <w:spacing w:after="0"/>
        <w:tabs>
          <w:tab w:leader="none" w:pos="1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Savers Value Village, Inc., the largest for-profit thrift operator in the U.S. and Canada (public)</w:t>
      </w:r>
    </w:p>
    <w:p>
      <w:pPr>
        <w:spacing w:after="0" w:line="59" w:lineRule="exact"/>
        <w:rPr>
          <w:rFonts w:ascii="Arial" w:cs="Arial" w:eastAsia="Arial" w:hAnsi="Arial"/>
          <w:sz w:val="16"/>
          <w:szCs w:val="16"/>
          <w:color w:val="auto"/>
        </w:rPr>
      </w:pPr>
    </w:p>
    <w:p>
      <w:pPr>
        <w:ind w:left="165" w:hanging="165"/>
        <w:spacing w:after="0"/>
        <w:tabs>
          <w:tab w:leader="none" w:pos="1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Leslie’s Inc., a specialty retailer of pool supplies (public)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89535</wp:posOffset>
            </wp:positionV>
            <wp:extent cx="58032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166370</wp:posOffset>
            </wp:positionV>
            <wp:extent cx="20574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2060" w:space="575"/>
            <w:col w:w="8385"/>
          </w:cols>
          <w:pgMar w:left="440" w:top="114" w:right="4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13</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type w:val="continuous"/>
        </w:sectPr>
      </w:pPr>
    </w:p>
    <w:bookmarkStart w:id="20" w:name="page21"/>
    <w:bookmarkEnd w:id="2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7"/>
          <w:szCs w:val="17"/>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137795</wp:posOffset>
            </wp:positionV>
            <wp:extent cx="916940" cy="130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16940" cy="1303020"/>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Director since: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2024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465B0"/>
        </w:rPr>
        <w:t xml:space="preserve">Age: </w:t>
      </w:r>
      <w:r>
        <w:rPr>
          <w:rFonts w:ascii="Arial" w:cs="Arial" w:eastAsia="Arial" w:hAnsi="Arial"/>
          <w:sz w:val="14"/>
          <w:szCs w:val="14"/>
          <w:color w:val="000000"/>
        </w:rPr>
        <w:t>48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3465B0"/>
        </w:rPr>
        <w:t>Caitlin Zulla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47231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92" w:lineRule="exact"/>
        <w:rPr>
          <w:sz w:val="20"/>
          <w:szCs w:val="20"/>
          <w:color w:val="auto"/>
        </w:rPr>
      </w:pPr>
    </w:p>
    <w:p>
      <w:pPr>
        <w:jc w:val="both"/>
        <w:ind w:left="5"/>
        <w:spacing w:after="0" w:line="259" w:lineRule="auto"/>
        <w:rPr>
          <w:sz w:val="20"/>
          <w:szCs w:val="20"/>
          <w:color w:val="auto"/>
        </w:rPr>
      </w:pPr>
      <w:r>
        <w:rPr>
          <w:rFonts w:ascii="Arial" w:cs="Arial" w:eastAsia="Arial" w:hAnsi="Arial"/>
          <w:sz w:val="16"/>
          <w:szCs w:val="16"/>
          <w:color w:val="auto"/>
        </w:rPr>
        <w:t>Ms. Zulla serves as Chief Executive Officer of Lumexa Imaging (formerly US Radiology Specialists), one of the nation’s premier providers of diagnostic imaging services, where she leads teams committed to clinical and operational excellence and delivering the highest quality of imaging care. Ms. Zulla brings to the Board over 20 years of health care services operating experience.</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3465B0"/>
        </w:rPr>
        <w:t>Prior Experience</w:t>
      </w:r>
    </w:p>
    <w:p>
      <w:pPr>
        <w:spacing w:after="0" w:line="59" w:lineRule="exact"/>
        <w:rPr>
          <w:sz w:val="20"/>
          <w:szCs w:val="20"/>
          <w:color w:val="auto"/>
        </w:rPr>
      </w:pPr>
    </w:p>
    <w:p>
      <w:pPr>
        <w:ind w:left="165" w:hanging="165"/>
        <w:spacing w:after="0"/>
        <w:tabs>
          <w:tab w:leader="none" w:pos="1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Chief Executive Officer, Optum Health East (2023-2025)</w:t>
      </w:r>
    </w:p>
    <w:p>
      <w:pPr>
        <w:spacing w:after="0" w:line="59" w:lineRule="exact"/>
        <w:rPr>
          <w:rFonts w:ascii="Arial" w:cs="Arial" w:eastAsia="Arial" w:hAnsi="Arial"/>
          <w:sz w:val="16"/>
          <w:szCs w:val="16"/>
          <w:color w:val="auto"/>
        </w:rPr>
      </w:pPr>
    </w:p>
    <w:p>
      <w:pPr>
        <w:ind w:left="165" w:hanging="165"/>
        <w:spacing w:after="0"/>
        <w:tabs>
          <w:tab w:leader="none" w:pos="1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Chief Executive Officer, SCA Health (2018-2019)</w:t>
      </w:r>
    </w:p>
    <w:p>
      <w:pPr>
        <w:spacing w:after="0" w:line="59" w:lineRule="exact"/>
        <w:rPr>
          <w:rFonts w:ascii="Arial" w:cs="Arial" w:eastAsia="Arial" w:hAnsi="Arial"/>
          <w:sz w:val="16"/>
          <w:szCs w:val="16"/>
          <w:color w:val="auto"/>
        </w:rPr>
      </w:pPr>
    </w:p>
    <w:p>
      <w:pPr>
        <w:ind w:left="445" w:hanging="445"/>
        <w:spacing w:after="0" w:line="286" w:lineRule="auto"/>
        <w:tabs>
          <w:tab w:leader="none" w:pos="1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Various roles at SCA Health including Chief Financial Officer, Chief Administrative Officer and Senior Vice President of Revenue Cycle (2015-2017)</w:t>
      </w:r>
    </w:p>
    <w:p>
      <w:pPr>
        <w:spacing w:after="0" w:line="185" w:lineRule="exact"/>
        <w:rPr>
          <w:sz w:val="20"/>
          <w:szCs w:val="20"/>
          <w:color w:val="auto"/>
        </w:rPr>
      </w:pPr>
    </w:p>
    <w:p>
      <w:pPr>
        <w:sectPr>
          <w:pgSz w:w="11900" w:h="16838" w:orient="portrait"/>
          <w:cols w:equalWidth="0" w:num="2">
            <w:col w:w="1080" w:space="635"/>
            <w:col w:w="7425"/>
          </w:cols>
          <w:pgMar w:left="1360" w:top="114" w:right="139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1360" w:type="dxa"/>
            <w:vAlign w:val="bottom"/>
          </w:tcPr>
          <w:p>
            <w:pPr>
              <w:ind w:left="80"/>
              <w:spacing w:after="0"/>
              <w:rPr>
                <w:sz w:val="20"/>
                <w:szCs w:val="20"/>
                <w:color w:val="auto"/>
              </w:rPr>
            </w:pPr>
            <w:r>
              <w:rPr>
                <w:rFonts w:ascii="Arial" w:cs="Arial" w:eastAsia="Arial" w:hAnsi="Arial"/>
                <w:sz w:val="14"/>
                <w:szCs w:val="14"/>
                <w:b w:val="1"/>
                <w:bCs w:val="1"/>
                <w:color w:val="3465B0"/>
              </w:rPr>
              <w:t>Independent</w:t>
            </w:r>
          </w:p>
        </w:tc>
        <w:tc>
          <w:tcPr>
            <w:tcW w:w="7780" w:type="dxa"/>
            <w:vAlign w:val="bottom"/>
          </w:tcPr>
          <w:p>
            <w:pPr>
              <w:ind w:left="360"/>
              <w:spacing w:after="0"/>
              <w:rPr>
                <w:sz w:val="20"/>
                <w:szCs w:val="20"/>
                <w:color w:val="auto"/>
              </w:rPr>
            </w:pPr>
            <w:r>
              <w:rPr>
                <w:rFonts w:ascii="Arial" w:cs="Arial" w:eastAsia="Arial" w:hAnsi="Arial"/>
                <w:sz w:val="16"/>
                <w:szCs w:val="16"/>
                <w:b w:val="1"/>
                <w:bCs w:val="1"/>
                <w:color w:val="3465B0"/>
              </w:rPr>
              <w:t>Other Directorships</w:t>
            </w:r>
          </w:p>
        </w:tc>
        <w:tc>
          <w:tcPr>
            <w:tcW w:w="0" w:type="dxa"/>
            <w:vAlign w:val="bottom"/>
          </w:tcPr>
          <w:p>
            <w:pPr>
              <w:spacing w:after="0"/>
              <w:rPr>
                <w:sz w:val="1"/>
                <w:szCs w:val="1"/>
                <w:color w:val="auto"/>
              </w:rPr>
            </w:pPr>
          </w:p>
        </w:tc>
      </w:tr>
      <w:tr>
        <w:trPr>
          <w:trHeight w:val="216"/>
        </w:trPr>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3465B0"/>
              </w:rPr>
              <w:t>Committees:</w:t>
            </w:r>
          </w:p>
        </w:tc>
        <w:tc>
          <w:tcPr>
            <w:tcW w:w="7780" w:type="dxa"/>
            <w:vAlign w:val="bottom"/>
          </w:tcPr>
          <w:p>
            <w:pPr>
              <w:ind w:left="3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0"/>
                <w:szCs w:val="10"/>
                <w:color w:val="3465B0"/>
              </w:rPr>
              <w:t>•</w:t>
            </w:r>
            <w:r>
              <w:rPr>
                <w:rFonts w:ascii="Arial" w:cs="Arial" w:eastAsia="Arial" w:hAnsi="Arial"/>
                <w:sz w:val="16"/>
                <w:szCs w:val="16"/>
                <w:color w:val="auto"/>
              </w:rPr>
              <w:t xml:space="preserve">  Lumexa Imaging (public)</w:t>
            </w:r>
          </w:p>
        </w:tc>
        <w:tc>
          <w:tcPr>
            <w:tcW w:w="0" w:type="dxa"/>
            <w:vAlign w:val="bottom"/>
          </w:tcPr>
          <w:p>
            <w:pPr>
              <w:spacing w:after="0"/>
              <w:rPr>
                <w:sz w:val="1"/>
                <w:szCs w:val="1"/>
                <w:color w:val="auto"/>
              </w:rPr>
            </w:pPr>
          </w:p>
        </w:tc>
      </w:tr>
      <w:tr>
        <w:trPr>
          <w:trHeight w:val="81"/>
        </w:trPr>
        <w:tc>
          <w:tcPr>
            <w:tcW w:w="1360" w:type="dxa"/>
            <w:vAlign w:val="bottom"/>
            <w:vMerge w:val="continue"/>
          </w:tcPr>
          <w:p>
            <w:pPr>
              <w:spacing w:after="0"/>
              <w:rPr>
                <w:sz w:val="7"/>
                <w:szCs w:val="7"/>
                <w:color w:val="auto"/>
              </w:rPr>
            </w:pPr>
          </w:p>
        </w:tc>
        <w:tc>
          <w:tcPr>
            <w:tcW w:w="7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80"/>
              <w:spacing w:after="0"/>
              <w:rPr>
                <w:sz w:val="20"/>
                <w:szCs w:val="20"/>
                <w:color w:val="auto"/>
              </w:rPr>
            </w:pPr>
            <w:r>
              <w:rPr>
                <w:rFonts w:ascii="Arial" w:cs="Arial" w:eastAsia="Arial" w:hAnsi="Arial"/>
                <w:sz w:val="14"/>
                <w:szCs w:val="14"/>
                <w:color w:val="auto"/>
              </w:rPr>
              <w:t>Compensation</w:t>
            </w:r>
          </w:p>
        </w:tc>
        <w:tc>
          <w:tcPr>
            <w:tcW w:w="7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80"/>
              <w:spacing w:after="0"/>
              <w:rPr>
                <w:sz w:val="20"/>
                <w:szCs w:val="20"/>
                <w:color w:val="auto"/>
              </w:rPr>
            </w:pPr>
            <w:r>
              <w:rPr>
                <w:rFonts w:ascii="Arial" w:cs="Arial" w:eastAsia="Arial" w:hAnsi="Arial"/>
                <w:sz w:val="14"/>
                <w:szCs w:val="14"/>
                <w:color w:val="auto"/>
              </w:rPr>
              <w:t>Committee</w:t>
            </w:r>
          </w:p>
        </w:tc>
        <w:tc>
          <w:tcPr>
            <w:tcW w:w="7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36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60" w:hanging="346"/>
        <w:spacing w:after="0"/>
        <w:tabs>
          <w:tab w:leader="none" w:pos="360" w:val="left"/>
        </w:tabs>
        <w:numPr>
          <w:ilvl w:val="0"/>
          <w:numId w:val="32"/>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114" w:right="1399" w:bottom="1440" w:gutter="0" w:footer="0" w:header="0"/>
          <w:type w:val="continuous"/>
        </w:sectPr>
      </w:pPr>
    </w:p>
    <w:bookmarkStart w:id="21" w:name="page22"/>
    <w:bookmarkEnd w:id="21"/>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Qualifications, Skills and Experience of our Directors</w:t>
      </w:r>
    </w:p>
    <w:p>
      <w:pPr>
        <w:spacing w:after="0" w:line="139"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and Nominating and Corporate Governance Committee Charter. The application of these factors involves the exercise of judgment. The committee does not have a standard set of fixed qualifications applicable to all director candidates but at a minimum assesses each candidate’s integrity, accountability, skills, experience, independence, other outside commitments and ability to work collegially with the other members of the Board.</w:t>
      </w:r>
    </w:p>
    <w:p>
      <w:pPr>
        <w:spacing w:after="0" w:line="117" w:lineRule="exact"/>
        <w:rPr>
          <w:sz w:val="20"/>
          <w:szCs w:val="20"/>
          <w:color w:val="auto"/>
        </w:rPr>
      </w:pPr>
    </w:p>
    <w:p>
      <w:pPr>
        <w:jc w:val="both"/>
        <w:ind w:left="940" w:right="940"/>
        <w:spacing w:after="0" w:line="239" w:lineRule="auto"/>
        <w:rPr>
          <w:sz w:val="20"/>
          <w:szCs w:val="20"/>
          <w:color w:val="auto"/>
        </w:rPr>
      </w:pPr>
      <w:r>
        <w:rPr>
          <w:rFonts w:ascii="Arial" w:cs="Arial" w:eastAsia="Arial" w:hAnsi="Arial"/>
          <w:sz w:val="18"/>
          <w:szCs w:val="18"/>
          <w:color w:val="auto"/>
        </w:rPr>
        <w:t>The Board regularly evaluates the experience, qualifications, attributes or skills, taken as a whole, of our current directors and nominees, to ensure that our Board is able satisfy its oversight responsibilities effectively in light of our business and structure. As part of this evaluation, the Board considers areas where additional expertise or skills may be needed. In recommending the director nominees listed in this proxy statement, the Board focused primarily on each person’s background and experience as reflected in the information discussed in the individual biographies set forth above. We believe that our director nominees provide an appropriate mix of experience and skills relevant to the size and nature of our business and are representative of diverse backgrounds. The following highlights some of the important characteristics, key qualifications, attributes or skills of our current directors that allow our Board to provide effective oversight of our business operations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188595</wp:posOffset>
            </wp:positionV>
            <wp:extent cx="5786120" cy="4465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8612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77470</wp:posOffset>
            </wp:positionV>
            <wp:extent cx="20574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15</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Identifying Director Nominees</w:t>
      </w:r>
    </w:p>
    <w:p>
      <w:pPr>
        <w:spacing w:after="0" w:line="13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nominating and corporate governance committee may identify, recommend and assist in recruiting candidates for election to the Board of Directors on its own, or by considering recommendations from stockholders, officers and employees of the Company and other sources that the committee deems appropriate. The nominating and corporate governance committee may also retain a third-party search firm to assist in the identification of possible candidates for election to the Board.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Stockholder Recommendations of Director Candidates</w:t>
      </w:r>
    </w:p>
    <w:p>
      <w:pPr>
        <w:spacing w:after="0" w:line="126"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committee will consider director candidates recommended by stockholders on a substantially similar basis as recommendations from other sources. Any recommendation submitted to the Secretary of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recommend a candidate for consideration may do so by submitting the required information to the attention of the Secretary, National Vision Holdings, Inc.,2000 Newpoint Parkway, Suite 100, Lawrenceville, Georgia 30043. All recommendations for nomination received by the Secretary that satisfy our bylaw requirements relating to director nominations will be presented to the nominating and corporate governance committee for its consideration. If stockholders want to formally nominate a director candidate for election, they must satisfy the notification, timeliness, consent and information requirements set forth in our bylaws. These requirements are also described under “Stockholder Proposals for the 2026 Annual Meeting.”</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6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 and are available in the investors section of our website, www.nationalvision.com.</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80" w:type="dxa"/>
            <w:vAlign w:val="bottom"/>
            <w:tcBorders>
              <w:left w:val="single" w:sz="8" w:color="3465B0"/>
            </w:tcBorders>
            <w:shd w:val="clear" w:color="auto" w:fill="3465B0"/>
          </w:tcPr>
          <w:p>
            <w:pPr>
              <w:spacing w:after="0"/>
              <w:rPr>
                <w:sz w:val="24"/>
                <w:szCs w:val="24"/>
                <w:color w:val="auto"/>
              </w:rPr>
            </w:pPr>
          </w:p>
        </w:tc>
        <w:tc>
          <w:tcPr>
            <w:tcW w:w="4520" w:type="dxa"/>
            <w:vAlign w:val="bottom"/>
            <w:tcBorders>
              <w:right w:val="single" w:sz="8" w:color="3465B0"/>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Corporate Governance and Board Practices</w:t>
            </w:r>
          </w:p>
        </w:tc>
        <w:tc>
          <w:tcPr>
            <w:tcW w:w="4560" w:type="dxa"/>
            <w:vAlign w:val="bottom"/>
            <w:tcBorders>
              <w:right w:val="single" w:sz="8" w:color="3465B0"/>
            </w:tcBorders>
            <w:shd w:val="clear" w:color="auto" w:fill="3465B0"/>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 w:type="dxa"/>
            <w:vAlign w:val="bottom"/>
            <w:tcBorders>
              <w:left w:val="single" w:sz="8" w:color="3465B0"/>
            </w:tcBorders>
          </w:tcPr>
          <w:p>
            <w:pPr>
              <w:spacing w:after="0"/>
              <w:rPr>
                <w:sz w:val="23"/>
                <w:szCs w:val="23"/>
                <w:color w:val="auto"/>
              </w:rPr>
            </w:pPr>
          </w:p>
        </w:tc>
        <w:tc>
          <w:tcPr>
            <w:tcW w:w="452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All directors are elected annually</w:t>
            </w:r>
          </w:p>
        </w:tc>
        <w:tc>
          <w:tcPr>
            <w:tcW w:w="4560" w:type="dxa"/>
            <w:vAlign w:val="bottom"/>
            <w:tcBorders>
              <w:right w:val="single" w:sz="8" w:color="3465B0"/>
            </w:tcBorders>
          </w:tcPr>
          <w:p>
            <w:pPr>
              <w:ind w:left="180"/>
              <w:spacing w:after="0"/>
              <w:rPr>
                <w:sz w:val="20"/>
                <w:szCs w:val="20"/>
                <w:color w:val="auto"/>
              </w:rPr>
            </w:pPr>
            <w:r>
              <w:rPr>
                <w:rFonts w:ascii="Arial" w:cs="Arial" w:eastAsia="Arial" w:hAnsi="Arial"/>
                <w:sz w:val="18"/>
                <w:szCs w:val="18"/>
                <w:color w:val="auto"/>
              </w:rPr>
              <w:t>    Regular review of committee charters and</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Majority voting in uncontested director elections</w:t>
            </w:r>
          </w:p>
        </w:tc>
        <w:tc>
          <w:tcPr>
            <w:tcW w:w="4560" w:type="dxa"/>
            <w:vAlign w:val="bottom"/>
            <w:tcBorders>
              <w:right w:val="single" w:sz="8" w:color="3465B0"/>
            </w:tcBorders>
          </w:tcPr>
          <w:p>
            <w:pPr>
              <w:ind w:left="360"/>
              <w:spacing w:after="0" w:line="202" w:lineRule="exact"/>
              <w:rPr>
                <w:sz w:val="20"/>
                <w:szCs w:val="20"/>
                <w:color w:val="auto"/>
              </w:rPr>
            </w:pPr>
            <w:r>
              <w:rPr>
                <w:rFonts w:ascii="Arial" w:cs="Arial" w:eastAsia="Arial" w:hAnsi="Arial"/>
                <w:sz w:val="18"/>
                <w:szCs w:val="18"/>
                <w:color w:val="auto"/>
              </w:rPr>
              <w:t>Corporate Governance Guidelines incorporating</w:t>
            </w:r>
          </w:p>
        </w:tc>
        <w:tc>
          <w:tcPr>
            <w:tcW w:w="0" w:type="dxa"/>
            <w:vAlign w:val="bottom"/>
          </w:tcPr>
          <w:p>
            <w:pPr>
              <w:spacing w:after="0"/>
              <w:rPr>
                <w:sz w:val="1"/>
                <w:szCs w:val="1"/>
                <w:color w:val="auto"/>
              </w:rPr>
            </w:pPr>
          </w:p>
        </w:tc>
      </w:tr>
      <w:tr>
        <w:trPr>
          <w:trHeight w:val="144"/>
        </w:trPr>
        <w:tc>
          <w:tcPr>
            <w:tcW w:w="80" w:type="dxa"/>
            <w:vAlign w:val="bottom"/>
            <w:tcBorders>
              <w:left w:val="single" w:sz="8" w:color="3465B0"/>
            </w:tcBorders>
          </w:tcPr>
          <w:p>
            <w:pPr>
              <w:spacing w:after="0"/>
              <w:rPr>
                <w:sz w:val="12"/>
                <w:szCs w:val="12"/>
                <w:color w:val="auto"/>
              </w:rPr>
            </w:pPr>
          </w:p>
        </w:tc>
        <w:tc>
          <w:tcPr>
            <w:tcW w:w="4520" w:type="dxa"/>
            <w:vAlign w:val="bottom"/>
            <w:tcBorders>
              <w:right w:val="single" w:sz="8" w:color="93A1D2"/>
            </w:tcBorders>
            <w:vMerge w:val="continue"/>
          </w:tcPr>
          <w:p>
            <w:pPr>
              <w:spacing w:after="0"/>
              <w:rPr>
                <w:sz w:val="12"/>
                <w:szCs w:val="12"/>
                <w:color w:val="auto"/>
              </w:rPr>
            </w:pPr>
          </w:p>
        </w:tc>
        <w:tc>
          <w:tcPr>
            <w:tcW w:w="4560" w:type="dxa"/>
            <w:vAlign w:val="bottom"/>
            <w:tcBorders>
              <w:right w:val="single" w:sz="8" w:color="3465B0"/>
            </w:tcBorders>
            <w:vMerge w:val="restart"/>
          </w:tcPr>
          <w:p>
            <w:pPr>
              <w:ind w:left="360"/>
              <w:spacing w:after="0"/>
              <w:rPr>
                <w:sz w:val="20"/>
                <w:szCs w:val="20"/>
                <w:color w:val="auto"/>
              </w:rPr>
            </w:pPr>
            <w:r>
              <w:rPr>
                <w:rFonts w:ascii="Arial" w:cs="Arial" w:eastAsia="Arial" w:hAnsi="Arial"/>
                <w:sz w:val="18"/>
                <w:szCs w:val="18"/>
                <w:color w:val="auto"/>
              </w:rPr>
              <w:t>evolving best practices, as appropriate</w:t>
            </w:r>
          </w:p>
        </w:tc>
        <w:tc>
          <w:tcPr>
            <w:tcW w:w="0" w:type="dxa"/>
            <w:vAlign w:val="bottom"/>
          </w:tcPr>
          <w:p>
            <w:pPr>
              <w:spacing w:after="0"/>
              <w:rPr>
                <w:sz w:val="1"/>
                <w:szCs w:val="1"/>
                <w:color w:val="auto"/>
              </w:rPr>
            </w:pPr>
          </w:p>
        </w:tc>
      </w:tr>
      <w:tr>
        <w:trPr>
          <w:trHeight w:val="95"/>
        </w:trPr>
        <w:tc>
          <w:tcPr>
            <w:tcW w:w="80" w:type="dxa"/>
            <w:vAlign w:val="bottom"/>
            <w:tcBorders>
              <w:left w:val="single" w:sz="8" w:color="3465B0"/>
            </w:tcBorders>
          </w:tcPr>
          <w:p>
            <w:pPr>
              <w:spacing w:after="0"/>
              <w:rPr>
                <w:sz w:val="8"/>
                <w:szCs w:val="8"/>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Recently updated bylaws to enhance corporate</w:t>
            </w:r>
          </w:p>
        </w:tc>
        <w:tc>
          <w:tcPr>
            <w:tcW w:w="4560" w:type="dxa"/>
            <w:vAlign w:val="bottom"/>
            <w:tcBorders>
              <w:right w:val="single" w:sz="8" w:color="3465B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80" w:type="dxa"/>
            <w:vAlign w:val="bottom"/>
            <w:tcBorders>
              <w:left w:val="single" w:sz="8" w:color="3465B0"/>
            </w:tcBorders>
          </w:tcPr>
          <w:p>
            <w:pPr>
              <w:spacing w:after="0"/>
              <w:rPr>
                <w:sz w:val="15"/>
                <w:szCs w:val="15"/>
                <w:color w:val="auto"/>
              </w:rPr>
            </w:pPr>
          </w:p>
        </w:tc>
        <w:tc>
          <w:tcPr>
            <w:tcW w:w="4520" w:type="dxa"/>
            <w:vAlign w:val="bottom"/>
            <w:tcBorders>
              <w:right w:val="single" w:sz="8" w:color="93A1D2"/>
            </w:tcBorders>
            <w:vMerge w:val="continue"/>
          </w:tcPr>
          <w:p>
            <w:pPr>
              <w:spacing w:after="0"/>
              <w:rPr>
                <w:sz w:val="15"/>
                <w:szCs w:val="15"/>
                <w:color w:val="auto"/>
              </w:rPr>
            </w:pPr>
          </w:p>
        </w:tc>
        <w:tc>
          <w:tcPr>
            <w:tcW w:w="4560" w:type="dxa"/>
            <w:vAlign w:val="bottom"/>
            <w:tcBorders>
              <w:right w:val="single" w:sz="8" w:color="3465B0"/>
            </w:tcBorders>
            <w:vMerge w:val="restart"/>
          </w:tcPr>
          <w:p>
            <w:pPr>
              <w:ind w:left="180"/>
              <w:spacing w:after="0"/>
              <w:rPr>
                <w:sz w:val="20"/>
                <w:szCs w:val="20"/>
                <w:color w:val="auto"/>
              </w:rPr>
            </w:pPr>
            <w:r>
              <w:rPr>
                <w:rFonts w:ascii="Arial" w:cs="Arial" w:eastAsia="Arial" w:hAnsi="Arial"/>
                <w:sz w:val="18"/>
                <w:szCs w:val="18"/>
                <w:color w:val="auto"/>
                <w:w w:val="99"/>
              </w:rPr>
              <w:t>    Strong, proactive stockholder engagement program</w:t>
            </w:r>
          </w:p>
        </w:tc>
        <w:tc>
          <w:tcPr>
            <w:tcW w:w="0" w:type="dxa"/>
            <w:vAlign w:val="bottom"/>
          </w:tcPr>
          <w:p>
            <w:pPr>
              <w:spacing w:after="0"/>
              <w:rPr>
                <w:sz w:val="1"/>
                <w:szCs w:val="1"/>
                <w:color w:val="auto"/>
              </w:rPr>
            </w:pPr>
          </w:p>
        </w:tc>
      </w:tr>
      <w:tr>
        <w:trPr>
          <w:trHeight w:val="131"/>
        </w:trPr>
        <w:tc>
          <w:tcPr>
            <w:tcW w:w="80" w:type="dxa"/>
            <w:vAlign w:val="bottom"/>
            <w:tcBorders>
              <w:left w:val="single" w:sz="8" w:color="3465B0"/>
            </w:tcBorders>
          </w:tcPr>
          <w:p>
            <w:pPr>
              <w:spacing w:after="0"/>
              <w:rPr>
                <w:sz w:val="11"/>
                <w:szCs w:val="11"/>
                <w:color w:val="auto"/>
              </w:rPr>
            </w:pPr>
          </w:p>
        </w:tc>
        <w:tc>
          <w:tcPr>
            <w:tcW w:w="4520" w:type="dxa"/>
            <w:vAlign w:val="bottom"/>
            <w:tcBorders>
              <w:right w:val="single" w:sz="8" w:color="93A1D2"/>
            </w:tcBorders>
            <w:vMerge w:val="restart"/>
          </w:tcPr>
          <w:p>
            <w:pPr>
              <w:ind w:left="340"/>
              <w:spacing w:after="0"/>
              <w:rPr>
                <w:sz w:val="20"/>
                <w:szCs w:val="20"/>
                <w:color w:val="auto"/>
              </w:rPr>
            </w:pPr>
            <w:r>
              <w:rPr>
                <w:rFonts w:ascii="Arial" w:cs="Arial" w:eastAsia="Arial" w:hAnsi="Arial"/>
                <w:sz w:val="18"/>
                <w:szCs w:val="18"/>
                <w:color w:val="auto"/>
              </w:rPr>
              <w:t>governance practices</w:t>
            </w:r>
          </w:p>
        </w:tc>
        <w:tc>
          <w:tcPr>
            <w:tcW w:w="4560" w:type="dxa"/>
            <w:vAlign w:val="bottom"/>
            <w:tcBorders>
              <w:right w:val="single" w:sz="8" w:color="3465B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 w:type="dxa"/>
            <w:vAlign w:val="bottom"/>
            <w:tcBorders>
              <w:left w:val="single" w:sz="8" w:color="3465B0"/>
            </w:tcBorders>
          </w:tcPr>
          <w:p>
            <w:pPr>
              <w:spacing w:after="0"/>
              <w:rPr>
                <w:sz w:val="9"/>
                <w:szCs w:val="9"/>
                <w:color w:val="auto"/>
              </w:rPr>
            </w:pPr>
          </w:p>
        </w:tc>
        <w:tc>
          <w:tcPr>
            <w:tcW w:w="4520" w:type="dxa"/>
            <w:vAlign w:val="bottom"/>
            <w:tcBorders>
              <w:right w:val="single" w:sz="8" w:color="93A1D2"/>
            </w:tcBorders>
            <w:vMerge w:val="continue"/>
          </w:tcPr>
          <w:p>
            <w:pPr>
              <w:spacing w:after="0"/>
              <w:rPr>
                <w:sz w:val="9"/>
                <w:szCs w:val="9"/>
                <w:color w:val="auto"/>
              </w:rPr>
            </w:pPr>
          </w:p>
        </w:tc>
        <w:tc>
          <w:tcPr>
            <w:tcW w:w="4560" w:type="dxa"/>
            <w:vAlign w:val="bottom"/>
            <w:tcBorders>
              <w:right w:val="single" w:sz="8" w:color="3465B0"/>
            </w:tcBorders>
            <w:vMerge w:val="restart"/>
          </w:tcPr>
          <w:p>
            <w:pPr>
              <w:ind w:left="180"/>
              <w:spacing w:after="0"/>
              <w:rPr>
                <w:sz w:val="20"/>
                <w:szCs w:val="20"/>
                <w:color w:val="auto"/>
              </w:rPr>
            </w:pPr>
            <w:r>
              <w:rPr>
                <w:rFonts w:ascii="Arial" w:cs="Arial" w:eastAsia="Arial" w:hAnsi="Arial"/>
                <w:sz w:val="18"/>
                <w:szCs w:val="18"/>
                <w:color w:val="auto"/>
              </w:rPr>
              <w:t>    Annual Board and committee self-assessments</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Lead Independent Director of the Board</w:t>
            </w:r>
          </w:p>
        </w:tc>
        <w:tc>
          <w:tcPr>
            <w:tcW w:w="4560" w:type="dxa"/>
            <w:vAlign w:val="bottom"/>
            <w:tcBorders>
              <w:right w:val="single" w:sz="8" w:color="3465B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0" w:type="dxa"/>
            <w:vAlign w:val="bottom"/>
            <w:tcBorders>
              <w:left w:val="single" w:sz="8" w:color="3465B0"/>
            </w:tcBorders>
          </w:tcPr>
          <w:p>
            <w:pPr>
              <w:spacing w:after="0"/>
              <w:rPr>
                <w:sz w:val="9"/>
                <w:szCs w:val="9"/>
                <w:color w:val="auto"/>
              </w:rPr>
            </w:pPr>
          </w:p>
        </w:tc>
        <w:tc>
          <w:tcPr>
            <w:tcW w:w="4520" w:type="dxa"/>
            <w:vAlign w:val="bottom"/>
            <w:tcBorders>
              <w:right w:val="single" w:sz="8" w:color="93A1D2"/>
            </w:tcBorders>
            <w:vMerge w:val="continue"/>
          </w:tcPr>
          <w:p>
            <w:pPr>
              <w:spacing w:after="0"/>
              <w:rPr>
                <w:sz w:val="9"/>
                <w:szCs w:val="9"/>
                <w:color w:val="auto"/>
              </w:rPr>
            </w:pPr>
          </w:p>
        </w:tc>
        <w:tc>
          <w:tcPr>
            <w:tcW w:w="4560" w:type="dxa"/>
            <w:vAlign w:val="bottom"/>
            <w:tcBorders>
              <w:right w:val="single" w:sz="8" w:color="3465B0"/>
            </w:tcBorders>
            <w:vMerge w:val="restart"/>
          </w:tcPr>
          <w:p>
            <w:pPr>
              <w:ind w:left="180"/>
              <w:spacing w:after="0"/>
              <w:rPr>
                <w:sz w:val="20"/>
                <w:szCs w:val="20"/>
                <w:color w:val="auto"/>
              </w:rPr>
            </w:pPr>
            <w:r>
              <w:rPr>
                <w:rFonts w:ascii="Arial" w:cs="Arial" w:eastAsia="Arial" w:hAnsi="Arial"/>
                <w:sz w:val="18"/>
                <w:szCs w:val="18"/>
                <w:color w:val="auto"/>
              </w:rPr>
              <w:t>    Regular Board executive sessions without</w:t>
            </w:r>
          </w:p>
        </w:tc>
        <w:tc>
          <w:tcPr>
            <w:tcW w:w="0" w:type="dxa"/>
            <w:vAlign w:val="bottom"/>
          </w:tcPr>
          <w:p>
            <w:pPr>
              <w:spacing w:after="0"/>
              <w:rPr>
                <w:sz w:val="1"/>
                <w:szCs w:val="1"/>
                <w:color w:val="auto"/>
              </w:rPr>
            </w:pPr>
          </w:p>
        </w:tc>
      </w:tr>
      <w:tr>
        <w:trPr>
          <w:trHeight w:val="166"/>
        </w:trPr>
        <w:tc>
          <w:tcPr>
            <w:tcW w:w="80" w:type="dxa"/>
            <w:vAlign w:val="bottom"/>
            <w:tcBorders>
              <w:left w:val="single" w:sz="8" w:color="3465B0"/>
            </w:tcBorders>
          </w:tcPr>
          <w:p>
            <w:pPr>
              <w:spacing w:after="0"/>
              <w:rPr>
                <w:sz w:val="14"/>
                <w:szCs w:val="14"/>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Nine of eleven director nominees are independent</w:t>
            </w:r>
          </w:p>
        </w:tc>
        <w:tc>
          <w:tcPr>
            <w:tcW w:w="4560" w:type="dxa"/>
            <w:vAlign w:val="bottom"/>
            <w:tcBorders>
              <w:right w:val="single" w:sz="8" w:color="3465B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3465B0"/>
            </w:tcBorders>
          </w:tcPr>
          <w:p>
            <w:pPr>
              <w:spacing w:after="0"/>
              <w:rPr>
                <w:sz w:val="12"/>
                <w:szCs w:val="12"/>
                <w:color w:val="auto"/>
              </w:rPr>
            </w:pPr>
          </w:p>
        </w:tc>
        <w:tc>
          <w:tcPr>
            <w:tcW w:w="4520" w:type="dxa"/>
            <w:vAlign w:val="bottom"/>
            <w:tcBorders>
              <w:right w:val="single" w:sz="8" w:color="93A1D2"/>
            </w:tcBorders>
            <w:vMerge w:val="continue"/>
          </w:tcPr>
          <w:p>
            <w:pPr>
              <w:spacing w:after="0"/>
              <w:rPr>
                <w:sz w:val="12"/>
                <w:szCs w:val="12"/>
                <w:color w:val="auto"/>
              </w:rPr>
            </w:pPr>
          </w:p>
        </w:tc>
        <w:tc>
          <w:tcPr>
            <w:tcW w:w="4560" w:type="dxa"/>
            <w:vAlign w:val="bottom"/>
            <w:tcBorders>
              <w:right w:val="single" w:sz="8" w:color="3465B0"/>
            </w:tcBorders>
            <w:vMerge w:val="restart"/>
          </w:tcPr>
          <w:p>
            <w:pPr>
              <w:ind w:left="360"/>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95"/>
        </w:trPr>
        <w:tc>
          <w:tcPr>
            <w:tcW w:w="80" w:type="dxa"/>
            <w:vAlign w:val="bottom"/>
            <w:tcBorders>
              <w:left w:val="single" w:sz="8" w:color="3465B0"/>
            </w:tcBorders>
          </w:tcPr>
          <w:p>
            <w:pPr>
              <w:spacing w:after="0"/>
              <w:rPr>
                <w:sz w:val="8"/>
                <w:szCs w:val="8"/>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All committee members are independent</w:t>
            </w:r>
          </w:p>
        </w:tc>
        <w:tc>
          <w:tcPr>
            <w:tcW w:w="4560" w:type="dxa"/>
            <w:vAlign w:val="bottom"/>
            <w:tcBorders>
              <w:right w:val="single" w:sz="8" w:color="3465B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3465B0"/>
            </w:tcBorders>
          </w:tcPr>
          <w:p>
            <w:pPr>
              <w:spacing w:after="0"/>
              <w:rPr>
                <w:sz w:val="18"/>
                <w:szCs w:val="18"/>
                <w:color w:val="auto"/>
              </w:rPr>
            </w:pPr>
          </w:p>
        </w:tc>
        <w:tc>
          <w:tcPr>
            <w:tcW w:w="4520" w:type="dxa"/>
            <w:vAlign w:val="bottom"/>
            <w:tcBorders>
              <w:right w:val="single" w:sz="8" w:color="93A1D2"/>
            </w:tcBorders>
            <w:vMerge w:val="continue"/>
          </w:tcPr>
          <w:p>
            <w:pPr>
              <w:spacing w:after="0"/>
              <w:rPr>
                <w:sz w:val="18"/>
                <w:szCs w:val="18"/>
                <w:color w:val="auto"/>
              </w:rPr>
            </w:pPr>
          </w:p>
        </w:tc>
        <w:tc>
          <w:tcPr>
            <w:tcW w:w="4560" w:type="dxa"/>
            <w:vAlign w:val="bottom"/>
            <w:tcBorders>
              <w:right w:val="single" w:sz="8" w:color="3465B0"/>
            </w:tcBorders>
            <w:vMerge w:val="restart"/>
          </w:tcPr>
          <w:p>
            <w:pPr>
              <w:ind w:left="180"/>
              <w:spacing w:after="0"/>
              <w:rPr>
                <w:sz w:val="20"/>
                <w:szCs w:val="20"/>
                <w:color w:val="auto"/>
              </w:rPr>
            </w:pPr>
            <w:r>
              <w:rPr>
                <w:rFonts w:ascii="Arial" w:cs="Arial" w:eastAsia="Arial" w:hAnsi="Arial"/>
                <w:sz w:val="18"/>
                <w:szCs w:val="18"/>
                <w:color w:val="auto"/>
              </w:rPr>
              <w:t>    Formal Board and committee oversight of our</w:t>
            </w:r>
          </w:p>
        </w:tc>
        <w:tc>
          <w:tcPr>
            <w:tcW w:w="0" w:type="dxa"/>
            <w:vAlign w:val="bottom"/>
          </w:tcPr>
          <w:p>
            <w:pPr>
              <w:spacing w:after="0"/>
              <w:rPr>
                <w:sz w:val="1"/>
                <w:szCs w:val="1"/>
                <w:color w:val="auto"/>
              </w:rPr>
            </w:pPr>
          </w:p>
        </w:tc>
      </w:tr>
      <w:tr>
        <w:trPr>
          <w:trHeight w:val="58"/>
        </w:trPr>
        <w:tc>
          <w:tcPr>
            <w:tcW w:w="80" w:type="dxa"/>
            <w:vAlign w:val="bottom"/>
            <w:tcBorders>
              <w:left w:val="single" w:sz="8" w:color="3465B0"/>
            </w:tcBorders>
          </w:tcPr>
          <w:p>
            <w:pPr>
              <w:spacing w:after="0"/>
              <w:rPr>
                <w:sz w:val="5"/>
                <w:szCs w:val="5"/>
                <w:color w:val="auto"/>
              </w:rPr>
            </w:pPr>
          </w:p>
        </w:tc>
        <w:tc>
          <w:tcPr>
            <w:tcW w:w="4520" w:type="dxa"/>
            <w:vAlign w:val="bottom"/>
            <w:tcBorders>
              <w:right w:val="single" w:sz="8" w:color="93A1D2"/>
            </w:tcBorders>
          </w:tcPr>
          <w:p>
            <w:pPr>
              <w:spacing w:after="0"/>
              <w:rPr>
                <w:sz w:val="5"/>
                <w:szCs w:val="5"/>
                <w:color w:val="auto"/>
              </w:rPr>
            </w:pPr>
          </w:p>
        </w:tc>
        <w:tc>
          <w:tcPr>
            <w:tcW w:w="4560" w:type="dxa"/>
            <w:vAlign w:val="bottom"/>
            <w:tcBorders>
              <w:right w:val="single" w:sz="8" w:color="3465B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4520" w:type="dxa"/>
            <w:vAlign w:val="bottom"/>
            <w:tcBorders>
              <w:right w:val="single" w:sz="8" w:color="93A1D2"/>
            </w:tcBorders>
          </w:tcPr>
          <w:p>
            <w:pPr>
              <w:ind w:left="160"/>
              <w:spacing w:after="0" w:line="202" w:lineRule="exact"/>
              <w:rPr>
                <w:sz w:val="20"/>
                <w:szCs w:val="20"/>
                <w:color w:val="auto"/>
              </w:rPr>
            </w:pPr>
            <w:r>
              <w:rPr>
                <w:rFonts w:ascii="Arial" w:cs="Arial" w:eastAsia="Arial" w:hAnsi="Arial"/>
                <w:sz w:val="18"/>
                <w:szCs w:val="18"/>
                <w:color w:val="auto"/>
              </w:rPr>
              <w:t>    Five new independent directors over the last five</w:t>
            </w:r>
          </w:p>
        </w:tc>
        <w:tc>
          <w:tcPr>
            <w:tcW w:w="4560" w:type="dxa"/>
            <w:vAlign w:val="bottom"/>
            <w:tcBorders>
              <w:right w:val="single" w:sz="8" w:color="3465B0"/>
            </w:tcBorders>
          </w:tcPr>
          <w:p>
            <w:pPr>
              <w:ind w:left="360"/>
              <w:spacing w:after="0" w:line="202" w:lineRule="exact"/>
              <w:rPr>
                <w:sz w:val="20"/>
                <w:szCs w:val="20"/>
                <w:color w:val="auto"/>
              </w:rPr>
            </w:pPr>
            <w:r>
              <w:rPr>
                <w:rFonts w:ascii="Arial" w:cs="Arial" w:eastAsia="Arial" w:hAnsi="Arial"/>
                <w:sz w:val="18"/>
                <w:szCs w:val="18"/>
                <w:color w:val="auto"/>
              </w:rPr>
              <w:t>business strategy, enterprise risk management,</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4520" w:type="dxa"/>
            <w:vAlign w:val="bottom"/>
            <w:tcBorders>
              <w:right w:val="single" w:sz="8" w:color="93A1D2"/>
            </w:tcBorders>
          </w:tcPr>
          <w:p>
            <w:pPr>
              <w:ind w:left="340"/>
              <w:spacing w:after="0" w:line="202" w:lineRule="exact"/>
              <w:rPr>
                <w:sz w:val="20"/>
                <w:szCs w:val="20"/>
                <w:color w:val="auto"/>
              </w:rPr>
            </w:pPr>
            <w:r>
              <w:rPr>
                <w:rFonts w:ascii="Arial" w:cs="Arial" w:eastAsia="Arial" w:hAnsi="Arial"/>
                <w:sz w:val="18"/>
                <w:szCs w:val="18"/>
                <w:color w:val="auto"/>
              </w:rPr>
              <w:t>years</w:t>
            </w:r>
          </w:p>
        </w:tc>
        <w:tc>
          <w:tcPr>
            <w:tcW w:w="4560" w:type="dxa"/>
            <w:vAlign w:val="bottom"/>
            <w:tcBorders>
              <w:right w:val="single" w:sz="8" w:color="3465B0"/>
            </w:tcBorders>
          </w:tcPr>
          <w:p>
            <w:pPr>
              <w:ind w:left="360"/>
              <w:spacing w:after="0" w:line="202" w:lineRule="exact"/>
              <w:rPr>
                <w:sz w:val="20"/>
                <w:szCs w:val="20"/>
                <w:color w:val="auto"/>
              </w:rPr>
            </w:pPr>
            <w:r>
              <w:rPr>
                <w:rFonts w:ascii="Arial" w:cs="Arial" w:eastAsia="Arial" w:hAnsi="Arial"/>
                <w:sz w:val="18"/>
                <w:szCs w:val="18"/>
                <w:color w:val="auto"/>
              </w:rPr>
              <w:t>cybersecurity, compensation strategy, and</w:t>
            </w: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Nine experienced current and former CEOs/CFOs</w:t>
            </w:r>
          </w:p>
        </w:tc>
        <w:tc>
          <w:tcPr>
            <w:tcW w:w="4560" w:type="dxa"/>
            <w:vAlign w:val="bottom"/>
            <w:tcBorders>
              <w:right w:val="single" w:sz="8" w:color="3465B0"/>
            </w:tcBorders>
          </w:tcPr>
          <w:p>
            <w:pPr>
              <w:ind w:left="360"/>
              <w:spacing w:after="0"/>
              <w:rPr>
                <w:sz w:val="20"/>
                <w:szCs w:val="20"/>
                <w:color w:val="auto"/>
              </w:rPr>
            </w:pPr>
            <w:r>
              <w:rPr>
                <w:rFonts w:ascii="Arial" w:cs="Arial" w:eastAsia="Arial" w:hAnsi="Arial"/>
                <w:sz w:val="18"/>
                <w:szCs w:val="18"/>
                <w:color w:val="auto"/>
              </w:rPr>
              <w:t>sustainability program and strategy</w:t>
            </w:r>
          </w:p>
        </w:tc>
        <w:tc>
          <w:tcPr>
            <w:tcW w:w="0" w:type="dxa"/>
            <w:vAlign w:val="bottom"/>
          </w:tcPr>
          <w:p>
            <w:pPr>
              <w:spacing w:after="0"/>
              <w:rPr>
                <w:sz w:val="1"/>
                <w:szCs w:val="1"/>
                <w:color w:val="auto"/>
              </w:rPr>
            </w:pPr>
          </w:p>
        </w:tc>
      </w:tr>
      <w:tr>
        <w:trPr>
          <w:trHeight w:val="121"/>
        </w:trPr>
        <w:tc>
          <w:tcPr>
            <w:tcW w:w="80" w:type="dxa"/>
            <w:vAlign w:val="bottom"/>
            <w:tcBorders>
              <w:left w:val="single" w:sz="8" w:color="3465B0"/>
            </w:tcBorders>
          </w:tcPr>
          <w:p>
            <w:pPr>
              <w:spacing w:after="0"/>
              <w:rPr>
                <w:sz w:val="10"/>
                <w:szCs w:val="10"/>
                <w:color w:val="auto"/>
              </w:rPr>
            </w:pPr>
          </w:p>
        </w:tc>
        <w:tc>
          <w:tcPr>
            <w:tcW w:w="4520" w:type="dxa"/>
            <w:vAlign w:val="bottom"/>
            <w:tcBorders>
              <w:right w:val="single" w:sz="8" w:color="93A1D2"/>
            </w:tcBorders>
            <w:vMerge w:val="continue"/>
          </w:tcPr>
          <w:p>
            <w:pPr>
              <w:spacing w:after="0"/>
              <w:rPr>
                <w:sz w:val="10"/>
                <w:szCs w:val="10"/>
                <w:color w:val="auto"/>
              </w:rPr>
            </w:pPr>
          </w:p>
        </w:tc>
        <w:tc>
          <w:tcPr>
            <w:tcW w:w="4560" w:type="dxa"/>
            <w:vAlign w:val="bottom"/>
            <w:tcBorders>
              <w:right w:val="single" w:sz="8" w:color="3465B0"/>
            </w:tcBorders>
            <w:vMerge w:val="restart"/>
          </w:tcPr>
          <w:p>
            <w:pPr>
              <w:ind w:left="180"/>
              <w:spacing w:after="0"/>
              <w:rPr>
                <w:sz w:val="20"/>
                <w:szCs w:val="20"/>
                <w:color w:val="auto"/>
              </w:rPr>
            </w:pPr>
            <w:r>
              <w:rPr>
                <w:rFonts w:ascii="Arial" w:cs="Arial" w:eastAsia="Arial" w:hAnsi="Arial"/>
                <w:sz w:val="18"/>
                <w:szCs w:val="18"/>
                <w:color w:val="auto"/>
              </w:rPr>
              <w:t>    Robust director and executive stock ownership</w:t>
            </w:r>
          </w:p>
        </w:tc>
        <w:tc>
          <w:tcPr>
            <w:tcW w:w="0" w:type="dxa"/>
            <w:vAlign w:val="bottom"/>
          </w:tcPr>
          <w:p>
            <w:pPr>
              <w:spacing w:after="0"/>
              <w:rPr>
                <w:sz w:val="1"/>
                <w:szCs w:val="1"/>
                <w:color w:val="auto"/>
              </w:rPr>
            </w:pPr>
          </w:p>
        </w:tc>
      </w:tr>
      <w:tr>
        <w:trPr>
          <w:trHeight w:val="153"/>
        </w:trPr>
        <w:tc>
          <w:tcPr>
            <w:tcW w:w="80" w:type="dxa"/>
            <w:vAlign w:val="bottom"/>
            <w:tcBorders>
              <w:left w:val="single" w:sz="8" w:color="3465B0"/>
            </w:tcBorders>
          </w:tcPr>
          <w:p>
            <w:pPr>
              <w:spacing w:after="0"/>
              <w:rPr>
                <w:sz w:val="13"/>
                <w:szCs w:val="13"/>
                <w:color w:val="auto"/>
              </w:rPr>
            </w:pPr>
          </w:p>
        </w:tc>
        <w:tc>
          <w:tcPr>
            <w:tcW w:w="452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Of our eleven director nominees, five are female</w:t>
            </w:r>
          </w:p>
        </w:tc>
        <w:tc>
          <w:tcPr>
            <w:tcW w:w="4560" w:type="dxa"/>
            <w:vAlign w:val="bottom"/>
            <w:tcBorders>
              <w:right w:val="single" w:sz="8" w:color="3465B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 w:type="dxa"/>
            <w:vAlign w:val="bottom"/>
            <w:tcBorders>
              <w:left w:val="single" w:sz="8" w:color="3465B0"/>
            </w:tcBorders>
          </w:tcPr>
          <w:p>
            <w:pPr>
              <w:spacing w:after="0"/>
              <w:rPr>
                <w:sz w:val="10"/>
                <w:szCs w:val="10"/>
                <w:color w:val="auto"/>
              </w:rPr>
            </w:pPr>
          </w:p>
        </w:tc>
        <w:tc>
          <w:tcPr>
            <w:tcW w:w="4520" w:type="dxa"/>
            <w:vAlign w:val="bottom"/>
            <w:tcBorders>
              <w:right w:val="single" w:sz="8" w:color="93A1D2"/>
            </w:tcBorders>
            <w:vMerge w:val="continue"/>
          </w:tcPr>
          <w:p>
            <w:pPr>
              <w:spacing w:after="0"/>
              <w:rPr>
                <w:sz w:val="10"/>
                <w:szCs w:val="10"/>
                <w:color w:val="auto"/>
              </w:rPr>
            </w:pPr>
          </w:p>
        </w:tc>
        <w:tc>
          <w:tcPr>
            <w:tcW w:w="4560" w:type="dxa"/>
            <w:vAlign w:val="bottom"/>
            <w:tcBorders>
              <w:right w:val="single" w:sz="8" w:color="3465B0"/>
            </w:tcBorders>
            <w:vMerge w:val="restart"/>
          </w:tcPr>
          <w:p>
            <w:pPr>
              <w:ind w:left="360"/>
              <w:spacing w:after="0"/>
              <w:rPr>
                <w:sz w:val="20"/>
                <w:szCs w:val="20"/>
                <w:color w:val="auto"/>
              </w:rPr>
            </w:pPr>
            <w:r>
              <w:rPr>
                <w:rFonts w:ascii="Arial" w:cs="Arial" w:eastAsia="Arial" w:hAnsi="Arial"/>
                <w:sz w:val="18"/>
                <w:szCs w:val="18"/>
                <w:color w:val="auto"/>
              </w:rPr>
              <w:t>guidelines</w:t>
            </w:r>
          </w:p>
        </w:tc>
        <w:tc>
          <w:tcPr>
            <w:tcW w:w="0" w:type="dxa"/>
            <w:vAlign w:val="bottom"/>
          </w:tcPr>
          <w:p>
            <w:pPr>
              <w:spacing w:after="0"/>
              <w:rPr>
                <w:sz w:val="1"/>
                <w:szCs w:val="1"/>
                <w:color w:val="auto"/>
              </w:rPr>
            </w:pPr>
          </w:p>
        </w:tc>
      </w:tr>
      <w:tr>
        <w:trPr>
          <w:trHeight w:val="117"/>
        </w:trPr>
        <w:tc>
          <w:tcPr>
            <w:tcW w:w="80" w:type="dxa"/>
            <w:vAlign w:val="bottom"/>
            <w:tcBorders>
              <w:left w:val="single" w:sz="8" w:color="3465B0"/>
            </w:tcBorders>
          </w:tcPr>
          <w:p>
            <w:pPr>
              <w:spacing w:after="0"/>
              <w:rPr>
                <w:sz w:val="10"/>
                <w:szCs w:val="10"/>
                <w:color w:val="auto"/>
              </w:rPr>
            </w:pPr>
          </w:p>
        </w:tc>
        <w:tc>
          <w:tcPr>
            <w:tcW w:w="4520" w:type="dxa"/>
            <w:vAlign w:val="bottom"/>
            <w:tcBorders>
              <w:right w:val="single" w:sz="8" w:color="93A1D2"/>
            </w:tcBorders>
            <w:vMerge w:val="restart"/>
          </w:tcPr>
          <w:p>
            <w:pPr>
              <w:ind w:left="340"/>
              <w:spacing w:after="0"/>
              <w:rPr>
                <w:sz w:val="20"/>
                <w:szCs w:val="20"/>
                <w:color w:val="auto"/>
              </w:rPr>
            </w:pPr>
            <w:r>
              <w:rPr>
                <w:rFonts w:ascii="Arial" w:cs="Arial" w:eastAsia="Arial" w:hAnsi="Arial"/>
                <w:sz w:val="18"/>
                <w:szCs w:val="18"/>
                <w:color w:val="auto"/>
              </w:rPr>
              <w:t>and two are racially or ethnically diverse</w:t>
            </w:r>
          </w:p>
        </w:tc>
        <w:tc>
          <w:tcPr>
            <w:tcW w:w="4560" w:type="dxa"/>
            <w:vAlign w:val="bottom"/>
            <w:tcBorders>
              <w:right w:val="single" w:sz="8" w:color="3465B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tcBorders>
              <w:left w:val="single" w:sz="8" w:color="3465B0"/>
            </w:tcBorders>
          </w:tcPr>
          <w:p>
            <w:pPr>
              <w:spacing w:after="0"/>
              <w:rPr>
                <w:sz w:val="10"/>
                <w:szCs w:val="10"/>
                <w:color w:val="auto"/>
              </w:rPr>
            </w:pPr>
          </w:p>
        </w:tc>
        <w:tc>
          <w:tcPr>
            <w:tcW w:w="4520" w:type="dxa"/>
            <w:vAlign w:val="bottom"/>
            <w:tcBorders>
              <w:right w:val="single" w:sz="8" w:color="93A1D2"/>
            </w:tcBorders>
            <w:vMerge w:val="continue"/>
          </w:tcPr>
          <w:p>
            <w:pPr>
              <w:spacing w:after="0"/>
              <w:rPr>
                <w:sz w:val="10"/>
                <w:szCs w:val="10"/>
                <w:color w:val="auto"/>
              </w:rPr>
            </w:pPr>
          </w:p>
        </w:tc>
        <w:tc>
          <w:tcPr>
            <w:tcW w:w="4560" w:type="dxa"/>
            <w:vAlign w:val="bottom"/>
            <w:tcBorders>
              <w:right w:val="single" w:sz="8" w:color="3465B0"/>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80" w:type="dxa"/>
            <w:vAlign w:val="bottom"/>
            <w:tcBorders>
              <w:left w:val="single" w:sz="8" w:color="3465B0"/>
            </w:tcBorders>
          </w:tcPr>
          <w:p>
            <w:pPr>
              <w:spacing w:after="0"/>
              <w:rPr>
                <w:sz w:val="23"/>
                <w:szCs w:val="23"/>
                <w:color w:val="auto"/>
              </w:rPr>
            </w:pPr>
          </w:p>
        </w:tc>
        <w:tc>
          <w:tcPr>
            <w:tcW w:w="452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No restrictions on directors’ access to</w:t>
            </w:r>
          </w:p>
        </w:tc>
        <w:tc>
          <w:tcPr>
            <w:tcW w:w="4560" w:type="dxa"/>
            <w:vAlign w:val="bottom"/>
            <w:tcBorders>
              <w:right w:val="single" w:sz="8" w:color="3465B0"/>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80" w:type="dxa"/>
            <w:vAlign w:val="bottom"/>
            <w:tcBorders>
              <w:left w:val="single" w:sz="8" w:color="3465B0"/>
            </w:tcBorders>
          </w:tcPr>
          <w:p>
            <w:pPr>
              <w:spacing w:after="0"/>
              <w:rPr>
                <w:sz w:val="23"/>
                <w:szCs w:val="23"/>
                <w:color w:val="auto"/>
              </w:rPr>
            </w:pPr>
          </w:p>
        </w:tc>
        <w:tc>
          <w:tcPr>
            <w:tcW w:w="452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management</w:t>
            </w:r>
          </w:p>
        </w:tc>
        <w:tc>
          <w:tcPr>
            <w:tcW w:w="4560" w:type="dxa"/>
            <w:vAlign w:val="bottom"/>
            <w:tcBorders>
              <w:right w:val="single" w:sz="8" w:color="3465B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4520" w:type="dxa"/>
            <w:vAlign w:val="bottom"/>
            <w:tcBorders>
              <w:right w:val="single" w:sz="8" w:color="3465B0"/>
            </w:tcBorders>
            <w:shd w:val="clear" w:color="auto" w:fill="3465B0"/>
          </w:tcPr>
          <w:p>
            <w:pPr>
              <w:spacing w:after="0" w:line="20" w:lineRule="exact"/>
              <w:rPr>
                <w:sz w:val="1"/>
                <w:szCs w:val="1"/>
                <w:color w:val="auto"/>
              </w:rPr>
            </w:pPr>
          </w:p>
        </w:tc>
        <w:tc>
          <w:tcPr>
            <w:tcW w:w="4560" w:type="dxa"/>
            <w:vAlign w:val="bottom"/>
            <w:tcBorders>
              <w:right w:val="single" w:sz="8" w:color="3465B0"/>
            </w:tcBorders>
            <w:shd w:val="clear" w:color="auto" w:fill="3465B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-2453005</wp:posOffset>
            </wp:positionV>
            <wp:extent cx="76835" cy="93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-2256155</wp:posOffset>
            </wp:positionV>
            <wp:extent cx="76835" cy="939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-2058670</wp:posOffset>
            </wp:positionV>
            <wp:extent cx="76835" cy="939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-1732915</wp:posOffset>
            </wp:positionV>
            <wp:extent cx="76835" cy="93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-1536065</wp:posOffset>
            </wp:positionV>
            <wp:extent cx="76835"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-1338580</wp:posOffset>
            </wp:positionV>
            <wp:extent cx="76835" cy="939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-1141730</wp:posOffset>
            </wp:positionV>
            <wp:extent cx="76835"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-815975</wp:posOffset>
            </wp:positionV>
            <wp:extent cx="76835" cy="94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-618490</wp:posOffset>
            </wp:positionV>
            <wp:extent cx="76835" cy="939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-292735</wp:posOffset>
            </wp:positionV>
            <wp:extent cx="76835" cy="939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-2453005</wp:posOffset>
            </wp:positionV>
            <wp:extent cx="76835" cy="93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-1998980</wp:posOffset>
            </wp:positionV>
            <wp:extent cx="76835" cy="946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-1801495</wp:posOffset>
            </wp:positionV>
            <wp:extent cx="76835"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-1604645</wp:posOffset>
            </wp:positionV>
            <wp:extent cx="76835" cy="93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-1278890</wp:posOffset>
            </wp:positionV>
            <wp:extent cx="76835"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-695960</wp:posOffset>
            </wp:positionV>
            <wp:extent cx="76835" cy="93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spacing w:after="0" w:line="51" w:lineRule="exact"/>
        <w:rPr>
          <w:sz w:val="20"/>
          <w:szCs w:val="20"/>
          <w:color w:val="auto"/>
        </w:rPr>
      </w:pPr>
    </w:p>
    <w:p>
      <w:pPr>
        <w:ind w:left="360" w:hanging="346"/>
        <w:spacing w:after="0"/>
        <w:tabs>
          <w:tab w:leader="none" w:pos="360" w:val="left"/>
        </w:tabs>
        <w:numPr>
          <w:ilvl w:val="0"/>
          <w:numId w:val="33"/>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3" w:name="page24"/>
    <w:bookmarkEnd w:id="23"/>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Key Governance Developments</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 2025, we took action to further our commitment to good governance, including the following:</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2240" w:type="dxa"/>
            <w:vAlign w:val="bottom"/>
          </w:tcPr>
          <w:p>
            <w:pPr>
              <w:ind w:left="20"/>
              <w:spacing w:after="0"/>
              <w:rPr>
                <w:sz w:val="20"/>
                <w:szCs w:val="20"/>
                <w:color w:val="auto"/>
              </w:rPr>
            </w:pPr>
            <w:r>
              <w:rPr>
                <w:rFonts w:ascii="Arial" w:cs="Arial" w:eastAsia="Arial" w:hAnsi="Arial"/>
                <w:sz w:val="18"/>
                <w:szCs w:val="18"/>
                <w:b w:val="1"/>
                <w:bCs w:val="1"/>
                <w:color w:val="3465B0"/>
              </w:rPr>
              <w:t>CEO Succession</w:t>
            </w:r>
          </w:p>
        </w:tc>
        <w:tc>
          <w:tcPr>
            <w:tcW w:w="6900" w:type="dxa"/>
            <w:vAlign w:val="bottom"/>
          </w:tcPr>
          <w:p>
            <w:pPr>
              <w:ind w:left="160"/>
              <w:spacing w:after="0"/>
              <w:rPr>
                <w:sz w:val="20"/>
                <w:szCs w:val="20"/>
                <w:color w:val="auto"/>
              </w:rPr>
            </w:pPr>
            <w:r>
              <w:rPr>
                <w:rFonts w:ascii="Arial" w:cs="Arial" w:eastAsia="Arial" w:hAnsi="Arial"/>
                <w:sz w:val="18"/>
                <w:szCs w:val="18"/>
                <w:color w:val="auto"/>
              </w:rPr>
              <w:t>We completed our previously announced CEO succession plan, under which,</w:t>
            </w:r>
          </w:p>
        </w:tc>
      </w:tr>
      <w:tr>
        <w:trPr>
          <w:trHeight w:val="203"/>
        </w:trPr>
        <w:tc>
          <w:tcPr>
            <w:tcW w:w="2240" w:type="dxa"/>
            <w:vAlign w:val="bottom"/>
          </w:tcPr>
          <w:p>
            <w:pPr>
              <w:spacing w:after="0"/>
              <w:rPr>
                <w:sz w:val="17"/>
                <w:szCs w:val="17"/>
                <w:color w:val="auto"/>
              </w:rPr>
            </w:pPr>
          </w:p>
        </w:tc>
        <w:tc>
          <w:tcPr>
            <w:tcW w:w="6900" w:type="dxa"/>
            <w:vAlign w:val="bottom"/>
          </w:tcPr>
          <w:p>
            <w:pPr>
              <w:ind w:left="160"/>
              <w:spacing w:after="0" w:line="202" w:lineRule="exact"/>
              <w:rPr>
                <w:sz w:val="20"/>
                <w:szCs w:val="20"/>
                <w:color w:val="auto"/>
              </w:rPr>
            </w:pPr>
            <w:r>
              <w:rPr>
                <w:rFonts w:ascii="Arial" w:cs="Arial" w:eastAsia="Arial" w:hAnsi="Arial"/>
                <w:sz w:val="18"/>
                <w:szCs w:val="18"/>
                <w:color w:val="auto"/>
              </w:rPr>
              <w:t>effective August 1, 2025, Alex Wilkes succeeded Reade Fahs as the Company’s</w:t>
            </w:r>
          </w:p>
        </w:tc>
      </w:tr>
      <w:tr>
        <w:trPr>
          <w:trHeight w:val="203"/>
        </w:trPr>
        <w:tc>
          <w:tcPr>
            <w:tcW w:w="2240" w:type="dxa"/>
            <w:vAlign w:val="bottom"/>
          </w:tcPr>
          <w:p>
            <w:pPr>
              <w:spacing w:after="0"/>
              <w:rPr>
                <w:sz w:val="17"/>
                <w:szCs w:val="17"/>
                <w:color w:val="auto"/>
              </w:rPr>
            </w:pPr>
          </w:p>
        </w:tc>
        <w:tc>
          <w:tcPr>
            <w:tcW w:w="6900" w:type="dxa"/>
            <w:vAlign w:val="bottom"/>
          </w:tcPr>
          <w:p>
            <w:pPr>
              <w:ind w:left="160"/>
              <w:spacing w:after="0" w:line="202" w:lineRule="exact"/>
              <w:rPr>
                <w:sz w:val="20"/>
                <w:szCs w:val="20"/>
                <w:color w:val="auto"/>
              </w:rPr>
            </w:pPr>
            <w:r>
              <w:rPr>
                <w:rFonts w:ascii="Arial" w:cs="Arial" w:eastAsia="Arial" w:hAnsi="Arial"/>
                <w:sz w:val="18"/>
                <w:szCs w:val="18"/>
                <w:color w:val="auto"/>
              </w:rPr>
              <w:t>Chief Executive Officer and was appointed to the Company’s Board of Directors. In</w:t>
            </w:r>
          </w:p>
        </w:tc>
      </w:tr>
      <w:tr>
        <w:trPr>
          <w:trHeight w:val="203"/>
        </w:trPr>
        <w:tc>
          <w:tcPr>
            <w:tcW w:w="2240" w:type="dxa"/>
            <w:vAlign w:val="bottom"/>
          </w:tcPr>
          <w:p>
            <w:pPr>
              <w:spacing w:after="0"/>
              <w:rPr>
                <w:sz w:val="17"/>
                <w:szCs w:val="17"/>
                <w:color w:val="auto"/>
              </w:rPr>
            </w:pPr>
          </w:p>
        </w:tc>
        <w:tc>
          <w:tcPr>
            <w:tcW w:w="6900" w:type="dxa"/>
            <w:vAlign w:val="bottom"/>
          </w:tcPr>
          <w:p>
            <w:pPr>
              <w:ind w:left="160"/>
              <w:spacing w:after="0" w:line="202" w:lineRule="exact"/>
              <w:rPr>
                <w:sz w:val="20"/>
                <w:szCs w:val="20"/>
                <w:color w:val="auto"/>
              </w:rPr>
            </w:pPr>
            <w:r>
              <w:rPr>
                <w:rFonts w:ascii="Arial" w:cs="Arial" w:eastAsia="Arial" w:hAnsi="Arial"/>
                <w:sz w:val="18"/>
                <w:szCs w:val="18"/>
                <w:color w:val="auto"/>
              </w:rPr>
              <w:t>addition, Reade Fahs assumed the role of Executive Chairman, with Randy Peeler</w:t>
            </w:r>
          </w:p>
        </w:tc>
      </w:tr>
      <w:tr>
        <w:trPr>
          <w:trHeight w:val="235"/>
        </w:trPr>
        <w:tc>
          <w:tcPr>
            <w:tcW w:w="224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assuming the role of Lead Independent Director.</w:t>
            </w:r>
          </w:p>
        </w:tc>
      </w:tr>
      <w:tr>
        <w:trPr>
          <w:trHeight w:val="191"/>
        </w:trPr>
        <w:tc>
          <w:tcPr>
            <w:tcW w:w="2240" w:type="dxa"/>
            <w:vAlign w:val="bottom"/>
          </w:tcPr>
          <w:p>
            <w:pPr>
              <w:ind w:left="20"/>
              <w:spacing w:after="0" w:line="191" w:lineRule="exact"/>
              <w:rPr>
                <w:sz w:val="20"/>
                <w:szCs w:val="20"/>
                <w:color w:val="auto"/>
              </w:rPr>
            </w:pPr>
            <w:r>
              <w:rPr>
                <w:rFonts w:ascii="Arial" w:cs="Arial" w:eastAsia="Arial" w:hAnsi="Arial"/>
                <w:sz w:val="18"/>
                <w:szCs w:val="18"/>
                <w:b w:val="1"/>
                <w:bCs w:val="1"/>
                <w:color w:val="3465B0"/>
              </w:rPr>
              <w:t>Board Refreshment</w:t>
            </w:r>
          </w:p>
        </w:tc>
        <w:tc>
          <w:tcPr>
            <w:tcW w:w="6900" w:type="dxa"/>
            <w:vAlign w:val="bottom"/>
          </w:tcPr>
          <w:p>
            <w:pPr>
              <w:ind w:left="160"/>
              <w:spacing w:after="0" w:line="191" w:lineRule="exact"/>
              <w:rPr>
                <w:sz w:val="20"/>
                <w:szCs w:val="20"/>
                <w:color w:val="auto"/>
              </w:rPr>
            </w:pPr>
            <w:r>
              <w:rPr>
                <w:rFonts w:ascii="Arial" w:cs="Arial" w:eastAsia="Arial" w:hAnsi="Arial"/>
                <w:sz w:val="18"/>
                <w:szCs w:val="18"/>
                <w:color w:val="auto"/>
              </w:rPr>
              <w:t>In the last year, we added two new independent directors, while another longer-</w:t>
            </w:r>
          </w:p>
        </w:tc>
      </w:tr>
      <w:tr>
        <w:trPr>
          <w:trHeight w:val="235"/>
        </w:trPr>
        <w:tc>
          <w:tcPr>
            <w:tcW w:w="224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tenured director transitioned off the Board.</w:t>
            </w:r>
          </w:p>
        </w:tc>
      </w:tr>
      <w:tr>
        <w:trPr>
          <w:trHeight w:val="245"/>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3465B0"/>
              </w:rPr>
              <w:t>Committee Composition</w:t>
            </w: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We refreshed our committee composition and chairs.</w:t>
            </w:r>
          </w:p>
        </w:tc>
      </w:tr>
    </w:tbl>
    <w:p>
      <w:pPr>
        <w:spacing w:after="0" w:line="323"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Board and Committee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Board Composition</w:t>
      </w:r>
    </w:p>
    <w:p>
      <w:pPr>
        <w:spacing w:after="0" w:line="126"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The Board is currently comprised of eleven directors. Our certificate of incorporation provides that the authorized number of directors may be changed only by resolution of our Board of Directors. Following the Annual Meeting, it is expected that the Company will have no open director seats.</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Director Independence</w:t>
      </w:r>
    </w:p>
    <w:p>
      <w:pPr>
        <w:spacing w:after="0" w:line="139"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color w:val="auto"/>
        </w:rPr>
        <w:t>We believe the Company benefits from having a Board that is independent from management. In accordance with our Corporate Governance Guidelines and Securities and Exchange Commission (“SEC”) and Nasdaq Listing Rules, a director is not independent unless the Board affirmatively determines that he or she does not have a relationship with management that, in the opinion of the Board, would interfere with the exercise of independent judgment in carrying out the responsibilities of a director.</w:t>
      </w:r>
    </w:p>
    <w:p>
      <w:pPr>
        <w:spacing w:after="0" w:line="95"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Our Corporate Governance Guidelines define independence in accordance with the independence standards in the current SEC and Nasdaq Listing Rules and require the Board to review the independence of all directors at least annually.</w:t>
      </w:r>
    </w:p>
    <w:p>
      <w:pPr>
        <w:spacing w:after="0" w:line="101"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Our Board has determined that, other than Messrs. Fahs and Wilkes, all of the director nominees listed in this proxy statement and all of the individuals who served during the fiscal year ended January 3, 2026, are independent under the guidelines for director independence set forth in the Corporate Governance Guidelines and under all applicable Nasdaq guidelines. Mr. Fahs is not independent because of his current employment as our Executive Chair. Mr. Wilkes is not independent because of his current employment our Chief Executive Officer. All members of the audit committee, compensation committee and nominating and corporate governance committee are independent.</w:t>
      </w:r>
    </w:p>
    <w:p>
      <w:pPr>
        <w:spacing w:after="0" w:line="117"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In making its independence determinations, the Board considered and reviewed relevant information provided by the directors and the Company, including information identified through annual director questionnaires.</w:t>
      </w:r>
    </w:p>
    <w:p>
      <w:pPr>
        <w:spacing w:after="0" w:line="149"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Executive Sessions</w:t>
      </w:r>
    </w:p>
    <w:p>
      <w:pPr>
        <w:spacing w:after="0" w:line="126"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Executive sessions, or meetings of the independent directors of the Board, are scheduled regularly throughout the year, typically at the time of each regular Board meeting and as frequently as such independent directors deem appropriate.</w:t>
      </w:r>
    </w:p>
    <w:p>
      <w:pPr>
        <w:spacing w:after="0" w:line="164"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Leadership Structure</w:t>
      </w:r>
    </w:p>
    <w:p>
      <w:pPr>
        <w:spacing w:after="0" w:line="139"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During 2025, we completed our succession plan, under which, effective August 1, 2025, Alex Wilkes succeeded Reade Fahs as the Company’s Chief Executive Officer and was appointed to the Board of Directors. In addition, Mr. Fahs assumed the role of Executive Chairman, with Randy Peeler assuming the role of Lead Independent Director.</w:t>
      </w:r>
    </w:p>
    <w:p>
      <w:pPr>
        <w:spacing w:after="0" w:line="106" w:lineRule="exact"/>
        <w:rPr>
          <w:sz w:val="20"/>
          <w:szCs w:val="20"/>
          <w:color w:val="auto"/>
        </w:rPr>
      </w:pPr>
    </w:p>
    <w:p>
      <w:pPr>
        <w:jc w:val="both"/>
        <w:ind w:left="940" w:right="940"/>
        <w:spacing w:after="0" w:line="271" w:lineRule="auto"/>
        <w:rPr>
          <w:sz w:val="20"/>
          <w:szCs w:val="20"/>
          <w:color w:val="auto"/>
        </w:rPr>
      </w:pPr>
      <w:r>
        <w:rPr>
          <w:rFonts w:ascii="Arial" w:cs="Arial" w:eastAsia="Arial" w:hAnsi="Arial"/>
          <w:sz w:val="18"/>
          <w:szCs w:val="18"/>
          <w:color w:val="auto"/>
        </w:rPr>
        <w:t>While our Corporate Governance Guidelines provide our Board with flexibility to combine or separate the positions of Chair of the Board and Chief Executive Officer in accordance with its determination that utilizing one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40640</wp:posOffset>
            </wp:positionV>
            <wp:extent cx="20574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17</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other structure would be in the best interests of our Company, and the Board regularly considers the appropriate leadership structure for the Company, the Board believes at this time that its current leadership structure best serves (i) the objectives of our Board of Directors’ oversight of management, (ii) the ability of our Board of Directors to carry out its roles and responsibilities on behalf of the stockholders, and (iii) the Company’s overall commitment to good corporate governance.</w:t>
      </w:r>
    </w:p>
    <w:p>
      <w:pPr>
        <w:spacing w:after="0" w:line="95"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Board of Directors is led by the Executive Chairman of the Board with each of the Board committees being led by a committee chairperson. Mr. Fahs’ role as the Executive Chairman allows the Chief Executive Officer to focus his time and energy on operating and managing the Company while leveraging the experience and perspectives of the Executive Chairman.</w:t>
      </w:r>
    </w:p>
    <w:p>
      <w:pPr>
        <w:spacing w:after="0" w:line="106"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In order to continue to drive a high performing Board, the Board has appointed a Lead Independent Director who is responsible for identifying issues for the Board to consider and properly addressing issues with all directors being heard. The specific responsibilities of the Executive Chairman, Chief Executive Officer, and Lead Independent Director are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5807710" cy="41529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07710" cy="4152900"/>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465B0"/>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3465B0"/>
        </w:rPr>
        <w:t>Chief Executive Officer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Leads the Board in its governance and oversight responsibilities</w:t>
      </w:r>
    </w:p>
    <w:p>
      <w:pPr>
        <w:spacing w:after="0" w:line="50" w:lineRule="exact"/>
        <w:rPr>
          <w:sz w:val="20"/>
          <w:szCs w:val="20"/>
          <w:color w:val="auto"/>
        </w:rPr>
      </w:pPr>
    </w:p>
    <w:p>
      <w:pPr>
        <w:ind w:left="220" w:right="260" w:hanging="217"/>
        <w:spacing w:after="0" w:line="266"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Serves as the principal liaison on Board-wide issues between directors and management</w:t>
      </w:r>
    </w:p>
    <w:p>
      <w:pPr>
        <w:ind w:left="220" w:right="340" w:hanging="217"/>
        <w:spacing w:after="0" w:line="281"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7"/>
          <w:szCs w:val="17"/>
          <w:color w:val="auto"/>
        </w:rPr>
        <w:t>Develops and shapes the agendas for Board meetings in consultation with the CEO, Corporate Secretary, and other members of the Board</w:t>
      </w:r>
    </w:p>
    <w:p>
      <w:pPr>
        <w:spacing w:after="0" w:line="1" w:lineRule="exact"/>
        <w:rPr>
          <w:sz w:val="20"/>
          <w:szCs w:val="20"/>
          <w:color w:val="auto"/>
        </w:rPr>
      </w:pPr>
    </w:p>
    <w:p>
      <w:pPr>
        <w:ind w:left="220" w:right="1040" w:hanging="217"/>
        <w:spacing w:after="0" w:line="266"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Presides over all Board meetings and the Annual. Meeting of Stockholders</w:t>
      </w:r>
    </w:p>
    <w:p>
      <w:pPr>
        <w:ind w:left="220" w:right="180" w:hanging="217"/>
        <w:spacing w:after="0" w:line="253"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Represents the Board with management and the public; facilitates communication with, and is the Board spokesperson with, stockholders, investors and other stakeholders</w:t>
      </w:r>
    </w:p>
    <w:p>
      <w:pPr>
        <w:spacing w:after="0" w:line="7" w:lineRule="exact"/>
        <w:rPr>
          <w:sz w:val="20"/>
          <w:szCs w:val="20"/>
          <w:color w:val="auto"/>
        </w:rPr>
      </w:pPr>
    </w:p>
    <w:p>
      <w:pPr>
        <w:ind w:left="220" w:right="120" w:hanging="217"/>
        <w:spacing w:after="0" w:line="266"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Provides counsel to the CEO on a variety of historic, strategic and policy issues</w:t>
      </w:r>
    </w:p>
    <w:p>
      <w:pPr>
        <w:ind w:left="220" w:right="300" w:hanging="217"/>
        <w:spacing w:after="0" w:line="253"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Supports the transition and ongoing success of the CEO by facilitating introductions and establishing relationships with customers, public leaders, investors and other stakeholders</w:t>
      </w:r>
    </w:p>
    <w:p>
      <w:pPr>
        <w:spacing w:after="0" w:line="7" w:lineRule="exact"/>
        <w:rPr>
          <w:sz w:val="20"/>
          <w:szCs w:val="20"/>
          <w:color w:val="auto"/>
        </w:rPr>
      </w:pPr>
    </w:p>
    <w:p>
      <w:pPr>
        <w:ind w:left="220" w:right="240" w:hanging="217"/>
        <w:spacing w:after="0" w:line="247"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Collaborates with the Board on CEO succession planning and developing bench strength within the organization, and provides input with respect to the appointment, removal, development, evaluation and succession of the CEO</w:t>
      </w:r>
    </w:p>
    <w:p>
      <w:pPr>
        <w:spacing w:after="0" w:line="79" w:lineRule="exact"/>
        <w:rPr>
          <w:sz w:val="20"/>
          <w:szCs w:val="20"/>
          <w:color w:val="auto"/>
        </w:rPr>
      </w:pPr>
    </w:p>
    <w:p>
      <w:pPr>
        <w:spacing w:after="0"/>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Sets the operational leadership and strategic direction of the Company</w:t>
      </w:r>
    </w:p>
    <w:p>
      <w:pPr>
        <w:spacing w:after="0" w:line="50" w:lineRule="exact"/>
        <w:rPr>
          <w:sz w:val="20"/>
          <w:szCs w:val="20"/>
          <w:color w:val="auto"/>
        </w:rPr>
      </w:pPr>
    </w:p>
    <w:p>
      <w:pPr>
        <w:ind w:left="220" w:right="260" w:hanging="217"/>
        <w:spacing w:after="0" w:line="266"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Sets the day-to-day leadership and business plan, including short-term and long-term goals, of the Company</w:t>
      </w:r>
    </w:p>
    <w:p>
      <w:pPr>
        <w:ind w:left="220" w:right="640" w:hanging="217"/>
        <w:spacing w:after="0" w:line="266"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Builds and leads a strong executive team, providing guidance and support to senior management</w:t>
      </w:r>
    </w:p>
    <w:p>
      <w:pPr>
        <w:ind w:left="220" w:right="700" w:hanging="217"/>
        <w:spacing w:after="0" w:line="266"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Reports to and collaborates with the Board, providing updates on company performance and strategic initiatives</w:t>
      </w:r>
    </w:p>
    <w:p>
      <w:pPr>
        <w:ind w:left="220" w:right="300" w:hanging="217"/>
        <w:spacing w:after="0" w:line="271" w:lineRule="auto"/>
        <w:tabs>
          <w:tab w:leader="none" w:pos="200" w:val="left"/>
        </w:tabs>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r>
        <w:rPr>
          <w:sz w:val="20"/>
          <w:szCs w:val="20"/>
          <w:color w:val="auto"/>
        </w:rPr>
        <w:tab/>
      </w:r>
      <w:r>
        <w:rPr>
          <w:rFonts w:ascii="Arial" w:cs="Arial" w:eastAsia="Arial" w:hAnsi="Arial"/>
          <w:sz w:val="18"/>
          <w:szCs w:val="18"/>
          <w:color w:val="auto"/>
        </w:rPr>
        <w:t>Communicates with stockholders and investors, providing insights into the Company’s financial health and strategic direction</w:t>
      </w:r>
    </w:p>
    <w:p>
      <w:pPr>
        <w:spacing w:after="0" w:line="100" w:lineRule="exact"/>
        <w:rPr>
          <w:sz w:val="20"/>
          <w:szCs w:val="20"/>
          <w:color w:val="auto"/>
        </w:rPr>
      </w:pPr>
    </w:p>
    <w:p>
      <w:pPr>
        <w:sectPr>
          <w:pgSz w:w="11900" w:h="16838" w:orient="portrait"/>
          <w:cols w:equalWidth="0" w:num="2">
            <w:col w:w="2340" w:space="720"/>
            <w:col w:w="6100"/>
          </w:cols>
          <w:pgMar w:left="1360" w:top="114" w:right="1379" w:bottom="1440" w:gutter="0" w:footer="0" w:header="0"/>
          <w:type w:val="continuous"/>
        </w:sectPr>
      </w:pPr>
    </w:p>
    <w:p>
      <w:pPr>
        <w:ind w:left="360" w:hanging="346"/>
        <w:spacing w:after="0"/>
        <w:tabs>
          <w:tab w:leader="none" w:pos="360" w:val="left"/>
        </w:tabs>
        <w:numPr>
          <w:ilvl w:val="0"/>
          <w:numId w:val="34"/>
        </w:numPr>
        <w:rPr>
          <w:rFonts w:ascii="Arial" w:cs="Arial" w:eastAsia="Arial" w:hAnsi="Arial"/>
          <w:sz w:val="15"/>
          <w:szCs w:val="15"/>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25" w:name="page26"/>
    <w:bookmarkEnd w:id="25"/>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930" w:type="dxa"/>
        <w:tblCellMar>
          <w:top w:w="0" w:type="dxa"/>
          <w:left w:w="0" w:type="dxa"/>
          <w:bottom w:w="0" w:type="dxa"/>
          <w:right w:w="0" w:type="dxa"/>
        </w:tblCellMar>
      </w:tblPr>
      <w:tr>
        <w:trPr>
          <w:trHeight w:val="283"/>
        </w:trPr>
        <w:tc>
          <w:tcPr>
            <w:tcW w:w="3020" w:type="dxa"/>
            <w:vAlign w:val="bottom"/>
            <w:tcBorders>
              <w:left w:val="single" w:sz="8" w:color="3465B0"/>
              <w:right w:val="single" w:sz="8" w:color="3465B0"/>
            </w:tcBorders>
            <w:shd w:val="clear" w:color="auto" w:fill="3465B0"/>
          </w:tcPr>
          <w:p>
            <w:pPr>
              <w:spacing w:after="0"/>
              <w:rPr>
                <w:sz w:val="24"/>
                <w:szCs w:val="24"/>
                <w:color w:val="auto"/>
              </w:rPr>
            </w:pPr>
          </w:p>
        </w:tc>
        <w:tc>
          <w:tcPr>
            <w:tcW w:w="6140" w:type="dxa"/>
            <w:vAlign w:val="bottom"/>
            <w:tcBorders>
              <w:right w:val="single" w:sz="8" w:color="3465B0"/>
            </w:tcBorders>
            <w:shd w:val="clear" w:color="auto" w:fill="3465B0"/>
          </w:tcPr>
          <w:p>
            <w:pPr>
              <w:ind w:left="2640"/>
              <w:spacing w:after="0"/>
              <w:rPr>
                <w:sz w:val="20"/>
                <w:szCs w:val="20"/>
                <w:color w:val="auto"/>
              </w:rPr>
            </w:pPr>
            <w:r>
              <w:rPr>
                <w:rFonts w:ascii="Arial" w:cs="Arial" w:eastAsia="Arial" w:hAnsi="Arial"/>
                <w:sz w:val="18"/>
                <w:szCs w:val="18"/>
                <w:b w:val="1"/>
                <w:bCs w:val="1"/>
                <w:color w:val="FFFFFF"/>
              </w:rPr>
              <w:t>CORPORATE GOVERNANCE MATTERS</w:t>
            </w:r>
          </w:p>
        </w:tc>
      </w:tr>
      <w:tr>
        <w:trPr>
          <w:trHeight w:val="64"/>
        </w:trPr>
        <w:tc>
          <w:tcPr>
            <w:tcW w:w="3020" w:type="dxa"/>
            <w:vAlign w:val="bottom"/>
            <w:tcBorders>
              <w:bottom w:val="single" w:sz="8" w:color="3465B0"/>
            </w:tcBorders>
          </w:tcPr>
          <w:p>
            <w:pPr>
              <w:spacing w:after="0"/>
              <w:rPr>
                <w:sz w:val="5"/>
                <w:szCs w:val="5"/>
                <w:color w:val="auto"/>
              </w:rPr>
            </w:pPr>
          </w:p>
        </w:tc>
        <w:tc>
          <w:tcPr>
            <w:tcW w:w="6140" w:type="dxa"/>
            <w:vAlign w:val="bottom"/>
            <w:tcBorders>
              <w:bottom w:val="single" w:sz="8" w:color="3465B0"/>
            </w:tcBorders>
          </w:tcPr>
          <w:p>
            <w:pPr>
              <w:spacing w:after="0"/>
              <w:rPr>
                <w:sz w:val="5"/>
                <w:szCs w:val="5"/>
                <w:color w:val="auto"/>
              </w:rPr>
            </w:pPr>
          </w:p>
        </w:tc>
      </w:tr>
      <w:tr>
        <w:trPr>
          <w:trHeight w:val="302"/>
        </w:trPr>
        <w:tc>
          <w:tcPr>
            <w:tcW w:w="302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8"/>
                <w:szCs w:val="18"/>
                <w:b w:val="1"/>
                <w:bCs w:val="1"/>
                <w:color w:val="3465B0"/>
              </w:rPr>
              <w:t>Lead Independent Director</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Serves as the liaison between the Executive Chairman and the</w:t>
            </w:r>
          </w:p>
        </w:tc>
      </w:tr>
      <w:tr>
        <w:trPr>
          <w:trHeight w:val="239"/>
        </w:trPr>
        <w:tc>
          <w:tcPr>
            <w:tcW w:w="3020" w:type="dxa"/>
            <w:vAlign w:val="bottom"/>
            <w:tcBorders>
              <w:left w:val="single" w:sz="8" w:color="3465B0"/>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independent directors</w:t>
            </w:r>
          </w:p>
        </w:tc>
      </w:tr>
      <w:tr>
        <w:trPr>
          <w:trHeight w:val="220"/>
        </w:trPr>
        <w:tc>
          <w:tcPr>
            <w:tcW w:w="3020" w:type="dxa"/>
            <w:vAlign w:val="bottom"/>
            <w:tcBorders>
              <w:left w:val="single" w:sz="8" w:color="3465B0"/>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Sets the agendas for, and presides over, the executive sessions of the</w:t>
            </w:r>
          </w:p>
        </w:tc>
      </w:tr>
      <w:tr>
        <w:trPr>
          <w:trHeight w:val="239"/>
        </w:trPr>
        <w:tc>
          <w:tcPr>
            <w:tcW w:w="3020" w:type="dxa"/>
            <w:vAlign w:val="bottom"/>
            <w:tcBorders>
              <w:left w:val="single" w:sz="8" w:color="3465B0"/>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non-employee and independent directors</w:t>
            </w:r>
          </w:p>
        </w:tc>
      </w:tr>
      <w:tr>
        <w:trPr>
          <w:trHeight w:val="220"/>
        </w:trPr>
        <w:tc>
          <w:tcPr>
            <w:tcW w:w="3020" w:type="dxa"/>
            <w:vAlign w:val="bottom"/>
            <w:tcBorders>
              <w:left w:val="single" w:sz="8" w:color="3465B0"/>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Has the authority to call meetings of the independent and non-</w:t>
            </w:r>
          </w:p>
        </w:tc>
      </w:tr>
      <w:tr>
        <w:trPr>
          <w:trHeight w:val="239"/>
        </w:trPr>
        <w:tc>
          <w:tcPr>
            <w:tcW w:w="3020" w:type="dxa"/>
            <w:vAlign w:val="bottom"/>
            <w:tcBorders>
              <w:left w:val="single" w:sz="8" w:color="3465B0"/>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management directors</w:t>
            </w:r>
          </w:p>
        </w:tc>
      </w:tr>
      <w:tr>
        <w:trPr>
          <w:trHeight w:val="220"/>
        </w:trPr>
        <w:tc>
          <w:tcPr>
            <w:tcW w:w="3020" w:type="dxa"/>
            <w:vAlign w:val="bottom"/>
            <w:tcBorders>
              <w:left w:val="single" w:sz="8" w:color="3465B0"/>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Consults with the Executive Chairman regarding information sent to the</w:t>
            </w:r>
          </w:p>
        </w:tc>
      </w:tr>
      <w:tr>
        <w:trPr>
          <w:trHeight w:val="239"/>
        </w:trPr>
        <w:tc>
          <w:tcPr>
            <w:tcW w:w="3020" w:type="dxa"/>
            <w:vAlign w:val="bottom"/>
            <w:tcBorders>
              <w:left w:val="single" w:sz="8" w:color="3465B0"/>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Board in connection with Board meetings</w:t>
            </w:r>
          </w:p>
        </w:tc>
      </w:tr>
      <w:tr>
        <w:trPr>
          <w:trHeight w:val="220"/>
        </w:trPr>
        <w:tc>
          <w:tcPr>
            <w:tcW w:w="3020" w:type="dxa"/>
            <w:vAlign w:val="bottom"/>
            <w:tcBorders>
              <w:left w:val="single" w:sz="8" w:color="3465B0"/>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Assists the Executive Chairman in assuring compliance with and</w:t>
            </w:r>
          </w:p>
        </w:tc>
      </w:tr>
      <w:tr>
        <w:trPr>
          <w:trHeight w:val="239"/>
        </w:trPr>
        <w:tc>
          <w:tcPr>
            <w:tcW w:w="3020" w:type="dxa"/>
            <w:vAlign w:val="bottom"/>
            <w:tcBorders>
              <w:left w:val="single" w:sz="8" w:color="3465B0"/>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implementation of the Corporate Governance Guidelines</w:t>
            </w:r>
          </w:p>
        </w:tc>
      </w:tr>
      <w:tr>
        <w:trPr>
          <w:trHeight w:val="257"/>
        </w:trPr>
        <w:tc>
          <w:tcPr>
            <w:tcW w:w="3020" w:type="dxa"/>
            <w:vAlign w:val="bottom"/>
            <w:tcBorders>
              <w:left w:val="single" w:sz="8" w:color="3465B0"/>
              <w:right w:val="single" w:sz="8" w:color="93A1D2"/>
            </w:tcBorders>
          </w:tcPr>
          <w:p>
            <w:pPr>
              <w:spacing w:after="0"/>
              <w:rPr>
                <w:sz w:val="22"/>
                <w:szCs w:val="22"/>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Makes recommendations for changes to governance practices</w:t>
            </w:r>
          </w:p>
        </w:tc>
      </w:tr>
      <w:tr>
        <w:trPr>
          <w:trHeight w:val="220"/>
        </w:trPr>
        <w:tc>
          <w:tcPr>
            <w:tcW w:w="3020" w:type="dxa"/>
            <w:vAlign w:val="bottom"/>
            <w:tcBorders>
              <w:left w:val="single" w:sz="8" w:color="3465B0"/>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Assists the nominating and corporate governance committee in its</w:t>
            </w:r>
          </w:p>
        </w:tc>
      </w:tr>
      <w:tr>
        <w:trPr>
          <w:trHeight w:val="203"/>
        </w:trPr>
        <w:tc>
          <w:tcPr>
            <w:tcW w:w="3020" w:type="dxa"/>
            <w:vAlign w:val="bottom"/>
            <w:tcBorders>
              <w:left w:val="single" w:sz="8" w:color="3465B0"/>
              <w:right w:val="single" w:sz="8" w:color="93A1D2"/>
            </w:tcBorders>
          </w:tcPr>
          <w:p>
            <w:pPr>
              <w:spacing w:after="0"/>
              <w:rPr>
                <w:sz w:val="17"/>
                <w:szCs w:val="17"/>
                <w:color w:val="auto"/>
              </w:rPr>
            </w:pP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annual evaluation of the Executive Chair’s effectiveness, including an</w:t>
            </w:r>
          </w:p>
        </w:tc>
      </w:tr>
      <w:tr>
        <w:trPr>
          <w:trHeight w:val="203"/>
        </w:trPr>
        <w:tc>
          <w:tcPr>
            <w:tcW w:w="3020" w:type="dxa"/>
            <w:vAlign w:val="bottom"/>
            <w:tcBorders>
              <w:left w:val="single" w:sz="8" w:color="3465B0"/>
              <w:right w:val="single" w:sz="8" w:color="93A1D2"/>
            </w:tcBorders>
          </w:tcPr>
          <w:p>
            <w:pPr>
              <w:spacing w:after="0"/>
              <w:rPr>
                <w:sz w:val="17"/>
                <w:szCs w:val="17"/>
                <w:color w:val="auto"/>
              </w:rPr>
            </w:pP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annual evaluation of his or her interactions with the directors and ability</w:t>
            </w:r>
          </w:p>
        </w:tc>
      </w:tr>
      <w:tr>
        <w:trPr>
          <w:trHeight w:val="239"/>
        </w:trPr>
        <w:tc>
          <w:tcPr>
            <w:tcW w:w="3020" w:type="dxa"/>
            <w:vAlign w:val="bottom"/>
            <w:tcBorders>
              <w:left w:val="single" w:sz="8" w:color="3465B0"/>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to provide leadership and direction to the full Board</w:t>
            </w:r>
          </w:p>
        </w:tc>
      </w:tr>
      <w:tr>
        <w:trPr>
          <w:trHeight w:val="257"/>
        </w:trPr>
        <w:tc>
          <w:tcPr>
            <w:tcW w:w="3020" w:type="dxa"/>
            <w:vAlign w:val="bottom"/>
            <w:tcBorders>
              <w:left w:val="single" w:sz="8" w:color="3465B0"/>
              <w:right w:val="single" w:sz="8" w:color="93A1D2"/>
            </w:tcBorders>
          </w:tcPr>
          <w:p>
            <w:pPr>
              <w:spacing w:after="0"/>
              <w:rPr>
                <w:sz w:val="22"/>
                <w:szCs w:val="22"/>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Coordinates the assessment and evaluation of Board candidates</w:t>
            </w:r>
          </w:p>
        </w:tc>
      </w:tr>
      <w:tr>
        <w:trPr>
          <w:trHeight w:val="220"/>
        </w:trPr>
        <w:tc>
          <w:tcPr>
            <w:tcW w:w="3020" w:type="dxa"/>
            <w:vAlign w:val="bottom"/>
            <w:tcBorders>
              <w:left w:val="single" w:sz="8" w:color="3465B0"/>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Remains apprised of inquiries from stockholders and is available, if</w:t>
            </w:r>
          </w:p>
        </w:tc>
      </w:tr>
      <w:tr>
        <w:trPr>
          <w:trHeight w:val="203"/>
        </w:trPr>
        <w:tc>
          <w:tcPr>
            <w:tcW w:w="3020" w:type="dxa"/>
            <w:vAlign w:val="bottom"/>
            <w:tcBorders>
              <w:left w:val="single" w:sz="8" w:color="3465B0"/>
              <w:right w:val="single" w:sz="8" w:color="93A1D2"/>
            </w:tcBorders>
          </w:tcPr>
          <w:p>
            <w:pPr>
              <w:spacing w:after="0"/>
              <w:rPr>
                <w:sz w:val="17"/>
                <w:szCs w:val="17"/>
                <w:color w:val="auto"/>
              </w:rPr>
            </w:pP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requested by the stockholders, when appropriate, for consultation and</w:t>
            </w:r>
          </w:p>
        </w:tc>
      </w:tr>
      <w:tr>
        <w:trPr>
          <w:trHeight w:val="272"/>
        </w:trPr>
        <w:tc>
          <w:tcPr>
            <w:tcW w:w="3020" w:type="dxa"/>
            <w:vAlign w:val="bottom"/>
            <w:tcBorders>
              <w:left w:val="single" w:sz="8" w:color="3465B0"/>
              <w:right w:val="single" w:sz="8" w:color="93A1D2"/>
            </w:tcBorders>
          </w:tcPr>
          <w:p>
            <w:pPr>
              <w:spacing w:after="0"/>
              <w:rPr>
                <w:sz w:val="23"/>
                <w:szCs w:val="23"/>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direct communication</w:t>
            </w:r>
          </w:p>
        </w:tc>
      </w:tr>
      <w:tr>
        <w:trPr>
          <w:trHeight w:val="20"/>
        </w:trPr>
        <w:tc>
          <w:tcPr>
            <w:tcW w:w="3020" w:type="dxa"/>
            <w:vAlign w:val="bottom"/>
            <w:tcBorders>
              <w:left w:val="single" w:sz="8" w:color="3465B0"/>
              <w:right w:val="single" w:sz="8" w:color="3465B0"/>
            </w:tcBorders>
            <w:shd w:val="clear" w:color="auto" w:fill="3465B0"/>
          </w:tcPr>
          <w:p>
            <w:pPr>
              <w:spacing w:after="0" w:line="20" w:lineRule="exact"/>
              <w:rPr>
                <w:sz w:val="1"/>
                <w:szCs w:val="1"/>
                <w:color w:val="auto"/>
              </w:rPr>
            </w:pPr>
          </w:p>
        </w:tc>
        <w:tc>
          <w:tcPr>
            <w:tcW w:w="6140" w:type="dxa"/>
            <w:vAlign w:val="bottom"/>
            <w:tcBorders>
              <w:right w:val="single" w:sz="8" w:color="3465B0"/>
            </w:tcBorders>
            <w:shd w:val="clear" w:color="auto" w:fill="3465B0"/>
          </w:tcPr>
          <w:p>
            <w:pPr>
              <w:spacing w:after="0" w:line="20" w:lineRule="exact"/>
              <w:rPr>
                <w:sz w:val="1"/>
                <w:szCs w:val="1"/>
                <w:color w:val="auto"/>
              </w:rPr>
            </w:pPr>
          </w:p>
        </w:tc>
      </w:tr>
    </w:tbl>
    <w:p>
      <w:pPr>
        <w:spacing w:after="0" w:line="234"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The Board will continue to periodically review our leadership structure and may make such changes in the future as it deems appropriate.</w:t>
      </w:r>
    </w:p>
    <w:p>
      <w:pPr>
        <w:spacing w:after="0" w:line="149"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Meetings and Attendance</w:t>
      </w:r>
    </w:p>
    <w:p>
      <w:pPr>
        <w:spacing w:after="0" w:line="126"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All directors are expected to make every effort to attend all meetings of the Board and of the committees of which they are members, as well as the annual meeting of stockholders. During the fiscal year ended January 3, 2026, the Board held five meetings. During 2025, each of our directors attended 75% or more of the aggregate number of meetings of the Board and committees on which he or she served, in each case while they served on the Board or such committees, and 90% of our directors that were members of our Board at the time attended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57150</wp:posOffset>
            </wp:positionV>
            <wp:extent cx="205740"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19</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Board of Directors has three standing committees: the audit committee, the nominating and corporate governance committee, and the compensation committee. All members of our committees are independent directors. Each of these committees is governed by its written charter approved by our Board. We make copies of these charters available free of charge on the investors section of our website, www.nationalvision.com. Other than the text of the charters, we are not including the information contained on or available through our website as a part of, or incorporating such information by reference into, this proxy statement. The following further describes the membership, duties and responsibilities of each of the Board’s committees.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80" w:type="dxa"/>
            <w:vAlign w:val="bottom"/>
            <w:tcBorders>
              <w:left w:val="single" w:sz="8" w:color="3465B0"/>
            </w:tcBorders>
            <w:shd w:val="clear" w:color="auto" w:fill="3465B0"/>
          </w:tcPr>
          <w:p>
            <w:pPr>
              <w:spacing w:after="0"/>
              <w:rPr>
                <w:sz w:val="24"/>
                <w:szCs w:val="24"/>
                <w:color w:val="auto"/>
              </w:rPr>
            </w:pPr>
          </w:p>
        </w:tc>
        <w:tc>
          <w:tcPr>
            <w:tcW w:w="2940" w:type="dxa"/>
            <w:vAlign w:val="bottom"/>
            <w:tcBorders>
              <w:right w:val="single" w:sz="8" w:color="3465B0"/>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Audit Committee</w:t>
            </w:r>
          </w:p>
        </w:tc>
        <w:tc>
          <w:tcPr>
            <w:tcW w:w="6140" w:type="dxa"/>
            <w:vAlign w:val="bottom"/>
            <w:tcBorders>
              <w:right w:val="single" w:sz="8" w:color="3465B0"/>
            </w:tcBorders>
            <w:shd w:val="clear" w:color="auto" w:fill="3465B0"/>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Borders>
              <w:left w:val="single" w:sz="8" w:color="3465B0"/>
            </w:tcBorders>
          </w:tcPr>
          <w:p>
            <w:pPr>
              <w:spacing w:after="0"/>
              <w:rPr>
                <w:sz w:val="18"/>
                <w:szCs w:val="18"/>
                <w:color w:val="auto"/>
              </w:rPr>
            </w:pPr>
          </w:p>
        </w:tc>
        <w:tc>
          <w:tcPr>
            <w:tcW w:w="294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Susan O’Farrell (Chair)</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The audit committee is responsible for, among other things, preparing the</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ind w:left="40"/>
              <w:spacing w:after="0" w:line="202" w:lineRule="exact"/>
              <w:rPr>
                <w:sz w:val="20"/>
                <w:szCs w:val="20"/>
                <w:color w:val="auto"/>
              </w:rPr>
            </w:pPr>
            <w:r>
              <w:rPr>
                <w:rFonts w:ascii="Arial" w:cs="Arial" w:eastAsia="Arial" w:hAnsi="Arial"/>
                <w:sz w:val="18"/>
                <w:szCs w:val="18"/>
                <w:b w:val="1"/>
                <w:bCs w:val="1"/>
                <w:color w:val="auto"/>
              </w:rPr>
              <w:t>Naomi Kelman</w:t>
            </w: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audit committee report required by the SEC to be included in our proxy</w:t>
            </w:r>
          </w:p>
        </w:tc>
        <w:tc>
          <w:tcPr>
            <w:tcW w:w="0" w:type="dxa"/>
            <w:vAlign w:val="bottom"/>
          </w:tcPr>
          <w:p>
            <w:pPr>
              <w:spacing w:after="0"/>
              <w:rPr>
                <w:sz w:val="1"/>
                <w:szCs w:val="1"/>
                <w:color w:val="auto"/>
              </w:rPr>
            </w:pPr>
          </w:p>
        </w:tc>
      </w:tr>
      <w:tr>
        <w:trPr>
          <w:trHeight w:val="247"/>
        </w:trPr>
        <w:tc>
          <w:tcPr>
            <w:tcW w:w="80" w:type="dxa"/>
            <w:vAlign w:val="bottom"/>
            <w:tcBorders>
              <w:left w:val="single" w:sz="8" w:color="3465B0"/>
            </w:tcBorders>
          </w:tcPr>
          <w:p>
            <w:pPr>
              <w:spacing w:after="0"/>
              <w:rPr>
                <w:sz w:val="21"/>
                <w:szCs w:val="21"/>
                <w:color w:val="auto"/>
              </w:rPr>
            </w:pPr>
          </w:p>
        </w:tc>
        <w:tc>
          <w:tcPr>
            <w:tcW w:w="294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Michael J. Nicholson</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statement and assisting the Board with respect to its oversight of:</w:t>
            </w:r>
          </w:p>
        </w:tc>
        <w:tc>
          <w:tcPr>
            <w:tcW w:w="0" w:type="dxa"/>
            <w:vAlign w:val="bottom"/>
          </w:tcPr>
          <w:p>
            <w:pPr>
              <w:spacing w:after="0"/>
              <w:rPr>
                <w:sz w:val="1"/>
                <w:szCs w:val="1"/>
                <w:color w:val="auto"/>
              </w:rPr>
            </w:pPr>
          </w:p>
        </w:tc>
      </w:tr>
      <w:tr>
        <w:trPr>
          <w:trHeight w:val="249"/>
        </w:trPr>
        <w:tc>
          <w:tcPr>
            <w:tcW w:w="80" w:type="dxa"/>
            <w:vAlign w:val="bottom"/>
            <w:tcBorders>
              <w:left w:val="single" w:sz="8" w:color="3465B0"/>
            </w:tcBorders>
          </w:tcPr>
          <w:p>
            <w:pPr>
              <w:spacing w:after="0"/>
              <w:rPr>
                <w:sz w:val="21"/>
                <w:szCs w:val="21"/>
                <w:color w:val="auto"/>
              </w:rPr>
            </w:pPr>
          </w:p>
        </w:tc>
        <w:tc>
          <w:tcPr>
            <w:tcW w:w="2940" w:type="dxa"/>
            <w:vAlign w:val="bottom"/>
            <w:tcBorders>
              <w:right w:val="single" w:sz="8" w:color="93A1D2"/>
            </w:tcBorders>
          </w:tcPr>
          <w:p>
            <w:pPr>
              <w:spacing w:after="0"/>
              <w:rPr>
                <w:sz w:val="21"/>
                <w:szCs w:val="21"/>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our risk management policies and procedures</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vMerge w:val="restart"/>
          </w:tcPr>
          <w:p>
            <w:pPr>
              <w:ind w:left="40"/>
              <w:spacing w:after="0"/>
              <w:rPr>
                <w:sz w:val="20"/>
                <w:szCs w:val="20"/>
                <w:color w:val="auto"/>
              </w:rPr>
            </w:pPr>
            <w:r>
              <w:rPr>
                <w:rFonts w:ascii="Arial" w:cs="Arial" w:eastAsia="Arial" w:hAnsi="Arial"/>
                <w:sz w:val="18"/>
                <w:szCs w:val="18"/>
                <w:b w:val="1"/>
                <w:bCs w:val="1"/>
                <w:color w:val="3465B0"/>
              </w:rPr>
              <w:t>7 Meetings held in 2025</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the audits and integrity of our financial statements, and the effectiveness</w:t>
            </w: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2940" w:type="dxa"/>
            <w:vAlign w:val="bottom"/>
            <w:tcBorders>
              <w:right w:val="single" w:sz="8" w:color="93A1D2"/>
            </w:tcBorders>
            <w:vMerge w:val="continue"/>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of internal control over financial reporting</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our compliance with legal and regulatory requirements, including SEC</w:t>
            </w: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2940" w:type="dxa"/>
            <w:vAlign w:val="bottom"/>
            <w:tcBorders>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filings</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the qualifications, engagement, performance and independence of the</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outside auditors, including approving all auditing and non-auditing</w:t>
            </w: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2940" w:type="dxa"/>
            <w:vAlign w:val="bottom"/>
            <w:tcBorders>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services performed by our outside auditors</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approving the annual audit plans and the performance of our internal</w:t>
            </w: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2940" w:type="dxa"/>
            <w:vAlign w:val="bottom"/>
            <w:tcBorders>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audit function</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The Board has determined that each of Mses. Kelman and O’Farrell and</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Mr. Nicholson qualify as an independent director under Nasdaq corporate</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governance standards and the independence requirements of Rule 10A-3</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of the Securities Exchange Act of 1934 (the “Exchange Act”), and that</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Ms. O’Farrell and Mr. Nicholson each qualify as an “audit committee</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financial expert” as such term is defined in Item 407(d)(5) of Regulation S-</w:t>
            </w:r>
          </w:p>
        </w:tc>
        <w:tc>
          <w:tcPr>
            <w:tcW w:w="0" w:type="dxa"/>
            <w:vAlign w:val="bottom"/>
          </w:tcPr>
          <w:p>
            <w:pPr>
              <w:spacing w:after="0"/>
              <w:rPr>
                <w:sz w:val="1"/>
                <w:szCs w:val="1"/>
                <w:color w:val="auto"/>
              </w:rPr>
            </w:pPr>
          </w:p>
        </w:tc>
      </w:tr>
      <w:tr>
        <w:trPr>
          <w:trHeight w:val="272"/>
        </w:trPr>
        <w:tc>
          <w:tcPr>
            <w:tcW w:w="80" w:type="dxa"/>
            <w:vAlign w:val="bottom"/>
            <w:tcBorders>
              <w:left w:val="single" w:sz="8" w:color="3465B0"/>
            </w:tcBorders>
          </w:tcPr>
          <w:p>
            <w:pPr>
              <w:spacing w:after="0"/>
              <w:rPr>
                <w:sz w:val="23"/>
                <w:szCs w:val="23"/>
                <w:color w:val="auto"/>
              </w:rPr>
            </w:pPr>
          </w:p>
        </w:tc>
        <w:tc>
          <w:tcPr>
            <w:tcW w:w="2940" w:type="dxa"/>
            <w:vAlign w:val="bottom"/>
            <w:tcBorders>
              <w:right w:val="single" w:sz="8" w:color="93A1D2"/>
            </w:tcBorders>
          </w:tcPr>
          <w:p>
            <w:pPr>
              <w:spacing w:after="0"/>
              <w:rPr>
                <w:sz w:val="23"/>
                <w:szCs w:val="23"/>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10"/>
        </w:trPr>
        <w:tc>
          <w:tcPr>
            <w:tcW w:w="80" w:type="dxa"/>
            <w:vAlign w:val="bottom"/>
            <w:tcBorders>
              <w:top w:val="single" w:sz="8" w:color="3465B0"/>
            </w:tcBorders>
          </w:tcPr>
          <w:p>
            <w:pPr>
              <w:spacing w:after="0"/>
              <w:rPr>
                <w:sz w:val="18"/>
                <w:szCs w:val="18"/>
                <w:color w:val="auto"/>
              </w:rPr>
            </w:pPr>
          </w:p>
        </w:tc>
        <w:tc>
          <w:tcPr>
            <w:tcW w:w="2940" w:type="dxa"/>
            <w:vAlign w:val="bottom"/>
            <w:tcBorders>
              <w:top w:val="single" w:sz="8" w:color="3465B0"/>
            </w:tcBorders>
          </w:tcPr>
          <w:p>
            <w:pPr>
              <w:spacing w:after="0"/>
              <w:rPr>
                <w:sz w:val="18"/>
                <w:szCs w:val="18"/>
                <w:color w:val="auto"/>
              </w:rPr>
            </w:pPr>
          </w:p>
        </w:tc>
        <w:tc>
          <w:tcPr>
            <w:tcW w:w="6140" w:type="dxa"/>
            <w:vAlign w:val="bottom"/>
            <w:tcBorders>
              <w:top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80" w:type="dxa"/>
            <w:vAlign w:val="bottom"/>
            <w:tcBorders>
              <w:left w:val="single" w:sz="8" w:color="3465B0"/>
            </w:tcBorders>
            <w:shd w:val="clear" w:color="auto" w:fill="3465B0"/>
          </w:tcPr>
          <w:p>
            <w:pPr>
              <w:spacing w:after="0"/>
              <w:rPr>
                <w:sz w:val="24"/>
                <w:szCs w:val="24"/>
                <w:color w:val="auto"/>
              </w:rPr>
            </w:pPr>
          </w:p>
        </w:tc>
        <w:tc>
          <w:tcPr>
            <w:tcW w:w="2940" w:type="dxa"/>
            <w:vAlign w:val="bottom"/>
            <w:tcBorders>
              <w:right w:val="single" w:sz="8" w:color="3465B0"/>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Compensation Committee</w:t>
            </w:r>
          </w:p>
        </w:tc>
        <w:tc>
          <w:tcPr>
            <w:tcW w:w="6140" w:type="dxa"/>
            <w:vAlign w:val="bottom"/>
            <w:tcBorders>
              <w:right w:val="single" w:sz="8" w:color="3465B0"/>
            </w:tcBorders>
            <w:shd w:val="clear" w:color="auto" w:fill="3465B0"/>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Borders>
              <w:left w:val="single" w:sz="8" w:color="3465B0"/>
            </w:tcBorders>
          </w:tcPr>
          <w:p>
            <w:pPr>
              <w:spacing w:after="0"/>
              <w:rPr>
                <w:sz w:val="18"/>
                <w:szCs w:val="18"/>
                <w:color w:val="auto"/>
              </w:rPr>
            </w:pPr>
          </w:p>
        </w:tc>
        <w:tc>
          <w:tcPr>
            <w:tcW w:w="294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Susan Somersille Johnson</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The primary purpose of the compensation committee is to assist our Board</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ind w:left="40"/>
              <w:spacing w:after="0" w:line="202" w:lineRule="exact"/>
              <w:rPr>
                <w:sz w:val="20"/>
                <w:szCs w:val="20"/>
                <w:color w:val="auto"/>
              </w:rPr>
            </w:pPr>
            <w:r>
              <w:rPr>
                <w:rFonts w:ascii="Arial" w:cs="Arial" w:eastAsia="Arial" w:hAnsi="Arial"/>
                <w:sz w:val="18"/>
                <w:szCs w:val="18"/>
                <w:b w:val="1"/>
                <w:bCs w:val="1"/>
                <w:color w:val="auto"/>
              </w:rPr>
              <w:t>(Chair)</w:t>
            </w: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of Directors in discharging its responsibilities relating to:</w:t>
            </w:r>
          </w:p>
        </w:tc>
        <w:tc>
          <w:tcPr>
            <w:tcW w:w="0" w:type="dxa"/>
            <w:vAlign w:val="bottom"/>
          </w:tcPr>
          <w:p>
            <w:pPr>
              <w:spacing w:after="0"/>
              <w:rPr>
                <w:sz w:val="1"/>
                <w:szCs w:val="1"/>
                <w:color w:val="auto"/>
              </w:rPr>
            </w:pPr>
          </w:p>
        </w:tc>
      </w:tr>
      <w:tr>
        <w:trPr>
          <w:trHeight w:val="235"/>
        </w:trPr>
        <w:tc>
          <w:tcPr>
            <w:tcW w:w="80" w:type="dxa"/>
            <w:vAlign w:val="bottom"/>
            <w:tcBorders>
              <w:left w:val="single" w:sz="8" w:color="3465B0"/>
            </w:tcBorders>
          </w:tcPr>
          <w:p>
            <w:pPr>
              <w:spacing w:after="0"/>
              <w:rPr>
                <w:sz w:val="20"/>
                <w:szCs w:val="20"/>
                <w:color w:val="auto"/>
              </w:rPr>
            </w:pPr>
          </w:p>
        </w:tc>
        <w:tc>
          <w:tcPr>
            <w:tcW w:w="294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Naomi Kelman</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setting our compensation philosophy and compensation of our executive</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ind w:left="40"/>
              <w:spacing w:after="0" w:line="202" w:lineRule="exact"/>
              <w:rPr>
                <w:sz w:val="20"/>
                <w:szCs w:val="20"/>
                <w:color w:val="auto"/>
              </w:rPr>
            </w:pPr>
            <w:r>
              <w:rPr>
                <w:rFonts w:ascii="Arial" w:cs="Arial" w:eastAsia="Arial" w:hAnsi="Arial"/>
                <w:sz w:val="18"/>
                <w:szCs w:val="18"/>
                <w:b w:val="1"/>
                <w:bCs w:val="1"/>
                <w:color w:val="auto"/>
              </w:rPr>
              <w:t>James M. McGrann</w:t>
            </w: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officers and directors</w:t>
            </w:r>
          </w:p>
        </w:tc>
        <w:tc>
          <w:tcPr>
            <w:tcW w:w="0" w:type="dxa"/>
            <w:vAlign w:val="bottom"/>
          </w:tcPr>
          <w:p>
            <w:pPr>
              <w:spacing w:after="0"/>
              <w:rPr>
                <w:sz w:val="1"/>
                <w:szCs w:val="1"/>
                <w:color w:val="auto"/>
              </w:rPr>
            </w:pPr>
          </w:p>
        </w:tc>
      </w:tr>
      <w:tr>
        <w:trPr>
          <w:trHeight w:val="247"/>
        </w:trPr>
        <w:tc>
          <w:tcPr>
            <w:tcW w:w="80" w:type="dxa"/>
            <w:vAlign w:val="bottom"/>
            <w:tcBorders>
              <w:left w:val="single" w:sz="8" w:color="3465B0"/>
            </w:tcBorders>
          </w:tcPr>
          <w:p>
            <w:pPr>
              <w:spacing w:after="0"/>
              <w:rPr>
                <w:sz w:val="21"/>
                <w:szCs w:val="21"/>
                <w:color w:val="auto"/>
              </w:rPr>
            </w:pPr>
          </w:p>
        </w:tc>
        <w:tc>
          <w:tcPr>
            <w:tcW w:w="294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Caitlin Zulla</w:t>
            </w:r>
          </w:p>
        </w:tc>
        <w:tc>
          <w:tcPr>
            <w:tcW w:w="6140" w:type="dxa"/>
            <w:vAlign w:val="bottom"/>
            <w:tcBorders>
              <w:right w:val="single" w:sz="8" w:color="3465B0"/>
            </w:tcBorders>
            <w:vMerge w:val="restart"/>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monitoring our equity-based and certain incentive compensation plans</w:t>
            </w:r>
          </w:p>
        </w:tc>
        <w:tc>
          <w:tcPr>
            <w:tcW w:w="0" w:type="dxa"/>
            <w:vAlign w:val="bottom"/>
          </w:tcPr>
          <w:p>
            <w:pPr>
              <w:spacing w:after="0"/>
              <w:rPr>
                <w:sz w:val="1"/>
                <w:szCs w:val="1"/>
                <w:color w:val="auto"/>
              </w:rPr>
            </w:pPr>
          </w:p>
        </w:tc>
      </w:tr>
      <w:tr>
        <w:trPr>
          <w:trHeight w:val="68"/>
        </w:trPr>
        <w:tc>
          <w:tcPr>
            <w:tcW w:w="80" w:type="dxa"/>
            <w:vAlign w:val="bottom"/>
            <w:tcBorders>
              <w:left w:val="single" w:sz="8" w:color="3465B0"/>
            </w:tcBorders>
          </w:tcPr>
          <w:p>
            <w:pPr>
              <w:spacing w:after="0"/>
              <w:rPr>
                <w:sz w:val="5"/>
                <w:szCs w:val="5"/>
                <w:color w:val="auto"/>
              </w:rPr>
            </w:pPr>
          </w:p>
        </w:tc>
        <w:tc>
          <w:tcPr>
            <w:tcW w:w="2940" w:type="dxa"/>
            <w:vAlign w:val="bottom"/>
            <w:tcBorders>
              <w:right w:val="single" w:sz="8" w:color="93A1D2"/>
            </w:tcBorders>
          </w:tcPr>
          <w:p>
            <w:pPr>
              <w:spacing w:after="0"/>
              <w:rPr>
                <w:sz w:val="5"/>
                <w:szCs w:val="5"/>
                <w:color w:val="auto"/>
              </w:rPr>
            </w:pPr>
          </w:p>
        </w:tc>
        <w:tc>
          <w:tcPr>
            <w:tcW w:w="6140" w:type="dxa"/>
            <w:vAlign w:val="bottom"/>
            <w:tcBorders>
              <w:right w:val="single" w:sz="8" w:color="3465B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preparing the compensation committee report required to be included in</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vMerge w:val="restart"/>
          </w:tcPr>
          <w:p>
            <w:pPr>
              <w:ind w:left="40"/>
              <w:spacing w:after="0"/>
              <w:rPr>
                <w:sz w:val="20"/>
                <w:szCs w:val="20"/>
                <w:color w:val="auto"/>
              </w:rPr>
            </w:pPr>
            <w:r>
              <w:rPr>
                <w:rFonts w:ascii="Arial" w:cs="Arial" w:eastAsia="Arial" w:hAnsi="Arial"/>
                <w:sz w:val="18"/>
                <w:szCs w:val="18"/>
                <w:b w:val="1"/>
                <w:bCs w:val="1"/>
                <w:color w:val="3465B0"/>
              </w:rPr>
              <w:t>4 Meetings held in 2025</w:t>
            </w: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our proxy statement or annual report under the rules and regulations of</w:t>
            </w:r>
          </w:p>
        </w:tc>
        <w:tc>
          <w:tcPr>
            <w:tcW w:w="0" w:type="dxa"/>
            <w:vAlign w:val="bottom"/>
          </w:tcPr>
          <w:p>
            <w:pPr>
              <w:spacing w:after="0"/>
              <w:rPr>
                <w:sz w:val="1"/>
                <w:szCs w:val="1"/>
                <w:color w:val="auto"/>
              </w:rPr>
            </w:pPr>
          </w:p>
        </w:tc>
      </w:tr>
      <w:tr>
        <w:trPr>
          <w:trHeight w:val="152"/>
        </w:trPr>
        <w:tc>
          <w:tcPr>
            <w:tcW w:w="80" w:type="dxa"/>
            <w:vAlign w:val="bottom"/>
            <w:tcBorders>
              <w:left w:val="single" w:sz="8" w:color="3465B0"/>
            </w:tcBorders>
          </w:tcPr>
          <w:p>
            <w:pPr>
              <w:spacing w:after="0"/>
              <w:rPr>
                <w:sz w:val="13"/>
                <w:szCs w:val="13"/>
                <w:color w:val="auto"/>
              </w:rPr>
            </w:pPr>
          </w:p>
        </w:tc>
        <w:tc>
          <w:tcPr>
            <w:tcW w:w="2940" w:type="dxa"/>
            <w:vAlign w:val="bottom"/>
            <w:tcBorders>
              <w:right w:val="single" w:sz="8" w:color="93A1D2"/>
            </w:tcBorders>
            <w:vMerge w:val="continue"/>
          </w:tcPr>
          <w:p>
            <w:pPr>
              <w:spacing w:after="0"/>
              <w:rPr>
                <w:sz w:val="13"/>
                <w:szCs w:val="13"/>
                <w:color w:val="auto"/>
              </w:rPr>
            </w:pPr>
          </w:p>
        </w:tc>
        <w:tc>
          <w:tcPr>
            <w:tcW w:w="6140" w:type="dxa"/>
            <w:vAlign w:val="bottom"/>
            <w:tcBorders>
              <w:right w:val="single" w:sz="8" w:color="3465B0"/>
            </w:tcBorders>
            <w:vMerge w:val="restart"/>
          </w:tcPr>
          <w:p>
            <w:pPr>
              <w:ind w:left="260"/>
              <w:spacing w:after="0"/>
              <w:rPr>
                <w:sz w:val="20"/>
                <w:szCs w:val="20"/>
                <w:color w:val="auto"/>
              </w:rPr>
            </w:pPr>
            <w:r>
              <w:rPr>
                <w:rFonts w:ascii="Arial" w:cs="Arial" w:eastAsia="Arial" w:hAnsi="Arial"/>
                <w:sz w:val="18"/>
                <w:szCs w:val="18"/>
                <w:color w:val="auto"/>
              </w:rPr>
              <w:t>the SEC</w:t>
            </w:r>
          </w:p>
        </w:tc>
        <w:tc>
          <w:tcPr>
            <w:tcW w:w="0" w:type="dxa"/>
            <w:vAlign w:val="bottom"/>
          </w:tcPr>
          <w:p>
            <w:pPr>
              <w:spacing w:after="0"/>
              <w:rPr>
                <w:sz w:val="1"/>
                <w:szCs w:val="1"/>
                <w:color w:val="auto"/>
              </w:rPr>
            </w:pPr>
          </w:p>
        </w:tc>
      </w:tr>
      <w:tr>
        <w:trPr>
          <w:trHeight w:val="86"/>
        </w:trPr>
        <w:tc>
          <w:tcPr>
            <w:tcW w:w="80" w:type="dxa"/>
            <w:vAlign w:val="bottom"/>
            <w:tcBorders>
              <w:left w:val="single" w:sz="8" w:color="3465B0"/>
            </w:tcBorders>
          </w:tcPr>
          <w:p>
            <w:pPr>
              <w:spacing w:after="0"/>
              <w:rPr>
                <w:sz w:val="7"/>
                <w:szCs w:val="7"/>
                <w:color w:val="auto"/>
              </w:rPr>
            </w:pPr>
          </w:p>
        </w:tc>
        <w:tc>
          <w:tcPr>
            <w:tcW w:w="2940" w:type="dxa"/>
            <w:vAlign w:val="bottom"/>
            <w:tcBorders>
              <w:right w:val="single" w:sz="8" w:color="93A1D2"/>
            </w:tcBorders>
          </w:tcPr>
          <w:p>
            <w:pPr>
              <w:spacing w:after="0"/>
              <w:rPr>
                <w:sz w:val="7"/>
                <w:szCs w:val="7"/>
                <w:color w:val="auto"/>
              </w:rPr>
            </w:pPr>
          </w:p>
        </w:tc>
        <w:tc>
          <w:tcPr>
            <w:tcW w:w="6140" w:type="dxa"/>
            <w:vAlign w:val="bottom"/>
            <w:tcBorders>
              <w:right w:val="single" w:sz="8" w:color="3465B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The Board has determined that each of Ms. Johnson, Ms. Kelman,</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Mr. McGrann and Ms. Zulla are independent under the applicable listing</w:t>
            </w:r>
          </w:p>
        </w:tc>
        <w:tc>
          <w:tcPr>
            <w:tcW w:w="0" w:type="dxa"/>
            <w:vAlign w:val="bottom"/>
          </w:tcPr>
          <w:p>
            <w:pPr>
              <w:spacing w:after="0"/>
              <w:rPr>
                <w:sz w:val="1"/>
                <w:szCs w:val="1"/>
                <w:color w:val="auto"/>
              </w:rPr>
            </w:pPr>
          </w:p>
        </w:tc>
      </w:tr>
      <w:tr>
        <w:trPr>
          <w:trHeight w:val="272"/>
        </w:trPr>
        <w:tc>
          <w:tcPr>
            <w:tcW w:w="80" w:type="dxa"/>
            <w:vAlign w:val="bottom"/>
            <w:tcBorders>
              <w:left w:val="single" w:sz="8" w:color="3465B0"/>
            </w:tcBorders>
          </w:tcPr>
          <w:p>
            <w:pPr>
              <w:spacing w:after="0"/>
              <w:rPr>
                <w:sz w:val="23"/>
                <w:szCs w:val="23"/>
                <w:color w:val="auto"/>
              </w:rPr>
            </w:pPr>
          </w:p>
        </w:tc>
        <w:tc>
          <w:tcPr>
            <w:tcW w:w="2940" w:type="dxa"/>
            <w:vAlign w:val="bottom"/>
            <w:tcBorders>
              <w:right w:val="single" w:sz="8" w:color="93A1D2"/>
            </w:tcBorders>
          </w:tcPr>
          <w:p>
            <w:pPr>
              <w:spacing w:after="0"/>
              <w:rPr>
                <w:sz w:val="23"/>
                <w:szCs w:val="23"/>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standards of Nasdaq and our Corporate Governance Guidelines.</w:t>
            </w:r>
          </w:p>
        </w:tc>
        <w:tc>
          <w:tcPr>
            <w:tcW w:w="0" w:type="dxa"/>
            <w:vAlign w:val="bottom"/>
          </w:tcPr>
          <w:p>
            <w:pPr>
              <w:spacing w:after="0"/>
              <w:rPr>
                <w:sz w:val="1"/>
                <w:szCs w:val="1"/>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2940" w:type="dxa"/>
            <w:vAlign w:val="bottom"/>
            <w:tcBorders>
              <w:right w:val="single" w:sz="8" w:color="3465B0"/>
            </w:tcBorders>
            <w:shd w:val="clear" w:color="auto" w:fill="3465B0"/>
          </w:tcPr>
          <w:p>
            <w:pPr>
              <w:spacing w:after="0" w:line="20" w:lineRule="exact"/>
              <w:rPr>
                <w:sz w:val="1"/>
                <w:szCs w:val="1"/>
                <w:color w:val="auto"/>
              </w:rPr>
            </w:pPr>
          </w:p>
        </w:tc>
        <w:tc>
          <w:tcPr>
            <w:tcW w:w="6140" w:type="dxa"/>
            <w:vAlign w:val="bottom"/>
            <w:tcBorders>
              <w:right w:val="single" w:sz="8" w:color="3465B0"/>
            </w:tcBorders>
            <w:shd w:val="clear" w:color="auto" w:fill="3465B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60" w:hanging="346"/>
        <w:spacing w:after="0"/>
        <w:tabs>
          <w:tab w:leader="none" w:pos="360" w:val="left"/>
        </w:tabs>
        <w:numPr>
          <w:ilvl w:val="0"/>
          <w:numId w:val="35"/>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7" w:name="page28"/>
    <w:bookmarkEnd w:id="27"/>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930" w:type="dxa"/>
        <w:tblCellMar>
          <w:top w:w="0" w:type="dxa"/>
          <w:left w:w="0" w:type="dxa"/>
          <w:bottom w:w="0" w:type="dxa"/>
          <w:right w:w="0" w:type="dxa"/>
        </w:tblCellMar>
      </w:tblPr>
      <w:tr>
        <w:trPr>
          <w:trHeight w:val="283"/>
        </w:trPr>
        <w:tc>
          <w:tcPr>
            <w:tcW w:w="80" w:type="dxa"/>
            <w:vAlign w:val="bottom"/>
            <w:tcBorders>
              <w:left w:val="single" w:sz="8" w:color="3465B0"/>
            </w:tcBorders>
            <w:shd w:val="clear" w:color="auto" w:fill="3465B0"/>
          </w:tcPr>
          <w:p>
            <w:pPr>
              <w:spacing w:after="0"/>
              <w:rPr>
                <w:sz w:val="24"/>
                <w:szCs w:val="24"/>
                <w:color w:val="auto"/>
              </w:rPr>
            </w:pPr>
          </w:p>
        </w:tc>
        <w:tc>
          <w:tcPr>
            <w:tcW w:w="2940" w:type="dxa"/>
            <w:vAlign w:val="bottom"/>
            <w:tcBorders>
              <w:right w:val="single" w:sz="8" w:color="3465B0"/>
            </w:tcBorders>
            <w:shd w:val="clear" w:color="auto" w:fill="3465B0"/>
          </w:tcPr>
          <w:p>
            <w:pPr>
              <w:spacing w:after="0"/>
              <w:rPr>
                <w:sz w:val="24"/>
                <w:szCs w:val="24"/>
                <w:color w:val="auto"/>
              </w:rPr>
            </w:pPr>
          </w:p>
        </w:tc>
        <w:tc>
          <w:tcPr>
            <w:tcW w:w="6140" w:type="dxa"/>
            <w:vAlign w:val="bottom"/>
            <w:tcBorders>
              <w:right w:val="single" w:sz="8" w:color="3465B0"/>
            </w:tcBorders>
            <w:shd w:val="clear" w:color="auto" w:fill="3465B0"/>
          </w:tcPr>
          <w:p>
            <w:pPr>
              <w:ind w:left="2640"/>
              <w:spacing w:after="0"/>
              <w:rPr>
                <w:sz w:val="20"/>
                <w:szCs w:val="20"/>
                <w:color w:val="auto"/>
              </w:rPr>
            </w:pPr>
            <w:r>
              <w:rPr>
                <w:rFonts w:ascii="Arial" w:cs="Arial" w:eastAsia="Arial" w:hAnsi="Arial"/>
                <w:sz w:val="18"/>
                <w:szCs w:val="18"/>
                <w:b w:val="1"/>
                <w:bCs w:val="1"/>
                <w:color w:val="FFFFFF"/>
              </w:rPr>
              <w:t>CORPORATE GOVERNANCE MATTERS</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80" w:type="dxa"/>
            <w:vAlign w:val="bottom"/>
            <w:tcBorders>
              <w:left w:val="single" w:sz="8" w:color="3465B0"/>
            </w:tcBorders>
            <w:shd w:val="clear" w:color="auto" w:fill="3465B0"/>
          </w:tcPr>
          <w:p>
            <w:pPr>
              <w:spacing w:after="0"/>
              <w:rPr>
                <w:sz w:val="24"/>
                <w:szCs w:val="24"/>
                <w:color w:val="auto"/>
              </w:rPr>
            </w:pPr>
          </w:p>
        </w:tc>
        <w:tc>
          <w:tcPr>
            <w:tcW w:w="9080" w:type="dxa"/>
            <w:vAlign w:val="bottom"/>
            <w:tcBorders>
              <w:right w:val="single" w:sz="8" w:color="3465B0"/>
            </w:tcBorders>
            <w:gridSpan w:val="2"/>
            <w:shd w:val="clear" w:color="auto" w:fill="3465B0"/>
          </w:tcPr>
          <w:p>
            <w:pPr>
              <w:ind w:left="40"/>
              <w:spacing w:after="0"/>
              <w:rPr>
                <w:sz w:val="20"/>
                <w:szCs w:val="20"/>
                <w:color w:val="auto"/>
              </w:rPr>
            </w:pPr>
            <w:r>
              <w:rPr>
                <w:rFonts w:ascii="Arial" w:cs="Arial" w:eastAsia="Arial" w:hAnsi="Arial"/>
                <w:sz w:val="18"/>
                <w:szCs w:val="18"/>
                <w:b w:val="1"/>
                <w:bCs w:val="1"/>
                <w:color w:val="FFFFFF"/>
              </w:rPr>
              <w:t>Nominating and Corporate Governance Committee</w:t>
            </w:r>
          </w:p>
        </w:tc>
        <w:tc>
          <w:tcPr>
            <w:tcW w:w="0" w:type="dxa"/>
            <w:vAlign w:val="bottom"/>
          </w:tcPr>
          <w:p>
            <w:pPr>
              <w:spacing w:after="0"/>
              <w:rPr>
                <w:sz w:val="1"/>
                <w:szCs w:val="1"/>
                <w:color w:val="auto"/>
              </w:rPr>
            </w:pPr>
          </w:p>
        </w:tc>
      </w:tr>
      <w:tr>
        <w:trPr>
          <w:trHeight w:val="211"/>
        </w:trPr>
        <w:tc>
          <w:tcPr>
            <w:tcW w:w="80" w:type="dxa"/>
            <w:vAlign w:val="bottom"/>
            <w:tcBorders>
              <w:left w:val="single" w:sz="8" w:color="3465B0"/>
            </w:tcBorders>
          </w:tcPr>
          <w:p>
            <w:pPr>
              <w:spacing w:after="0"/>
              <w:rPr>
                <w:sz w:val="18"/>
                <w:szCs w:val="18"/>
                <w:color w:val="auto"/>
              </w:rPr>
            </w:pPr>
          </w:p>
        </w:tc>
        <w:tc>
          <w:tcPr>
            <w:tcW w:w="294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Virginia A. Hepner (Chair)</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The primary purpose of the nominating and corporate governance</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ind w:left="40"/>
              <w:spacing w:after="0" w:line="202" w:lineRule="exact"/>
              <w:rPr>
                <w:sz w:val="20"/>
                <w:szCs w:val="20"/>
                <w:color w:val="auto"/>
              </w:rPr>
            </w:pPr>
            <w:r>
              <w:rPr>
                <w:rFonts w:ascii="Arial" w:cs="Arial" w:eastAsia="Arial" w:hAnsi="Arial"/>
                <w:sz w:val="18"/>
                <w:szCs w:val="18"/>
                <w:b w:val="1"/>
                <w:bCs w:val="1"/>
                <w:color w:val="auto"/>
              </w:rPr>
              <w:t>Jose Armario</w:t>
            </w: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committee is to provide assistance to the Board by, among other things:</w:t>
            </w:r>
          </w:p>
        </w:tc>
        <w:tc>
          <w:tcPr>
            <w:tcW w:w="0" w:type="dxa"/>
            <w:vAlign w:val="bottom"/>
          </w:tcPr>
          <w:p>
            <w:pPr>
              <w:spacing w:after="0"/>
              <w:rPr>
                <w:sz w:val="1"/>
                <w:szCs w:val="1"/>
                <w:color w:val="auto"/>
              </w:rPr>
            </w:pPr>
          </w:p>
        </w:tc>
      </w:tr>
      <w:tr>
        <w:trPr>
          <w:trHeight w:val="235"/>
        </w:trPr>
        <w:tc>
          <w:tcPr>
            <w:tcW w:w="80" w:type="dxa"/>
            <w:vAlign w:val="bottom"/>
            <w:tcBorders>
              <w:left w:val="single" w:sz="8" w:color="3465B0"/>
            </w:tcBorders>
          </w:tcPr>
          <w:p>
            <w:pPr>
              <w:spacing w:after="0"/>
              <w:rPr>
                <w:sz w:val="20"/>
                <w:szCs w:val="20"/>
                <w:color w:val="auto"/>
              </w:rPr>
            </w:pPr>
          </w:p>
        </w:tc>
        <w:tc>
          <w:tcPr>
            <w:tcW w:w="294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Michael J. Nicholson</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determining the size, structure, composition, processes and practices of</w:t>
            </w:r>
          </w:p>
        </w:tc>
        <w:tc>
          <w:tcPr>
            <w:tcW w:w="0" w:type="dxa"/>
            <w:vAlign w:val="bottom"/>
          </w:tcPr>
          <w:p>
            <w:pPr>
              <w:spacing w:after="0"/>
              <w:rPr>
                <w:sz w:val="1"/>
                <w:szCs w:val="1"/>
                <w:color w:val="auto"/>
              </w:rPr>
            </w:pPr>
          </w:p>
        </w:tc>
      </w:tr>
      <w:tr>
        <w:trPr>
          <w:trHeight w:val="261"/>
        </w:trPr>
        <w:tc>
          <w:tcPr>
            <w:tcW w:w="80" w:type="dxa"/>
            <w:vAlign w:val="bottom"/>
            <w:tcBorders>
              <w:left w:val="single" w:sz="8" w:color="3465B0"/>
            </w:tcBorders>
          </w:tcPr>
          <w:p>
            <w:pPr>
              <w:spacing w:after="0"/>
              <w:rPr>
                <w:sz w:val="22"/>
                <w:szCs w:val="22"/>
                <w:color w:val="auto"/>
              </w:rPr>
            </w:pPr>
          </w:p>
        </w:tc>
        <w:tc>
          <w:tcPr>
            <w:tcW w:w="294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D. Randolph Peeler</w:t>
            </w: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the Board and its committees</w:t>
            </w: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2940" w:type="dxa"/>
            <w:vAlign w:val="bottom"/>
            <w:tcBorders>
              <w:right w:val="single" w:sz="8" w:color="93A1D2"/>
            </w:tcBorders>
          </w:tcPr>
          <w:p>
            <w:pPr>
              <w:spacing w:after="0"/>
              <w:rPr>
                <w:sz w:val="22"/>
                <w:szCs w:val="22"/>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assessing director independence and qualifications</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vMerge w:val="restart"/>
          </w:tcPr>
          <w:p>
            <w:pPr>
              <w:ind w:left="40"/>
              <w:spacing w:after="0"/>
              <w:rPr>
                <w:sz w:val="20"/>
                <w:szCs w:val="20"/>
                <w:color w:val="auto"/>
              </w:rPr>
            </w:pPr>
            <w:r>
              <w:rPr>
                <w:rFonts w:ascii="Arial" w:cs="Arial" w:eastAsia="Arial" w:hAnsi="Arial"/>
                <w:sz w:val="18"/>
                <w:szCs w:val="18"/>
                <w:b w:val="1"/>
                <w:bCs w:val="1"/>
                <w:color w:val="3465B0"/>
              </w:rPr>
              <w:t>4 Meetings held in 2025</w:t>
            </w: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identifying and recommending, and assisting the Board in recruiting,</w:t>
            </w:r>
          </w:p>
        </w:tc>
        <w:tc>
          <w:tcPr>
            <w:tcW w:w="0" w:type="dxa"/>
            <w:vAlign w:val="bottom"/>
          </w:tcPr>
          <w:p>
            <w:pPr>
              <w:spacing w:after="0"/>
              <w:rPr>
                <w:sz w:val="1"/>
                <w:szCs w:val="1"/>
                <w:color w:val="auto"/>
              </w:rPr>
            </w:pPr>
          </w:p>
        </w:tc>
      </w:tr>
      <w:tr>
        <w:trPr>
          <w:trHeight w:val="139"/>
        </w:trPr>
        <w:tc>
          <w:tcPr>
            <w:tcW w:w="80" w:type="dxa"/>
            <w:vAlign w:val="bottom"/>
            <w:tcBorders>
              <w:left w:val="single" w:sz="8" w:color="3465B0"/>
            </w:tcBorders>
          </w:tcPr>
          <w:p>
            <w:pPr>
              <w:spacing w:after="0"/>
              <w:rPr>
                <w:sz w:val="12"/>
                <w:szCs w:val="12"/>
                <w:color w:val="auto"/>
              </w:rPr>
            </w:pPr>
          </w:p>
        </w:tc>
        <w:tc>
          <w:tcPr>
            <w:tcW w:w="2940" w:type="dxa"/>
            <w:vAlign w:val="bottom"/>
            <w:tcBorders>
              <w:right w:val="single" w:sz="8" w:color="93A1D2"/>
            </w:tcBorders>
            <w:vMerge w:val="continue"/>
          </w:tcPr>
          <w:p>
            <w:pPr>
              <w:spacing w:after="0"/>
              <w:rPr>
                <w:sz w:val="12"/>
                <w:szCs w:val="12"/>
                <w:color w:val="auto"/>
              </w:rPr>
            </w:pPr>
          </w:p>
        </w:tc>
        <w:tc>
          <w:tcPr>
            <w:tcW w:w="6140" w:type="dxa"/>
            <w:vAlign w:val="bottom"/>
            <w:tcBorders>
              <w:right w:val="single" w:sz="8" w:color="3465B0"/>
            </w:tcBorders>
            <w:vMerge w:val="restart"/>
          </w:tcPr>
          <w:p>
            <w:pPr>
              <w:ind w:left="260"/>
              <w:spacing w:after="0"/>
              <w:rPr>
                <w:sz w:val="20"/>
                <w:szCs w:val="20"/>
                <w:color w:val="auto"/>
              </w:rPr>
            </w:pPr>
            <w:r>
              <w:rPr>
                <w:rFonts w:ascii="Arial" w:cs="Arial" w:eastAsia="Arial" w:hAnsi="Arial"/>
                <w:sz w:val="18"/>
                <w:szCs w:val="18"/>
                <w:color w:val="auto"/>
              </w:rPr>
              <w:t>qualified director candidates</w:t>
            </w:r>
          </w:p>
        </w:tc>
        <w:tc>
          <w:tcPr>
            <w:tcW w:w="0" w:type="dxa"/>
            <w:vAlign w:val="bottom"/>
          </w:tcPr>
          <w:p>
            <w:pPr>
              <w:spacing w:after="0"/>
              <w:rPr>
                <w:sz w:val="1"/>
                <w:szCs w:val="1"/>
                <w:color w:val="auto"/>
              </w:rPr>
            </w:pPr>
          </w:p>
        </w:tc>
      </w:tr>
      <w:tr>
        <w:trPr>
          <w:trHeight w:val="100"/>
        </w:trPr>
        <w:tc>
          <w:tcPr>
            <w:tcW w:w="80" w:type="dxa"/>
            <w:vAlign w:val="bottom"/>
            <w:tcBorders>
              <w:left w:val="single" w:sz="8" w:color="3465B0"/>
            </w:tcBorders>
          </w:tcPr>
          <w:p>
            <w:pPr>
              <w:spacing w:after="0"/>
              <w:rPr>
                <w:sz w:val="8"/>
                <w:szCs w:val="8"/>
                <w:color w:val="auto"/>
              </w:rPr>
            </w:pPr>
          </w:p>
        </w:tc>
        <w:tc>
          <w:tcPr>
            <w:tcW w:w="2940" w:type="dxa"/>
            <w:vAlign w:val="bottom"/>
            <w:tcBorders>
              <w:right w:val="single" w:sz="8" w:color="93A1D2"/>
            </w:tcBorders>
          </w:tcPr>
          <w:p>
            <w:pPr>
              <w:spacing w:after="0"/>
              <w:rPr>
                <w:sz w:val="8"/>
                <w:szCs w:val="8"/>
                <w:color w:val="auto"/>
              </w:rPr>
            </w:pPr>
          </w:p>
        </w:tc>
        <w:tc>
          <w:tcPr>
            <w:tcW w:w="6140" w:type="dxa"/>
            <w:vAlign w:val="bottom"/>
            <w:tcBorders>
              <w:right w:val="single" w:sz="8" w:color="3465B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2940" w:type="dxa"/>
            <w:vAlign w:val="bottom"/>
            <w:tcBorders>
              <w:right w:val="single" w:sz="8" w:color="93A1D2"/>
            </w:tcBorders>
          </w:tcPr>
          <w:p>
            <w:pPr>
              <w:spacing w:after="0"/>
              <w:rPr>
                <w:sz w:val="22"/>
                <w:szCs w:val="22"/>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overseeing the Board’s director education practices</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taking a leadership role in shaping the corporate governance of the</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Company through its review and development of our Corporate</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Governance Guidelines and practices and guidance of the annual Board</w:t>
            </w: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2940" w:type="dxa"/>
            <w:vAlign w:val="bottom"/>
            <w:tcBorders>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evaluation</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exercising, along with the Board, oversight responsibility for our</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sustainability strategy and providing oversight and guidance on</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environmental sustainability, social justice and corporate responsibility</w:t>
            </w: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2940" w:type="dxa"/>
            <w:vAlign w:val="bottom"/>
            <w:tcBorders>
              <w:right w:val="single" w:sz="8" w:color="93A1D2"/>
            </w:tcBorders>
          </w:tcPr>
          <w:p>
            <w:pPr>
              <w:spacing w:after="0"/>
              <w:rPr>
                <w:sz w:val="20"/>
                <w:szCs w:val="20"/>
                <w:color w:val="auto"/>
              </w:rPr>
            </w:pPr>
          </w:p>
        </w:tc>
        <w:tc>
          <w:tcPr>
            <w:tcW w:w="6140" w:type="dxa"/>
            <w:vAlign w:val="bottom"/>
            <w:tcBorders>
              <w:right w:val="single" w:sz="8" w:color="3465B0"/>
            </w:tcBorders>
          </w:tcPr>
          <w:p>
            <w:pPr>
              <w:ind w:left="260"/>
              <w:spacing w:after="0"/>
              <w:rPr>
                <w:sz w:val="20"/>
                <w:szCs w:val="20"/>
                <w:color w:val="auto"/>
              </w:rPr>
            </w:pPr>
            <w:r>
              <w:rPr>
                <w:rFonts w:ascii="Arial" w:cs="Arial" w:eastAsia="Arial" w:hAnsi="Arial"/>
                <w:sz w:val="18"/>
                <w:szCs w:val="18"/>
                <w:color w:val="auto"/>
              </w:rPr>
              <w:t>issues and opportunities</w:t>
            </w: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2940" w:type="dxa"/>
            <w:vAlign w:val="bottom"/>
            <w:tcBorders>
              <w:right w:val="single" w:sz="8" w:color="93A1D2"/>
            </w:tcBorders>
          </w:tcPr>
          <w:p>
            <w:pPr>
              <w:spacing w:after="0"/>
              <w:rPr>
                <w:sz w:val="19"/>
                <w:szCs w:val="19"/>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The Board has determined that each of Ms. Hepner and Messrs.</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2940" w:type="dxa"/>
            <w:vAlign w:val="bottom"/>
            <w:tcBorders>
              <w:right w:val="single" w:sz="8" w:color="93A1D2"/>
            </w:tcBorders>
          </w:tcPr>
          <w:p>
            <w:pPr>
              <w:spacing w:after="0"/>
              <w:rPr>
                <w:sz w:val="17"/>
                <w:szCs w:val="17"/>
                <w:color w:val="auto"/>
              </w:rPr>
            </w:pPr>
          </w:p>
        </w:tc>
        <w:tc>
          <w:tcPr>
            <w:tcW w:w="6140" w:type="dxa"/>
            <w:vAlign w:val="bottom"/>
            <w:tcBorders>
              <w:right w:val="single" w:sz="8" w:color="3465B0"/>
            </w:tcBorders>
          </w:tcPr>
          <w:p>
            <w:pPr>
              <w:ind w:left="40"/>
              <w:spacing w:after="0" w:line="202" w:lineRule="exact"/>
              <w:rPr>
                <w:sz w:val="20"/>
                <w:szCs w:val="20"/>
                <w:color w:val="auto"/>
              </w:rPr>
            </w:pPr>
            <w:r>
              <w:rPr>
                <w:rFonts w:ascii="Arial" w:cs="Arial" w:eastAsia="Arial" w:hAnsi="Arial"/>
                <w:sz w:val="18"/>
                <w:szCs w:val="18"/>
                <w:color w:val="auto"/>
              </w:rPr>
              <w:t>Nicholson, Peeler and Armario are independent under the applicable listing</w:t>
            </w:r>
          </w:p>
        </w:tc>
        <w:tc>
          <w:tcPr>
            <w:tcW w:w="0" w:type="dxa"/>
            <w:vAlign w:val="bottom"/>
          </w:tcPr>
          <w:p>
            <w:pPr>
              <w:spacing w:after="0"/>
              <w:rPr>
                <w:sz w:val="1"/>
                <w:szCs w:val="1"/>
                <w:color w:val="auto"/>
              </w:rPr>
            </w:pPr>
          </w:p>
        </w:tc>
      </w:tr>
      <w:tr>
        <w:trPr>
          <w:trHeight w:val="272"/>
        </w:trPr>
        <w:tc>
          <w:tcPr>
            <w:tcW w:w="80" w:type="dxa"/>
            <w:vAlign w:val="bottom"/>
            <w:tcBorders>
              <w:left w:val="single" w:sz="8" w:color="3465B0"/>
            </w:tcBorders>
          </w:tcPr>
          <w:p>
            <w:pPr>
              <w:spacing w:after="0"/>
              <w:rPr>
                <w:sz w:val="23"/>
                <w:szCs w:val="23"/>
                <w:color w:val="auto"/>
              </w:rPr>
            </w:pPr>
          </w:p>
        </w:tc>
        <w:tc>
          <w:tcPr>
            <w:tcW w:w="2940" w:type="dxa"/>
            <w:vAlign w:val="bottom"/>
            <w:tcBorders>
              <w:right w:val="single" w:sz="8" w:color="93A1D2"/>
            </w:tcBorders>
          </w:tcPr>
          <w:p>
            <w:pPr>
              <w:spacing w:after="0"/>
              <w:rPr>
                <w:sz w:val="23"/>
                <w:szCs w:val="23"/>
                <w:color w:val="auto"/>
              </w:rPr>
            </w:pPr>
          </w:p>
        </w:tc>
        <w:tc>
          <w:tcPr>
            <w:tcW w:w="6140" w:type="dxa"/>
            <w:vAlign w:val="bottom"/>
            <w:tcBorders>
              <w:right w:val="single" w:sz="8" w:color="3465B0"/>
            </w:tcBorders>
          </w:tcPr>
          <w:p>
            <w:pPr>
              <w:ind w:left="40"/>
              <w:spacing w:after="0"/>
              <w:rPr>
                <w:sz w:val="20"/>
                <w:szCs w:val="20"/>
                <w:color w:val="auto"/>
              </w:rPr>
            </w:pPr>
            <w:r>
              <w:rPr>
                <w:rFonts w:ascii="Arial" w:cs="Arial" w:eastAsia="Arial" w:hAnsi="Arial"/>
                <w:sz w:val="18"/>
                <w:szCs w:val="18"/>
                <w:color w:val="auto"/>
              </w:rPr>
              <w:t>standards of Nasdaq and our Corporate Governance Guidelines.</w:t>
            </w:r>
          </w:p>
        </w:tc>
        <w:tc>
          <w:tcPr>
            <w:tcW w:w="0" w:type="dxa"/>
            <w:vAlign w:val="bottom"/>
          </w:tcPr>
          <w:p>
            <w:pPr>
              <w:spacing w:after="0"/>
              <w:rPr>
                <w:sz w:val="1"/>
                <w:szCs w:val="1"/>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2940" w:type="dxa"/>
            <w:vAlign w:val="bottom"/>
            <w:tcBorders>
              <w:right w:val="single" w:sz="8" w:color="3465B0"/>
            </w:tcBorders>
            <w:shd w:val="clear" w:color="auto" w:fill="3465B0"/>
          </w:tcPr>
          <w:p>
            <w:pPr>
              <w:spacing w:after="0" w:line="20" w:lineRule="exact"/>
              <w:rPr>
                <w:sz w:val="1"/>
                <w:szCs w:val="1"/>
                <w:color w:val="auto"/>
              </w:rPr>
            </w:pPr>
          </w:p>
        </w:tc>
        <w:tc>
          <w:tcPr>
            <w:tcW w:w="6140" w:type="dxa"/>
            <w:vAlign w:val="bottom"/>
            <w:tcBorders>
              <w:right w:val="single" w:sz="8" w:color="3465B0"/>
            </w:tcBorders>
            <w:shd w:val="clear" w:color="auto" w:fill="3465B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55"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The primary responsibility of our Board is to oversee the management of the business and the affairs of the Company for the benefit of our stockholders and other stakeholders, using its business judgment to act in the best interests of the Company and its stockholders. As part of its responsibility, the Board oversees critical matters such as strategy, management succession planning, financial and other internal controls, corporate governance, risk management and compliance, and selects and oversees the members of senior management who are charged by the Board with conducting the business of the Company.</w:t>
      </w:r>
    </w:p>
    <w:p>
      <w:pPr>
        <w:spacing w:after="0" w:line="15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Board’s role in oversight is further described below and in our Corporate Governance Guidelines.</w:t>
      </w:r>
    </w:p>
    <w:p>
      <w:pPr>
        <w:spacing w:after="0" w:line="220"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Management Succession Planning</w:t>
      </w:r>
    </w:p>
    <w:p>
      <w:pPr>
        <w:spacing w:after="0" w:line="139" w:lineRule="exact"/>
        <w:rPr>
          <w:sz w:val="20"/>
          <w:szCs w:val="20"/>
          <w:color w:val="auto"/>
        </w:rPr>
      </w:pPr>
    </w:p>
    <w:p>
      <w:pPr>
        <w:jc w:val="both"/>
        <w:ind w:left="940" w:right="940"/>
        <w:spacing w:after="0" w:line="239" w:lineRule="auto"/>
        <w:rPr>
          <w:sz w:val="20"/>
          <w:szCs w:val="20"/>
          <w:color w:val="auto"/>
        </w:rPr>
      </w:pPr>
      <w:r>
        <w:rPr>
          <w:rFonts w:ascii="Arial" w:cs="Arial" w:eastAsia="Arial" w:hAnsi="Arial"/>
          <w:sz w:val="18"/>
          <w:szCs w:val="18"/>
          <w:color w:val="auto"/>
        </w:rPr>
        <w:t>A primary responsibility of the Board is planning for CEO succession, overseeing the development and retention of senior talent, and monitoring management’s succession planning for other senior executives. Succession planning and management development are discussed regularly by the Board. As part of the succession planning review process, the Board reviews and discusses the capabilities of, as well as succession planning and potential successors for, both our CEO and other executive officers. The Board and compensation committee consider, among other things, organizational and operational needs, competitive challenges, leadership and management potential and development, and planning for emergency situations. Management also develops ideas and presents plans for identification, mentoring and continuing development of potential internal candidates for executive leadership positions and ensures that directors have substantial opportunities to engage with successor candidates, including emerging leaders. The Board also has access to external consultants, as needed.</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Board Oversight of Risk Management</w:t>
      </w:r>
    </w:p>
    <w:p>
      <w:pPr>
        <w:spacing w:after="0" w:line="139"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Management is responsible for the day-to-day management of risk, while the Board, as a whole and through its committees, is responsible for oversight of the Company’s ongoing assessment and management of material risks impacting the business, including assessing whether management has an appropriate risk management framework to manage risks and whether that framework is operating effectively. The Board engages in risk oversight throughout the year as a matter of course in fulfilling its role overseeing management and business operations, including receiving regular reports from management on the strategic plans and related risks facing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57150</wp:posOffset>
            </wp:positionV>
            <wp:extent cx="205740" cy="205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21</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8034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80340"/>
                    </a:xfrm>
                    <a:prstGeom prst="rect">
                      <a:avLst/>
                    </a:prstGeom>
                    <a:noFill/>
                    <a:ln>
                      <a:noFill/>
                    </a:ln>
                  </pic:spPr>
                </pic:pic>
              </a:graphicData>
            </a:graphic>
          </wp:inline>
        </w:drawing>
      </w:r>
      <w:r>
        <w:rPr>
          <w:rFonts w:ascii="Arial" w:cs="Arial" w:eastAsia="Arial" w:hAnsi="Arial"/>
          <w:sz w:val="18"/>
          <w:szCs w:val="18"/>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Company which range from financial risks to operational, regulatory, legal, supply chain, sustainability, competitive and information technology risks. Significant operational risks that relate to ongoing business operations are the subject of regularly scheduled reports to either the full Board or one of its committees.</w:t>
      </w:r>
    </w:p>
    <w:p>
      <w:pPr>
        <w:spacing w:after="0" w:line="8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Board has delegated to its committees certain elements of its risk oversight function to better coordinate with management and serve the long-term interests of our stockholders. The risks periodically reviewed by committees are also reviewed by the entire Board when deemed appropriate by the Board or its committees. The independent Chair of the Board promotes effective communication and consideration of matters presenting significant risk to the Company through his role in developing the Board’s meeting agendas, chairing meetings of the Board, and facilitating communications between independent directors of the Board and the Chief Executive Officer. We believe that the leadership structure of our Board, along with the allocation of risk management responsibilities described below by appropriate committee oversight, provides appropriate risk oversight of our activities.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Audit Committee</w:t>
      </w:r>
    </w:p>
    <w:p>
      <w:pPr>
        <w:spacing w:after="0" w:line="144"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The audit committee oversees our risk management process with a specific focus on internal controls, financial statement integrity, compliance programs, fraud risk, legal matters and related risk mitigation. Along with the Board, the audit committee receives regular reports from management to help ensure effective and efficient oversight and to assist in proper risk management, including with respect to cybersecurity and data security risks, and the ongoing evaluation of management controls and procedures. Through its regular meetings with management, including the finance, legal, internal audit, and compliance functions, and discussions, as appropriate, with our independent registered public accounting firm and internal auditors, the audit committee reviews and discusses significant areas of our business, including areas of risk and appropriate mitigating factors. The internal audit function reports functionally and administratively to our Chief Financial Officer and directly to the audit committee. The audit committee receives reports on information technology risks, including data security, artificial intelligence and cybersecurity. The audit committee reviews cybersecurity and data security risks and mitigation strategies, along with program assessments, planned improvements and the status of information technology initiatives, with the Chief Technology Officer quarterly. These risks and mitigation strategies are also periodically reviewed by the entire Board. See Item IC. Cybersecurity in our Annual Report on Form 10-K for additional details.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Compensation Committee</w:t>
      </w:r>
    </w:p>
    <w:p>
      <w:pPr>
        <w:spacing w:after="0" w:line="144"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compensation committee reviews the risk profile of our compensation policies and practices, including a review of a risk assessment of our compensation programs and managing risk associated with human capital management, including employee recruitment and retention.</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Nominating and Corporate Governance Committee</w:t>
      </w:r>
    </w:p>
    <w:p>
      <w:pPr>
        <w:spacing w:after="0" w:line="131"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nominating and corporate governance committee monitors risks relating to governance matters, including sustainability risks and the potential risks, impacts and opportunities posed by climate change, and reports to the Board on these risks and any recommended appropriate actions in response to those risks, as further described below under “Board Oversight of Corporate Sustainability.”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Board Oversight of Corporate Sustainability</w:t>
      </w:r>
    </w:p>
    <w:p>
      <w:pPr>
        <w:spacing w:after="0" w:line="139"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Our Board is highly engaged in our corporate sustainability strategy, particularly given that societal impact is intricately linked to the mission of our business—making eye care and eyewear more affordable and accessible. Our nominating and corporate governance committee is responsible for overseeing the effectiveness of our sustainability strategies, policies, goals, initiatives and programs, including the review of our annual Corporate Sustainability Report, while our compensation committee is responsible for overseeing the development and implementation of human capital and succession plans and considering how best to incorporate human capital matters into our executive compensation plans. Our audit committee is responsible for overseeing our enterprise risk management program, which includes sustainability topics. See “Corporate Governance Matters— Sustainability” for a detailed discussion of our corporate sustainability strategy.</w:t>
      </w:r>
    </w:p>
    <w:p>
      <w:pPr>
        <w:spacing w:after="0" w:line="60" w:lineRule="exact"/>
        <w:rPr>
          <w:sz w:val="20"/>
          <w:szCs w:val="20"/>
          <w:color w:val="auto"/>
        </w:rPr>
      </w:pPr>
    </w:p>
    <w:p>
      <w:pPr>
        <w:ind w:left="360" w:hanging="346"/>
        <w:spacing w:after="0"/>
        <w:tabs>
          <w:tab w:leader="none" w:pos="360" w:val="left"/>
        </w:tabs>
        <w:numPr>
          <w:ilvl w:val="0"/>
          <w:numId w:val="36"/>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29" w:name="page30"/>
    <w:bookmarkEnd w:id="29"/>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803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03265" cy="180340"/>
                    </a:xfrm>
                    <a:prstGeom prst="rect">
                      <a:avLst/>
                    </a:prstGeom>
                    <a:noFill/>
                  </pic:spPr>
                </pic:pic>
              </a:graphicData>
            </a:graphic>
          </wp:anchor>
        </w:drawing>
      </w:r>
    </w:p>
    <w:p>
      <w:pPr>
        <w:spacing w:after="0" w:line="19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color w:val="auto"/>
        </w:rPr>
        <w:t>As a part of the Board’s commitment to corporate governance and ongoing focus on Board effectiveness, the nominating and corporate governance committee coordinates an annual review and self-evaluation of the performance of the Board, its committees and individual directors. In addition, the nominating and corporate governance committee regularly reviews the Board’s composition and skillset and makes recommendations to the Board accordingly.</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Process</w:t>
      </w:r>
    </w:p>
    <w:p>
      <w:pPr>
        <w:spacing w:after="0" w:line="139" w:lineRule="exact"/>
        <w:rPr>
          <w:sz w:val="20"/>
          <w:szCs w:val="20"/>
          <w:color w:val="auto"/>
        </w:rPr>
      </w:pPr>
    </w:p>
    <w:p>
      <w:pPr>
        <w:jc w:val="both"/>
        <w:ind w:left="940" w:right="960"/>
        <w:spacing w:after="0" w:line="244" w:lineRule="auto"/>
        <w:rPr>
          <w:sz w:val="20"/>
          <w:szCs w:val="20"/>
          <w:color w:val="auto"/>
        </w:rPr>
      </w:pPr>
      <w:r>
        <w:rPr>
          <w:rFonts w:ascii="Arial" w:cs="Arial" w:eastAsia="Arial" w:hAnsi="Arial"/>
          <w:sz w:val="18"/>
          <w:szCs w:val="18"/>
          <w:color w:val="auto"/>
        </w:rPr>
        <w:t>The evaluation typically begins with a written questionnaire asking directors for feedback on a range of topics developed by the nominating and corporate governance committee with input and support from the Company’s General Counsel. Following completion of the questionnaire, the chair of the nominating and corporate governance committee conducts one-on-one conversations with members of the Board to further discuss these or any additional topics. Topics generally include:</w:t>
      </w:r>
    </w:p>
    <w:p>
      <w:pPr>
        <w:sectPr>
          <w:pgSz w:w="11900" w:h="16838" w:orient="portrait"/>
          <w:cols w:equalWidth="0" w:num="1">
            <w:col w:w="11020"/>
          </w:cols>
          <w:pgMar w:left="440" w:top="114" w:right="439" w:bottom="1440" w:gutter="0" w:footer="0" w:header="0"/>
        </w:sectPr>
      </w:pPr>
    </w:p>
    <w:p>
      <w:pPr>
        <w:spacing w:after="0" w:line="74"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structure and leadership of the Board and its committees</w:t>
      </w:r>
    </w:p>
    <w:p>
      <w:pPr>
        <w:spacing w:after="0" w:line="104"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Overall Board and committee effectiveness, including meeting agendas and content, flow and organization of Board and committee meetings, allocations and priorities of Board and committee topics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oversight, particularly of strategy and risk management</w:t>
      </w:r>
    </w:p>
    <w:p>
      <w:pPr>
        <w:spacing w:after="0" w:line="104" w:lineRule="exact"/>
        <w:rPr>
          <w:sz w:val="20"/>
          <w:szCs w:val="20"/>
          <w:color w:val="auto"/>
        </w:rPr>
      </w:pPr>
    </w:p>
    <w:p>
      <w:pPr>
        <w:ind w:right="3620"/>
        <w:spacing w:after="0" w:line="360" w:lineRule="auto"/>
        <w:rPr>
          <w:sz w:val="20"/>
          <w:szCs w:val="20"/>
          <w:color w:val="auto"/>
        </w:rPr>
      </w:pPr>
      <w:r>
        <w:rPr>
          <w:rFonts w:ascii="Arial" w:cs="Arial" w:eastAsia="Arial" w:hAnsi="Arial"/>
          <w:sz w:val="18"/>
          <w:szCs w:val="18"/>
          <w:color w:val="auto"/>
        </w:rPr>
        <w:t>CEO, senior leadership, and organizational talent and succession planning Board access to information and resources</w:t>
      </w:r>
    </w:p>
    <w:p>
      <w:pPr>
        <w:spacing w:after="0"/>
        <w:rPr>
          <w:sz w:val="20"/>
          <w:szCs w:val="20"/>
          <w:color w:val="auto"/>
        </w:rPr>
      </w:pPr>
      <w:r>
        <w:rPr>
          <w:rFonts w:ascii="Arial" w:cs="Arial" w:eastAsia="Arial" w:hAnsi="Arial"/>
          <w:sz w:val="18"/>
          <w:szCs w:val="18"/>
          <w:color w:val="auto"/>
        </w:rPr>
        <w:t>Management responsiveness to requests for information and updates</w:t>
      </w:r>
    </w:p>
    <w:p>
      <w:pPr>
        <w:spacing w:after="0" w:line="144" w:lineRule="exact"/>
        <w:rPr>
          <w:sz w:val="20"/>
          <w:szCs w:val="20"/>
          <w:color w:val="auto"/>
        </w:rPr>
      </w:pPr>
    </w:p>
    <w:p>
      <w:pPr>
        <w:sectPr>
          <w:pgSz w:w="11900" w:h="16838" w:orient="portrait"/>
          <w:cols w:equalWidth="0" w:num="2">
            <w:col w:w="1320" w:space="140"/>
            <w:col w:w="9560"/>
          </w:cols>
          <w:pgMar w:left="440" w:top="114" w:right="439" w:bottom="1440" w:gutter="0" w:footer="0" w:header="0"/>
          <w:type w:val="continuous"/>
        </w:sectPr>
      </w:pPr>
    </w:p>
    <w:p>
      <w:pPr>
        <w:jc w:val="both"/>
        <w:ind w:left="940" w:right="940"/>
        <w:spacing w:after="0" w:line="244" w:lineRule="auto"/>
        <w:rPr>
          <w:sz w:val="20"/>
          <w:szCs w:val="20"/>
          <w:color w:val="auto"/>
        </w:rPr>
      </w:pPr>
      <w:r>
        <w:rPr>
          <w:rFonts w:ascii="Arial" w:cs="Arial" w:eastAsia="Arial" w:hAnsi="Arial"/>
          <w:sz w:val="18"/>
          <w:szCs w:val="18"/>
          <w:color w:val="auto"/>
        </w:rPr>
        <w:t>In 2025, the chair of the nominating and corporate governance committee reviewed prior assessment processes and determined that this process, anchored in a written questionnaire and supplemented by one-on-one conversations, continues to be the best methodology to meet the Board’s desired goals for the evaluation process and the evaluation was conducted and completed with each director providing direct feedback. The questionnaire was anonymous and provided for both numerical ratings and narrative responses.</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Review</w:t>
      </w:r>
    </w:p>
    <w:p>
      <w:pPr>
        <w:spacing w:after="0" w:line="126"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The evaluations were reviewed, and the ratings and narrative comments were aggregated and summarized with results provided to the nominating and corporate governance committee as well as the full Board. The chair of the nominating and corporate governance committee led a discussion regarding the evaluations and followed up with individual directors as appropriate.</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Feedback and Action</w:t>
      </w:r>
    </w:p>
    <w:p>
      <w:pPr>
        <w:spacing w:after="0" w:line="139"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The annual evaluation process provides the Board with valuable insight regarding areas where the Board believes it functions effectively and areas where the Board believes it can continue to improve its effectiveness and oversight. As appropriate, these evaluations result in updates or changes to our practices as well as commitments to continue existing practices that our directors believe contribute positively to the effective functioning of our Board and its committees. For example, input by directors in recent years has informed the practices of the Board and its committees in areas such as meeting agendas and content, risk oversight, communication between the Board and management and director education focus areas.</w:t>
      </w:r>
    </w:p>
    <w:p>
      <w:pPr>
        <w:spacing w:after="0" w:line="242"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We are committed to ensuring our business is conducted ethically and legally. We maintain a written code of conduct that applies to our directors, officers and employees, including our principal executive officer, principal financial officer, principal accounting officer, or persons performing similar functions, which we call our Code of Conduct. Our Code of Conduct is a “code of ethics” as defined in Item 406(b) of Regulation S-K and is posted in the investors section of our website, www.nationalvision.com. We intend to make any legally required disclosures regarding amendments to, or waivers of, provisions of our Code of Conduct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57150</wp:posOffset>
            </wp:positionV>
            <wp:extent cx="205740"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23</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type w:val="continuous"/>
        </w:sectPr>
      </w:pPr>
    </w:p>
    <w:bookmarkStart w:id="30" w:name="page31"/>
    <w:bookmarkEnd w:id="3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8034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0340"/>
                    </a:xfrm>
                    <a:prstGeom prst="rect">
                      <a:avLst/>
                    </a:prstGeom>
                    <a:noFill/>
                    <a:ln>
                      <a:noFill/>
                    </a:ln>
                  </pic:spPr>
                </pic:pic>
              </a:graphicData>
            </a:graphic>
          </wp:inline>
        </w:drawing>
      </w:r>
      <w:r>
        <w:rPr>
          <w:rFonts w:ascii="Arial" w:cs="Arial" w:eastAsia="Arial" w:hAnsi="Arial"/>
          <w:sz w:val="18"/>
          <w:szCs w:val="18"/>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Hedging and 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Securities Trading Policy requires executive officers and directors to consult the Company’s General Counsel prior to engaging in transactions involving Company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Company securities. Our Securities Trading Policy discourages employees from purchasing Company securities on margin, or borrowing against any account in which Company securities are held, or pledging Company securities as collateral for a loan. For directors and officers, the pledging of Company securities is limited to those situations approved by the Company’s General Counsel.</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The Board has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1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There were no related persons transactions since the beginning of fiscal year 2025 required to be reported in this proxy statement under the applicable SEC rules.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director compensation program is designed to attract qualified, non-employee directors and align with our overall compensation philosophy. The compensation committee, with assistance from its independent compensation consultant, reviews our director compensation program regularly to ensure the program is structured consistent with best practices and current trends. As part of this review, the director compensation program is benchmarked against the same compensation peer group used for executive compensation benchmarking. Our employee directors do not receive payment for their service on the Board in addition to their regular employee compensation.</w:t>
      </w:r>
    </w:p>
    <w:p>
      <w:pPr>
        <w:spacing w:after="0" w:line="62" w:lineRule="exact"/>
        <w:rPr>
          <w:sz w:val="20"/>
          <w:szCs w:val="20"/>
          <w:color w:val="auto"/>
        </w:rPr>
      </w:pPr>
    </w:p>
    <w:p>
      <w:pPr>
        <w:ind w:left="360" w:hanging="346"/>
        <w:spacing w:after="0"/>
        <w:tabs>
          <w:tab w:leader="none" w:pos="360" w:val="left"/>
        </w:tabs>
        <w:numPr>
          <w:ilvl w:val="0"/>
          <w:numId w:val="37"/>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31" w:name="page32"/>
    <w:bookmarkEnd w:id="31"/>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03265" cy="180340"/>
                    </a:xfrm>
                    <a:prstGeom prst="rect">
                      <a:avLst/>
                    </a:prstGeom>
                    <a:noFill/>
                  </pic:spPr>
                </pic:pic>
              </a:graphicData>
            </a:graphic>
          </wp:anchor>
        </w:drawing>
      </w:r>
    </w:p>
    <w:p>
      <w:pPr>
        <w:spacing w:after="0" w:line="19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Elements of Director Compensation</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 2025, our director compensation program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103505</wp:posOffset>
            </wp:positionV>
            <wp:extent cx="58032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03265" cy="8890"/>
                    </a:xfrm>
                    <a:prstGeom prst="rect">
                      <a:avLst/>
                    </a:prstGeom>
                    <a:noFill/>
                  </pic:spPr>
                </pic:pic>
              </a:graphicData>
            </a:graphic>
          </wp:anchor>
        </w:drawing>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247"/>
        </w:trPr>
        <w:tc>
          <w:tcPr>
            <w:tcW w:w="8160" w:type="dxa"/>
            <w:vAlign w:val="bottom"/>
          </w:tcPr>
          <w:p>
            <w:pPr>
              <w:ind w:left="100"/>
              <w:spacing w:after="0"/>
              <w:rPr>
                <w:sz w:val="20"/>
                <w:szCs w:val="20"/>
                <w:color w:val="auto"/>
              </w:rPr>
            </w:pPr>
            <w:r>
              <w:rPr>
                <w:rFonts w:ascii="Arial" w:cs="Arial" w:eastAsia="Arial" w:hAnsi="Arial"/>
                <w:sz w:val="18"/>
                <w:szCs w:val="18"/>
                <w:b w:val="1"/>
                <w:bCs w:val="1"/>
                <w:color w:val="3465B0"/>
              </w:rPr>
              <w:t>Annual Cash Retainer</w:t>
            </w: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$80,000</w:t>
            </w:r>
          </w:p>
        </w:tc>
      </w:tr>
      <w:tr>
        <w:trPr>
          <w:trHeight w:val="262"/>
        </w:trPr>
        <w:tc>
          <w:tcPr>
            <w:tcW w:w="8160" w:type="dxa"/>
            <w:vAlign w:val="bottom"/>
          </w:tcPr>
          <w:p>
            <w:pPr>
              <w:ind w:left="10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Annual cash retainer paid quarterly, in arrears.</w:t>
            </w:r>
          </w:p>
        </w:tc>
        <w:tc>
          <w:tcPr>
            <w:tcW w:w="980" w:type="dxa"/>
            <w:vAlign w:val="bottom"/>
          </w:tcPr>
          <w:p>
            <w:pPr>
              <w:spacing w:after="0"/>
              <w:rPr>
                <w:sz w:val="22"/>
                <w:szCs w:val="22"/>
                <w:color w:val="auto"/>
              </w:rPr>
            </w:pPr>
          </w:p>
        </w:tc>
      </w:tr>
      <w:tr>
        <w:trPr>
          <w:trHeight w:val="234"/>
        </w:trPr>
        <w:tc>
          <w:tcPr>
            <w:tcW w:w="8160" w:type="dxa"/>
            <w:vAlign w:val="bottom"/>
          </w:tcPr>
          <w:p>
            <w:pPr>
              <w:ind w:left="10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Non-employee directors are given the option to elect, prior to the end of the calendar year</w:t>
            </w:r>
          </w:p>
        </w:tc>
        <w:tc>
          <w:tcPr>
            <w:tcW w:w="980" w:type="dxa"/>
            <w:vAlign w:val="bottom"/>
          </w:tcPr>
          <w:p>
            <w:pPr>
              <w:spacing w:after="0"/>
              <w:rPr>
                <w:sz w:val="20"/>
                <w:szCs w:val="20"/>
                <w:color w:val="auto"/>
              </w:rPr>
            </w:pPr>
          </w:p>
        </w:tc>
      </w:tr>
      <w:tr>
        <w:trPr>
          <w:trHeight w:val="203"/>
        </w:trPr>
        <w:tc>
          <w:tcPr>
            <w:tcW w:w="8160" w:type="dxa"/>
            <w:vAlign w:val="bottom"/>
          </w:tcPr>
          <w:p>
            <w:pPr>
              <w:ind w:left="320"/>
              <w:spacing w:after="0" w:line="202" w:lineRule="exact"/>
              <w:rPr>
                <w:sz w:val="20"/>
                <w:szCs w:val="20"/>
                <w:color w:val="auto"/>
              </w:rPr>
            </w:pPr>
            <w:r>
              <w:rPr>
                <w:rFonts w:ascii="Arial" w:cs="Arial" w:eastAsia="Arial" w:hAnsi="Arial"/>
                <w:sz w:val="18"/>
                <w:szCs w:val="18"/>
                <w:color w:val="auto"/>
              </w:rPr>
              <w:t>immediately preceding the calendar year in which such cash retainer fees would otherwise be</w:t>
            </w:r>
          </w:p>
        </w:tc>
        <w:tc>
          <w:tcPr>
            <w:tcW w:w="980" w:type="dxa"/>
            <w:vAlign w:val="bottom"/>
          </w:tcPr>
          <w:p>
            <w:pPr>
              <w:spacing w:after="0"/>
              <w:rPr>
                <w:sz w:val="17"/>
                <w:szCs w:val="17"/>
                <w:color w:val="auto"/>
              </w:rPr>
            </w:pPr>
          </w:p>
        </w:tc>
      </w:tr>
      <w:tr>
        <w:trPr>
          <w:trHeight w:val="203"/>
        </w:trPr>
        <w:tc>
          <w:tcPr>
            <w:tcW w:w="8160" w:type="dxa"/>
            <w:vAlign w:val="bottom"/>
          </w:tcPr>
          <w:p>
            <w:pPr>
              <w:ind w:left="320"/>
              <w:spacing w:after="0" w:line="202" w:lineRule="exact"/>
              <w:rPr>
                <w:sz w:val="20"/>
                <w:szCs w:val="20"/>
                <w:color w:val="auto"/>
              </w:rPr>
            </w:pPr>
            <w:r>
              <w:rPr>
                <w:rFonts w:ascii="Arial" w:cs="Arial" w:eastAsia="Arial" w:hAnsi="Arial"/>
                <w:sz w:val="18"/>
                <w:szCs w:val="18"/>
                <w:color w:val="auto"/>
              </w:rPr>
              <w:t>paid, to receive all or any portion of their annual cash retainer in equity, in the form of additional</w:t>
            </w:r>
          </w:p>
        </w:tc>
        <w:tc>
          <w:tcPr>
            <w:tcW w:w="980" w:type="dxa"/>
            <w:vAlign w:val="bottom"/>
          </w:tcPr>
          <w:p>
            <w:pPr>
              <w:spacing w:after="0"/>
              <w:rPr>
                <w:sz w:val="17"/>
                <w:szCs w:val="17"/>
                <w:color w:val="auto"/>
              </w:rPr>
            </w:pPr>
          </w:p>
        </w:tc>
      </w:tr>
      <w:tr>
        <w:trPr>
          <w:trHeight w:val="244"/>
        </w:trPr>
        <w:tc>
          <w:tcPr>
            <w:tcW w:w="8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restricted stock units.</w:t>
            </w:r>
          </w:p>
        </w:tc>
        <w:tc>
          <w:tcPr>
            <w:tcW w:w="980" w:type="dxa"/>
            <w:vAlign w:val="bottom"/>
            <w:tcBorders>
              <w:bottom w:val="single" w:sz="8" w:color="auto"/>
            </w:tcBorders>
          </w:tcPr>
          <w:p>
            <w:pPr>
              <w:spacing w:after="0"/>
              <w:rPr>
                <w:sz w:val="21"/>
                <w:szCs w:val="21"/>
                <w:color w:val="auto"/>
              </w:rPr>
            </w:pPr>
          </w:p>
        </w:tc>
      </w:tr>
      <w:tr>
        <w:trPr>
          <w:trHeight w:val="245"/>
        </w:trPr>
        <w:tc>
          <w:tcPr>
            <w:tcW w:w="8160" w:type="dxa"/>
            <w:vAlign w:val="bottom"/>
          </w:tcPr>
          <w:p>
            <w:pPr>
              <w:ind w:left="100"/>
              <w:spacing w:after="0"/>
              <w:rPr>
                <w:sz w:val="20"/>
                <w:szCs w:val="20"/>
                <w:color w:val="auto"/>
              </w:rPr>
            </w:pPr>
            <w:r>
              <w:rPr>
                <w:rFonts w:ascii="Arial" w:cs="Arial" w:eastAsia="Arial" w:hAnsi="Arial"/>
                <w:sz w:val="18"/>
                <w:szCs w:val="18"/>
                <w:b w:val="1"/>
                <w:bCs w:val="1"/>
                <w:color w:val="3465B0"/>
              </w:rPr>
              <w:t>Annual Equity Grant</w:t>
            </w: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$170,000</w:t>
            </w:r>
          </w:p>
        </w:tc>
      </w:tr>
      <w:tr>
        <w:trPr>
          <w:trHeight w:val="220"/>
        </w:trPr>
        <w:tc>
          <w:tcPr>
            <w:tcW w:w="8160" w:type="dxa"/>
            <w:vAlign w:val="bottom"/>
          </w:tcPr>
          <w:p>
            <w:pPr>
              <w:ind w:left="100"/>
              <w:spacing w:after="0"/>
              <w:rPr>
                <w:sz w:val="20"/>
                <w:szCs w:val="20"/>
                <w:color w:val="auto"/>
              </w:rPr>
            </w:pPr>
            <w:r>
              <w:rPr>
                <w:rFonts w:ascii="Arial" w:cs="Arial" w:eastAsia="Arial" w:hAnsi="Arial"/>
                <w:sz w:val="18"/>
                <w:szCs w:val="18"/>
                <w:color w:val="auto"/>
              </w:rPr>
              <w:t>Annual equity grant in the form of restricted stock units that vest on the first anniversary of the grant</w:t>
            </w:r>
          </w:p>
        </w:tc>
        <w:tc>
          <w:tcPr>
            <w:tcW w:w="980" w:type="dxa"/>
            <w:vAlign w:val="bottom"/>
          </w:tcPr>
          <w:p>
            <w:pPr>
              <w:spacing w:after="0"/>
              <w:rPr>
                <w:sz w:val="19"/>
                <w:szCs w:val="19"/>
                <w:color w:val="auto"/>
              </w:rPr>
            </w:pPr>
          </w:p>
        </w:tc>
      </w:tr>
      <w:tr>
        <w:trPr>
          <w:trHeight w:val="244"/>
        </w:trPr>
        <w:tc>
          <w:tcPr>
            <w:tcW w:w="8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date, subject to continued service through the vesting date.</w:t>
            </w:r>
          </w:p>
        </w:tc>
        <w:tc>
          <w:tcPr>
            <w:tcW w:w="980" w:type="dxa"/>
            <w:vAlign w:val="bottom"/>
            <w:tcBorders>
              <w:bottom w:val="single" w:sz="8" w:color="auto"/>
            </w:tcBorders>
          </w:tcPr>
          <w:p>
            <w:pPr>
              <w:spacing w:after="0"/>
              <w:rPr>
                <w:sz w:val="21"/>
                <w:szCs w:val="21"/>
                <w:color w:val="auto"/>
              </w:rPr>
            </w:pPr>
          </w:p>
        </w:tc>
      </w:tr>
      <w:tr>
        <w:trPr>
          <w:trHeight w:val="228"/>
        </w:trPr>
        <w:tc>
          <w:tcPr>
            <w:tcW w:w="8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3465B0"/>
              </w:rPr>
              <w:t>Additional Compensation for Lead Independent Director</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$30,000</w:t>
            </w:r>
          </w:p>
        </w:tc>
      </w:tr>
      <w:tr>
        <w:trPr>
          <w:trHeight w:val="240"/>
        </w:trPr>
        <w:tc>
          <w:tcPr>
            <w:tcW w:w="8160" w:type="dxa"/>
            <w:vAlign w:val="bottom"/>
          </w:tcPr>
          <w:p>
            <w:pPr>
              <w:ind w:left="100"/>
              <w:spacing w:after="0"/>
              <w:rPr>
                <w:sz w:val="20"/>
                <w:szCs w:val="20"/>
                <w:color w:val="auto"/>
              </w:rPr>
            </w:pPr>
            <w:r>
              <w:rPr>
                <w:rFonts w:ascii="Arial" w:cs="Arial" w:eastAsia="Arial" w:hAnsi="Arial"/>
                <w:sz w:val="18"/>
                <w:szCs w:val="18"/>
                <w:b w:val="1"/>
                <w:bCs w:val="1"/>
                <w:color w:val="3465B0"/>
              </w:rPr>
              <w:t>Additional Compensation for Committee Chairs</w:t>
            </w:r>
          </w:p>
        </w:tc>
        <w:tc>
          <w:tcPr>
            <w:tcW w:w="980" w:type="dxa"/>
            <w:vAlign w:val="bottom"/>
          </w:tcPr>
          <w:p>
            <w:pPr>
              <w:spacing w:after="0"/>
              <w:rPr>
                <w:sz w:val="20"/>
                <w:szCs w:val="20"/>
                <w:color w:val="auto"/>
              </w:rPr>
            </w:pPr>
          </w:p>
        </w:tc>
      </w:tr>
      <w:tr>
        <w:trPr>
          <w:trHeight w:val="261"/>
        </w:trPr>
        <w:tc>
          <w:tcPr>
            <w:tcW w:w="8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Committee chairs receive an additional annual cash retainer paid quarterly, in arrears.</w:t>
            </w:r>
          </w:p>
        </w:tc>
        <w:tc>
          <w:tcPr>
            <w:tcW w:w="980" w:type="dxa"/>
            <w:vAlign w:val="bottom"/>
            <w:tcBorders>
              <w:bottom w:val="single" w:sz="8" w:color="auto"/>
            </w:tcBorders>
          </w:tcPr>
          <w:p>
            <w:pPr>
              <w:spacing w:after="0"/>
              <w:rPr>
                <w:sz w:val="22"/>
                <w:szCs w:val="22"/>
                <w:color w:val="auto"/>
              </w:rPr>
            </w:pPr>
          </w:p>
        </w:tc>
      </w:tr>
      <w:tr>
        <w:trPr>
          <w:trHeight w:val="228"/>
        </w:trPr>
        <w:tc>
          <w:tcPr>
            <w:tcW w:w="81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Audit Committee</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$25,000</w:t>
            </w:r>
          </w:p>
        </w:tc>
      </w:tr>
      <w:tr>
        <w:trPr>
          <w:trHeight w:val="223"/>
        </w:trPr>
        <w:tc>
          <w:tcPr>
            <w:tcW w:w="81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Compensation Committee</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$20,000</w:t>
            </w:r>
          </w:p>
        </w:tc>
      </w:tr>
      <w:tr>
        <w:trPr>
          <w:trHeight w:val="223"/>
        </w:trPr>
        <w:tc>
          <w:tcPr>
            <w:tcW w:w="81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Nominating and Corporate Governance Committee</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$15,000</w:t>
            </w:r>
          </w:p>
        </w:tc>
      </w:tr>
      <w:tr>
        <w:trPr>
          <w:trHeight w:val="291"/>
        </w:trPr>
        <w:tc>
          <w:tcPr>
            <w:tcW w:w="8160" w:type="dxa"/>
            <w:vAlign w:val="bottom"/>
            <w:tcBorders>
              <w:bottom w:val="single" w:sz="8" w:color="auto"/>
            </w:tcBorders>
          </w:tcPr>
          <w:p>
            <w:pPr>
              <w:ind w:left="100"/>
              <w:spacing w:after="0" w:line="291" w:lineRule="exact"/>
              <w:rPr>
                <w:sz w:val="20"/>
                <w:szCs w:val="20"/>
                <w:color w:val="auto"/>
              </w:rPr>
            </w:pPr>
            <w:r>
              <w:rPr>
                <w:rFonts w:ascii="Arial" w:cs="Arial" w:eastAsia="Arial" w:hAnsi="Arial"/>
                <w:sz w:val="18"/>
                <w:szCs w:val="18"/>
                <w:b w:val="1"/>
                <w:bCs w:val="1"/>
                <w:color w:val="3465B0"/>
              </w:rPr>
              <w:t>Additional Committee Service</w:t>
            </w:r>
            <w:r>
              <w:rPr>
                <w:rFonts w:ascii="Arial" w:cs="Arial" w:eastAsia="Arial" w:hAnsi="Arial"/>
                <w:sz w:val="29"/>
                <w:szCs w:val="29"/>
                <w:b w:val="1"/>
                <w:bCs w:val="1"/>
                <w:color w:val="3465B0"/>
                <w:vertAlign w:val="superscript"/>
              </w:rPr>
              <w:t>(1)</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$12,000</w:t>
            </w:r>
          </w:p>
        </w:tc>
      </w:tr>
    </w:tbl>
    <w:p>
      <w:pPr>
        <w:spacing w:after="0" w:line="153" w:lineRule="exact"/>
        <w:rPr>
          <w:sz w:val="20"/>
          <w:szCs w:val="20"/>
          <w:color w:val="auto"/>
        </w:rPr>
      </w:pPr>
    </w:p>
    <w:p>
      <w:pPr>
        <w:ind w:left="1280" w:right="960" w:hanging="348"/>
        <w:spacing w:after="0" w:line="285" w:lineRule="auto"/>
        <w:tabs>
          <w:tab w:leader="none" w:pos="12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2025, the Board formed an ad-hoc, operationally focused committee of the Board to oversee the progress of strategic operational initiatives. This committee met monthly and its members received an additional cash retainer of $12,000, paid quarterly, in arrears.</w:t>
      </w:r>
    </w:p>
    <w:p>
      <w:pPr>
        <w:spacing w:after="0" w:line="67" w:lineRule="exact"/>
        <w:rPr>
          <w:sz w:val="20"/>
          <w:szCs w:val="20"/>
          <w:color w:val="auto"/>
        </w:rPr>
      </w:pPr>
    </w:p>
    <w:p>
      <w:pPr>
        <w:ind w:left="940" w:right="960"/>
        <w:spacing w:after="0" w:line="271" w:lineRule="auto"/>
        <w:rPr>
          <w:sz w:val="20"/>
          <w:szCs w:val="20"/>
          <w:color w:val="auto"/>
        </w:rPr>
      </w:pPr>
      <w:r>
        <w:rPr>
          <w:rFonts w:ascii="Arial" w:cs="Arial" w:eastAsia="Arial" w:hAnsi="Arial"/>
          <w:sz w:val="18"/>
          <w:szCs w:val="18"/>
          <w:color w:val="auto"/>
        </w:rPr>
        <w:t>Our directors are not paid any fees for attending meetings. However, our directors are reimbursed for reasonable travel and related expenses associated with attendance at Board or committee meetings.</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2025 Director Compensation</w:t>
      </w:r>
    </w:p>
    <w:p>
      <w:pPr>
        <w:spacing w:after="0" w:line="139" w:lineRule="exact"/>
        <w:rPr>
          <w:sz w:val="20"/>
          <w:szCs w:val="20"/>
          <w:color w:val="auto"/>
        </w:rPr>
      </w:pPr>
    </w:p>
    <w:p>
      <w:pPr>
        <w:ind w:left="940" w:right="940"/>
        <w:spacing w:after="0" w:line="271" w:lineRule="auto"/>
        <w:rPr>
          <w:sz w:val="20"/>
          <w:szCs w:val="20"/>
          <w:color w:val="auto"/>
        </w:rPr>
      </w:pPr>
      <w:r>
        <w:rPr>
          <w:rFonts w:ascii="Arial" w:cs="Arial" w:eastAsia="Arial" w:hAnsi="Arial"/>
          <w:sz w:val="18"/>
          <w:szCs w:val="18"/>
          <w:color w:val="auto"/>
        </w:rPr>
        <w:t>The following table reflects all cash compensation paid and the aggregate market value of stock awards granted to our non-employee directors for service in fiscal 2025:</w:t>
      </w:r>
    </w:p>
    <w:p>
      <w:pPr>
        <w:spacing w:after="0" w:line="68" w:lineRule="exact"/>
        <w:rPr>
          <w:sz w:val="20"/>
          <w:szCs w:val="20"/>
          <w:color w:val="auto"/>
        </w:rPr>
      </w:pPr>
    </w:p>
    <w:tbl>
      <w:tblPr>
        <w:tblLayout w:type="fixed"/>
        <w:tblInd w:w="930" w:type="dxa"/>
        <w:tblCellMar>
          <w:top w:w="0" w:type="dxa"/>
          <w:left w:w="0" w:type="dxa"/>
          <w:bottom w:w="0" w:type="dxa"/>
          <w:right w:w="0" w:type="dxa"/>
        </w:tblCellMar>
      </w:tblPr>
      <w:tr>
        <w:trPr>
          <w:trHeight w:val="327"/>
        </w:trPr>
        <w:tc>
          <w:tcPr>
            <w:tcW w:w="368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160" w:type="dxa"/>
            <w:vAlign w:val="bottom"/>
            <w:tcBorders>
              <w:top w:val="single" w:sz="8" w:color="3465B0"/>
            </w:tcBorders>
            <w:shd w:val="clear" w:color="auto" w:fill="3465B0"/>
          </w:tcPr>
          <w:p>
            <w:pPr>
              <w:spacing w:after="0"/>
              <w:rPr>
                <w:sz w:val="24"/>
                <w:szCs w:val="24"/>
                <w:color w:val="auto"/>
              </w:rPr>
            </w:pPr>
          </w:p>
        </w:tc>
        <w:tc>
          <w:tcPr>
            <w:tcW w:w="1600" w:type="dxa"/>
            <w:vAlign w:val="bottom"/>
            <w:tcBorders>
              <w:top w:val="single" w:sz="8" w:color="3465B0"/>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Fees earned or</w:t>
            </w:r>
          </w:p>
        </w:tc>
        <w:tc>
          <w:tcPr>
            <w:tcW w:w="160" w:type="dxa"/>
            <w:vAlign w:val="bottom"/>
            <w:tcBorders>
              <w:top w:val="single" w:sz="8" w:color="3465B0"/>
            </w:tcBorders>
            <w:shd w:val="clear" w:color="auto" w:fill="3465B0"/>
          </w:tcPr>
          <w:p>
            <w:pPr>
              <w:spacing w:after="0"/>
              <w:rPr>
                <w:sz w:val="24"/>
                <w:szCs w:val="24"/>
                <w:color w:val="auto"/>
              </w:rPr>
            </w:pPr>
          </w:p>
        </w:tc>
        <w:tc>
          <w:tcPr>
            <w:tcW w:w="1040" w:type="dxa"/>
            <w:vAlign w:val="bottom"/>
            <w:tcBorders>
              <w:top w:val="single" w:sz="8" w:color="3465B0"/>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Stock</w:t>
            </w:r>
          </w:p>
        </w:tc>
        <w:tc>
          <w:tcPr>
            <w:tcW w:w="180" w:type="dxa"/>
            <w:vAlign w:val="bottom"/>
            <w:tcBorders>
              <w:top w:val="single" w:sz="8" w:color="3465B0"/>
            </w:tcBorders>
            <w:shd w:val="clear" w:color="auto" w:fill="3465B0"/>
          </w:tcPr>
          <w:p>
            <w:pPr>
              <w:spacing w:after="0"/>
              <w:rPr>
                <w:sz w:val="24"/>
                <w:szCs w:val="24"/>
                <w:color w:val="auto"/>
              </w:rPr>
            </w:pPr>
          </w:p>
        </w:tc>
        <w:tc>
          <w:tcPr>
            <w:tcW w:w="1420" w:type="dxa"/>
            <w:vAlign w:val="bottom"/>
            <w:tcBorders>
              <w:top w:val="single" w:sz="8" w:color="3465B0"/>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All other</w:t>
            </w:r>
          </w:p>
        </w:tc>
        <w:tc>
          <w:tcPr>
            <w:tcW w:w="920" w:type="dxa"/>
            <w:vAlign w:val="bottom"/>
            <w:tcBorders>
              <w:top w:val="single" w:sz="8" w:color="3465B0"/>
              <w:right w:val="single" w:sz="8" w:color="3465B0"/>
            </w:tcBorders>
            <w:shd w:val="clear" w:color="auto" w:fill="3465B0"/>
          </w:tcPr>
          <w:p>
            <w:pPr>
              <w:spacing w:after="0"/>
              <w:rPr>
                <w:sz w:val="24"/>
                <w:szCs w:val="24"/>
                <w:color w:val="auto"/>
              </w:rPr>
            </w:pPr>
          </w:p>
        </w:tc>
      </w:tr>
      <w:tr>
        <w:trPr>
          <w:trHeight w:val="224"/>
        </w:trPr>
        <w:tc>
          <w:tcPr>
            <w:tcW w:w="3680" w:type="dxa"/>
            <w:vAlign w:val="bottom"/>
            <w:tcBorders>
              <w:left w:val="single" w:sz="8" w:color="3465B0"/>
              <w:right w:val="single" w:sz="8" w:color="93A1D2"/>
            </w:tcBorders>
            <w:shd w:val="clear" w:color="auto" w:fill="3465B0"/>
          </w:tcPr>
          <w:p>
            <w:pPr>
              <w:spacing w:after="0"/>
              <w:rPr>
                <w:sz w:val="19"/>
                <w:szCs w:val="19"/>
                <w:color w:val="auto"/>
              </w:rPr>
            </w:pPr>
          </w:p>
        </w:tc>
        <w:tc>
          <w:tcPr>
            <w:tcW w:w="160" w:type="dxa"/>
            <w:vAlign w:val="bottom"/>
            <w:shd w:val="clear" w:color="auto" w:fill="3465B0"/>
          </w:tcPr>
          <w:p>
            <w:pPr>
              <w:spacing w:after="0"/>
              <w:rPr>
                <w:sz w:val="19"/>
                <w:szCs w:val="19"/>
                <w:color w:val="auto"/>
              </w:rPr>
            </w:pPr>
          </w:p>
        </w:tc>
        <w:tc>
          <w:tcPr>
            <w:tcW w:w="1600" w:type="dxa"/>
            <w:vAlign w:val="bottom"/>
            <w:tcBorders>
              <w:right w:val="single" w:sz="8" w:color="93A1D2"/>
            </w:tcBorders>
            <w:shd w:val="clear" w:color="auto" w:fill="3465B0"/>
          </w:tcPr>
          <w:p>
            <w:pPr>
              <w:spacing w:after="0" w:line="224" w:lineRule="exact"/>
              <w:rPr>
                <w:sz w:val="20"/>
                <w:szCs w:val="20"/>
                <w:color w:val="auto"/>
              </w:rPr>
            </w:pPr>
            <w:r>
              <w:rPr>
                <w:rFonts w:ascii="Arial" w:cs="Arial" w:eastAsia="Arial" w:hAnsi="Arial"/>
                <w:sz w:val="16"/>
                <w:szCs w:val="16"/>
                <w:b w:val="1"/>
                <w:bCs w:val="1"/>
                <w:color w:val="FFFFFF"/>
              </w:rPr>
              <w:t>paid in cash</w:t>
            </w:r>
            <w:r>
              <w:rPr>
                <w:rFonts w:ascii="Arial" w:cs="Arial" w:eastAsia="Arial" w:hAnsi="Arial"/>
                <w:sz w:val="25"/>
                <w:szCs w:val="25"/>
                <w:b w:val="1"/>
                <w:bCs w:val="1"/>
                <w:color w:val="FFFFFF"/>
                <w:vertAlign w:val="superscript"/>
              </w:rPr>
              <w:t>(1)(2)</w:t>
            </w:r>
          </w:p>
        </w:tc>
        <w:tc>
          <w:tcPr>
            <w:tcW w:w="160" w:type="dxa"/>
            <w:vAlign w:val="bottom"/>
            <w:shd w:val="clear" w:color="auto" w:fill="3465B0"/>
          </w:tcPr>
          <w:p>
            <w:pPr>
              <w:spacing w:after="0"/>
              <w:rPr>
                <w:sz w:val="19"/>
                <w:szCs w:val="19"/>
                <w:color w:val="auto"/>
              </w:rPr>
            </w:pPr>
          </w:p>
        </w:tc>
        <w:tc>
          <w:tcPr>
            <w:tcW w:w="1040" w:type="dxa"/>
            <w:vAlign w:val="bottom"/>
            <w:tcBorders>
              <w:right w:val="single" w:sz="8" w:color="93A1D2"/>
            </w:tcBorders>
            <w:shd w:val="clear" w:color="auto" w:fill="3465B0"/>
          </w:tcPr>
          <w:p>
            <w:pPr>
              <w:spacing w:after="0" w:line="224"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5"/>
                <w:szCs w:val="25"/>
                <w:b w:val="1"/>
                <w:bCs w:val="1"/>
                <w:color w:val="FFFFFF"/>
                <w:vertAlign w:val="superscript"/>
              </w:rPr>
              <w:t>(3)</w:t>
            </w:r>
          </w:p>
        </w:tc>
        <w:tc>
          <w:tcPr>
            <w:tcW w:w="180" w:type="dxa"/>
            <w:vAlign w:val="bottom"/>
            <w:shd w:val="clear" w:color="auto" w:fill="3465B0"/>
          </w:tcPr>
          <w:p>
            <w:pPr>
              <w:spacing w:after="0"/>
              <w:rPr>
                <w:sz w:val="19"/>
                <w:szCs w:val="19"/>
                <w:color w:val="auto"/>
              </w:rPr>
            </w:pPr>
          </w:p>
        </w:tc>
        <w:tc>
          <w:tcPr>
            <w:tcW w:w="142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compensation</w:t>
            </w:r>
          </w:p>
        </w:tc>
        <w:tc>
          <w:tcPr>
            <w:tcW w:w="920" w:type="dxa"/>
            <w:vAlign w:val="bottom"/>
            <w:tcBorders>
              <w:right w:val="single" w:sz="8" w:color="3465B0"/>
            </w:tcBorders>
            <w:shd w:val="clear" w:color="auto" w:fill="3465B0"/>
          </w:tcPr>
          <w:p>
            <w:pPr>
              <w:ind w:left="180"/>
              <w:spacing w:after="0"/>
              <w:rPr>
                <w:sz w:val="20"/>
                <w:szCs w:val="20"/>
                <w:color w:val="auto"/>
              </w:rPr>
            </w:pPr>
            <w:r>
              <w:rPr>
                <w:rFonts w:ascii="Arial" w:cs="Arial" w:eastAsia="Arial" w:hAnsi="Arial"/>
                <w:sz w:val="18"/>
                <w:szCs w:val="18"/>
                <w:b w:val="1"/>
                <w:bCs w:val="1"/>
                <w:color w:val="FFFFFF"/>
              </w:rPr>
              <w:t>Total</w:t>
            </w:r>
          </w:p>
        </w:tc>
      </w:tr>
      <w:tr>
        <w:trPr>
          <w:trHeight w:val="235"/>
        </w:trPr>
        <w:tc>
          <w:tcPr>
            <w:tcW w:w="3680" w:type="dxa"/>
            <w:vAlign w:val="bottom"/>
            <w:tcBorders>
              <w:left w:val="single" w:sz="8" w:color="3465B0"/>
              <w:right w:val="single" w:sz="8" w:color="93A1D2"/>
            </w:tcBorders>
            <w:shd w:val="clear" w:color="auto" w:fill="3465B0"/>
          </w:tcPr>
          <w:p>
            <w:pPr>
              <w:ind w:left="100"/>
              <w:spacing w:after="0"/>
              <w:rPr>
                <w:sz w:val="20"/>
                <w:szCs w:val="20"/>
                <w:color w:val="auto"/>
              </w:rPr>
            </w:pPr>
            <w:r>
              <w:rPr>
                <w:rFonts w:ascii="Arial" w:cs="Arial" w:eastAsia="Arial" w:hAnsi="Arial"/>
                <w:sz w:val="18"/>
                <w:szCs w:val="18"/>
                <w:b w:val="1"/>
                <w:bCs w:val="1"/>
                <w:color w:val="FFFFFF"/>
              </w:rPr>
              <w:t>Name</w:t>
            </w:r>
          </w:p>
        </w:tc>
        <w:tc>
          <w:tcPr>
            <w:tcW w:w="160" w:type="dxa"/>
            <w:vAlign w:val="bottom"/>
            <w:shd w:val="clear" w:color="auto" w:fill="3465B0"/>
          </w:tcPr>
          <w:p>
            <w:pPr>
              <w:spacing w:after="0"/>
              <w:rPr>
                <w:sz w:val="20"/>
                <w:szCs w:val="20"/>
                <w:color w:val="auto"/>
              </w:rPr>
            </w:pPr>
          </w:p>
        </w:tc>
        <w:tc>
          <w:tcPr>
            <w:tcW w:w="160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w:t>
            </w:r>
          </w:p>
        </w:tc>
        <w:tc>
          <w:tcPr>
            <w:tcW w:w="160" w:type="dxa"/>
            <w:vAlign w:val="bottom"/>
            <w:shd w:val="clear" w:color="auto" w:fill="3465B0"/>
          </w:tcPr>
          <w:p>
            <w:pPr>
              <w:spacing w:after="0"/>
              <w:rPr>
                <w:sz w:val="20"/>
                <w:szCs w:val="20"/>
                <w:color w:val="auto"/>
              </w:rPr>
            </w:pPr>
          </w:p>
        </w:tc>
        <w:tc>
          <w:tcPr>
            <w:tcW w:w="104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w:t>
            </w:r>
          </w:p>
        </w:tc>
        <w:tc>
          <w:tcPr>
            <w:tcW w:w="180" w:type="dxa"/>
            <w:vAlign w:val="bottom"/>
            <w:shd w:val="clear" w:color="auto" w:fill="3465B0"/>
          </w:tcPr>
          <w:p>
            <w:pPr>
              <w:spacing w:after="0"/>
              <w:rPr>
                <w:sz w:val="20"/>
                <w:szCs w:val="20"/>
                <w:color w:val="auto"/>
              </w:rPr>
            </w:pPr>
          </w:p>
        </w:tc>
        <w:tc>
          <w:tcPr>
            <w:tcW w:w="142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w:t>
            </w:r>
          </w:p>
        </w:tc>
        <w:tc>
          <w:tcPr>
            <w:tcW w:w="920" w:type="dxa"/>
            <w:vAlign w:val="bottom"/>
            <w:tcBorders>
              <w:right w:val="single" w:sz="8" w:color="3465B0"/>
            </w:tcBorders>
            <w:shd w:val="clear" w:color="auto" w:fill="3465B0"/>
          </w:tcPr>
          <w:p>
            <w:pPr>
              <w:ind w:left="180"/>
              <w:spacing w:after="0"/>
              <w:rPr>
                <w:sz w:val="20"/>
                <w:szCs w:val="20"/>
                <w:color w:val="auto"/>
              </w:rPr>
            </w:pPr>
            <w:r>
              <w:rPr>
                <w:rFonts w:ascii="Arial" w:cs="Arial" w:eastAsia="Arial" w:hAnsi="Arial"/>
                <w:sz w:val="18"/>
                <w:szCs w:val="18"/>
                <w:b w:val="1"/>
                <w:bCs w:val="1"/>
                <w:color w:val="FFFFFF"/>
              </w:rPr>
              <w:t>($)</w:t>
            </w:r>
          </w:p>
        </w:tc>
      </w:tr>
      <w:tr>
        <w:trPr>
          <w:trHeight w:val="270"/>
        </w:trPr>
        <w:tc>
          <w:tcPr>
            <w:tcW w:w="3680" w:type="dxa"/>
            <w:vAlign w:val="bottom"/>
            <w:tcBorders>
              <w:left w:val="single" w:sz="8" w:color="3465B0"/>
              <w:right w:val="single" w:sz="8" w:color="93A1D2"/>
            </w:tcBorders>
          </w:tcPr>
          <w:p>
            <w:pPr>
              <w:ind w:left="100"/>
              <w:spacing w:after="0" w:line="270" w:lineRule="exact"/>
              <w:rPr>
                <w:sz w:val="20"/>
                <w:szCs w:val="20"/>
                <w:color w:val="auto"/>
              </w:rPr>
            </w:pPr>
            <w:r>
              <w:rPr>
                <w:rFonts w:ascii="Arial" w:cs="Arial" w:eastAsia="Arial" w:hAnsi="Arial"/>
                <w:sz w:val="18"/>
                <w:szCs w:val="18"/>
                <w:color w:val="auto"/>
              </w:rPr>
              <w:t>D. Randolph Peeler</w:t>
            </w:r>
            <w:r>
              <w:rPr>
                <w:rFonts w:ascii="Arial" w:cs="Arial" w:eastAsia="Arial" w:hAnsi="Arial"/>
                <w:sz w:val="29"/>
                <w:szCs w:val="29"/>
                <w:color w:val="auto"/>
                <w:vertAlign w:val="superscript"/>
              </w:rPr>
              <w:t>(1)</w:t>
            </w:r>
          </w:p>
        </w:tc>
        <w:tc>
          <w:tcPr>
            <w:tcW w:w="1760" w:type="dxa"/>
            <w:vAlign w:val="bottom"/>
            <w:tcBorders>
              <w:right w:val="single" w:sz="8" w:color="93A1D2"/>
            </w:tcBorders>
            <w:gridSpan w:val="2"/>
          </w:tcPr>
          <w:p>
            <w:pPr>
              <w:jc w:val="right"/>
              <w:ind w:right="233"/>
              <w:spacing w:after="0"/>
              <w:rPr>
                <w:sz w:val="20"/>
                <w:szCs w:val="20"/>
                <w:color w:val="auto"/>
              </w:rPr>
            </w:pPr>
            <w:r>
              <w:rPr>
                <w:rFonts w:ascii="Arial" w:cs="Arial" w:eastAsia="Arial" w:hAnsi="Arial"/>
                <w:sz w:val="18"/>
                <w:szCs w:val="18"/>
                <w:color w:val="auto"/>
              </w:rPr>
              <w:t>101,250</w:t>
            </w:r>
          </w:p>
        </w:tc>
        <w:tc>
          <w:tcPr>
            <w:tcW w:w="160" w:type="dxa"/>
            <w:vAlign w:val="bottom"/>
          </w:tcPr>
          <w:p>
            <w:pPr>
              <w:spacing w:after="0"/>
              <w:rPr>
                <w:sz w:val="23"/>
                <w:szCs w:val="23"/>
                <w:color w:val="auto"/>
              </w:rPr>
            </w:pPr>
          </w:p>
        </w:tc>
        <w:tc>
          <w:tcPr>
            <w:tcW w:w="1040" w:type="dxa"/>
            <w:vAlign w:val="bottom"/>
            <w:tcBorders>
              <w:right w:val="single" w:sz="8" w:color="93A1D2"/>
            </w:tcBorders>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Borders>
              <w:right w:val="single" w:sz="8" w:color="93A1D2"/>
            </w:tcBorders>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101,250</w:t>
            </w:r>
          </w:p>
        </w:tc>
      </w:tr>
      <w:tr>
        <w:trPr>
          <w:trHeight w:val="229"/>
        </w:trPr>
        <w:tc>
          <w:tcPr>
            <w:tcW w:w="368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Jose Armario</w:t>
            </w:r>
          </w:p>
        </w:tc>
        <w:tc>
          <w:tcPr>
            <w:tcW w:w="1760" w:type="dxa"/>
            <w:vAlign w:val="bottom"/>
            <w:tcBorders>
              <w:right w:val="single" w:sz="8" w:color="93A1D2"/>
            </w:tcBorders>
            <w:gridSpan w:val="2"/>
            <w:shd w:val="clear" w:color="auto" w:fill="CCCCCC"/>
          </w:tcPr>
          <w:p>
            <w:pPr>
              <w:jc w:val="right"/>
              <w:ind w:right="233"/>
              <w:spacing w:after="0"/>
              <w:rPr>
                <w:sz w:val="20"/>
                <w:szCs w:val="20"/>
                <w:color w:val="auto"/>
              </w:rPr>
            </w:pPr>
            <w:r>
              <w:rPr>
                <w:rFonts w:ascii="Arial" w:cs="Arial" w:eastAsia="Arial" w:hAnsi="Arial"/>
                <w:sz w:val="18"/>
                <w:szCs w:val="18"/>
                <w:color w:val="auto"/>
              </w:rPr>
              <w:t>80,000</w:t>
            </w:r>
          </w:p>
        </w:tc>
        <w:tc>
          <w:tcPr>
            <w:tcW w:w="1200" w:type="dxa"/>
            <w:vAlign w:val="bottom"/>
            <w:tcBorders>
              <w:right w:val="single" w:sz="8" w:color="93A1D2"/>
            </w:tcBorders>
            <w:gridSpan w:val="2"/>
            <w:shd w:val="clear" w:color="auto" w:fill="CCCCCC"/>
          </w:tcPr>
          <w:p>
            <w:pPr>
              <w:jc w:val="right"/>
              <w:ind w:right="112"/>
              <w:spacing w:after="0"/>
              <w:rPr>
                <w:sz w:val="20"/>
                <w:szCs w:val="20"/>
                <w:color w:val="auto"/>
              </w:rPr>
            </w:pPr>
            <w:r>
              <w:rPr>
                <w:rFonts w:ascii="Arial" w:cs="Arial" w:eastAsia="Arial" w:hAnsi="Arial"/>
                <w:sz w:val="18"/>
                <w:szCs w:val="18"/>
                <w:color w:val="auto"/>
              </w:rPr>
              <w:t>170,016</w:t>
            </w:r>
          </w:p>
        </w:tc>
        <w:tc>
          <w:tcPr>
            <w:tcW w:w="180" w:type="dxa"/>
            <w:vAlign w:val="bottom"/>
            <w:shd w:val="clear" w:color="auto" w:fill="CCCCCC"/>
          </w:tcPr>
          <w:p>
            <w:pPr>
              <w:spacing w:after="0"/>
              <w:rPr>
                <w:sz w:val="19"/>
                <w:szCs w:val="19"/>
                <w:color w:val="auto"/>
              </w:rPr>
            </w:pPr>
          </w:p>
        </w:tc>
        <w:tc>
          <w:tcPr>
            <w:tcW w:w="1420" w:type="dxa"/>
            <w:vAlign w:val="bottom"/>
            <w:tcBorders>
              <w:right w:val="single" w:sz="8" w:color="93A1D2"/>
            </w:tcBorders>
            <w:shd w:val="clear" w:color="auto" w:fill="CCCCCC"/>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250,016</w:t>
            </w:r>
          </w:p>
        </w:tc>
      </w:tr>
      <w:tr>
        <w:trPr>
          <w:trHeight w:val="230"/>
        </w:trPr>
        <w:tc>
          <w:tcPr>
            <w:tcW w:w="368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Virginia A. Hepner</w:t>
            </w:r>
          </w:p>
        </w:tc>
        <w:tc>
          <w:tcPr>
            <w:tcW w:w="1760" w:type="dxa"/>
            <w:vAlign w:val="bottom"/>
            <w:tcBorders>
              <w:right w:val="single" w:sz="8" w:color="93A1D2"/>
            </w:tcBorders>
            <w:gridSpan w:val="2"/>
          </w:tcPr>
          <w:p>
            <w:pPr>
              <w:jc w:val="right"/>
              <w:ind w:right="233"/>
              <w:spacing w:after="0"/>
              <w:rPr>
                <w:sz w:val="20"/>
                <w:szCs w:val="20"/>
                <w:color w:val="auto"/>
              </w:rPr>
            </w:pPr>
            <w:r>
              <w:rPr>
                <w:rFonts w:ascii="Arial" w:cs="Arial" w:eastAsia="Arial" w:hAnsi="Arial"/>
                <w:sz w:val="18"/>
                <w:szCs w:val="18"/>
                <w:color w:val="auto"/>
              </w:rPr>
              <w:t>95,000</w:t>
            </w:r>
          </w:p>
        </w:tc>
        <w:tc>
          <w:tcPr>
            <w:tcW w:w="1200" w:type="dxa"/>
            <w:vAlign w:val="bottom"/>
            <w:tcBorders>
              <w:right w:val="single" w:sz="8" w:color="93A1D2"/>
            </w:tcBorders>
            <w:gridSpan w:val="2"/>
          </w:tcPr>
          <w:p>
            <w:pPr>
              <w:jc w:val="right"/>
              <w:ind w:right="112"/>
              <w:spacing w:after="0"/>
              <w:rPr>
                <w:sz w:val="20"/>
                <w:szCs w:val="20"/>
                <w:color w:val="auto"/>
              </w:rPr>
            </w:pPr>
            <w:r>
              <w:rPr>
                <w:rFonts w:ascii="Arial" w:cs="Arial" w:eastAsia="Arial" w:hAnsi="Arial"/>
                <w:sz w:val="18"/>
                <w:szCs w:val="18"/>
                <w:color w:val="auto"/>
              </w:rPr>
              <w:t>170,016</w:t>
            </w:r>
          </w:p>
        </w:tc>
        <w:tc>
          <w:tcPr>
            <w:tcW w:w="180" w:type="dxa"/>
            <w:vAlign w:val="bottom"/>
          </w:tcPr>
          <w:p>
            <w:pPr>
              <w:spacing w:after="0"/>
              <w:rPr>
                <w:sz w:val="19"/>
                <w:szCs w:val="19"/>
                <w:color w:val="auto"/>
              </w:rPr>
            </w:pPr>
          </w:p>
        </w:tc>
        <w:tc>
          <w:tcPr>
            <w:tcW w:w="1420" w:type="dxa"/>
            <w:vAlign w:val="bottom"/>
            <w:tcBorders>
              <w:right w:val="single" w:sz="8" w:color="93A1D2"/>
            </w:tcBorders>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265,016</w:t>
            </w:r>
          </w:p>
        </w:tc>
      </w:tr>
      <w:tr>
        <w:trPr>
          <w:trHeight w:val="230"/>
        </w:trPr>
        <w:tc>
          <w:tcPr>
            <w:tcW w:w="368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Susan S. Johnson</w:t>
            </w:r>
          </w:p>
        </w:tc>
        <w:tc>
          <w:tcPr>
            <w:tcW w:w="1760" w:type="dxa"/>
            <w:vAlign w:val="bottom"/>
            <w:tcBorders>
              <w:right w:val="single" w:sz="8" w:color="93A1D2"/>
            </w:tcBorders>
            <w:gridSpan w:val="2"/>
            <w:shd w:val="clear" w:color="auto" w:fill="CCCCCC"/>
          </w:tcPr>
          <w:p>
            <w:pPr>
              <w:jc w:val="right"/>
              <w:ind w:right="233"/>
              <w:spacing w:after="0"/>
              <w:rPr>
                <w:sz w:val="20"/>
                <w:szCs w:val="20"/>
                <w:color w:val="auto"/>
              </w:rPr>
            </w:pPr>
            <w:r>
              <w:rPr>
                <w:rFonts w:ascii="Arial" w:cs="Arial" w:eastAsia="Arial" w:hAnsi="Arial"/>
                <w:sz w:val="18"/>
                <w:szCs w:val="18"/>
                <w:color w:val="auto"/>
              </w:rPr>
              <w:t>99,556</w:t>
            </w:r>
          </w:p>
        </w:tc>
        <w:tc>
          <w:tcPr>
            <w:tcW w:w="1200" w:type="dxa"/>
            <w:vAlign w:val="bottom"/>
            <w:tcBorders>
              <w:right w:val="single" w:sz="8" w:color="93A1D2"/>
            </w:tcBorders>
            <w:gridSpan w:val="2"/>
            <w:shd w:val="clear" w:color="auto" w:fill="CCCCCC"/>
          </w:tcPr>
          <w:p>
            <w:pPr>
              <w:jc w:val="right"/>
              <w:ind w:right="112"/>
              <w:spacing w:after="0"/>
              <w:rPr>
                <w:sz w:val="20"/>
                <w:szCs w:val="20"/>
                <w:color w:val="auto"/>
              </w:rPr>
            </w:pPr>
            <w:r>
              <w:rPr>
                <w:rFonts w:ascii="Arial" w:cs="Arial" w:eastAsia="Arial" w:hAnsi="Arial"/>
                <w:sz w:val="18"/>
                <w:szCs w:val="18"/>
                <w:color w:val="auto"/>
              </w:rPr>
              <w:t>170,016</w:t>
            </w:r>
          </w:p>
        </w:tc>
        <w:tc>
          <w:tcPr>
            <w:tcW w:w="180" w:type="dxa"/>
            <w:vAlign w:val="bottom"/>
            <w:shd w:val="clear" w:color="auto" w:fill="CCCCCC"/>
          </w:tcPr>
          <w:p>
            <w:pPr>
              <w:spacing w:after="0"/>
              <w:rPr>
                <w:sz w:val="19"/>
                <w:szCs w:val="19"/>
                <w:color w:val="auto"/>
              </w:rPr>
            </w:pPr>
          </w:p>
        </w:tc>
        <w:tc>
          <w:tcPr>
            <w:tcW w:w="1420" w:type="dxa"/>
            <w:vAlign w:val="bottom"/>
            <w:tcBorders>
              <w:right w:val="single" w:sz="8" w:color="93A1D2"/>
            </w:tcBorders>
            <w:shd w:val="clear" w:color="auto" w:fill="CCCCCC"/>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269,572</w:t>
            </w:r>
          </w:p>
        </w:tc>
      </w:tr>
      <w:tr>
        <w:trPr>
          <w:trHeight w:val="230"/>
        </w:trPr>
        <w:tc>
          <w:tcPr>
            <w:tcW w:w="368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Naomi Kelman</w:t>
            </w:r>
          </w:p>
        </w:tc>
        <w:tc>
          <w:tcPr>
            <w:tcW w:w="1760" w:type="dxa"/>
            <w:vAlign w:val="bottom"/>
            <w:tcBorders>
              <w:right w:val="single" w:sz="8" w:color="93A1D2"/>
            </w:tcBorders>
            <w:gridSpan w:val="2"/>
          </w:tcPr>
          <w:p>
            <w:pPr>
              <w:jc w:val="right"/>
              <w:ind w:right="233"/>
              <w:spacing w:after="0"/>
              <w:rPr>
                <w:sz w:val="20"/>
                <w:szCs w:val="20"/>
                <w:color w:val="auto"/>
              </w:rPr>
            </w:pPr>
            <w:r>
              <w:rPr>
                <w:rFonts w:ascii="Arial" w:cs="Arial" w:eastAsia="Arial" w:hAnsi="Arial"/>
                <w:sz w:val="18"/>
                <w:szCs w:val="18"/>
                <w:color w:val="auto"/>
              </w:rPr>
              <w:t>80,000</w:t>
            </w:r>
          </w:p>
        </w:tc>
        <w:tc>
          <w:tcPr>
            <w:tcW w:w="1200" w:type="dxa"/>
            <w:vAlign w:val="bottom"/>
            <w:tcBorders>
              <w:right w:val="single" w:sz="8" w:color="93A1D2"/>
            </w:tcBorders>
            <w:gridSpan w:val="2"/>
          </w:tcPr>
          <w:p>
            <w:pPr>
              <w:jc w:val="right"/>
              <w:ind w:right="112"/>
              <w:spacing w:after="0"/>
              <w:rPr>
                <w:sz w:val="20"/>
                <w:szCs w:val="20"/>
                <w:color w:val="auto"/>
              </w:rPr>
            </w:pPr>
            <w:r>
              <w:rPr>
                <w:rFonts w:ascii="Arial" w:cs="Arial" w:eastAsia="Arial" w:hAnsi="Arial"/>
                <w:sz w:val="18"/>
                <w:szCs w:val="18"/>
                <w:color w:val="auto"/>
              </w:rPr>
              <w:t>170,016</w:t>
            </w:r>
          </w:p>
        </w:tc>
        <w:tc>
          <w:tcPr>
            <w:tcW w:w="180" w:type="dxa"/>
            <w:vAlign w:val="bottom"/>
          </w:tcPr>
          <w:p>
            <w:pPr>
              <w:spacing w:after="0"/>
              <w:rPr>
                <w:sz w:val="19"/>
                <w:szCs w:val="19"/>
                <w:color w:val="auto"/>
              </w:rPr>
            </w:pPr>
          </w:p>
        </w:tc>
        <w:tc>
          <w:tcPr>
            <w:tcW w:w="1420" w:type="dxa"/>
            <w:vAlign w:val="bottom"/>
            <w:tcBorders>
              <w:right w:val="single" w:sz="8" w:color="93A1D2"/>
            </w:tcBorders>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250,016</w:t>
            </w:r>
          </w:p>
        </w:tc>
      </w:tr>
      <w:tr>
        <w:trPr>
          <w:trHeight w:val="229"/>
        </w:trPr>
        <w:tc>
          <w:tcPr>
            <w:tcW w:w="368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James M. McGrann</w:t>
            </w:r>
          </w:p>
        </w:tc>
        <w:tc>
          <w:tcPr>
            <w:tcW w:w="1760" w:type="dxa"/>
            <w:vAlign w:val="bottom"/>
            <w:tcBorders>
              <w:right w:val="single" w:sz="8" w:color="93A1D2"/>
            </w:tcBorders>
            <w:gridSpan w:val="2"/>
            <w:shd w:val="clear" w:color="auto" w:fill="CCCCCC"/>
          </w:tcPr>
          <w:p>
            <w:pPr>
              <w:jc w:val="right"/>
              <w:ind w:right="233"/>
              <w:spacing w:after="0"/>
              <w:rPr>
                <w:sz w:val="20"/>
                <w:szCs w:val="20"/>
                <w:color w:val="auto"/>
              </w:rPr>
            </w:pPr>
            <w:r>
              <w:rPr>
                <w:rFonts w:ascii="Arial" w:cs="Arial" w:eastAsia="Arial" w:hAnsi="Arial"/>
                <w:sz w:val="18"/>
                <w:szCs w:val="18"/>
                <w:color w:val="auto"/>
              </w:rPr>
              <w:t>71,667</w:t>
            </w:r>
          </w:p>
        </w:tc>
        <w:tc>
          <w:tcPr>
            <w:tcW w:w="1200" w:type="dxa"/>
            <w:vAlign w:val="bottom"/>
            <w:tcBorders>
              <w:right w:val="single" w:sz="8" w:color="93A1D2"/>
            </w:tcBorders>
            <w:gridSpan w:val="2"/>
            <w:shd w:val="clear" w:color="auto" w:fill="CCCCCC"/>
          </w:tcPr>
          <w:p>
            <w:pPr>
              <w:jc w:val="right"/>
              <w:ind w:right="112"/>
              <w:spacing w:after="0"/>
              <w:rPr>
                <w:sz w:val="20"/>
                <w:szCs w:val="20"/>
                <w:color w:val="auto"/>
              </w:rPr>
            </w:pPr>
            <w:r>
              <w:rPr>
                <w:rFonts w:ascii="Arial" w:cs="Arial" w:eastAsia="Arial" w:hAnsi="Arial"/>
                <w:sz w:val="18"/>
                <w:szCs w:val="18"/>
                <w:color w:val="auto"/>
              </w:rPr>
              <w:t>213,334</w:t>
            </w:r>
          </w:p>
        </w:tc>
        <w:tc>
          <w:tcPr>
            <w:tcW w:w="180" w:type="dxa"/>
            <w:vAlign w:val="bottom"/>
            <w:shd w:val="clear" w:color="auto" w:fill="CCCCCC"/>
          </w:tcPr>
          <w:p>
            <w:pPr>
              <w:spacing w:after="0"/>
              <w:rPr>
                <w:sz w:val="19"/>
                <w:szCs w:val="19"/>
                <w:color w:val="auto"/>
              </w:rPr>
            </w:pPr>
          </w:p>
        </w:tc>
        <w:tc>
          <w:tcPr>
            <w:tcW w:w="1420" w:type="dxa"/>
            <w:vAlign w:val="bottom"/>
            <w:tcBorders>
              <w:right w:val="single" w:sz="8" w:color="93A1D2"/>
            </w:tcBorders>
            <w:shd w:val="clear" w:color="auto" w:fill="CCCCCC"/>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285,001</w:t>
            </w:r>
          </w:p>
        </w:tc>
      </w:tr>
      <w:tr>
        <w:trPr>
          <w:trHeight w:val="230"/>
        </w:trPr>
        <w:tc>
          <w:tcPr>
            <w:tcW w:w="368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Micheal J. Nicholson</w:t>
            </w:r>
          </w:p>
        </w:tc>
        <w:tc>
          <w:tcPr>
            <w:tcW w:w="1760" w:type="dxa"/>
            <w:vAlign w:val="bottom"/>
            <w:tcBorders>
              <w:right w:val="single" w:sz="8" w:color="93A1D2"/>
            </w:tcBorders>
            <w:gridSpan w:val="2"/>
          </w:tcPr>
          <w:p>
            <w:pPr>
              <w:jc w:val="right"/>
              <w:ind w:right="233"/>
              <w:spacing w:after="0"/>
              <w:rPr>
                <w:sz w:val="20"/>
                <w:szCs w:val="20"/>
                <w:color w:val="auto"/>
              </w:rPr>
            </w:pPr>
            <w:r>
              <w:rPr>
                <w:rFonts w:ascii="Arial" w:cs="Arial" w:eastAsia="Arial" w:hAnsi="Arial"/>
                <w:sz w:val="18"/>
                <w:szCs w:val="18"/>
                <w:color w:val="auto"/>
              </w:rPr>
              <w:t>71,667</w:t>
            </w:r>
          </w:p>
        </w:tc>
        <w:tc>
          <w:tcPr>
            <w:tcW w:w="1200" w:type="dxa"/>
            <w:vAlign w:val="bottom"/>
            <w:tcBorders>
              <w:right w:val="single" w:sz="8" w:color="93A1D2"/>
            </w:tcBorders>
            <w:gridSpan w:val="2"/>
          </w:tcPr>
          <w:p>
            <w:pPr>
              <w:jc w:val="right"/>
              <w:ind w:right="112"/>
              <w:spacing w:after="0"/>
              <w:rPr>
                <w:sz w:val="20"/>
                <w:szCs w:val="20"/>
                <w:color w:val="auto"/>
              </w:rPr>
            </w:pPr>
            <w:r>
              <w:rPr>
                <w:rFonts w:ascii="Arial" w:cs="Arial" w:eastAsia="Arial" w:hAnsi="Arial"/>
                <w:sz w:val="18"/>
                <w:szCs w:val="18"/>
                <w:color w:val="auto"/>
              </w:rPr>
              <w:t>213,334</w:t>
            </w:r>
          </w:p>
        </w:tc>
        <w:tc>
          <w:tcPr>
            <w:tcW w:w="180" w:type="dxa"/>
            <w:vAlign w:val="bottom"/>
          </w:tcPr>
          <w:p>
            <w:pPr>
              <w:spacing w:after="0"/>
              <w:rPr>
                <w:sz w:val="19"/>
                <w:szCs w:val="19"/>
                <w:color w:val="auto"/>
              </w:rPr>
            </w:pPr>
          </w:p>
        </w:tc>
        <w:tc>
          <w:tcPr>
            <w:tcW w:w="1420" w:type="dxa"/>
            <w:vAlign w:val="bottom"/>
            <w:tcBorders>
              <w:right w:val="single" w:sz="8" w:color="93A1D2"/>
            </w:tcBorders>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285,001</w:t>
            </w:r>
          </w:p>
        </w:tc>
      </w:tr>
      <w:tr>
        <w:trPr>
          <w:trHeight w:val="230"/>
        </w:trPr>
        <w:tc>
          <w:tcPr>
            <w:tcW w:w="368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Susan O’Farrell</w:t>
            </w:r>
          </w:p>
        </w:tc>
        <w:tc>
          <w:tcPr>
            <w:tcW w:w="1760" w:type="dxa"/>
            <w:vAlign w:val="bottom"/>
            <w:tcBorders>
              <w:right w:val="single" w:sz="8" w:color="93A1D2"/>
            </w:tcBorders>
            <w:gridSpan w:val="2"/>
            <w:shd w:val="clear" w:color="auto" w:fill="CCCCCC"/>
          </w:tcPr>
          <w:p>
            <w:pPr>
              <w:jc w:val="right"/>
              <w:ind w:right="233"/>
              <w:spacing w:after="0"/>
              <w:rPr>
                <w:sz w:val="20"/>
                <w:szCs w:val="20"/>
                <w:color w:val="auto"/>
              </w:rPr>
            </w:pPr>
            <w:r>
              <w:rPr>
                <w:rFonts w:ascii="Arial" w:cs="Arial" w:eastAsia="Arial" w:hAnsi="Arial"/>
                <w:sz w:val="18"/>
                <w:szCs w:val="18"/>
                <w:color w:val="auto"/>
              </w:rPr>
              <w:t>105,000</w:t>
            </w:r>
          </w:p>
        </w:tc>
        <w:tc>
          <w:tcPr>
            <w:tcW w:w="1200" w:type="dxa"/>
            <w:vAlign w:val="bottom"/>
            <w:tcBorders>
              <w:right w:val="single" w:sz="8" w:color="93A1D2"/>
            </w:tcBorders>
            <w:gridSpan w:val="2"/>
            <w:shd w:val="clear" w:color="auto" w:fill="CCCCCC"/>
          </w:tcPr>
          <w:p>
            <w:pPr>
              <w:jc w:val="right"/>
              <w:ind w:right="112"/>
              <w:spacing w:after="0"/>
              <w:rPr>
                <w:sz w:val="20"/>
                <w:szCs w:val="20"/>
                <w:color w:val="auto"/>
              </w:rPr>
            </w:pPr>
            <w:r>
              <w:rPr>
                <w:rFonts w:ascii="Arial" w:cs="Arial" w:eastAsia="Arial" w:hAnsi="Arial"/>
                <w:sz w:val="18"/>
                <w:szCs w:val="18"/>
                <w:color w:val="auto"/>
              </w:rPr>
              <w:t>170,016</w:t>
            </w:r>
          </w:p>
        </w:tc>
        <w:tc>
          <w:tcPr>
            <w:tcW w:w="180" w:type="dxa"/>
            <w:vAlign w:val="bottom"/>
            <w:shd w:val="clear" w:color="auto" w:fill="CCCCCC"/>
          </w:tcPr>
          <w:p>
            <w:pPr>
              <w:spacing w:after="0"/>
              <w:rPr>
                <w:sz w:val="19"/>
                <w:szCs w:val="19"/>
                <w:color w:val="auto"/>
              </w:rPr>
            </w:pPr>
          </w:p>
        </w:tc>
        <w:tc>
          <w:tcPr>
            <w:tcW w:w="1420" w:type="dxa"/>
            <w:vAlign w:val="bottom"/>
            <w:tcBorders>
              <w:right w:val="single" w:sz="8" w:color="93A1D2"/>
            </w:tcBorders>
            <w:shd w:val="clear" w:color="auto" w:fill="CCCCCC"/>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275,016</w:t>
            </w:r>
          </w:p>
        </w:tc>
      </w:tr>
      <w:tr>
        <w:trPr>
          <w:trHeight w:val="230"/>
        </w:trPr>
        <w:tc>
          <w:tcPr>
            <w:tcW w:w="368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Caitlin Zulla</w:t>
            </w:r>
          </w:p>
        </w:tc>
        <w:tc>
          <w:tcPr>
            <w:tcW w:w="1760" w:type="dxa"/>
            <w:vAlign w:val="bottom"/>
            <w:tcBorders>
              <w:right w:val="single" w:sz="8" w:color="93A1D2"/>
            </w:tcBorders>
            <w:gridSpan w:val="2"/>
          </w:tcPr>
          <w:p>
            <w:pPr>
              <w:jc w:val="right"/>
              <w:ind w:right="233"/>
              <w:spacing w:after="0"/>
              <w:rPr>
                <w:sz w:val="20"/>
                <w:szCs w:val="20"/>
                <w:color w:val="auto"/>
              </w:rPr>
            </w:pPr>
            <w:r>
              <w:rPr>
                <w:rFonts w:ascii="Arial" w:cs="Arial" w:eastAsia="Arial" w:hAnsi="Arial"/>
                <w:sz w:val="18"/>
                <w:szCs w:val="18"/>
                <w:color w:val="auto"/>
              </w:rPr>
              <w:t>80,000</w:t>
            </w:r>
          </w:p>
        </w:tc>
        <w:tc>
          <w:tcPr>
            <w:tcW w:w="1200" w:type="dxa"/>
            <w:vAlign w:val="bottom"/>
            <w:tcBorders>
              <w:right w:val="single" w:sz="8" w:color="93A1D2"/>
            </w:tcBorders>
            <w:gridSpan w:val="2"/>
          </w:tcPr>
          <w:p>
            <w:pPr>
              <w:jc w:val="right"/>
              <w:ind w:right="112"/>
              <w:spacing w:after="0"/>
              <w:rPr>
                <w:sz w:val="20"/>
                <w:szCs w:val="20"/>
                <w:color w:val="auto"/>
              </w:rPr>
            </w:pPr>
            <w:r>
              <w:rPr>
                <w:rFonts w:ascii="Arial" w:cs="Arial" w:eastAsia="Arial" w:hAnsi="Arial"/>
                <w:sz w:val="18"/>
                <w:szCs w:val="18"/>
                <w:color w:val="auto"/>
              </w:rPr>
              <w:t>170,016</w:t>
            </w:r>
          </w:p>
        </w:tc>
        <w:tc>
          <w:tcPr>
            <w:tcW w:w="180" w:type="dxa"/>
            <w:vAlign w:val="bottom"/>
          </w:tcPr>
          <w:p>
            <w:pPr>
              <w:spacing w:after="0"/>
              <w:rPr>
                <w:sz w:val="19"/>
                <w:szCs w:val="19"/>
                <w:color w:val="auto"/>
              </w:rPr>
            </w:pPr>
          </w:p>
        </w:tc>
        <w:tc>
          <w:tcPr>
            <w:tcW w:w="1420" w:type="dxa"/>
            <w:vAlign w:val="bottom"/>
            <w:tcBorders>
              <w:right w:val="single" w:sz="8" w:color="93A1D2"/>
            </w:tcBorders>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250,016</w:t>
            </w:r>
          </w:p>
        </w:tc>
      </w:tr>
      <w:tr>
        <w:trPr>
          <w:trHeight w:val="229"/>
        </w:trPr>
        <w:tc>
          <w:tcPr>
            <w:tcW w:w="368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Former Directors</w:t>
            </w:r>
          </w:p>
        </w:tc>
        <w:tc>
          <w:tcPr>
            <w:tcW w:w="160" w:type="dxa"/>
            <w:vAlign w:val="bottom"/>
            <w:shd w:val="clear" w:color="auto" w:fill="CCCCCC"/>
          </w:tcPr>
          <w:p>
            <w:pPr>
              <w:spacing w:after="0"/>
              <w:rPr>
                <w:sz w:val="19"/>
                <w:szCs w:val="19"/>
                <w:color w:val="auto"/>
              </w:rPr>
            </w:pPr>
          </w:p>
        </w:tc>
        <w:tc>
          <w:tcPr>
            <w:tcW w:w="1600" w:type="dxa"/>
            <w:vAlign w:val="bottom"/>
            <w:tcBorders>
              <w:right w:val="single" w:sz="8" w:color="93A1D2"/>
            </w:tcBorders>
            <w:shd w:val="clear" w:color="auto" w:fill="CCCCCC"/>
          </w:tcPr>
          <w:p>
            <w:pPr>
              <w:spacing w:after="0"/>
              <w:rPr>
                <w:sz w:val="19"/>
                <w:szCs w:val="19"/>
                <w:color w:val="auto"/>
              </w:rPr>
            </w:pPr>
          </w:p>
        </w:tc>
        <w:tc>
          <w:tcPr>
            <w:tcW w:w="160" w:type="dxa"/>
            <w:vAlign w:val="bottom"/>
            <w:shd w:val="clear" w:color="auto" w:fill="CCCCCC"/>
          </w:tcPr>
          <w:p>
            <w:pPr>
              <w:spacing w:after="0"/>
              <w:rPr>
                <w:sz w:val="19"/>
                <w:szCs w:val="19"/>
                <w:color w:val="auto"/>
              </w:rPr>
            </w:pPr>
          </w:p>
        </w:tc>
        <w:tc>
          <w:tcPr>
            <w:tcW w:w="1040" w:type="dxa"/>
            <w:vAlign w:val="bottom"/>
            <w:tcBorders>
              <w:right w:val="single" w:sz="8" w:color="93A1D2"/>
            </w:tcBorders>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1420" w:type="dxa"/>
            <w:vAlign w:val="bottom"/>
            <w:tcBorders>
              <w:right w:val="single" w:sz="8" w:color="93A1D2"/>
            </w:tcBorders>
            <w:shd w:val="clear" w:color="auto" w:fill="CCCCCC"/>
          </w:tcPr>
          <w:p>
            <w:pPr>
              <w:spacing w:after="0"/>
              <w:rPr>
                <w:sz w:val="19"/>
                <w:szCs w:val="19"/>
                <w:color w:val="auto"/>
              </w:rPr>
            </w:pPr>
          </w:p>
        </w:tc>
        <w:tc>
          <w:tcPr>
            <w:tcW w:w="920" w:type="dxa"/>
            <w:vAlign w:val="bottom"/>
            <w:tcBorders>
              <w:right w:val="single" w:sz="8" w:color="3465B0"/>
            </w:tcBorders>
            <w:shd w:val="clear" w:color="auto" w:fill="CCCCCC"/>
          </w:tcPr>
          <w:p>
            <w:pPr>
              <w:spacing w:after="0"/>
              <w:rPr>
                <w:sz w:val="19"/>
                <w:szCs w:val="19"/>
                <w:color w:val="auto"/>
              </w:rPr>
            </w:pPr>
          </w:p>
        </w:tc>
      </w:tr>
      <w:tr>
        <w:trPr>
          <w:trHeight w:val="267"/>
        </w:trPr>
        <w:tc>
          <w:tcPr>
            <w:tcW w:w="3680" w:type="dxa"/>
            <w:vAlign w:val="bottom"/>
            <w:tcBorders>
              <w:left w:val="single" w:sz="8" w:color="3465B0"/>
              <w:bottom w:val="single" w:sz="8" w:color="3465B0"/>
              <w:right w:val="single" w:sz="8" w:color="93A1D2"/>
            </w:tcBorders>
          </w:tcPr>
          <w:p>
            <w:pPr>
              <w:ind w:left="100"/>
              <w:spacing w:after="0" w:line="266" w:lineRule="exact"/>
              <w:rPr>
                <w:sz w:val="20"/>
                <w:szCs w:val="20"/>
                <w:color w:val="auto"/>
              </w:rPr>
            </w:pPr>
            <w:r>
              <w:rPr>
                <w:rFonts w:ascii="Arial" w:cs="Arial" w:eastAsia="Arial" w:hAnsi="Arial"/>
                <w:sz w:val="18"/>
                <w:szCs w:val="18"/>
                <w:color w:val="auto"/>
              </w:rPr>
              <w:t>Thomas V. Taylor, Jr.</w:t>
            </w:r>
            <w:r>
              <w:rPr>
                <w:rFonts w:ascii="Arial" w:cs="Arial" w:eastAsia="Arial" w:hAnsi="Arial"/>
                <w:sz w:val="29"/>
                <w:szCs w:val="29"/>
                <w:color w:val="auto"/>
                <w:vertAlign w:val="superscript"/>
              </w:rPr>
              <w:t>(4)</w:t>
            </w:r>
          </w:p>
        </w:tc>
        <w:tc>
          <w:tcPr>
            <w:tcW w:w="1760" w:type="dxa"/>
            <w:vAlign w:val="bottom"/>
            <w:tcBorders>
              <w:bottom w:val="single" w:sz="8" w:color="3465B0"/>
              <w:right w:val="single" w:sz="8" w:color="93A1D2"/>
            </w:tcBorders>
            <w:gridSpan w:val="2"/>
          </w:tcPr>
          <w:p>
            <w:pPr>
              <w:jc w:val="right"/>
              <w:ind w:right="233"/>
              <w:spacing w:after="0"/>
              <w:rPr>
                <w:sz w:val="20"/>
                <w:szCs w:val="20"/>
                <w:color w:val="auto"/>
              </w:rPr>
            </w:pPr>
            <w:r>
              <w:rPr>
                <w:rFonts w:ascii="Arial" w:cs="Arial" w:eastAsia="Arial" w:hAnsi="Arial"/>
                <w:sz w:val="18"/>
                <w:szCs w:val="18"/>
                <w:color w:val="auto"/>
              </w:rPr>
              <w:t>47,222</w:t>
            </w:r>
          </w:p>
        </w:tc>
        <w:tc>
          <w:tcPr>
            <w:tcW w:w="160" w:type="dxa"/>
            <w:vAlign w:val="bottom"/>
            <w:tcBorders>
              <w:bottom w:val="single" w:sz="8" w:color="3465B0"/>
            </w:tcBorders>
          </w:tcPr>
          <w:p>
            <w:pPr>
              <w:spacing w:after="0"/>
              <w:rPr>
                <w:sz w:val="23"/>
                <w:szCs w:val="23"/>
                <w:color w:val="auto"/>
              </w:rPr>
            </w:pPr>
          </w:p>
        </w:tc>
        <w:tc>
          <w:tcPr>
            <w:tcW w:w="1040" w:type="dxa"/>
            <w:vAlign w:val="bottom"/>
            <w:tcBorders>
              <w:bottom w:val="single" w:sz="8" w:color="3465B0"/>
              <w:right w:val="single" w:sz="8" w:color="93A1D2"/>
            </w:tcBorders>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3465B0"/>
            </w:tcBorders>
          </w:tcPr>
          <w:p>
            <w:pPr>
              <w:spacing w:after="0"/>
              <w:rPr>
                <w:sz w:val="23"/>
                <w:szCs w:val="23"/>
                <w:color w:val="auto"/>
              </w:rPr>
            </w:pPr>
          </w:p>
        </w:tc>
        <w:tc>
          <w:tcPr>
            <w:tcW w:w="1420" w:type="dxa"/>
            <w:vAlign w:val="bottom"/>
            <w:tcBorders>
              <w:bottom w:val="single" w:sz="8" w:color="3465B0"/>
              <w:right w:val="single" w:sz="8" w:color="93A1D2"/>
            </w:tcBorders>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3465B0"/>
              <w:right w:val="single" w:sz="8" w:color="3465B0"/>
            </w:tcBorders>
          </w:tcPr>
          <w:p>
            <w:pPr>
              <w:jc w:val="right"/>
              <w:ind w:right="10"/>
              <w:spacing w:after="0"/>
              <w:rPr>
                <w:sz w:val="20"/>
                <w:szCs w:val="20"/>
                <w:color w:val="auto"/>
              </w:rPr>
            </w:pPr>
            <w:r>
              <w:rPr>
                <w:rFonts w:ascii="Arial" w:cs="Arial" w:eastAsia="Arial" w:hAnsi="Arial"/>
                <w:sz w:val="18"/>
                <w:szCs w:val="18"/>
                <w:color w:val="auto"/>
              </w:rPr>
              <w:t>47,222</w:t>
            </w:r>
          </w:p>
        </w:tc>
      </w:tr>
    </w:tbl>
    <w:p>
      <w:pPr>
        <w:spacing w:after="0" w:line="150" w:lineRule="exact"/>
        <w:rPr>
          <w:sz w:val="20"/>
          <w:szCs w:val="20"/>
          <w:color w:val="auto"/>
        </w:rPr>
      </w:pPr>
    </w:p>
    <w:p>
      <w:pPr>
        <w:jc w:val="both"/>
        <w:ind w:left="1280" w:right="940" w:hanging="348"/>
        <w:spacing w:after="0" w:line="256" w:lineRule="auto"/>
        <w:tabs>
          <w:tab w:leader="none" w:pos="12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At the request of Mr. Peeler, the compensation committee approved in June 2025 a program in which (i) in lieu of paying any cash retainer earned for Board or committee service directly to Mr. Peeler, the Company will instead make a quarterly donation of such retainer in Mr. Peeler’s name to our foundation or another charity of its choosing, and (ii) Mr. Peeler will not receive the restricted stock unit award to which non-employee directors are entitled under the director compensation program.</w:t>
      </w:r>
    </w:p>
    <w:p>
      <w:pPr>
        <w:spacing w:after="0" w:line="69" w:lineRule="exact"/>
        <w:rPr>
          <w:rFonts w:ascii="Arial" w:cs="Arial" w:eastAsia="Arial" w:hAnsi="Arial"/>
          <w:sz w:val="14"/>
          <w:szCs w:val="14"/>
          <w:color w:val="auto"/>
        </w:rPr>
      </w:pPr>
    </w:p>
    <w:p>
      <w:pPr>
        <w:jc w:val="both"/>
        <w:ind w:left="1280" w:right="960" w:hanging="348"/>
        <w:spacing w:after="0" w:line="256" w:lineRule="auto"/>
        <w:tabs>
          <w:tab w:leader="none" w:pos="12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all annual retainer fees earned by the directors listed in 2025. Mr. Peeler donated his cash retainer to 20/20 Quest, a Company-sponsored charitable foundation. Mr. Armario and Ms. Zulla elected to receive 100% of each of their cash retainer in equity and Ms. O’Farrell elected to receive 50% of her cash retainer in equity, resulting in a grant of additional restricted stock units on June 18, 2025, as follows: Mr. Armario (10,870), Ms. O’Farrell (9,674) and Ms. Zulla (10,870). The grant date fair value of these awards, calculated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49530</wp:posOffset>
            </wp:positionV>
            <wp:extent cx="205740" cy="205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25</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8034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80340"/>
                    </a:xfrm>
                    <a:prstGeom prst="rect">
                      <a:avLst/>
                    </a:prstGeom>
                    <a:noFill/>
                    <a:ln>
                      <a:noFill/>
                    </a:ln>
                  </pic:spPr>
                </pic:pic>
              </a:graphicData>
            </a:graphic>
          </wp:inline>
        </w:drawing>
      </w:r>
      <w:r>
        <w:rPr>
          <w:rFonts w:ascii="Arial" w:cs="Arial" w:eastAsia="Arial" w:hAnsi="Arial"/>
          <w:sz w:val="18"/>
          <w:szCs w:val="18"/>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53" w:lineRule="exact"/>
        <w:rPr>
          <w:sz w:val="20"/>
          <w:szCs w:val="20"/>
          <w:color w:val="auto"/>
        </w:rPr>
      </w:pPr>
    </w:p>
    <w:p>
      <w:pPr>
        <w:jc w:val="both"/>
        <w:ind w:left="380"/>
        <w:spacing w:after="0" w:line="256" w:lineRule="auto"/>
        <w:rPr>
          <w:sz w:val="20"/>
          <w:szCs w:val="20"/>
          <w:color w:val="auto"/>
        </w:rPr>
      </w:pPr>
      <w:r>
        <w:rPr>
          <w:rFonts w:ascii="Arial" w:cs="Arial" w:eastAsia="Arial" w:hAnsi="Arial"/>
          <w:sz w:val="14"/>
          <w:szCs w:val="14"/>
          <w:color w:val="auto"/>
        </w:rPr>
        <w:t>accordance with Financial Accounting Standards Board Accounting Standards Codification Topic 718, Compensation—Stock Compensation (“ASC Topic 718”) is as follows: Mr. Armario—$80,017, Ms. O’Farrell—$52,509, and Ms. Zulla—$80,017. Information about the assumptions used to value these awards is set forth in our Annual Report on Form 10-K in Note 6 to our Consolidated Financial Statements for the year ended January 3, 2026.</w:t>
      </w:r>
    </w:p>
    <w:p>
      <w:pPr>
        <w:spacing w:after="0" w:line="69" w:lineRule="exact"/>
        <w:rPr>
          <w:sz w:val="20"/>
          <w:szCs w:val="20"/>
          <w:color w:val="auto"/>
        </w:rPr>
      </w:pPr>
    </w:p>
    <w:p>
      <w:pPr>
        <w:jc w:val="both"/>
        <w:ind w:left="360" w:right="20" w:hanging="348"/>
        <w:spacing w:after="0" w:line="263" w:lineRule="auto"/>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June 18, 2025, we granted each of our non-employee directors such number of restricted stock units determined by dividing $170,000 by $23.00, the closing price of our common stock on June 18, 2025, the date of grant, rounded up to the next whole restricted stock unit. Accordingly, each director received 7,392 restricted stock units, which will vest 100% on the first anniversary of the grant date.</w:t>
      </w:r>
    </w:p>
    <w:p>
      <w:pPr>
        <w:spacing w:after="0" w:line="64" w:lineRule="exact"/>
        <w:rPr>
          <w:rFonts w:ascii="Arial" w:cs="Arial" w:eastAsia="Arial" w:hAnsi="Arial"/>
          <w:sz w:val="14"/>
          <w:szCs w:val="14"/>
          <w:color w:val="auto"/>
        </w:rPr>
      </w:pPr>
    </w:p>
    <w:p>
      <w:pPr>
        <w:jc w:val="both"/>
        <w:ind w:left="380"/>
        <w:spacing w:after="0" w:line="256" w:lineRule="auto"/>
        <w:rPr>
          <w:rFonts w:ascii="Arial" w:cs="Arial" w:eastAsia="Arial" w:hAnsi="Arial"/>
          <w:sz w:val="14"/>
          <w:szCs w:val="14"/>
          <w:color w:val="auto"/>
        </w:rPr>
      </w:pPr>
      <w:r>
        <w:rPr>
          <w:rFonts w:ascii="Arial" w:cs="Arial" w:eastAsia="Arial" w:hAnsi="Arial"/>
          <w:sz w:val="14"/>
          <w:szCs w:val="14"/>
          <w:color w:val="auto"/>
        </w:rPr>
        <w:t>Mr. McGrann and Mr. Nicholson joined the Board on March 21, 2025, at which time we granted each of them 3,327 restricted stock units, representing a pro rata number based on the number of days between the date of their appointment and June 18, 2025, the date of the next annual meeting of stockholders, and using the closing price of our common stock on March 21, 2025, of $13.02. These awards will vest 100% on the first anniversary of the grant date.</w:t>
      </w:r>
    </w:p>
    <w:p>
      <w:pPr>
        <w:spacing w:after="0" w:line="69" w:lineRule="exact"/>
        <w:rPr>
          <w:rFonts w:ascii="Arial" w:cs="Arial" w:eastAsia="Arial" w:hAnsi="Arial"/>
          <w:sz w:val="14"/>
          <w:szCs w:val="14"/>
          <w:color w:val="auto"/>
        </w:rPr>
      </w:pPr>
    </w:p>
    <w:p>
      <w:pPr>
        <w:jc w:val="both"/>
        <w:ind w:left="380"/>
        <w:spacing w:after="0" w:line="263" w:lineRule="auto"/>
        <w:rPr>
          <w:rFonts w:ascii="Arial" w:cs="Arial" w:eastAsia="Arial" w:hAnsi="Arial"/>
          <w:sz w:val="14"/>
          <w:szCs w:val="14"/>
          <w:color w:val="auto"/>
        </w:rPr>
      </w:pPr>
      <w:r>
        <w:rPr>
          <w:rFonts w:ascii="Arial" w:cs="Arial" w:eastAsia="Arial" w:hAnsi="Arial"/>
          <w:sz w:val="14"/>
          <w:szCs w:val="14"/>
          <w:color w:val="auto"/>
        </w:rPr>
        <w:t>Amounts in this column reflect the grant date fair value of the award calculated in accordance with ASC Topic 718 on the date of the grant. Information about the assumptions used to value these awards is set forth in our Annual Report on Form 10-K in Note 6 to our Consolidated Financial Statements for the year ended January 3, 2026.</w:t>
      </w:r>
    </w:p>
    <w:p>
      <w:pPr>
        <w:spacing w:after="0" w:line="64" w:lineRule="exact"/>
        <w:rPr>
          <w:rFonts w:ascii="Arial" w:cs="Arial" w:eastAsia="Arial" w:hAnsi="Arial"/>
          <w:sz w:val="14"/>
          <w:szCs w:val="14"/>
          <w:color w:val="auto"/>
        </w:rPr>
      </w:pPr>
    </w:p>
    <w:p>
      <w:pPr>
        <w:jc w:val="both"/>
        <w:ind w:left="380" w:right="20"/>
        <w:spacing w:after="0" w:line="263" w:lineRule="auto"/>
        <w:rPr>
          <w:rFonts w:ascii="Arial" w:cs="Arial" w:eastAsia="Arial" w:hAnsi="Arial"/>
          <w:sz w:val="14"/>
          <w:szCs w:val="14"/>
          <w:color w:val="auto"/>
        </w:rPr>
      </w:pPr>
      <w:r>
        <w:rPr>
          <w:rFonts w:ascii="Arial" w:cs="Arial" w:eastAsia="Arial" w:hAnsi="Arial"/>
          <w:sz w:val="14"/>
          <w:szCs w:val="14"/>
          <w:color w:val="auto"/>
        </w:rPr>
        <w:t>As of January 3, 2026, the non-employee directors in service as of that date held the following number of unvested restricted units: Mr. Armario (10,870), Ms. Hepner (7,392), Ms. Johnson (7,392), Ms. Kelman (7,392), Mr. McGrann (10,719), Mr. Nicholson (10,719), Ms. O’Farrell (9,674), and Ms. Zulla (10,870).</w:t>
      </w:r>
    </w:p>
    <w:p>
      <w:pPr>
        <w:spacing w:after="0" w:line="64" w:lineRule="exact"/>
        <w:rPr>
          <w:rFonts w:ascii="Arial" w:cs="Arial" w:eastAsia="Arial" w:hAnsi="Arial"/>
          <w:sz w:val="14"/>
          <w:szCs w:val="14"/>
          <w:color w:val="auto"/>
        </w:rPr>
      </w:pPr>
    </w:p>
    <w:p>
      <w:pPr>
        <w:ind w:left="360" w:hanging="348"/>
        <w:spacing w:after="0"/>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Taylor’s term as a director ended at the 2025 annual meeting of stockholders.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Director Stock Ownership Guidelines</w:t>
      </w:r>
    </w:p>
    <w:p>
      <w:pPr>
        <w:spacing w:after="0" w:line="139"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Under our stock ownership guidelines (the “Guidelines”), non-employee directors are required to hold common stock and restricted stock units having a market value equal to at least five time (5x) the annual cash retainer. There is no required time frame within which a director must attain the applicable stock ownership level; however, the Guidelines provide that until the applicable ownership level is achieved, directors must retain 50% of vested shares net of stock option exercise and tax withholding, as applicable. Shares that count toward these ownership requirements include shares owned outright, shares held in our 401(k) plan or other retirement plan and shares of time-based restricted stock and restricted stock units (whether vested or unvested). The retention requirement applies to all prior and future grants. As of January 3, 2026, Messrs. McGrann and Nicholson are subject to the restrictions in the Guidelines until their ownership requirements are met, and all other non-employee directors met or exceeded their current ownership requirements.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including the chairperson of our Board, the chairperson of any of the audit, compensation and nominating and corporate governance committees, or the non-management or independent directors as a group, may do so by addressing such communications or concerns to the Secretary of the Company, 2000 Newpoint Parkway, Suite 100, Lawrenceville, Georgia 30043, who will forward such communication to the appropriate party or parties.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We are committed to stockholder engagement and greatly value the input we receive from our stockholders. We believe strong corporate governance should include year-round engagement with our stockholders. Our investor relations team and members of our senior management are in frequent communication with stockholders on a variety of matters, including our operations and financial performance. Our Chief Executive Officer and Chief Financial Officer are engaged in meaningful dialogue with our stockholders through our quarterly earnings calls and investor-related outreach events. In addition, a cross-functional team conducts our off-season stockholder outreach and engagement program through which we solicit feedback focused on corporate governance, executive compensation, corporate social responsibility, sustainability and other matters of interest to our stockholders. Stockholder engagement and feedback is regularly shared with our Board of Directors.</w:t>
      </w:r>
    </w:p>
    <w:p>
      <w:pPr>
        <w:spacing w:after="0" w:line="11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In 2025 and 2026, as part of our off-season stockholder engagement efforts, we engaged with our top institutional investors representing approximately 50% of our outstanding shares following outreach to stockholders representing approximately 90% of our outstanding shares. Many of these stockholders expressed support for the continued progress of our sustainability strategy and other topics covered included business operations, governance, human capital and our executive compensation program.</w:t>
      </w:r>
    </w:p>
    <w:p>
      <w:pPr>
        <w:spacing w:after="0" w:line="53" w:lineRule="exact"/>
        <w:rPr>
          <w:sz w:val="20"/>
          <w:szCs w:val="20"/>
          <w:color w:val="auto"/>
        </w:rPr>
      </w:pPr>
    </w:p>
    <w:p>
      <w:pPr>
        <w:ind w:left="360" w:hanging="346"/>
        <w:spacing w:after="0"/>
        <w:tabs>
          <w:tab w:leader="none" w:pos="360" w:val="left"/>
        </w:tabs>
        <w:numPr>
          <w:ilvl w:val="0"/>
          <w:numId w:val="41"/>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145415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33" w:name="page34"/>
    <w:bookmarkEnd w:id="33"/>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96" w:lineRule="exact"/>
        <w:rPr>
          <w:sz w:val="20"/>
          <w:szCs w:val="20"/>
          <w:color w:val="auto"/>
        </w:rPr>
      </w:pPr>
    </w:p>
    <w:p>
      <w:pPr>
        <w:ind w:left="940"/>
        <w:spacing w:after="0"/>
        <w:rPr>
          <w:sz w:val="20"/>
          <w:szCs w:val="20"/>
          <w:color w:val="auto"/>
        </w:rPr>
      </w:pPr>
      <w:r>
        <w:rPr>
          <w:rFonts w:ascii="Arial" w:cs="Arial" w:eastAsia="Arial" w:hAnsi="Arial"/>
          <w:sz w:val="32"/>
          <w:szCs w:val="32"/>
          <w:color w:val="auto"/>
        </w:rPr>
        <w:t>Sustainability &amp; Human Capital Management</w:t>
      </w:r>
    </w:p>
    <w:p>
      <w:pPr>
        <w:spacing w:after="0" w:line="280"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Our commitment to sustainability is a core part of who we are as a Company, as is evidenced by our mission —“We help people by making quality eye care and eyewear more affordable and accessible.” We understand the importance of acting responsibly as a business, employer and corporate citizen. Engagement on sustainability is important to us and our stakeholders, and we are committed to balancing the social, economic, human capital management and environmental aspects of our business with disclosure highlighting our aspirations and achievements in these areas. In 2025, we published our third Sustainability Report covering the 2024 fiscal year, in which we enhanced our disclosure on how our approach to sustainability links to both stakeholder impact and to business success.</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SEE+G Framework</w:t>
      </w:r>
    </w:p>
    <w:p>
      <w:pPr>
        <w:spacing w:after="0" w:line="126"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Our SEE+G framework guides our sustainability efforts. The framework aligns with our priority topics and is organized according to four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66675</wp:posOffset>
            </wp:positionV>
            <wp:extent cx="58032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320" w:type="dxa"/>
            <w:vAlign w:val="bottom"/>
          </w:tcPr>
          <w:p>
            <w:pPr>
              <w:ind w:left="20"/>
              <w:spacing w:after="0"/>
              <w:rPr>
                <w:sz w:val="20"/>
                <w:szCs w:val="20"/>
                <w:color w:val="auto"/>
              </w:rPr>
            </w:pPr>
            <w:r>
              <w:rPr>
                <w:rFonts w:ascii="Arial" w:cs="Arial" w:eastAsia="Arial" w:hAnsi="Arial"/>
                <w:sz w:val="18"/>
                <w:szCs w:val="18"/>
                <w:b w:val="1"/>
                <w:bCs w:val="1"/>
                <w:color w:val="3465B0"/>
              </w:rPr>
              <w:t>Societal</w:t>
            </w:r>
          </w:p>
        </w:tc>
        <w:tc>
          <w:tcPr>
            <w:tcW w:w="7820" w:type="dxa"/>
            <w:vAlign w:val="bottom"/>
          </w:tcPr>
          <w:p>
            <w:pPr>
              <w:ind w:left="200"/>
              <w:spacing w:after="0"/>
              <w:rPr>
                <w:sz w:val="20"/>
                <w:szCs w:val="20"/>
                <w:color w:val="auto"/>
              </w:rPr>
            </w:pPr>
            <w:r>
              <w:rPr>
                <w:rFonts w:ascii="Arial" w:cs="Arial" w:eastAsia="Arial" w:hAnsi="Arial"/>
                <w:sz w:val="18"/>
                <w:szCs w:val="18"/>
                <w:color w:val="auto"/>
              </w:rPr>
              <w:t>We focus on making high-quality eye care and eyewear accessible and affordable for all. Our</w:t>
            </w:r>
          </w:p>
        </w:tc>
      </w:tr>
      <w:tr>
        <w:trPr>
          <w:trHeight w:val="203"/>
        </w:trPr>
        <w:tc>
          <w:tcPr>
            <w:tcW w:w="1320" w:type="dxa"/>
            <w:vAlign w:val="bottom"/>
          </w:tcPr>
          <w:p>
            <w:pPr>
              <w:ind w:left="20"/>
              <w:spacing w:after="0" w:line="202" w:lineRule="exact"/>
              <w:rPr>
                <w:sz w:val="20"/>
                <w:szCs w:val="20"/>
                <w:color w:val="auto"/>
              </w:rPr>
            </w:pPr>
            <w:r>
              <w:rPr>
                <w:rFonts w:ascii="Arial" w:cs="Arial" w:eastAsia="Arial" w:hAnsi="Arial"/>
                <w:sz w:val="18"/>
                <w:szCs w:val="18"/>
                <w:b w:val="1"/>
                <w:bCs w:val="1"/>
                <w:color w:val="3465B0"/>
              </w:rPr>
              <w:t>Impact</w:t>
            </w: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philanthropic giving and partnerships expand access to affordable eye care for those in need</w:t>
            </w:r>
          </w:p>
        </w:tc>
      </w:tr>
      <w:tr>
        <w:trPr>
          <w:trHeight w:val="239"/>
        </w:trPr>
        <w:tc>
          <w:tcPr>
            <w:tcW w:w="1320" w:type="dxa"/>
            <w:vAlign w:val="bottom"/>
          </w:tcPr>
          <w:p>
            <w:pPr>
              <w:spacing w:after="0"/>
              <w:rPr>
                <w:sz w:val="20"/>
                <w:szCs w:val="20"/>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around the world.</w:t>
            </w:r>
          </w:p>
        </w:tc>
      </w:tr>
      <w:tr>
        <w:trPr>
          <w:trHeight w:val="50"/>
        </w:trPr>
        <w:tc>
          <w:tcPr>
            <w:tcW w:w="1320" w:type="dxa"/>
            <w:vAlign w:val="bottom"/>
            <w:tcBorders>
              <w:bottom w:val="single" w:sz="8" w:color="auto"/>
            </w:tcBorders>
          </w:tcPr>
          <w:p>
            <w:pPr>
              <w:spacing w:after="0"/>
              <w:rPr>
                <w:sz w:val="4"/>
                <w:szCs w:val="4"/>
                <w:color w:val="auto"/>
              </w:rPr>
            </w:pPr>
          </w:p>
        </w:tc>
        <w:tc>
          <w:tcPr>
            <w:tcW w:w="7820" w:type="dxa"/>
            <w:vAlign w:val="bottom"/>
            <w:tcBorders>
              <w:bottom w:val="single" w:sz="8" w:color="auto"/>
            </w:tcBorders>
          </w:tcPr>
          <w:p>
            <w:pPr>
              <w:spacing w:after="0"/>
              <w:rPr>
                <w:sz w:val="4"/>
                <w:szCs w:val="4"/>
                <w:color w:val="auto"/>
              </w:rPr>
            </w:pPr>
          </w:p>
        </w:tc>
      </w:tr>
      <w:tr>
        <w:trPr>
          <w:trHeight w:val="245"/>
        </w:trPr>
        <w:tc>
          <w:tcPr>
            <w:tcW w:w="1320" w:type="dxa"/>
            <w:vAlign w:val="bottom"/>
          </w:tcPr>
          <w:p>
            <w:pPr>
              <w:ind w:left="20"/>
              <w:spacing w:after="0"/>
              <w:rPr>
                <w:sz w:val="20"/>
                <w:szCs w:val="20"/>
                <w:color w:val="auto"/>
              </w:rPr>
            </w:pPr>
            <w:r>
              <w:rPr>
                <w:rFonts w:ascii="Arial" w:cs="Arial" w:eastAsia="Arial" w:hAnsi="Arial"/>
                <w:sz w:val="18"/>
                <w:szCs w:val="18"/>
                <w:b w:val="1"/>
                <w:bCs w:val="1"/>
                <w:color w:val="3465B0"/>
              </w:rPr>
              <w:t>Employees</w:t>
            </w:r>
          </w:p>
        </w:tc>
        <w:tc>
          <w:tcPr>
            <w:tcW w:w="7820" w:type="dxa"/>
            <w:vAlign w:val="bottom"/>
          </w:tcPr>
          <w:p>
            <w:pPr>
              <w:ind w:left="200"/>
              <w:spacing w:after="0"/>
              <w:rPr>
                <w:sz w:val="20"/>
                <w:szCs w:val="20"/>
                <w:color w:val="auto"/>
              </w:rPr>
            </w:pPr>
            <w:r>
              <w:rPr>
                <w:rFonts w:ascii="Arial" w:cs="Arial" w:eastAsia="Arial" w:hAnsi="Arial"/>
                <w:sz w:val="18"/>
                <w:szCs w:val="18"/>
                <w:color w:val="auto"/>
              </w:rPr>
              <w:t>We invest in programs that support the well-being, development and quality of life of our</w:t>
            </w:r>
          </w:p>
        </w:tc>
      </w:tr>
      <w:tr>
        <w:trPr>
          <w:trHeight w:val="203"/>
        </w:trPr>
        <w:tc>
          <w:tcPr>
            <w:tcW w:w="13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people. We are committed to creating environments where team members at all levels are</w:t>
            </w:r>
          </w:p>
        </w:tc>
      </w:tr>
      <w:tr>
        <w:trPr>
          <w:trHeight w:val="239"/>
        </w:trPr>
        <w:tc>
          <w:tcPr>
            <w:tcW w:w="1320" w:type="dxa"/>
            <w:vAlign w:val="bottom"/>
          </w:tcPr>
          <w:p>
            <w:pPr>
              <w:spacing w:after="0"/>
              <w:rPr>
                <w:sz w:val="20"/>
                <w:szCs w:val="20"/>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supported and empowered so that everyone can build happy, fulfilled and productive careers.</w:t>
            </w:r>
          </w:p>
        </w:tc>
      </w:tr>
      <w:tr>
        <w:trPr>
          <w:trHeight w:val="50"/>
        </w:trPr>
        <w:tc>
          <w:tcPr>
            <w:tcW w:w="1320" w:type="dxa"/>
            <w:vAlign w:val="bottom"/>
            <w:tcBorders>
              <w:bottom w:val="single" w:sz="8" w:color="auto"/>
            </w:tcBorders>
          </w:tcPr>
          <w:p>
            <w:pPr>
              <w:spacing w:after="0"/>
              <w:rPr>
                <w:sz w:val="4"/>
                <w:szCs w:val="4"/>
                <w:color w:val="auto"/>
              </w:rPr>
            </w:pPr>
          </w:p>
        </w:tc>
        <w:tc>
          <w:tcPr>
            <w:tcW w:w="7820" w:type="dxa"/>
            <w:vAlign w:val="bottom"/>
            <w:tcBorders>
              <w:bottom w:val="single" w:sz="8" w:color="auto"/>
            </w:tcBorders>
          </w:tcPr>
          <w:p>
            <w:pPr>
              <w:spacing w:after="0"/>
              <w:rPr>
                <w:sz w:val="4"/>
                <w:szCs w:val="4"/>
                <w:color w:val="auto"/>
              </w:rPr>
            </w:pPr>
          </w:p>
        </w:tc>
      </w:tr>
      <w:tr>
        <w:trPr>
          <w:trHeight w:val="245"/>
        </w:trPr>
        <w:tc>
          <w:tcPr>
            <w:tcW w:w="1320" w:type="dxa"/>
            <w:vAlign w:val="bottom"/>
          </w:tcPr>
          <w:p>
            <w:pPr>
              <w:ind w:left="20"/>
              <w:spacing w:after="0"/>
              <w:rPr>
                <w:sz w:val="20"/>
                <w:szCs w:val="20"/>
                <w:color w:val="auto"/>
              </w:rPr>
            </w:pPr>
            <w:r>
              <w:rPr>
                <w:rFonts w:ascii="Arial" w:cs="Arial" w:eastAsia="Arial" w:hAnsi="Arial"/>
                <w:sz w:val="18"/>
                <w:szCs w:val="18"/>
                <w:b w:val="1"/>
                <w:bCs w:val="1"/>
                <w:color w:val="3465B0"/>
              </w:rPr>
              <w:t>Environment</w:t>
            </w:r>
          </w:p>
        </w:tc>
        <w:tc>
          <w:tcPr>
            <w:tcW w:w="7820" w:type="dxa"/>
            <w:vAlign w:val="bottom"/>
          </w:tcPr>
          <w:p>
            <w:pPr>
              <w:ind w:left="200"/>
              <w:spacing w:after="0"/>
              <w:rPr>
                <w:sz w:val="20"/>
                <w:szCs w:val="20"/>
                <w:color w:val="auto"/>
              </w:rPr>
            </w:pPr>
            <w:r>
              <w:rPr>
                <w:rFonts w:ascii="Arial" w:cs="Arial" w:eastAsia="Arial" w:hAnsi="Arial"/>
                <w:sz w:val="18"/>
                <w:szCs w:val="18"/>
                <w:color w:val="auto"/>
              </w:rPr>
              <w:t>We work to understand the impacts of our activities, increase the efficiency of our operations</w:t>
            </w:r>
          </w:p>
        </w:tc>
      </w:tr>
      <w:tr>
        <w:trPr>
          <w:trHeight w:val="239"/>
        </w:trPr>
        <w:tc>
          <w:tcPr>
            <w:tcW w:w="1320" w:type="dxa"/>
            <w:vAlign w:val="bottom"/>
          </w:tcPr>
          <w:p>
            <w:pPr>
              <w:spacing w:after="0"/>
              <w:rPr>
                <w:sz w:val="20"/>
                <w:szCs w:val="20"/>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and minimize our environmental footprint.</w:t>
            </w:r>
          </w:p>
        </w:tc>
      </w:tr>
      <w:tr>
        <w:trPr>
          <w:trHeight w:val="50"/>
        </w:trPr>
        <w:tc>
          <w:tcPr>
            <w:tcW w:w="1320" w:type="dxa"/>
            <w:vAlign w:val="bottom"/>
            <w:tcBorders>
              <w:bottom w:val="single" w:sz="8" w:color="auto"/>
            </w:tcBorders>
          </w:tcPr>
          <w:p>
            <w:pPr>
              <w:spacing w:after="0"/>
              <w:rPr>
                <w:sz w:val="4"/>
                <w:szCs w:val="4"/>
                <w:color w:val="auto"/>
              </w:rPr>
            </w:pPr>
          </w:p>
        </w:tc>
        <w:tc>
          <w:tcPr>
            <w:tcW w:w="7820" w:type="dxa"/>
            <w:vAlign w:val="bottom"/>
            <w:tcBorders>
              <w:bottom w:val="single" w:sz="8" w:color="auto"/>
            </w:tcBorders>
          </w:tcPr>
          <w:p>
            <w:pPr>
              <w:spacing w:after="0"/>
              <w:rPr>
                <w:sz w:val="4"/>
                <w:szCs w:val="4"/>
                <w:color w:val="auto"/>
              </w:rPr>
            </w:pPr>
          </w:p>
        </w:tc>
      </w:tr>
      <w:tr>
        <w:trPr>
          <w:trHeight w:val="245"/>
        </w:trPr>
        <w:tc>
          <w:tcPr>
            <w:tcW w:w="1320" w:type="dxa"/>
            <w:vAlign w:val="bottom"/>
          </w:tcPr>
          <w:p>
            <w:pPr>
              <w:ind w:left="20"/>
              <w:spacing w:after="0"/>
              <w:rPr>
                <w:sz w:val="20"/>
                <w:szCs w:val="20"/>
                <w:color w:val="auto"/>
              </w:rPr>
            </w:pPr>
            <w:r>
              <w:rPr>
                <w:rFonts w:ascii="Arial" w:cs="Arial" w:eastAsia="Arial" w:hAnsi="Arial"/>
                <w:sz w:val="18"/>
                <w:szCs w:val="18"/>
                <w:b w:val="1"/>
                <w:bCs w:val="1"/>
                <w:color w:val="3465B0"/>
              </w:rPr>
              <w:t>Governance</w:t>
            </w:r>
          </w:p>
        </w:tc>
        <w:tc>
          <w:tcPr>
            <w:tcW w:w="7820" w:type="dxa"/>
            <w:vAlign w:val="bottom"/>
          </w:tcPr>
          <w:p>
            <w:pPr>
              <w:ind w:left="200"/>
              <w:spacing w:after="0"/>
              <w:rPr>
                <w:sz w:val="20"/>
                <w:szCs w:val="20"/>
                <w:color w:val="auto"/>
              </w:rPr>
            </w:pPr>
            <w:r>
              <w:rPr>
                <w:rFonts w:ascii="Arial" w:cs="Arial" w:eastAsia="Arial" w:hAnsi="Arial"/>
                <w:sz w:val="18"/>
                <w:szCs w:val="18"/>
                <w:color w:val="auto"/>
              </w:rPr>
              <w:t>We strive to adhere to the highest standards and best practices for compliance, data privacy</w:t>
            </w:r>
          </w:p>
        </w:tc>
      </w:tr>
      <w:tr>
        <w:trPr>
          <w:trHeight w:val="239"/>
        </w:trPr>
        <w:tc>
          <w:tcPr>
            <w:tcW w:w="1320" w:type="dxa"/>
            <w:vAlign w:val="bottom"/>
          </w:tcPr>
          <w:p>
            <w:pPr>
              <w:spacing w:after="0"/>
              <w:rPr>
                <w:sz w:val="20"/>
                <w:szCs w:val="20"/>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and cybersecurity, as well as product quality and safety.</w:t>
            </w:r>
          </w:p>
        </w:tc>
      </w:tr>
      <w:tr>
        <w:trPr>
          <w:trHeight w:val="23"/>
        </w:trPr>
        <w:tc>
          <w:tcPr>
            <w:tcW w:w="132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SEE+G Highlights</w:t>
      </w:r>
    </w:p>
    <w:p>
      <w:pPr>
        <w:spacing w:after="0" w:line="15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Below are just a few of the efforts we highlighted in our 2024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206375</wp:posOffset>
            </wp:positionV>
            <wp:extent cx="4946015" cy="27946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4601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77470</wp:posOffset>
            </wp:positionV>
            <wp:extent cx="20574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27</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We have recently focused our efforts on continuing to build a strong foundation for the success of our business and, by extension, our philanthropic impact.</w:t>
      </w:r>
    </w:p>
    <w:p>
      <w:pPr>
        <w:sectPr>
          <w:pgSz w:w="11900" w:h="16838" w:orient="portrait"/>
          <w:cols w:equalWidth="0" w:num="1">
            <w:col w:w="9160"/>
          </w:cols>
          <w:pgMar w:left="1360" w:top="114" w:right="1379" w:bottom="1440" w:gutter="0" w:footer="0" w:header="0"/>
        </w:sectPr>
      </w:pPr>
    </w:p>
    <w:p>
      <w:pPr>
        <w:spacing w:after="0" w:line="51"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 xml:space="preserve">We drove positive </w:t>
      </w:r>
      <w:r>
        <w:rPr>
          <w:rFonts w:ascii="Arial" w:cs="Arial" w:eastAsia="Arial" w:hAnsi="Arial"/>
          <w:sz w:val="18"/>
          <w:szCs w:val="18"/>
          <w:b w:val="1"/>
          <w:bCs w:val="1"/>
          <w:color w:val="3465B0"/>
        </w:rPr>
        <w:t>Societal Impact</w:t>
      </w:r>
      <w:r>
        <w:rPr>
          <w:rFonts w:ascii="Arial" w:cs="Arial" w:eastAsia="Arial" w:hAnsi="Arial"/>
          <w:sz w:val="18"/>
          <w:szCs w:val="18"/>
          <w:color w:val="auto"/>
        </w:rPr>
        <w:t xml:space="preserve"> by continuing our store donation program, which allows customers to contribute to our philanthropic foundation, 20/20 Quest. Funds received by 20/20 Quest through this program help to provide eyeglasses to people in need around the world. In 2024, our customers and partner organizations contributed more than $1.7 million through the program. In 2024, we provided more than 23,000 vouchers for free eye care or eyewear through National Vision Cares, a program that has proved effective both in engaging our associates and having real community impact.</w:t>
      </w:r>
    </w:p>
    <w:p>
      <w:pPr>
        <w:spacing w:after="0" w:line="7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 xml:space="preserve">We supported our </w:t>
      </w:r>
      <w:r>
        <w:rPr>
          <w:rFonts w:ascii="Arial" w:cs="Arial" w:eastAsia="Arial" w:hAnsi="Arial"/>
          <w:sz w:val="18"/>
          <w:szCs w:val="18"/>
          <w:b w:val="1"/>
          <w:bCs w:val="1"/>
          <w:color w:val="3465B0"/>
        </w:rPr>
        <w:t>Employees</w:t>
      </w:r>
      <w:r>
        <w:rPr>
          <w:rFonts w:ascii="Arial" w:cs="Arial" w:eastAsia="Arial" w:hAnsi="Arial"/>
          <w:sz w:val="18"/>
          <w:szCs w:val="18"/>
          <w:color w:val="auto"/>
        </w:rPr>
        <w:t xml:space="preserve"> by continuing to survey associates and optometrists and using their feedback to inform our business plans and investing in the training and development of our store teams, including our Area Managers and Training Store Manager career development pathways and new District Manager training program, to help them become better optical leaders.</w:t>
      </w:r>
    </w:p>
    <w:p>
      <w:pPr>
        <w:spacing w:after="0" w:line="66"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We continued our commitment to the </w:t>
      </w:r>
      <w:r>
        <w:rPr>
          <w:rFonts w:ascii="Arial" w:cs="Arial" w:eastAsia="Arial" w:hAnsi="Arial"/>
          <w:sz w:val="18"/>
          <w:szCs w:val="18"/>
          <w:b w:val="1"/>
          <w:bCs w:val="1"/>
          <w:color w:val="3465B0"/>
        </w:rPr>
        <w:t>Environment</w:t>
      </w:r>
      <w:r>
        <w:rPr>
          <w:rFonts w:ascii="Arial" w:cs="Arial" w:eastAsia="Arial" w:hAnsi="Arial"/>
          <w:sz w:val="18"/>
          <w:szCs w:val="18"/>
          <w:color w:val="auto"/>
        </w:rPr>
        <w:t xml:space="preserve"> by continuing to identify ways to automate processes to further increase our efficiency, including by completing the installation of automated systems at three of our facilities to promote sustainability, quality and safety while protecting lower operating costs, and expanding the electronic health records at over 200 additional locations in 2024, bringing the total number of locations up to 730 at the end of 2024.</w:t>
      </w:r>
    </w:p>
    <w:p>
      <w:pPr>
        <w:spacing w:after="0" w:line="6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We enhanced our </w:t>
      </w:r>
      <w:r>
        <w:rPr>
          <w:rFonts w:ascii="Arial" w:cs="Arial" w:eastAsia="Arial" w:hAnsi="Arial"/>
          <w:sz w:val="18"/>
          <w:szCs w:val="18"/>
          <w:b w:val="1"/>
          <w:bCs w:val="1"/>
          <w:color w:val="3465B0"/>
        </w:rPr>
        <w:t>Governance</w:t>
      </w:r>
      <w:r>
        <w:rPr>
          <w:rFonts w:ascii="Arial" w:cs="Arial" w:eastAsia="Arial" w:hAnsi="Arial"/>
          <w:sz w:val="18"/>
          <w:szCs w:val="18"/>
          <w:color w:val="auto"/>
        </w:rPr>
        <w:t xml:space="preserve"> practices by taking key actions to advance our commitment to good corporate governance as highlighted under “Corporate Governance—Key Governance Developments” and continuing to develop our supply chain strategy. For the fourth year in a row, the Company was included in Newsweek’s 2026 list of Most Responsible Companies in America, reflecting our belief that corporate success and social responsibility go hand in hand.</w:t>
      </w:r>
    </w:p>
    <w:p>
      <w:pPr>
        <w:spacing w:after="0" w:line="95"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jc w:val="both"/>
        <w:ind w:left="20"/>
        <w:spacing w:after="0" w:line="271" w:lineRule="auto"/>
        <w:rPr>
          <w:sz w:val="20"/>
          <w:szCs w:val="20"/>
          <w:color w:val="auto"/>
        </w:rPr>
      </w:pPr>
      <w:r>
        <w:rPr>
          <w:rFonts w:ascii="Arial" w:cs="Arial" w:eastAsia="Arial" w:hAnsi="Arial"/>
          <w:sz w:val="18"/>
          <w:szCs w:val="18"/>
          <w:color w:val="auto"/>
        </w:rPr>
        <w:t>Moving forward, we will continue to strategically progress our SEE+G initiatives, partnerships and infrastructure, while remaining focused on areas that will help us help others to see better.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6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With an inclusive and people-first culture, we are committed to creating environments where everyone can build happy, fulfilled and productive careers. That’s why we’ve cultivated a collaborative atmosphere where team members at all levels are supported and empowered. Our employees’ contributions are central to our impact and our human capital initiatives are focused on attracting highly qualified individuals and providing them with continued opportunities for growth and development. As of January 3, 2026, we had 13,138 full-time and part-time associates, including 635 directly employed optometrists. As of January 3, 2026, our network of optometrists included 2,367 optometrists, of which 635 were directly employed by us, 1,645 were employed by professional corporations or similar entities with which we contract, and 87 sublease in our store locations.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Talent Acquisition</w:t>
      </w:r>
    </w:p>
    <w:p>
      <w:pPr>
        <w:spacing w:after="0" w:line="139"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We are committed to attracting talent aligned with our Vision, Mission and Values. We continue to refine our technology to improve both the candidate and hiring manager experience. In addition, we have established critical partnerships with outside vendors that provide us with additional resources to drive candidate flow for key roles. We are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support our associates’ interest in attending Optometry school through our internal National Vision Doctor of Optometry Tuition Reimbursement Program, which provides for the reimbursement of education expenses to associates attending optometry school. We utilize both in-person events and online platforms for job fairs and on-campus events, and selectively offer key incentives, such as a student loan repayment program.</w:t>
      </w:r>
    </w:p>
    <w:p>
      <w:pPr>
        <w:spacing w:after="0" w:line="57" w:lineRule="exact"/>
        <w:rPr>
          <w:sz w:val="20"/>
          <w:szCs w:val="20"/>
          <w:color w:val="auto"/>
        </w:rPr>
      </w:pPr>
    </w:p>
    <w:p>
      <w:pPr>
        <w:ind w:left="360" w:hanging="346"/>
        <w:spacing w:after="0"/>
        <w:tabs>
          <w:tab w:leader="none" w:pos="360" w:val="left"/>
        </w:tabs>
        <w:numPr>
          <w:ilvl w:val="0"/>
          <w:numId w:val="42"/>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145415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35" w:name="page36"/>
    <w:bookmarkEnd w:id="35"/>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Talent Development</w:t>
      </w:r>
    </w:p>
    <w:p>
      <w:pPr>
        <w:spacing w:after="0" w:line="139"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color w:val="auto"/>
        </w:rPr>
        <w:t>We are committed to high-quality training support for our associates. We have increased ongoing training in recent years, especially in the areas of safety protocol procedures and customer interactions, and have enhanced virtual, instructor-led training classes, allowing for high-touch training in a remote setting. We provide associates and optometrists with several opportunities and mechanisms through which they can provide feedback and that allows us to continue developing programs for training and growth.</w:t>
      </w:r>
    </w:p>
    <w:p>
      <w:pPr>
        <w:spacing w:after="0" w:line="109"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In 2025, we continued to strengthen our onboarding programs introduced in the prior year. Both the store-based new hire and district manager onboarding programs were reviewed, refined, and enhanced. Additionally, training and talent development efforts focused on equipping our frontline teams with the knowledge, skills, and techniques needed to deliver an exceptional customer experience. Each month, store teams participated in multiple in-person training sessions designed to deepen associates’ understanding of lens and frame product knowledge, managed vision care insurance, and selling techniques to help customers choose the best value for their lifestyle. Our training strategy aimed to build associates’ knowledge and confidence, with the ultimate goal of improving customer satisfaction and overall experience.</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Benefits and Wellness</w:t>
      </w:r>
    </w:p>
    <w:p>
      <w:pPr>
        <w:spacing w:after="0" w:line="126" w:lineRule="exact"/>
        <w:rPr>
          <w:sz w:val="20"/>
          <w:szCs w:val="20"/>
          <w:color w:val="auto"/>
        </w:rPr>
      </w:pPr>
    </w:p>
    <w:p>
      <w:pPr>
        <w:jc w:val="both"/>
        <w:ind w:left="940" w:right="940"/>
        <w:spacing w:after="0" w:line="239" w:lineRule="auto"/>
        <w:rPr>
          <w:sz w:val="20"/>
          <w:szCs w:val="20"/>
          <w:color w:val="auto"/>
        </w:rPr>
      </w:pPr>
      <w:r>
        <w:rPr>
          <w:rFonts w:ascii="Arial" w:cs="Arial" w:eastAsia="Arial" w:hAnsi="Arial"/>
          <w:sz w:val="18"/>
          <w:szCs w:val="18"/>
          <w:color w:val="auto"/>
        </w:rPr>
        <w:t>We strive to ensure our people always feel supported so they can bring their best selves to work every day. We demonstrate this commitment through many of our benefits and wellness offerings. Programs like our 401(k) plan, core and supplemental life insurance, health plan, short and long-term disability, wellness and disease management programs, including personalized programs for diabetes and hypertension, paid time off, parental and adoption leave, accident, critical illness, group legal and identity theft programs, and a financial protection resource, provide the resources essential for helping our people care for themselves and their families. We also offer free, on-demand mental and behavioral health resources, to provide needed guidance when work and personal challenges affect an associate’s overall well-being. Additionally, our associates receive an annual associate eyewear coupon and eyewear gift tickets that provide them, along with their friends and family, discounted eyewear purchases in our stores.</w:t>
      </w:r>
    </w:p>
    <w:p>
      <w:pPr>
        <w:spacing w:after="0" w:line="112"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color w:val="auto"/>
        </w:rPr>
        <w:t>Our college scholarship program was established to assist associates with children aged 24 or under, who are high school seniors or graduates and planning to enroll in a full-time undergraduate course of study at an accredited U.S. college or university. Each year, ten recipients are granted an award of $2,500 each and awards are renewable for up to three years for a total scholarship of $10,000. We also provide qualifying associates who are in pursuit of a Doctor of Optometry degree with financial support through a tuition reimbursement program.</w:t>
      </w:r>
    </w:p>
    <w:p>
      <w:pPr>
        <w:spacing w:after="0" w:line="109" w:lineRule="exact"/>
        <w:rPr>
          <w:sz w:val="20"/>
          <w:szCs w:val="20"/>
          <w:color w:val="auto"/>
        </w:rPr>
      </w:pPr>
    </w:p>
    <w:p>
      <w:pPr>
        <w:jc w:val="both"/>
        <w:ind w:left="940" w:right="960"/>
        <w:spacing w:after="0" w:line="253" w:lineRule="auto"/>
        <w:rPr>
          <w:sz w:val="20"/>
          <w:szCs w:val="20"/>
          <w:color w:val="auto"/>
        </w:rPr>
      </w:pPr>
      <w:r>
        <w:rPr>
          <w:rFonts w:ascii="Arial" w:cs="Arial" w:eastAsia="Arial" w:hAnsi="Arial"/>
          <w:sz w:val="18"/>
          <w:szCs w:val="18"/>
          <w:color w:val="auto"/>
        </w:rPr>
        <w:t>Our compensation programs are designed to reinforce our growth agenda and talent acquisition strategy. In addition to competitive base pay, we seek to reward associates with annual incentive awards, recognition programs and equity awards for associates at certain levels.</w:t>
      </w:r>
    </w:p>
    <w:p>
      <w:pPr>
        <w:spacing w:after="0" w:line="164"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Health and Safety</w:t>
      </w:r>
    </w:p>
    <w:p>
      <w:pPr>
        <w:spacing w:after="0" w:line="126"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Our health and well-being efforts are built on a foundational commitment to the safety of our associates and the doctors in our network. We believe that we are in material compliance with applicable Occupational Safety and Health Administration guidelines and state regulations. At each of our labs and distribution centers, there are specific leaders responsible for the management of associate safety. For example, lab directors organize and run safety trainings for local associates, some of which are conducted through our Learning Management System and others through in-person instruction. In our retail locations, we support managers and field leaders in understanding and complying with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60325</wp:posOffset>
            </wp:positionV>
            <wp:extent cx="205740"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29</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3465B0"/>
        </w:rPr>
        <w:t>Executive Compensation</w:t>
      </w:r>
    </w:p>
    <w:p>
      <w:pPr>
        <w:spacing w:after="0" w:line="194" w:lineRule="exact"/>
        <w:rPr>
          <w:sz w:val="20"/>
          <w:szCs w:val="20"/>
          <w:color w:val="auto"/>
        </w:rPr>
      </w:pPr>
    </w:p>
    <w:p>
      <w:pPr>
        <w:ind w:left="20" w:right="560"/>
        <w:spacing w:after="0" w:line="286" w:lineRule="auto"/>
        <w:rPr>
          <w:sz w:val="20"/>
          <w:szCs w:val="20"/>
          <w:color w:val="auto"/>
        </w:rPr>
      </w:pPr>
      <w:r>
        <w:rPr>
          <w:rFonts w:ascii="Arial" w:cs="Arial" w:eastAsia="Arial" w:hAnsi="Arial"/>
          <w:sz w:val="32"/>
          <w:szCs w:val="32"/>
          <w:color w:val="auto"/>
        </w:rPr>
        <w:t>Proposal 2—Advisory Vote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5807710" cy="9728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07710" cy="972820"/>
                    </a:xfrm>
                    <a:prstGeom prst="rect">
                      <a:avLst/>
                    </a:prstGeom>
                    <a:noFill/>
                  </pic:spPr>
                </pic:pic>
              </a:graphicData>
            </a:graphic>
          </wp:anchor>
        </w:drawing>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The Board recommends that you vote “FOR” Proposal 2.</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ind w:left="80"/>
              <w:spacing w:after="0"/>
              <w:rPr>
                <w:sz w:val="20"/>
                <w:szCs w:val="20"/>
                <w:color w:val="auto"/>
              </w:rPr>
            </w:pPr>
            <w:r>
              <w:rPr>
                <w:rFonts w:ascii="Arial" w:cs="Arial" w:eastAsia="Arial" w:hAnsi="Arial"/>
                <w:sz w:val="18"/>
                <w:szCs w:val="18"/>
                <w:b w:val="1"/>
                <w:bCs w:val="1"/>
                <w:color w:val="3465B0"/>
              </w:rPr>
              <w:t>W</w:t>
            </w:r>
            <w:r>
              <w:rPr>
                <w:rFonts w:ascii="Arial" w:cs="Arial" w:eastAsia="Arial" w:hAnsi="Arial"/>
                <w:sz w:val="12"/>
                <w:szCs w:val="12"/>
                <w:b w:val="1"/>
                <w:bCs w:val="1"/>
                <w:color w:val="3465B0"/>
              </w:rPr>
              <w:t>hat</w:t>
            </w:r>
            <w:r>
              <w:rPr>
                <w:rFonts w:ascii="Arial" w:cs="Arial" w:eastAsia="Arial" w:hAnsi="Arial"/>
                <w:sz w:val="18"/>
                <w:szCs w:val="18"/>
                <w:b w:val="1"/>
                <w:bCs w:val="1"/>
                <w:color w:val="3465B0"/>
              </w:rPr>
              <w:t xml:space="preserve"> A</w:t>
            </w:r>
            <w:r>
              <w:rPr>
                <w:rFonts w:ascii="Arial" w:cs="Arial" w:eastAsia="Arial" w:hAnsi="Arial"/>
                <w:sz w:val="12"/>
                <w:szCs w:val="12"/>
                <w:b w:val="1"/>
                <w:bCs w:val="1"/>
                <w:color w:val="3465B0"/>
              </w:rPr>
              <w:t>m</w:t>
            </w:r>
            <w:r>
              <w:rPr>
                <w:rFonts w:ascii="Arial" w:cs="Arial" w:eastAsia="Arial" w:hAnsi="Arial"/>
                <w:sz w:val="18"/>
                <w:szCs w:val="18"/>
                <w:b w:val="1"/>
                <w:bCs w:val="1"/>
                <w:color w:val="3465B0"/>
              </w:rPr>
              <w:t xml:space="preserve"> I</w:t>
            </w:r>
          </w:p>
        </w:tc>
        <w:tc>
          <w:tcPr>
            <w:tcW w:w="8040" w:type="dxa"/>
            <w:vAlign w:val="bottom"/>
          </w:tcPr>
          <w:p>
            <w:pPr>
              <w:ind w:left="160"/>
              <w:spacing w:after="0"/>
              <w:rPr>
                <w:sz w:val="20"/>
                <w:szCs w:val="20"/>
                <w:color w:val="auto"/>
              </w:rPr>
            </w:pPr>
            <w:r>
              <w:rPr>
                <w:rFonts w:ascii="Arial" w:cs="Arial" w:eastAsia="Arial" w:hAnsi="Arial"/>
                <w:sz w:val="18"/>
                <w:szCs w:val="18"/>
                <w:color w:val="auto"/>
              </w:rPr>
              <w:t>We are conducting a non-binding, advisory vote to approve the compensation of our named</w:t>
            </w:r>
          </w:p>
        </w:tc>
      </w:tr>
      <w:tr>
        <w:trPr>
          <w:trHeight w:val="247"/>
        </w:trPr>
        <w:tc>
          <w:tcPr>
            <w:tcW w:w="1080" w:type="dxa"/>
            <w:vAlign w:val="bottom"/>
          </w:tcPr>
          <w:p>
            <w:pPr>
              <w:ind w:left="80"/>
              <w:spacing w:after="0"/>
              <w:rPr>
                <w:sz w:val="20"/>
                <w:szCs w:val="20"/>
                <w:color w:val="auto"/>
              </w:rPr>
            </w:pPr>
            <w:r>
              <w:rPr>
                <w:rFonts w:ascii="Arial" w:cs="Arial" w:eastAsia="Arial" w:hAnsi="Arial"/>
                <w:sz w:val="18"/>
                <w:szCs w:val="18"/>
                <w:b w:val="1"/>
                <w:bCs w:val="1"/>
                <w:color w:val="3465B0"/>
              </w:rPr>
              <w:t>V</w:t>
            </w:r>
            <w:r>
              <w:rPr>
                <w:rFonts w:ascii="Arial" w:cs="Arial" w:eastAsia="Arial" w:hAnsi="Arial"/>
                <w:sz w:val="12"/>
                <w:szCs w:val="12"/>
                <w:b w:val="1"/>
                <w:bCs w:val="1"/>
                <w:color w:val="3465B0"/>
              </w:rPr>
              <w:t>oting on</w:t>
            </w:r>
            <w:r>
              <w:rPr>
                <w:rFonts w:ascii="Arial" w:cs="Arial" w:eastAsia="Arial" w:hAnsi="Arial"/>
                <w:sz w:val="18"/>
                <w:szCs w:val="18"/>
                <w:b w:val="1"/>
                <w:bCs w:val="1"/>
                <w:color w:val="3465B0"/>
              </w:rPr>
              <w:t>?</w:t>
            </w:r>
          </w:p>
        </w:tc>
        <w:tc>
          <w:tcPr>
            <w:tcW w:w="8040" w:type="dxa"/>
            <w:vAlign w:val="bottom"/>
          </w:tcPr>
          <w:p>
            <w:pPr>
              <w:ind w:left="160"/>
              <w:spacing w:after="0"/>
              <w:rPr>
                <w:sz w:val="20"/>
                <w:szCs w:val="20"/>
                <w:color w:val="auto"/>
              </w:rPr>
            </w:pPr>
            <w:r>
              <w:rPr>
                <w:rFonts w:ascii="Arial" w:cs="Arial" w:eastAsia="Arial" w:hAnsi="Arial"/>
                <w:sz w:val="18"/>
                <w:szCs w:val="18"/>
                <w:color w:val="auto"/>
              </w:rPr>
              <w:t>executive officers as described in this proxy statement, commonly referred to as “Say-on-Pay.”</w:t>
            </w:r>
          </w:p>
        </w:tc>
      </w:tr>
      <w:tr>
        <w:trPr>
          <w:trHeight w:val="29"/>
        </w:trPr>
        <w:tc>
          <w:tcPr>
            <w:tcW w:w="1080" w:type="dxa"/>
            <w:vAlign w:val="bottom"/>
            <w:tcBorders>
              <w:bottom w:val="single" w:sz="8" w:color="auto"/>
            </w:tcBorders>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r>
      <w:tr>
        <w:trPr>
          <w:trHeight w:val="218"/>
        </w:trPr>
        <w:tc>
          <w:tcPr>
            <w:tcW w:w="1080" w:type="dxa"/>
            <w:vAlign w:val="bottom"/>
          </w:tcPr>
          <w:p>
            <w:pPr>
              <w:ind w:left="80"/>
              <w:spacing w:after="0"/>
              <w:rPr>
                <w:sz w:val="20"/>
                <w:szCs w:val="20"/>
                <w:color w:val="auto"/>
              </w:rPr>
            </w:pPr>
            <w:r>
              <w:rPr>
                <w:rFonts w:ascii="Arial" w:cs="Arial" w:eastAsia="Arial" w:hAnsi="Arial"/>
                <w:sz w:val="18"/>
                <w:szCs w:val="18"/>
                <w:b w:val="1"/>
                <w:bCs w:val="1"/>
                <w:color w:val="3465B0"/>
              </w:rPr>
              <w:t>V</w:t>
            </w:r>
            <w:r>
              <w:rPr>
                <w:rFonts w:ascii="Arial" w:cs="Arial" w:eastAsia="Arial" w:hAnsi="Arial"/>
                <w:sz w:val="12"/>
                <w:szCs w:val="12"/>
                <w:b w:val="1"/>
                <w:bCs w:val="1"/>
                <w:color w:val="3465B0"/>
              </w:rPr>
              <w:t>ote</w:t>
            </w:r>
          </w:p>
        </w:tc>
        <w:tc>
          <w:tcPr>
            <w:tcW w:w="8040" w:type="dxa"/>
            <w:vAlign w:val="bottom"/>
          </w:tcPr>
          <w:p>
            <w:pPr>
              <w:ind w:left="160"/>
              <w:spacing w:after="0"/>
              <w:rPr>
                <w:sz w:val="20"/>
                <w:szCs w:val="20"/>
                <w:color w:val="auto"/>
              </w:rPr>
            </w:pPr>
            <w:r>
              <w:rPr>
                <w:rFonts w:ascii="Arial" w:cs="Arial" w:eastAsia="Arial" w:hAnsi="Arial"/>
                <w:sz w:val="18"/>
                <w:szCs w:val="18"/>
                <w:color w:val="auto"/>
              </w:rPr>
              <w:t>The proposal must be approved by a majority of the voting power of the shares of stock present</w:t>
            </w:r>
          </w:p>
        </w:tc>
      </w:tr>
      <w:tr>
        <w:trPr>
          <w:trHeight w:val="247"/>
        </w:trPr>
        <w:tc>
          <w:tcPr>
            <w:tcW w:w="1080" w:type="dxa"/>
            <w:vAlign w:val="bottom"/>
          </w:tcPr>
          <w:p>
            <w:pPr>
              <w:ind w:left="80"/>
              <w:spacing w:after="0"/>
              <w:rPr>
                <w:sz w:val="20"/>
                <w:szCs w:val="20"/>
                <w:color w:val="auto"/>
              </w:rPr>
            </w:pPr>
            <w:r>
              <w:rPr>
                <w:rFonts w:ascii="Arial" w:cs="Arial" w:eastAsia="Arial" w:hAnsi="Arial"/>
                <w:sz w:val="18"/>
                <w:szCs w:val="18"/>
                <w:b w:val="1"/>
                <w:bCs w:val="1"/>
                <w:color w:val="3465B0"/>
              </w:rPr>
              <w:t>R</w:t>
            </w:r>
            <w:r>
              <w:rPr>
                <w:rFonts w:ascii="Arial" w:cs="Arial" w:eastAsia="Arial" w:hAnsi="Arial"/>
                <w:sz w:val="12"/>
                <w:szCs w:val="12"/>
                <w:b w:val="1"/>
                <w:bCs w:val="1"/>
                <w:color w:val="3465B0"/>
              </w:rPr>
              <w:t>equired</w:t>
            </w:r>
          </w:p>
        </w:tc>
        <w:tc>
          <w:tcPr>
            <w:tcW w:w="8040" w:type="dxa"/>
            <w:vAlign w:val="bottom"/>
          </w:tcPr>
          <w:p>
            <w:pPr>
              <w:ind w:left="160"/>
              <w:spacing w:after="0"/>
              <w:rPr>
                <w:sz w:val="20"/>
                <w:szCs w:val="20"/>
                <w:color w:val="auto"/>
              </w:rPr>
            </w:pPr>
            <w:r>
              <w:rPr>
                <w:rFonts w:ascii="Arial" w:cs="Arial" w:eastAsia="Arial" w:hAnsi="Arial"/>
                <w:sz w:val="18"/>
                <w:szCs w:val="18"/>
                <w:color w:val="auto"/>
              </w:rPr>
              <w:t>in person or represented by proxy and entitled to vote on the subject matter.</w:t>
            </w:r>
          </w:p>
        </w:tc>
      </w:tr>
    </w:tbl>
    <w:p>
      <w:pPr>
        <w:spacing w:after="0" w:line="3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Background</w:t>
      </w:r>
    </w:p>
    <w:p>
      <w:pPr>
        <w:spacing w:after="0" w:line="139"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As required pursuant to Section 14A of the Exchange Act, we are conducting a non-binding, advisory vote to approve the compensation of our named executive officers as described in the Compensation Discussion and Analysis section of this proxy statement. This vote is commonly referred to as “Say-on-Pay.” Our stockholders have previously voted to hold a Say-on-Pay vote every year, and our Board therefore determined to hold Say-on-Pay votes annually until the next required advisory vote on the frequency of future Say-on-Pay votes, which will occur at the 2030 annual meeting of stockholders.</w:t>
      </w:r>
    </w:p>
    <w:p>
      <w:pPr>
        <w:spacing w:after="0" w:line="111"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Although this vote is advisory in nature, the compensation committee takes very seriously its role in the governance of our compensation programs and values thoughtful input from stockholders. The compensation committee will take into account the outcome of the advisory vote when considering future executive compensation decisions.</w:t>
      </w:r>
    </w:p>
    <w:p>
      <w:pPr>
        <w:spacing w:after="0" w:line="93"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In considering your vote, we encourage you to review the information about our compensation policies and decisions regarding our named executive officers presented under the heading “Compensation Discussion and Analysis,” and the compensation tables and narrative discussion under the heading “Executive Compensation.”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Proposed Resolution</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text of the resolution in respect of Proposal 2 is as follows:</w:t>
      </w:r>
    </w:p>
    <w:p>
      <w:pPr>
        <w:spacing w:after="0" w:line="144"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46" w:lineRule="exact"/>
        <w:rPr>
          <w:sz w:val="20"/>
          <w:szCs w:val="20"/>
          <w:color w:val="auto"/>
        </w:rPr>
      </w:pPr>
    </w:p>
    <w:p>
      <w:pPr>
        <w:ind w:left="360" w:hanging="346"/>
        <w:spacing w:after="0"/>
        <w:tabs>
          <w:tab w:leader="none" w:pos="360" w:val="left"/>
        </w:tabs>
        <w:numPr>
          <w:ilvl w:val="0"/>
          <w:numId w:val="43"/>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145415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37" w:name="page38"/>
    <w:bookmarkEnd w:id="37"/>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18"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Executive Summary</w:t>
      </w:r>
    </w:p>
    <w:p>
      <w:pPr>
        <w:spacing w:after="0" w:line="139"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This Compensation Discussion and Analysis contains a discussion of the material elements of compensation awarded to, earned by or paid to our named executive officers (“NEOs”). Our NEOs for the fiscal year ended January 3, 2026, were:</w:t>
      </w:r>
    </w:p>
    <w:p>
      <w:pPr>
        <w:spacing w:after="0" w:line="97" w:lineRule="exact"/>
        <w:rPr>
          <w:sz w:val="20"/>
          <w:szCs w:val="20"/>
          <w:color w:val="auto"/>
        </w:rPr>
      </w:pPr>
    </w:p>
    <w:tbl>
      <w:tblPr>
        <w:tblLayout w:type="fixed"/>
        <w:tblInd w:w="930" w:type="dxa"/>
        <w:tblCellMar>
          <w:top w:w="0" w:type="dxa"/>
          <w:left w:w="0" w:type="dxa"/>
          <w:bottom w:w="0" w:type="dxa"/>
          <w:right w:w="0" w:type="dxa"/>
        </w:tblCellMar>
      </w:tblPr>
      <w:tr>
        <w:trPr>
          <w:trHeight w:val="327"/>
        </w:trPr>
        <w:tc>
          <w:tcPr>
            <w:tcW w:w="80" w:type="dxa"/>
            <w:vAlign w:val="bottom"/>
            <w:tcBorders>
              <w:top w:val="single" w:sz="8" w:color="3465B0"/>
              <w:left w:val="single" w:sz="8" w:color="3465B0"/>
            </w:tcBorders>
            <w:shd w:val="clear" w:color="auto" w:fill="3465B0"/>
          </w:tcPr>
          <w:p>
            <w:pPr>
              <w:spacing w:after="0"/>
              <w:rPr>
                <w:sz w:val="24"/>
                <w:szCs w:val="24"/>
                <w:color w:val="auto"/>
              </w:rPr>
            </w:pPr>
          </w:p>
        </w:tc>
        <w:tc>
          <w:tcPr>
            <w:tcW w:w="2920" w:type="dxa"/>
            <w:vAlign w:val="bottom"/>
            <w:tcBorders>
              <w:top w:val="single" w:sz="8" w:color="3465B0"/>
              <w:right w:val="single" w:sz="8" w:color="93A1D2"/>
            </w:tcBorders>
            <w:shd w:val="clear" w:color="auto" w:fill="3465B0"/>
          </w:tcPr>
          <w:p>
            <w:pPr>
              <w:ind w:left="340"/>
              <w:spacing w:after="0"/>
              <w:rPr>
                <w:sz w:val="20"/>
                <w:szCs w:val="20"/>
                <w:color w:val="auto"/>
              </w:rPr>
            </w:pPr>
            <w:r>
              <w:rPr>
                <w:rFonts w:ascii="Arial" w:cs="Arial" w:eastAsia="Arial" w:hAnsi="Arial"/>
                <w:sz w:val="18"/>
                <w:szCs w:val="18"/>
                <w:b w:val="1"/>
                <w:bCs w:val="1"/>
                <w:color w:val="FFFFFF"/>
              </w:rPr>
              <w:t>Named Executive Officer</w:t>
            </w:r>
          </w:p>
        </w:tc>
        <w:tc>
          <w:tcPr>
            <w:tcW w:w="80" w:type="dxa"/>
            <w:vAlign w:val="bottom"/>
            <w:tcBorders>
              <w:top w:val="single" w:sz="8" w:color="3465B0"/>
            </w:tcBorders>
            <w:shd w:val="clear" w:color="auto" w:fill="3465B0"/>
          </w:tcPr>
          <w:p>
            <w:pPr>
              <w:spacing w:after="0"/>
              <w:rPr>
                <w:sz w:val="24"/>
                <w:szCs w:val="24"/>
                <w:color w:val="auto"/>
              </w:rPr>
            </w:pPr>
          </w:p>
        </w:tc>
        <w:tc>
          <w:tcPr>
            <w:tcW w:w="6080" w:type="dxa"/>
            <w:vAlign w:val="bottom"/>
            <w:tcBorders>
              <w:top w:val="single" w:sz="8" w:color="3465B0"/>
              <w:right w:val="single" w:sz="8" w:color="3465B0"/>
            </w:tcBorders>
            <w:shd w:val="clear" w:color="auto" w:fill="3465B0"/>
          </w:tcPr>
          <w:p>
            <w:pPr>
              <w:ind w:left="2820"/>
              <w:spacing w:after="0"/>
              <w:rPr>
                <w:sz w:val="20"/>
                <w:szCs w:val="20"/>
                <w:color w:val="auto"/>
              </w:rPr>
            </w:pPr>
            <w:r>
              <w:rPr>
                <w:rFonts w:ascii="Arial" w:cs="Arial" w:eastAsia="Arial" w:hAnsi="Arial"/>
                <w:sz w:val="18"/>
                <w:szCs w:val="18"/>
                <w:b w:val="1"/>
                <w:bCs w:val="1"/>
                <w:color w:val="FFFFFF"/>
              </w:rPr>
              <w:t>Title</w:t>
            </w:r>
          </w:p>
        </w:tc>
      </w:tr>
      <w:tr>
        <w:trPr>
          <w:trHeight w:val="311"/>
        </w:trPr>
        <w:tc>
          <w:tcPr>
            <w:tcW w:w="80" w:type="dxa"/>
            <w:vAlign w:val="bottom"/>
            <w:tcBorders>
              <w:left w:val="single" w:sz="8" w:color="3465B0"/>
            </w:tcBorders>
          </w:tcPr>
          <w:p>
            <w:pPr>
              <w:spacing w:after="0"/>
              <w:rPr>
                <w:sz w:val="24"/>
                <w:szCs w:val="24"/>
                <w:color w:val="auto"/>
              </w:rPr>
            </w:pPr>
          </w:p>
        </w:tc>
        <w:tc>
          <w:tcPr>
            <w:tcW w:w="2920" w:type="dxa"/>
            <w:vAlign w:val="bottom"/>
            <w:tcBorders>
              <w:right w:val="single" w:sz="8" w:color="93A1D2"/>
            </w:tcBorders>
          </w:tcPr>
          <w:p>
            <w:pPr>
              <w:ind w:left="40"/>
              <w:spacing w:after="0" w:line="310" w:lineRule="exact"/>
              <w:rPr>
                <w:sz w:val="20"/>
                <w:szCs w:val="20"/>
                <w:color w:val="auto"/>
              </w:rPr>
            </w:pPr>
            <w:r>
              <w:rPr>
                <w:rFonts w:ascii="Arial" w:cs="Arial" w:eastAsia="Arial" w:hAnsi="Arial"/>
                <w:sz w:val="18"/>
                <w:szCs w:val="18"/>
                <w:color w:val="auto"/>
              </w:rPr>
              <w:t>L. Reade Fahs</w:t>
            </w:r>
            <w:r>
              <w:rPr>
                <w:rFonts w:ascii="Arial" w:cs="Arial" w:eastAsia="Arial" w:hAnsi="Arial"/>
                <w:sz w:val="29"/>
                <w:szCs w:val="29"/>
                <w:color w:val="auto"/>
                <w:vertAlign w:val="superscript"/>
              </w:rPr>
              <w:t>(1)</w:t>
            </w:r>
          </w:p>
        </w:tc>
        <w:tc>
          <w:tcPr>
            <w:tcW w:w="80" w:type="dxa"/>
            <w:vAlign w:val="bottom"/>
          </w:tcPr>
          <w:p>
            <w:pPr>
              <w:spacing w:after="0"/>
              <w:rPr>
                <w:sz w:val="24"/>
                <w:szCs w:val="24"/>
                <w:color w:val="auto"/>
              </w:rPr>
            </w:pPr>
          </w:p>
        </w:tc>
        <w:tc>
          <w:tcPr>
            <w:tcW w:w="6080" w:type="dxa"/>
            <w:vAlign w:val="bottom"/>
            <w:tcBorders>
              <w:right w:val="single" w:sz="8" w:color="3465B0"/>
            </w:tcBorders>
          </w:tcPr>
          <w:p>
            <w:pPr>
              <w:ind w:left="20"/>
              <w:spacing w:after="0"/>
              <w:rPr>
                <w:sz w:val="20"/>
                <w:szCs w:val="20"/>
                <w:color w:val="auto"/>
              </w:rPr>
            </w:pPr>
            <w:r>
              <w:rPr>
                <w:rFonts w:ascii="Arial" w:cs="Arial" w:eastAsia="Arial" w:hAnsi="Arial"/>
                <w:sz w:val="18"/>
                <w:szCs w:val="18"/>
                <w:color w:val="auto"/>
              </w:rPr>
              <w:t>Executive Chairman</w:t>
            </w:r>
          </w:p>
        </w:tc>
      </w:tr>
      <w:tr>
        <w:trPr>
          <w:trHeight w:val="250"/>
        </w:trPr>
        <w:tc>
          <w:tcPr>
            <w:tcW w:w="80" w:type="dxa"/>
            <w:vAlign w:val="bottom"/>
            <w:tcBorders>
              <w:left w:val="single" w:sz="8" w:color="3465B0"/>
              <w:bottom w:val="single" w:sz="8" w:color="CCCCCC"/>
            </w:tcBorders>
            <w:shd w:val="clear" w:color="auto" w:fill="CCCCCC"/>
          </w:tcPr>
          <w:p>
            <w:pPr>
              <w:spacing w:after="0"/>
              <w:rPr>
                <w:sz w:val="21"/>
                <w:szCs w:val="21"/>
                <w:color w:val="auto"/>
              </w:rPr>
            </w:pPr>
          </w:p>
        </w:tc>
        <w:tc>
          <w:tcPr>
            <w:tcW w:w="2920" w:type="dxa"/>
            <w:vAlign w:val="bottom"/>
            <w:tcBorders>
              <w:bottom w:val="single" w:sz="8" w:color="CCCCCC"/>
              <w:right w:val="single" w:sz="8" w:color="93A1D2"/>
            </w:tcBorders>
            <w:shd w:val="clear" w:color="auto" w:fill="CCCCCC"/>
          </w:tcPr>
          <w:p>
            <w:pPr>
              <w:ind w:left="40"/>
              <w:spacing w:after="0"/>
              <w:rPr>
                <w:sz w:val="20"/>
                <w:szCs w:val="20"/>
                <w:color w:val="auto"/>
              </w:rPr>
            </w:pPr>
            <w:r>
              <w:rPr>
                <w:rFonts w:ascii="Arial" w:cs="Arial" w:eastAsia="Arial" w:hAnsi="Arial"/>
                <w:sz w:val="18"/>
                <w:szCs w:val="18"/>
                <w:color w:val="auto"/>
              </w:rPr>
              <w:t>Alexander N. Wilkes</w:t>
            </w:r>
          </w:p>
        </w:tc>
        <w:tc>
          <w:tcPr>
            <w:tcW w:w="80" w:type="dxa"/>
            <w:vAlign w:val="bottom"/>
            <w:tcBorders>
              <w:bottom w:val="single" w:sz="8" w:color="CCCCCC"/>
            </w:tcBorders>
            <w:shd w:val="clear" w:color="auto" w:fill="CCCCCC"/>
          </w:tcPr>
          <w:p>
            <w:pPr>
              <w:spacing w:after="0"/>
              <w:rPr>
                <w:sz w:val="21"/>
                <w:szCs w:val="21"/>
                <w:color w:val="auto"/>
              </w:rPr>
            </w:pPr>
          </w:p>
        </w:tc>
        <w:tc>
          <w:tcPr>
            <w:tcW w:w="6080" w:type="dxa"/>
            <w:vAlign w:val="bottom"/>
            <w:tcBorders>
              <w:bottom w:val="single" w:sz="8" w:color="CCCCCC"/>
              <w:right w:val="single" w:sz="8" w:color="3465B0"/>
            </w:tcBorders>
            <w:shd w:val="clear" w:color="auto" w:fill="CCCCCC"/>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7"/>
        </w:trPr>
        <w:tc>
          <w:tcPr>
            <w:tcW w:w="80" w:type="dxa"/>
            <w:vAlign w:val="bottom"/>
            <w:tcBorders>
              <w:left w:val="single" w:sz="8" w:color="3465B0"/>
            </w:tcBorders>
          </w:tcPr>
          <w:p>
            <w:pPr>
              <w:spacing w:after="0"/>
              <w:rPr>
                <w:sz w:val="21"/>
                <w:szCs w:val="21"/>
                <w:color w:val="auto"/>
              </w:rPr>
            </w:pPr>
          </w:p>
        </w:tc>
        <w:tc>
          <w:tcPr>
            <w:tcW w:w="2920" w:type="dxa"/>
            <w:vAlign w:val="bottom"/>
            <w:tcBorders>
              <w:right w:val="single" w:sz="8" w:color="93A1D2"/>
            </w:tcBorders>
          </w:tcPr>
          <w:p>
            <w:pPr>
              <w:ind w:left="40"/>
              <w:spacing w:after="0"/>
              <w:rPr>
                <w:sz w:val="20"/>
                <w:szCs w:val="20"/>
                <w:color w:val="auto"/>
              </w:rPr>
            </w:pPr>
            <w:r>
              <w:rPr>
                <w:rFonts w:ascii="Arial" w:cs="Arial" w:eastAsia="Arial" w:hAnsi="Arial"/>
                <w:sz w:val="18"/>
                <w:szCs w:val="18"/>
                <w:color w:val="auto"/>
              </w:rPr>
              <w:t>Christopher J. Laden</w:t>
            </w:r>
          </w:p>
        </w:tc>
        <w:tc>
          <w:tcPr>
            <w:tcW w:w="80" w:type="dxa"/>
            <w:vAlign w:val="bottom"/>
          </w:tcPr>
          <w:p>
            <w:pPr>
              <w:spacing w:after="0"/>
              <w:rPr>
                <w:sz w:val="21"/>
                <w:szCs w:val="21"/>
                <w:color w:val="auto"/>
              </w:rPr>
            </w:pPr>
          </w:p>
        </w:tc>
        <w:tc>
          <w:tcPr>
            <w:tcW w:w="6080" w:type="dxa"/>
            <w:vAlign w:val="bottom"/>
            <w:tcBorders>
              <w:right w:val="single" w:sz="8" w:color="3465B0"/>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23"/>
        </w:trPr>
        <w:tc>
          <w:tcPr>
            <w:tcW w:w="80" w:type="dxa"/>
            <w:vAlign w:val="bottom"/>
            <w:tcBorders>
              <w:left w:val="single" w:sz="8" w:color="3465B0"/>
            </w:tcBorders>
          </w:tcPr>
          <w:p>
            <w:pPr>
              <w:spacing w:after="0"/>
              <w:rPr>
                <w:sz w:val="2"/>
                <w:szCs w:val="2"/>
                <w:color w:val="auto"/>
              </w:rPr>
            </w:pPr>
          </w:p>
        </w:tc>
        <w:tc>
          <w:tcPr>
            <w:tcW w:w="2920" w:type="dxa"/>
            <w:vAlign w:val="bottom"/>
            <w:tcBorders>
              <w:right w:val="single" w:sz="8" w:color="93A1D2"/>
            </w:tcBorders>
          </w:tcPr>
          <w:p>
            <w:pPr>
              <w:spacing w:after="0"/>
              <w:rPr>
                <w:sz w:val="2"/>
                <w:szCs w:val="2"/>
                <w:color w:val="auto"/>
              </w:rPr>
            </w:pPr>
          </w:p>
        </w:tc>
        <w:tc>
          <w:tcPr>
            <w:tcW w:w="80" w:type="dxa"/>
            <w:vAlign w:val="bottom"/>
          </w:tcPr>
          <w:p>
            <w:pPr>
              <w:spacing w:after="0"/>
              <w:rPr>
                <w:sz w:val="2"/>
                <w:szCs w:val="2"/>
                <w:color w:val="auto"/>
              </w:rPr>
            </w:pPr>
          </w:p>
        </w:tc>
        <w:tc>
          <w:tcPr>
            <w:tcW w:w="6080" w:type="dxa"/>
            <w:vAlign w:val="bottom"/>
            <w:tcBorders>
              <w:right w:val="single" w:sz="8" w:color="3465B0"/>
            </w:tcBorders>
          </w:tcPr>
          <w:p>
            <w:pPr>
              <w:spacing w:after="0"/>
              <w:rPr>
                <w:sz w:val="2"/>
                <w:szCs w:val="2"/>
                <w:color w:val="auto"/>
              </w:rPr>
            </w:pPr>
          </w:p>
        </w:tc>
      </w:tr>
      <w:tr>
        <w:trPr>
          <w:trHeight w:val="250"/>
        </w:trPr>
        <w:tc>
          <w:tcPr>
            <w:tcW w:w="80" w:type="dxa"/>
            <w:vAlign w:val="bottom"/>
            <w:tcBorders>
              <w:left w:val="single" w:sz="8" w:color="3465B0"/>
              <w:bottom w:val="single" w:sz="8" w:color="CCCCCC"/>
            </w:tcBorders>
            <w:shd w:val="clear" w:color="auto" w:fill="CCCCCC"/>
          </w:tcPr>
          <w:p>
            <w:pPr>
              <w:spacing w:after="0"/>
              <w:rPr>
                <w:sz w:val="21"/>
                <w:szCs w:val="21"/>
                <w:color w:val="auto"/>
              </w:rPr>
            </w:pPr>
          </w:p>
        </w:tc>
        <w:tc>
          <w:tcPr>
            <w:tcW w:w="2920" w:type="dxa"/>
            <w:vAlign w:val="bottom"/>
            <w:tcBorders>
              <w:bottom w:val="single" w:sz="8" w:color="CCCCCC"/>
              <w:right w:val="single" w:sz="8" w:color="93A1D2"/>
            </w:tcBorders>
            <w:shd w:val="clear" w:color="auto" w:fill="CCCCCC"/>
          </w:tcPr>
          <w:p>
            <w:pPr>
              <w:ind w:left="40"/>
              <w:spacing w:after="0"/>
              <w:rPr>
                <w:sz w:val="20"/>
                <w:szCs w:val="20"/>
                <w:color w:val="auto"/>
              </w:rPr>
            </w:pPr>
            <w:r>
              <w:rPr>
                <w:rFonts w:ascii="Arial" w:cs="Arial" w:eastAsia="Arial" w:hAnsi="Arial"/>
                <w:sz w:val="18"/>
                <w:szCs w:val="18"/>
                <w:color w:val="auto"/>
              </w:rPr>
              <w:t>Mark S. Banner</w:t>
            </w:r>
          </w:p>
        </w:tc>
        <w:tc>
          <w:tcPr>
            <w:tcW w:w="80" w:type="dxa"/>
            <w:vAlign w:val="bottom"/>
            <w:tcBorders>
              <w:bottom w:val="single" w:sz="8" w:color="CCCCCC"/>
            </w:tcBorders>
            <w:shd w:val="clear" w:color="auto" w:fill="CCCCCC"/>
          </w:tcPr>
          <w:p>
            <w:pPr>
              <w:spacing w:after="0"/>
              <w:rPr>
                <w:sz w:val="21"/>
                <w:szCs w:val="21"/>
                <w:color w:val="auto"/>
              </w:rPr>
            </w:pPr>
          </w:p>
        </w:tc>
        <w:tc>
          <w:tcPr>
            <w:tcW w:w="6080" w:type="dxa"/>
            <w:vAlign w:val="bottom"/>
            <w:tcBorders>
              <w:bottom w:val="single" w:sz="8" w:color="CCCCCC"/>
              <w:right w:val="single" w:sz="8" w:color="3465B0"/>
            </w:tcBorders>
            <w:shd w:val="clear" w:color="auto" w:fill="CCCCCC"/>
          </w:tcPr>
          <w:p>
            <w:pPr>
              <w:ind w:left="20"/>
              <w:spacing w:after="0"/>
              <w:rPr>
                <w:sz w:val="20"/>
                <w:szCs w:val="20"/>
                <w:color w:val="auto"/>
              </w:rPr>
            </w:pPr>
            <w:r>
              <w:rPr>
                <w:rFonts w:ascii="Arial" w:cs="Arial" w:eastAsia="Arial" w:hAnsi="Arial"/>
                <w:sz w:val="18"/>
                <w:szCs w:val="18"/>
                <w:color w:val="auto"/>
              </w:rPr>
              <w:t>President of America’s Best</w:t>
            </w:r>
          </w:p>
        </w:tc>
      </w:tr>
      <w:tr>
        <w:trPr>
          <w:trHeight w:val="247"/>
        </w:trPr>
        <w:tc>
          <w:tcPr>
            <w:tcW w:w="80" w:type="dxa"/>
            <w:vAlign w:val="bottom"/>
            <w:tcBorders>
              <w:left w:val="single" w:sz="8" w:color="3465B0"/>
            </w:tcBorders>
          </w:tcPr>
          <w:p>
            <w:pPr>
              <w:spacing w:after="0"/>
              <w:rPr>
                <w:sz w:val="21"/>
                <w:szCs w:val="21"/>
                <w:color w:val="auto"/>
              </w:rPr>
            </w:pPr>
          </w:p>
        </w:tc>
        <w:tc>
          <w:tcPr>
            <w:tcW w:w="2920" w:type="dxa"/>
            <w:vAlign w:val="bottom"/>
            <w:tcBorders>
              <w:right w:val="single" w:sz="8" w:color="93A1D2"/>
            </w:tcBorders>
          </w:tcPr>
          <w:p>
            <w:pPr>
              <w:ind w:left="40"/>
              <w:spacing w:after="0"/>
              <w:rPr>
                <w:sz w:val="20"/>
                <w:szCs w:val="20"/>
                <w:color w:val="auto"/>
              </w:rPr>
            </w:pPr>
            <w:r>
              <w:rPr>
                <w:rFonts w:ascii="Arial" w:cs="Arial" w:eastAsia="Arial" w:hAnsi="Arial"/>
                <w:sz w:val="18"/>
                <w:szCs w:val="18"/>
                <w:color w:val="auto"/>
              </w:rPr>
              <w:t>Jared Brandman</w:t>
            </w:r>
          </w:p>
        </w:tc>
        <w:tc>
          <w:tcPr>
            <w:tcW w:w="80" w:type="dxa"/>
            <w:vAlign w:val="bottom"/>
          </w:tcPr>
          <w:p>
            <w:pPr>
              <w:spacing w:after="0"/>
              <w:rPr>
                <w:sz w:val="21"/>
                <w:szCs w:val="21"/>
                <w:color w:val="auto"/>
              </w:rPr>
            </w:pPr>
          </w:p>
        </w:tc>
        <w:tc>
          <w:tcPr>
            <w:tcW w:w="6080" w:type="dxa"/>
            <w:vAlign w:val="bottom"/>
            <w:tcBorders>
              <w:right w:val="single" w:sz="8" w:color="3465B0"/>
            </w:tcBorders>
          </w:tcPr>
          <w:p>
            <w:pPr>
              <w:ind w:left="20"/>
              <w:spacing w:after="0"/>
              <w:rPr>
                <w:sz w:val="20"/>
                <w:szCs w:val="20"/>
                <w:color w:val="auto"/>
              </w:rPr>
            </w:pPr>
            <w:r>
              <w:rPr>
                <w:rFonts w:ascii="Arial" w:cs="Arial" w:eastAsia="Arial" w:hAnsi="Arial"/>
                <w:sz w:val="18"/>
                <w:szCs w:val="18"/>
                <w:color w:val="auto"/>
              </w:rPr>
              <w:t>Chief Legal &amp; Strategy Officer, Corporate Secretary</w:t>
            </w:r>
          </w:p>
        </w:tc>
      </w:tr>
      <w:tr>
        <w:trPr>
          <w:trHeight w:val="23"/>
        </w:trPr>
        <w:tc>
          <w:tcPr>
            <w:tcW w:w="80" w:type="dxa"/>
            <w:vAlign w:val="bottom"/>
            <w:tcBorders>
              <w:left w:val="single" w:sz="8" w:color="3465B0"/>
            </w:tcBorders>
          </w:tcPr>
          <w:p>
            <w:pPr>
              <w:spacing w:after="0"/>
              <w:rPr>
                <w:sz w:val="2"/>
                <w:szCs w:val="2"/>
                <w:color w:val="auto"/>
              </w:rPr>
            </w:pPr>
          </w:p>
        </w:tc>
        <w:tc>
          <w:tcPr>
            <w:tcW w:w="2920" w:type="dxa"/>
            <w:vAlign w:val="bottom"/>
            <w:tcBorders>
              <w:right w:val="single" w:sz="8" w:color="93A1D2"/>
            </w:tcBorders>
          </w:tcPr>
          <w:p>
            <w:pPr>
              <w:spacing w:after="0"/>
              <w:rPr>
                <w:sz w:val="2"/>
                <w:szCs w:val="2"/>
                <w:color w:val="auto"/>
              </w:rPr>
            </w:pPr>
          </w:p>
        </w:tc>
        <w:tc>
          <w:tcPr>
            <w:tcW w:w="80" w:type="dxa"/>
            <w:vAlign w:val="bottom"/>
          </w:tcPr>
          <w:p>
            <w:pPr>
              <w:spacing w:after="0"/>
              <w:rPr>
                <w:sz w:val="2"/>
                <w:szCs w:val="2"/>
                <w:color w:val="auto"/>
              </w:rPr>
            </w:pPr>
          </w:p>
        </w:tc>
        <w:tc>
          <w:tcPr>
            <w:tcW w:w="6080" w:type="dxa"/>
            <w:vAlign w:val="bottom"/>
            <w:tcBorders>
              <w:right w:val="single" w:sz="8" w:color="3465B0"/>
            </w:tcBorders>
          </w:tcPr>
          <w:p>
            <w:pPr>
              <w:spacing w:after="0"/>
              <w:rPr>
                <w:sz w:val="2"/>
                <w:szCs w:val="2"/>
                <w:color w:val="auto"/>
              </w:rPr>
            </w:pPr>
          </w:p>
        </w:tc>
      </w:tr>
      <w:tr>
        <w:trPr>
          <w:trHeight w:val="250"/>
        </w:trPr>
        <w:tc>
          <w:tcPr>
            <w:tcW w:w="80" w:type="dxa"/>
            <w:vAlign w:val="bottom"/>
            <w:tcBorders>
              <w:left w:val="single" w:sz="8" w:color="3465B0"/>
              <w:bottom w:val="single" w:sz="8" w:color="CCCCCC"/>
            </w:tcBorders>
            <w:shd w:val="clear" w:color="auto" w:fill="CCCCCC"/>
          </w:tcPr>
          <w:p>
            <w:pPr>
              <w:spacing w:after="0"/>
              <w:rPr>
                <w:sz w:val="21"/>
                <w:szCs w:val="21"/>
                <w:color w:val="auto"/>
              </w:rPr>
            </w:pPr>
          </w:p>
        </w:tc>
        <w:tc>
          <w:tcPr>
            <w:tcW w:w="2920" w:type="dxa"/>
            <w:vAlign w:val="bottom"/>
            <w:tcBorders>
              <w:bottom w:val="single" w:sz="8" w:color="CCCCCC"/>
              <w:right w:val="single" w:sz="8" w:color="93A1D2"/>
            </w:tcBorders>
            <w:shd w:val="clear" w:color="auto" w:fill="CCCCCC"/>
          </w:tcPr>
          <w:p>
            <w:pPr>
              <w:ind w:left="40"/>
              <w:spacing w:after="0"/>
              <w:rPr>
                <w:sz w:val="20"/>
                <w:szCs w:val="20"/>
                <w:color w:val="auto"/>
              </w:rPr>
            </w:pPr>
            <w:r>
              <w:rPr>
                <w:rFonts w:ascii="Arial" w:cs="Arial" w:eastAsia="Arial" w:hAnsi="Arial"/>
                <w:sz w:val="18"/>
                <w:szCs w:val="18"/>
                <w:color w:val="auto"/>
              </w:rPr>
              <w:t>Bill Clark</w:t>
            </w:r>
          </w:p>
        </w:tc>
        <w:tc>
          <w:tcPr>
            <w:tcW w:w="80" w:type="dxa"/>
            <w:vAlign w:val="bottom"/>
            <w:tcBorders>
              <w:bottom w:val="single" w:sz="8" w:color="CCCCCC"/>
            </w:tcBorders>
            <w:shd w:val="clear" w:color="auto" w:fill="CCCCCC"/>
          </w:tcPr>
          <w:p>
            <w:pPr>
              <w:spacing w:after="0"/>
              <w:rPr>
                <w:sz w:val="21"/>
                <w:szCs w:val="21"/>
                <w:color w:val="auto"/>
              </w:rPr>
            </w:pPr>
          </w:p>
        </w:tc>
        <w:tc>
          <w:tcPr>
            <w:tcW w:w="6080" w:type="dxa"/>
            <w:vAlign w:val="bottom"/>
            <w:tcBorders>
              <w:bottom w:val="single" w:sz="8" w:color="CCCCCC"/>
              <w:right w:val="single" w:sz="8" w:color="3465B0"/>
            </w:tcBorders>
            <w:shd w:val="clear" w:color="auto" w:fill="CCCCCC"/>
          </w:tcPr>
          <w:p>
            <w:pPr>
              <w:ind w:left="20"/>
              <w:spacing w:after="0"/>
              <w:rPr>
                <w:sz w:val="20"/>
                <w:szCs w:val="20"/>
                <w:color w:val="auto"/>
              </w:rPr>
            </w:pPr>
            <w:r>
              <w:rPr>
                <w:rFonts w:ascii="Arial" w:cs="Arial" w:eastAsia="Arial" w:hAnsi="Arial"/>
                <w:sz w:val="18"/>
                <w:szCs w:val="18"/>
                <w:color w:val="auto"/>
              </w:rPr>
              <w:t>Chief People Officer</w:t>
            </w:r>
          </w:p>
        </w:tc>
      </w:tr>
      <w:tr>
        <w:trPr>
          <w:trHeight w:val="270"/>
        </w:trPr>
        <w:tc>
          <w:tcPr>
            <w:tcW w:w="80" w:type="dxa"/>
            <w:vAlign w:val="bottom"/>
            <w:tcBorders>
              <w:left w:val="single" w:sz="8" w:color="3465B0"/>
            </w:tcBorders>
          </w:tcPr>
          <w:p>
            <w:pPr>
              <w:spacing w:after="0"/>
              <w:rPr>
                <w:sz w:val="23"/>
                <w:szCs w:val="23"/>
                <w:color w:val="auto"/>
              </w:rPr>
            </w:pPr>
          </w:p>
        </w:tc>
        <w:tc>
          <w:tcPr>
            <w:tcW w:w="292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Former Officers</w:t>
            </w:r>
          </w:p>
        </w:tc>
        <w:tc>
          <w:tcPr>
            <w:tcW w:w="80" w:type="dxa"/>
            <w:vAlign w:val="bottom"/>
          </w:tcPr>
          <w:p>
            <w:pPr>
              <w:spacing w:after="0"/>
              <w:rPr>
                <w:sz w:val="23"/>
                <w:szCs w:val="23"/>
                <w:color w:val="auto"/>
              </w:rPr>
            </w:pPr>
          </w:p>
        </w:tc>
        <w:tc>
          <w:tcPr>
            <w:tcW w:w="6080" w:type="dxa"/>
            <w:vAlign w:val="bottom"/>
            <w:tcBorders>
              <w:right w:val="single" w:sz="8" w:color="3465B0"/>
            </w:tcBorders>
          </w:tcPr>
          <w:p>
            <w:pPr>
              <w:spacing w:after="0"/>
              <w:rPr>
                <w:sz w:val="23"/>
                <w:szCs w:val="23"/>
                <w:color w:val="auto"/>
              </w:rPr>
            </w:pPr>
          </w:p>
        </w:tc>
      </w:tr>
      <w:tr>
        <w:trPr>
          <w:trHeight w:val="310"/>
        </w:trPr>
        <w:tc>
          <w:tcPr>
            <w:tcW w:w="80" w:type="dxa"/>
            <w:vAlign w:val="bottom"/>
            <w:tcBorders>
              <w:left w:val="single" w:sz="8" w:color="3465B0"/>
            </w:tcBorders>
            <w:shd w:val="clear" w:color="auto" w:fill="CCCCCC"/>
          </w:tcPr>
          <w:p>
            <w:pPr>
              <w:spacing w:after="0"/>
              <w:rPr>
                <w:sz w:val="24"/>
                <w:szCs w:val="24"/>
                <w:color w:val="auto"/>
              </w:rPr>
            </w:pPr>
          </w:p>
        </w:tc>
        <w:tc>
          <w:tcPr>
            <w:tcW w:w="2920" w:type="dxa"/>
            <w:vAlign w:val="bottom"/>
            <w:tcBorders>
              <w:right w:val="single" w:sz="8" w:color="93A1D2"/>
            </w:tcBorders>
            <w:shd w:val="clear" w:color="auto" w:fill="CCCCCC"/>
          </w:tcPr>
          <w:p>
            <w:pPr>
              <w:ind w:left="40"/>
              <w:spacing w:after="0" w:line="310" w:lineRule="exact"/>
              <w:rPr>
                <w:sz w:val="20"/>
                <w:szCs w:val="20"/>
                <w:color w:val="auto"/>
              </w:rPr>
            </w:pPr>
            <w:r>
              <w:rPr>
                <w:rFonts w:ascii="Arial" w:cs="Arial" w:eastAsia="Arial" w:hAnsi="Arial"/>
                <w:sz w:val="18"/>
                <w:szCs w:val="18"/>
                <w:color w:val="auto"/>
              </w:rPr>
              <w:t>Patrick R. Moore</w:t>
            </w:r>
            <w:r>
              <w:rPr>
                <w:rFonts w:ascii="Arial" w:cs="Arial" w:eastAsia="Arial" w:hAnsi="Arial"/>
                <w:sz w:val="29"/>
                <w:szCs w:val="29"/>
                <w:color w:val="auto"/>
                <w:vertAlign w:val="superscript"/>
              </w:rPr>
              <w:t>(2)</w:t>
            </w:r>
          </w:p>
        </w:tc>
        <w:tc>
          <w:tcPr>
            <w:tcW w:w="80" w:type="dxa"/>
            <w:vAlign w:val="bottom"/>
            <w:shd w:val="clear" w:color="auto" w:fill="CCCCCC"/>
          </w:tcPr>
          <w:p>
            <w:pPr>
              <w:spacing w:after="0"/>
              <w:rPr>
                <w:sz w:val="24"/>
                <w:szCs w:val="24"/>
                <w:color w:val="auto"/>
              </w:rPr>
            </w:pPr>
          </w:p>
        </w:tc>
        <w:tc>
          <w:tcPr>
            <w:tcW w:w="6080" w:type="dxa"/>
            <w:vAlign w:val="bottom"/>
            <w:tcBorders>
              <w:right w:val="single" w:sz="8" w:color="3465B0"/>
            </w:tcBorders>
            <w:shd w:val="clear" w:color="auto" w:fill="CCCCCC"/>
          </w:tcPr>
          <w:p>
            <w:pPr>
              <w:ind w:left="20"/>
              <w:spacing w:after="0"/>
              <w:rPr>
                <w:sz w:val="20"/>
                <w:szCs w:val="20"/>
                <w:color w:val="auto"/>
              </w:rPr>
            </w:pPr>
            <w:r>
              <w:rPr>
                <w:rFonts w:ascii="Arial" w:cs="Arial" w:eastAsia="Arial" w:hAnsi="Arial"/>
                <w:sz w:val="18"/>
                <w:szCs w:val="18"/>
                <w:color w:val="auto"/>
              </w:rPr>
              <w:t>Former Interim Chief Financial Officer</w:t>
            </w:r>
          </w:p>
        </w:tc>
      </w:tr>
      <w:tr>
        <w:trPr>
          <w:trHeight w:val="321"/>
        </w:trPr>
        <w:tc>
          <w:tcPr>
            <w:tcW w:w="80" w:type="dxa"/>
            <w:vAlign w:val="bottom"/>
            <w:tcBorders>
              <w:left w:val="single" w:sz="8" w:color="3465B0"/>
              <w:bottom w:val="single" w:sz="8" w:color="3465B0"/>
            </w:tcBorders>
          </w:tcPr>
          <w:p>
            <w:pPr>
              <w:spacing w:after="0"/>
              <w:rPr>
                <w:sz w:val="24"/>
                <w:szCs w:val="24"/>
                <w:color w:val="auto"/>
              </w:rPr>
            </w:pPr>
          </w:p>
        </w:tc>
        <w:tc>
          <w:tcPr>
            <w:tcW w:w="2920" w:type="dxa"/>
            <w:vAlign w:val="bottom"/>
            <w:tcBorders>
              <w:bottom w:val="single" w:sz="8" w:color="3465B0"/>
              <w:right w:val="single" w:sz="8" w:color="93A1D2"/>
            </w:tcBorders>
          </w:tcPr>
          <w:p>
            <w:pPr>
              <w:ind w:left="40"/>
              <w:spacing w:after="0" w:line="320" w:lineRule="exact"/>
              <w:rPr>
                <w:sz w:val="20"/>
                <w:szCs w:val="20"/>
                <w:color w:val="auto"/>
              </w:rPr>
            </w:pPr>
            <w:r>
              <w:rPr>
                <w:rFonts w:ascii="Arial" w:cs="Arial" w:eastAsia="Arial" w:hAnsi="Arial"/>
                <w:sz w:val="18"/>
                <w:szCs w:val="18"/>
                <w:color w:val="auto"/>
              </w:rPr>
              <w:t>Melissa Rasmussen</w:t>
            </w:r>
            <w:r>
              <w:rPr>
                <w:rFonts w:ascii="Arial" w:cs="Arial" w:eastAsia="Arial" w:hAnsi="Arial"/>
                <w:sz w:val="29"/>
                <w:szCs w:val="29"/>
                <w:color w:val="auto"/>
                <w:vertAlign w:val="superscript"/>
              </w:rPr>
              <w:t>(3)</w:t>
            </w:r>
          </w:p>
        </w:tc>
        <w:tc>
          <w:tcPr>
            <w:tcW w:w="80" w:type="dxa"/>
            <w:vAlign w:val="bottom"/>
            <w:tcBorders>
              <w:bottom w:val="single" w:sz="8" w:color="3465B0"/>
            </w:tcBorders>
          </w:tcPr>
          <w:p>
            <w:pPr>
              <w:spacing w:after="0"/>
              <w:rPr>
                <w:sz w:val="24"/>
                <w:szCs w:val="24"/>
                <w:color w:val="auto"/>
              </w:rPr>
            </w:pPr>
          </w:p>
        </w:tc>
        <w:tc>
          <w:tcPr>
            <w:tcW w:w="6080" w:type="dxa"/>
            <w:vAlign w:val="bottom"/>
            <w:tcBorders>
              <w:bottom w:val="single" w:sz="8" w:color="3465B0"/>
              <w:right w:val="single" w:sz="8" w:color="3465B0"/>
            </w:tcBorders>
          </w:tcPr>
          <w:p>
            <w:pPr>
              <w:ind w:left="20"/>
              <w:spacing w:after="0"/>
              <w:rPr>
                <w:sz w:val="20"/>
                <w:szCs w:val="20"/>
                <w:color w:val="auto"/>
              </w:rPr>
            </w:pPr>
            <w:r>
              <w:rPr>
                <w:rFonts w:ascii="Arial" w:cs="Arial" w:eastAsia="Arial" w:hAnsi="Arial"/>
                <w:sz w:val="18"/>
                <w:szCs w:val="18"/>
                <w:color w:val="auto"/>
              </w:rPr>
              <w:t>Former Chief Financial Officer</w:t>
            </w:r>
          </w:p>
        </w:tc>
      </w:tr>
    </w:tbl>
    <w:p>
      <w:pPr>
        <w:spacing w:after="0" w:line="150" w:lineRule="exact"/>
        <w:rPr>
          <w:sz w:val="20"/>
          <w:szCs w:val="20"/>
          <w:color w:val="auto"/>
        </w:rPr>
      </w:pPr>
    </w:p>
    <w:p>
      <w:pPr>
        <w:ind w:left="1280" w:hanging="348"/>
        <w:spacing w:after="0"/>
        <w:tabs>
          <w:tab w:leader="none" w:pos="12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Fahs served as our Chief Executive Officer through August 1, 2025.</w:t>
      </w:r>
    </w:p>
    <w:p>
      <w:pPr>
        <w:spacing w:after="0" w:line="109" w:lineRule="exact"/>
        <w:rPr>
          <w:rFonts w:ascii="Arial" w:cs="Arial" w:eastAsia="Arial" w:hAnsi="Arial"/>
          <w:sz w:val="14"/>
          <w:szCs w:val="14"/>
          <w:color w:val="auto"/>
        </w:rPr>
      </w:pPr>
    </w:p>
    <w:p>
      <w:pPr>
        <w:ind w:left="1280" w:right="960" w:hanging="348"/>
        <w:spacing w:after="0" w:line="285" w:lineRule="auto"/>
        <w:tabs>
          <w:tab w:leader="none" w:pos="12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March 4, 2025, Mr. Moore was appointed as Interim Chief Financial Officer and served in that role through March 31, 2025, when Mr. Laden, our current Chief Financial Officer, assumed the role. Mr. Moore continues to serve in an advisory role to the Company.</w:t>
      </w:r>
    </w:p>
    <w:p>
      <w:pPr>
        <w:spacing w:after="0" w:line="49" w:lineRule="exact"/>
        <w:rPr>
          <w:rFonts w:ascii="Arial" w:cs="Arial" w:eastAsia="Arial" w:hAnsi="Arial"/>
          <w:sz w:val="14"/>
          <w:szCs w:val="14"/>
          <w:color w:val="auto"/>
        </w:rPr>
      </w:pPr>
    </w:p>
    <w:p>
      <w:pPr>
        <w:ind w:left="1280" w:hanging="348"/>
        <w:spacing w:after="0"/>
        <w:tabs>
          <w:tab w:leader="none" w:pos="12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Rasmussen served as our Chief Financial Officer through March 3, 2025.</w:t>
      </w:r>
    </w:p>
    <w:p>
      <w:pPr>
        <w:spacing w:after="0" w:line="189"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2025 Business Highlights</w:t>
      </w:r>
    </w:p>
    <w:p>
      <w:pPr>
        <w:spacing w:after="0" w:line="139"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2025 was a defining year for National Vision. We continued executing our transformation and laid out a strategy centered around modernizing the business, improving the quality of our customer base, and delivering strong financial results. Over the past year, we aligned the organization around a clear mandate: modernize every aspect of the business while expanding operating margins. Our teams executed with urgency and discipline, delivering strong mid-single-digit comparable store sales growth, meaningful operating margin expansion, and solid earnings growth, all while investing to strengthen our long-term competitive position.</w:t>
      </w:r>
    </w:p>
    <w:p>
      <w:pPr>
        <w:spacing w:after="0" w:line="98" w:lineRule="exact"/>
        <w:rPr>
          <w:sz w:val="20"/>
          <w:szCs w:val="20"/>
          <w:color w:val="auto"/>
        </w:rPr>
      </w:pPr>
    </w:p>
    <w:p>
      <w:pPr>
        <w:jc w:val="both"/>
        <w:ind w:left="940" w:right="940"/>
        <w:spacing w:after="0" w:line="271" w:lineRule="auto"/>
        <w:rPr>
          <w:sz w:val="20"/>
          <w:szCs w:val="20"/>
          <w:color w:val="auto"/>
        </w:rPr>
      </w:pPr>
      <w:r>
        <w:rPr>
          <w:rFonts w:ascii="Arial" w:cs="Arial" w:eastAsia="Arial" w:hAnsi="Arial"/>
          <w:sz w:val="18"/>
          <w:szCs w:val="18"/>
          <w:color w:val="auto"/>
        </w:rPr>
        <w:t>Certain of our financial results and operational highlights for fiscal 2025 are summarized below. NEO compensation for 2025 was paid or awarded in the context of these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21590</wp:posOffset>
            </wp:positionV>
            <wp:extent cx="5807710" cy="2070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07710" cy="2070100"/>
                    </a:xfrm>
                    <a:prstGeom prst="rect">
                      <a:avLst/>
                    </a:prstGeom>
                    <a:noFill/>
                  </pic:spPr>
                </pic:pic>
              </a:graphicData>
            </a:graphic>
          </wp:anchor>
        </w:drawing>
      </w:r>
    </w:p>
    <w:p>
      <w:pPr>
        <w:spacing w:after="0" w:line="8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FFFFFF"/>
        </w:rPr>
        <w:t>2025 Financial Highlights</w:t>
      </w:r>
    </w:p>
    <w:p>
      <w:pPr>
        <w:sectPr>
          <w:pgSz w:w="11900" w:h="16838" w:orient="portrait"/>
          <w:cols w:equalWidth="0" w:num="1">
            <w:col w:w="11020"/>
          </w:cols>
          <w:pgMar w:left="440" w:top="114" w:right="439" w:bottom="1440" w:gutter="0" w:footer="0" w:header="0"/>
        </w:sectPr>
      </w:pPr>
    </w:p>
    <w:p>
      <w:pPr>
        <w:spacing w:after="0" w:line="9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8"/>
          <w:szCs w:val="8"/>
          <w:color w:val="3465B0"/>
        </w:rPr>
        <w:t>•</w:t>
      </w:r>
      <w:r>
        <w:rPr>
          <w:rFonts w:ascii="Arial" w:cs="Arial" w:eastAsia="Arial" w:hAnsi="Arial"/>
          <w:sz w:val="15"/>
          <w:szCs w:val="15"/>
          <w:color w:val="auto"/>
        </w:rPr>
        <w:t xml:space="preserve"> </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8"/>
          <w:szCs w:val="8"/>
          <w:color w:val="3465B0"/>
        </w:rPr>
        <w:t>•</w:t>
      </w:r>
      <w:r>
        <w:rPr>
          <w:rFonts w:ascii="Arial" w:cs="Arial" w:eastAsia="Arial" w:hAnsi="Arial"/>
          <w:sz w:val="15"/>
          <w:szCs w:val="15"/>
          <w:color w:val="auto"/>
        </w:rPr>
        <w:t xml:space="preserve"> </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8"/>
          <w:szCs w:val="8"/>
          <w:color w:val="3465B0"/>
        </w:rPr>
        <w:t>•</w:t>
      </w:r>
      <w:r>
        <w:rPr>
          <w:rFonts w:ascii="Arial" w:cs="Arial" w:eastAsia="Arial" w:hAnsi="Arial"/>
          <w:sz w:val="15"/>
          <w:szCs w:val="15"/>
          <w:color w:val="auto"/>
        </w:rPr>
        <w:t xml:space="preserve"> </w:t>
      </w:r>
    </w:p>
    <w:p>
      <w:pPr>
        <w:spacing w:after="0" w:line="26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8"/>
          <w:szCs w:val="8"/>
          <w:color w:val="3465B0"/>
        </w:rPr>
        <w:t>•</w:t>
      </w:r>
      <w:r>
        <w:rPr>
          <w:rFonts w:ascii="Arial" w:cs="Arial" w:eastAsia="Arial" w:hAnsi="Arial"/>
          <w:sz w:val="15"/>
          <w:szCs w:val="15"/>
          <w:color w:val="auto"/>
        </w:rPr>
        <w:t xml:space="preserve"> </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8"/>
          <w:szCs w:val="8"/>
          <w:color w:val="3465B0"/>
        </w:rPr>
        <w:t>•</w:t>
      </w:r>
      <w:r>
        <w:rPr>
          <w:rFonts w:ascii="Arial" w:cs="Arial" w:eastAsia="Arial" w:hAnsi="Arial"/>
          <w:sz w:val="15"/>
          <w:szCs w:val="15"/>
          <w:color w:val="auto"/>
        </w:rPr>
        <w:t xml:space="preserve"> </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8"/>
          <w:szCs w:val="8"/>
          <w:color w:val="3465B0"/>
        </w:rPr>
        <w:t>•</w:t>
      </w:r>
      <w:r>
        <w:rPr>
          <w:rFonts w:ascii="Arial" w:cs="Arial" w:eastAsia="Arial" w:hAnsi="Arial"/>
          <w:sz w:val="15"/>
          <w:szCs w:val="15"/>
          <w:color w:val="auto"/>
        </w:rPr>
        <w:t xml:space="preserve"> </w:t>
      </w:r>
    </w:p>
    <w:p>
      <w:pPr>
        <w:spacing w:after="0" w:line="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8"/>
          <w:szCs w:val="8"/>
          <w:color w:val="3465B0"/>
        </w:rPr>
        <w:t>•</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620"/>
        <w:spacing w:after="0" w:line="281" w:lineRule="auto"/>
        <w:rPr>
          <w:sz w:val="20"/>
          <w:szCs w:val="20"/>
          <w:color w:val="auto"/>
        </w:rPr>
      </w:pPr>
      <w:r>
        <w:rPr>
          <w:rFonts w:ascii="Arial" w:cs="Arial" w:eastAsia="Arial" w:hAnsi="Arial"/>
          <w:sz w:val="18"/>
          <w:szCs w:val="18"/>
          <w:color w:val="auto"/>
        </w:rPr>
        <w:t>Comparable store sales growth was 5.9% and Adjusted Comparable Store Sales Growth was 6.0% Net revenue increased 9.0% over 2024 to $1,987.5 million</w:t>
      </w:r>
    </w:p>
    <w:p>
      <w:pPr>
        <w:spacing w:after="0" w:line="1" w:lineRule="exact"/>
        <w:rPr>
          <w:sz w:val="20"/>
          <w:szCs w:val="20"/>
          <w:color w:val="auto"/>
        </w:rPr>
      </w:pPr>
    </w:p>
    <w:p>
      <w:pPr>
        <w:ind w:right="1440"/>
        <w:spacing w:after="0" w:line="255" w:lineRule="auto"/>
        <w:rPr>
          <w:sz w:val="20"/>
          <w:szCs w:val="20"/>
          <w:color w:val="auto"/>
        </w:rPr>
      </w:pPr>
      <w:r>
        <w:rPr>
          <w:rFonts w:ascii="Arial" w:cs="Arial" w:eastAsia="Arial" w:hAnsi="Arial"/>
          <w:sz w:val="18"/>
          <w:szCs w:val="18"/>
          <w:color w:val="auto"/>
        </w:rPr>
        <w:t>Net income from continuing operations of $29.6 million and Diluted EPS from continuing operations of $0.37, with Income (loss) from continuing operations margin improving to 1.5% from (1.5)%</w:t>
      </w:r>
    </w:p>
    <w:p>
      <w:pPr>
        <w:spacing w:after="0" w:line="2" w:lineRule="exact"/>
        <w:rPr>
          <w:sz w:val="20"/>
          <w:szCs w:val="20"/>
          <w:color w:val="auto"/>
        </w:rPr>
      </w:pPr>
    </w:p>
    <w:p>
      <w:pPr>
        <w:ind w:right="1340"/>
        <w:spacing w:after="0" w:line="252" w:lineRule="auto"/>
        <w:rPr>
          <w:sz w:val="20"/>
          <w:szCs w:val="20"/>
          <w:color w:val="auto"/>
        </w:rPr>
      </w:pPr>
      <w:r>
        <w:rPr>
          <w:rFonts w:ascii="Arial" w:cs="Arial" w:eastAsia="Arial" w:hAnsi="Arial"/>
          <w:sz w:val="18"/>
          <w:szCs w:val="18"/>
          <w:color w:val="auto"/>
        </w:rPr>
        <w:t>Adjusted Operating Income from continuing operations of $ 102.5 million compared with $65.5 million in fiscal year 2024, with Adjusted Operating Margin improving 5.2% from 3.6%</w:t>
      </w:r>
    </w:p>
    <w:p>
      <w:pPr>
        <w:spacing w:after="0" w:line="1" w:lineRule="exact"/>
        <w:rPr>
          <w:sz w:val="20"/>
          <w:szCs w:val="20"/>
          <w:color w:val="auto"/>
        </w:rPr>
      </w:pPr>
    </w:p>
    <w:p>
      <w:pPr>
        <w:ind w:right="1320"/>
        <w:spacing w:after="0" w:line="258" w:lineRule="auto"/>
        <w:rPr>
          <w:sz w:val="20"/>
          <w:szCs w:val="20"/>
          <w:color w:val="auto"/>
        </w:rPr>
      </w:pPr>
      <w:r>
        <w:rPr>
          <w:rFonts w:ascii="Arial" w:cs="Arial" w:eastAsia="Arial" w:hAnsi="Arial"/>
          <w:sz w:val="18"/>
          <w:szCs w:val="18"/>
          <w:color w:val="auto"/>
        </w:rPr>
        <w:t>Adjusted Diluted EPS from continuing operations increased to $0.80 compared with $0.52 in fiscal year 2024</w:t>
      </w:r>
    </w:p>
    <w:p>
      <w:pPr>
        <w:spacing w:after="0"/>
        <w:rPr>
          <w:sz w:val="20"/>
          <w:szCs w:val="20"/>
          <w:color w:val="auto"/>
        </w:rPr>
      </w:pPr>
      <w:r>
        <w:rPr>
          <w:rFonts w:ascii="Arial" w:cs="Arial" w:eastAsia="Arial" w:hAnsi="Arial"/>
          <w:sz w:val="18"/>
          <w:szCs w:val="18"/>
          <w:color w:val="auto"/>
        </w:rPr>
        <w:t>Overall store count grew 0.8% to 1,250 stores</w:t>
      </w:r>
    </w:p>
    <w:p>
      <w:pPr>
        <w:spacing w:after="0" w:line="32" w:lineRule="exact"/>
        <w:rPr>
          <w:sz w:val="20"/>
          <w:szCs w:val="20"/>
          <w:color w:val="auto"/>
        </w:rPr>
      </w:pPr>
    </w:p>
    <w:p>
      <w:pPr>
        <w:ind w:right="1080"/>
        <w:spacing w:after="0" w:line="243" w:lineRule="auto"/>
        <w:rPr>
          <w:sz w:val="20"/>
          <w:szCs w:val="20"/>
          <w:color w:val="auto"/>
        </w:rPr>
      </w:pPr>
      <w:r>
        <w:rPr>
          <w:rFonts w:ascii="Arial" w:cs="Arial" w:eastAsia="Arial" w:hAnsi="Arial"/>
          <w:sz w:val="18"/>
          <w:szCs w:val="18"/>
          <w:color w:val="auto"/>
        </w:rPr>
        <w:t>We ended fiscal 2025 with a cash balance of $38.7 million, and total liquidity of $332 million, including available capacity from our revolving credit facility and with a net debt to adjusted EBITDA of 1.1 times; during fiscal 2025, we repaid $101.3 million in long term debt and convertible notes, bringing our total debt outstanding net of unamortized discounts to $245.9 million at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73660</wp:posOffset>
            </wp:positionV>
            <wp:extent cx="205740" cy="205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120"/>
            <w:col w:w="9520"/>
          </w:cols>
          <w:pgMar w:left="440" w:top="114" w:right="4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31</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type w:val="continuous"/>
        </w:sectPr>
      </w:pPr>
    </w:p>
    <w:bookmarkStart w:id="38" w:name="page39"/>
    <w:bookmarkEnd w:id="3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7"/>
          <w:szCs w:val="17"/>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-144145</wp:posOffset>
            </wp:positionV>
            <wp:extent cx="5807710" cy="12706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07710" cy="1270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w:t>
      </w:r>
    </w:p>
    <w:p>
      <w:pPr>
        <w:spacing w:after="0" w:line="102" w:lineRule="exact"/>
        <w:rPr>
          <w:sz w:val="20"/>
          <w:szCs w:val="20"/>
          <w:color w:val="auto"/>
        </w:rPr>
      </w:pPr>
    </w:p>
    <w:p>
      <w:pPr>
        <w:ind w:left="360" w:hanging="346"/>
        <w:spacing w:after="0"/>
        <w:tabs>
          <w:tab w:leader="none" w:pos="360" w:val="left"/>
        </w:tabs>
        <w:numPr>
          <w:ilvl w:val="0"/>
          <w:numId w:val="45"/>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bookmarkStart w:id="39" w:name="page40"/>
    <w:bookmarkEnd w:id="39"/>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3" w:lineRule="exact"/>
        <w:rPr>
          <w:sz w:val="20"/>
          <w:szCs w:val="20"/>
          <w:color w:val="auto"/>
        </w:rPr>
      </w:pPr>
    </w:p>
    <w:p>
      <w:pPr>
        <w:jc w:val="both"/>
        <w:ind w:left="940" w:right="940"/>
        <w:spacing w:after="0" w:line="246" w:lineRule="auto"/>
        <w:rPr>
          <w:sz w:val="20"/>
          <w:szCs w:val="20"/>
          <w:color w:val="auto"/>
        </w:rPr>
      </w:pPr>
      <w:r>
        <w:rPr>
          <w:rFonts w:ascii="Arial" w:cs="Arial" w:eastAsia="Arial" w:hAnsi="Arial"/>
          <w:sz w:val="18"/>
          <w:szCs w:val="18"/>
          <w:i w:val="1"/>
          <w:iCs w:val="1"/>
          <w:color w:val="auto"/>
        </w:rPr>
        <w:t>In this proxy statement, we discuss financial measures that are referred to as non-GAAP financial measures, including adjusted comparable store sales growth, adjusted operating income, adjusted diluted EPS and annual incentive adjusted operating income. See Appendix A to this proxy statement for more information regarding these measures and reconciliations to the most directly comparable GAAP measures.</w:t>
      </w:r>
    </w:p>
    <w:p>
      <w:pPr>
        <w:spacing w:after="0" w:line="96" w:lineRule="exact"/>
        <w:rPr>
          <w:sz w:val="20"/>
          <w:szCs w:val="20"/>
          <w:color w:val="auto"/>
        </w:rPr>
      </w:pPr>
    </w:p>
    <w:p>
      <w:pPr>
        <w:jc w:val="both"/>
        <w:ind w:left="940" w:right="940"/>
        <w:spacing w:after="0" w:line="252" w:lineRule="auto"/>
        <w:rPr>
          <w:sz w:val="20"/>
          <w:szCs w:val="20"/>
          <w:color w:val="auto"/>
        </w:rPr>
      </w:pPr>
      <w:r>
        <w:rPr>
          <w:rFonts w:ascii="Arial" w:cs="Arial" w:eastAsia="Arial" w:hAnsi="Arial"/>
          <w:sz w:val="18"/>
          <w:szCs w:val="18"/>
          <w:i w:val="1"/>
          <w:iCs w:val="1"/>
          <w:color w:val="auto"/>
        </w:rPr>
        <w:t>Financial results for all periods presented are reported on a continuing operations basis and reflect the results of our former Legacy segment and the substantial majority of AC Lens operations as discontinued operations. Unless otherwise noted, amounts and disclosures in this proxy statement relate to the Company’s continuing operations.</w:t>
      </w:r>
    </w:p>
    <w:p>
      <w:pPr>
        <w:spacing w:after="0" w:line="104" w:lineRule="exact"/>
        <w:rPr>
          <w:sz w:val="20"/>
          <w:szCs w:val="20"/>
          <w:color w:val="auto"/>
        </w:rPr>
      </w:pPr>
    </w:p>
    <w:p>
      <w:pPr>
        <w:jc w:val="both"/>
        <w:ind w:left="940" w:right="940"/>
        <w:spacing w:after="0" w:line="252" w:lineRule="auto"/>
        <w:rPr>
          <w:sz w:val="20"/>
          <w:szCs w:val="20"/>
          <w:color w:val="auto"/>
        </w:rPr>
      </w:pPr>
      <w:r>
        <w:rPr>
          <w:rFonts w:ascii="Arial" w:cs="Arial" w:eastAsia="Arial" w:hAnsi="Arial"/>
          <w:sz w:val="18"/>
          <w:szCs w:val="18"/>
          <w:i w:val="1"/>
          <w:iCs w:val="1"/>
          <w:color w:val="auto"/>
        </w:rPr>
        <w:t>These financial highlights are reproduced from our Annual Report on Form 10-K for the fiscal year ended January 3, 2026, and speak as of March 4, 2026, the date we filed our Form 10-K with the SEC, unless clearly indicated otherwise.</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CEO Succession</w:t>
      </w:r>
    </w:p>
    <w:p>
      <w:pPr>
        <w:spacing w:after="0" w:line="139" w:lineRule="exact"/>
        <w:rPr>
          <w:sz w:val="20"/>
          <w:szCs w:val="20"/>
          <w:color w:val="auto"/>
        </w:rPr>
      </w:pPr>
    </w:p>
    <w:p>
      <w:pPr>
        <w:jc w:val="both"/>
        <w:ind w:left="940" w:right="940"/>
        <w:spacing w:after="0" w:line="238" w:lineRule="auto"/>
        <w:rPr>
          <w:sz w:val="20"/>
          <w:szCs w:val="20"/>
          <w:color w:val="auto"/>
        </w:rPr>
      </w:pPr>
      <w:r>
        <w:rPr>
          <w:rFonts w:ascii="Arial" w:cs="Arial" w:eastAsia="Arial" w:hAnsi="Arial"/>
          <w:sz w:val="18"/>
          <w:szCs w:val="18"/>
          <w:color w:val="auto"/>
        </w:rPr>
        <w:t>On April 28, 2025, the Board approved the Company’s CEO succession plan (the “Succession Plan”). Under this plan, effective August 1, 2025, Mr. Wilkes succeeded Mr. Fahs as Chief Executive Officer and was appointed to the Board, Mr. Fahs assumed the role of Executive Chairman, and Mr. Peeler assumed the role of Lead Independent Director. In connection with Mr. Wilkes’ appointment, the compensation committee approved certain changes to Mr. Wilkes’ compensation. In accordance with his new position and responsibilities, Mr. Wilkes’ salary was increased from $600,000 to $900,000 effective August 1, 2025, and his target annual cash bonus opportunity for 2025 was increased from $450,000 to $900,000. In addition, Mr. Wilkes received a one-time, promotional award of restricted stock units having a grant date value of $1,000,000, which will vest in three annual installments, conditioned upon his continued employment. Additionally, in connection with the Succession Plan, the Company entered into an Executive Chair Agreement with Mr. Fahs. The terms of this agreement are further described below under “Agreements with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60960</wp:posOffset>
            </wp:positionV>
            <wp:extent cx="205740" cy="2057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33</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Key Features of our Compensation Program</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80" w:type="dxa"/>
            <w:vAlign w:val="bottom"/>
            <w:tcBorders>
              <w:top w:val="single" w:sz="8" w:color="3465B0"/>
              <w:left w:val="single" w:sz="8" w:color="3465B0"/>
            </w:tcBorders>
            <w:shd w:val="clear" w:color="auto" w:fill="3465B0"/>
          </w:tcPr>
          <w:p>
            <w:pPr>
              <w:spacing w:after="0"/>
              <w:rPr>
                <w:sz w:val="24"/>
                <w:szCs w:val="24"/>
                <w:color w:val="auto"/>
              </w:rPr>
            </w:pPr>
          </w:p>
        </w:tc>
        <w:tc>
          <w:tcPr>
            <w:tcW w:w="5260" w:type="dxa"/>
            <w:vAlign w:val="bottom"/>
            <w:tcBorders>
              <w:top w:val="single" w:sz="8" w:color="3465B0"/>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What We Do:</w:t>
            </w:r>
          </w:p>
        </w:tc>
        <w:tc>
          <w:tcPr>
            <w:tcW w:w="60" w:type="dxa"/>
            <w:vAlign w:val="bottom"/>
            <w:tcBorders>
              <w:top w:val="single" w:sz="8" w:color="3465B0"/>
            </w:tcBorders>
            <w:shd w:val="clear" w:color="auto" w:fill="3465B0"/>
          </w:tcPr>
          <w:p>
            <w:pPr>
              <w:spacing w:after="0"/>
              <w:rPr>
                <w:sz w:val="24"/>
                <w:szCs w:val="24"/>
                <w:color w:val="auto"/>
              </w:rPr>
            </w:pPr>
          </w:p>
        </w:tc>
        <w:tc>
          <w:tcPr>
            <w:tcW w:w="3760" w:type="dxa"/>
            <w:vAlign w:val="bottom"/>
            <w:tcBorders>
              <w:top w:val="single" w:sz="8" w:color="3465B0"/>
              <w:right w:val="single" w:sz="8" w:color="3465B0"/>
            </w:tcBorders>
            <w:shd w:val="clear" w:color="auto" w:fill="3465B0"/>
          </w:tcPr>
          <w:p>
            <w:pPr>
              <w:ind w:left="20"/>
              <w:spacing w:after="0"/>
              <w:rPr>
                <w:sz w:val="20"/>
                <w:szCs w:val="20"/>
                <w:color w:val="auto"/>
              </w:rPr>
            </w:pPr>
            <w:r>
              <w:rPr>
                <w:rFonts w:ascii="Arial" w:cs="Arial" w:eastAsia="Arial" w:hAnsi="Arial"/>
                <w:sz w:val="18"/>
                <w:szCs w:val="18"/>
                <w:b w:val="1"/>
                <w:bCs w:val="1"/>
                <w:color w:val="FFFFFF"/>
              </w:rPr>
              <w:t>What We Don’t Do:</w:t>
            </w:r>
          </w:p>
        </w:tc>
        <w:tc>
          <w:tcPr>
            <w:tcW w:w="0" w:type="dxa"/>
            <w:vAlign w:val="bottom"/>
          </w:tcPr>
          <w:p>
            <w:pPr>
              <w:spacing w:after="0"/>
              <w:rPr>
                <w:sz w:val="1"/>
                <w:szCs w:val="1"/>
                <w:color w:val="auto"/>
              </w:rPr>
            </w:pPr>
          </w:p>
        </w:tc>
      </w:tr>
      <w:tr>
        <w:trPr>
          <w:trHeight w:val="265"/>
        </w:trPr>
        <w:tc>
          <w:tcPr>
            <w:tcW w:w="80" w:type="dxa"/>
            <w:vAlign w:val="bottom"/>
            <w:tcBorders>
              <w:left w:val="single" w:sz="8" w:color="3465B0"/>
            </w:tcBorders>
          </w:tcPr>
          <w:p>
            <w:pPr>
              <w:spacing w:after="0"/>
              <w:rPr>
                <w:sz w:val="23"/>
                <w:szCs w:val="23"/>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Pay for performance, with high percentages of performance-</w:t>
            </w:r>
          </w:p>
        </w:tc>
        <w:tc>
          <w:tcPr>
            <w:tcW w:w="60" w:type="dxa"/>
            <w:vAlign w:val="bottom"/>
          </w:tcPr>
          <w:p>
            <w:pPr>
              <w:spacing w:after="0"/>
              <w:rPr>
                <w:sz w:val="23"/>
                <w:szCs w:val="23"/>
                <w:color w:val="auto"/>
              </w:rPr>
            </w:pPr>
          </w:p>
        </w:tc>
        <w:tc>
          <w:tcPr>
            <w:tcW w:w="3760" w:type="dxa"/>
            <w:vAlign w:val="bottom"/>
            <w:tcBorders>
              <w:right w:val="single" w:sz="8" w:color="3465B0"/>
            </w:tcBorders>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excise tax gross-ups</w:t>
            </w: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based and long-term equity compensation</w:t>
            </w:r>
          </w:p>
        </w:tc>
        <w:tc>
          <w:tcPr>
            <w:tcW w:w="60" w:type="dxa"/>
            <w:vAlign w:val="bottom"/>
          </w:tcPr>
          <w:p>
            <w:pPr>
              <w:spacing w:after="0"/>
              <w:rPr>
                <w:sz w:val="22"/>
                <w:szCs w:val="22"/>
                <w:color w:val="auto"/>
              </w:rPr>
            </w:pPr>
          </w:p>
        </w:tc>
        <w:tc>
          <w:tcPr>
            <w:tcW w:w="3760" w:type="dxa"/>
            <w:vAlign w:val="bottom"/>
            <w:tcBorders>
              <w:right w:val="single" w:sz="8" w:color="3465B0"/>
            </w:tcBorders>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the Company’s stock by</w:t>
            </w:r>
          </w:p>
        </w:tc>
        <w:tc>
          <w:tcPr>
            <w:tcW w:w="0" w:type="dxa"/>
            <w:vAlign w:val="bottom"/>
          </w:tcPr>
          <w:p>
            <w:pPr>
              <w:spacing w:after="0"/>
              <w:rPr>
                <w:sz w:val="1"/>
                <w:szCs w:val="1"/>
                <w:color w:val="auto"/>
              </w:rPr>
            </w:pPr>
          </w:p>
        </w:tc>
      </w:tr>
      <w:tr>
        <w:trPr>
          <w:trHeight w:val="203"/>
        </w:trPr>
        <w:tc>
          <w:tcPr>
            <w:tcW w:w="80" w:type="dxa"/>
            <w:vAlign w:val="bottom"/>
            <w:tcBorders>
              <w:left w:val="single" w:sz="8" w:color="3465B0"/>
            </w:tcBorders>
          </w:tcPr>
          <w:p>
            <w:pPr>
              <w:spacing w:after="0"/>
              <w:rPr>
                <w:sz w:val="17"/>
                <w:szCs w:val="17"/>
                <w:color w:val="auto"/>
              </w:rPr>
            </w:pPr>
          </w:p>
        </w:tc>
        <w:tc>
          <w:tcPr>
            <w:tcW w:w="5260" w:type="dxa"/>
            <w:vAlign w:val="bottom"/>
            <w:tcBorders>
              <w:right w:val="single" w:sz="8" w:color="93A1D2"/>
            </w:tcBorders>
          </w:tcPr>
          <w:p>
            <w:pPr>
              <w:ind w:left="160"/>
              <w:spacing w:after="0" w:line="202" w:lineRule="exact"/>
              <w:rPr>
                <w:sz w:val="20"/>
                <w:szCs w:val="20"/>
                <w:color w:val="auto"/>
              </w:rPr>
            </w:pPr>
            <w:r>
              <w:rPr>
                <w:rFonts w:ascii="Arial" w:cs="Arial" w:eastAsia="Arial" w:hAnsi="Arial"/>
                <w:sz w:val="18"/>
                <w:szCs w:val="18"/>
                <w:color w:val="auto"/>
              </w:rPr>
              <w:t>    Grant performance stock units that vest based on</w:t>
            </w:r>
          </w:p>
        </w:tc>
        <w:tc>
          <w:tcPr>
            <w:tcW w:w="60" w:type="dxa"/>
            <w:vAlign w:val="bottom"/>
          </w:tcPr>
          <w:p>
            <w:pPr>
              <w:spacing w:after="0"/>
              <w:rPr>
                <w:sz w:val="17"/>
                <w:szCs w:val="17"/>
                <w:color w:val="auto"/>
              </w:rPr>
            </w:pPr>
          </w:p>
        </w:tc>
        <w:tc>
          <w:tcPr>
            <w:tcW w:w="3760" w:type="dxa"/>
            <w:vAlign w:val="bottom"/>
            <w:tcBorders>
              <w:right w:val="single" w:sz="8" w:color="3465B0"/>
            </w:tcBorders>
          </w:tcPr>
          <w:p>
            <w:pPr>
              <w:ind w:left="260"/>
              <w:spacing w:after="0" w:line="202" w:lineRule="exact"/>
              <w:rPr>
                <w:sz w:val="20"/>
                <w:szCs w:val="20"/>
                <w:color w:val="auto"/>
              </w:rPr>
            </w:pPr>
            <w:r>
              <w:rPr>
                <w:rFonts w:ascii="Arial" w:cs="Arial" w:eastAsia="Arial" w:hAnsi="Arial"/>
                <w:sz w:val="18"/>
                <w:szCs w:val="18"/>
                <w:color w:val="auto"/>
              </w:rPr>
              <w:t>NEOs or directors</w:t>
            </w:r>
          </w:p>
        </w:tc>
        <w:tc>
          <w:tcPr>
            <w:tcW w:w="0" w:type="dxa"/>
            <w:vAlign w:val="bottom"/>
          </w:tcPr>
          <w:p>
            <w:pPr>
              <w:spacing w:after="0"/>
              <w:rPr>
                <w:sz w:val="1"/>
                <w:szCs w:val="1"/>
                <w:color w:val="auto"/>
              </w:rPr>
            </w:pPr>
          </w:p>
        </w:tc>
      </w:tr>
      <w:tr>
        <w:trPr>
          <w:trHeight w:val="235"/>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achievement of performance goals over a three-year</w:t>
            </w:r>
          </w:p>
        </w:tc>
        <w:tc>
          <w:tcPr>
            <w:tcW w:w="60" w:type="dxa"/>
            <w:vAlign w:val="bottom"/>
          </w:tcPr>
          <w:p>
            <w:pPr>
              <w:spacing w:after="0"/>
              <w:rPr>
                <w:sz w:val="20"/>
                <w:szCs w:val="20"/>
                <w:color w:val="auto"/>
              </w:rPr>
            </w:pPr>
          </w:p>
        </w:tc>
        <w:tc>
          <w:tcPr>
            <w:tcW w:w="3760" w:type="dxa"/>
            <w:vAlign w:val="bottom"/>
            <w:tcBorders>
              <w:right w:val="single" w:sz="8" w:color="3465B0"/>
            </w:tcBorders>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supplemental executive retirement</w:t>
            </w:r>
          </w:p>
        </w:tc>
        <w:tc>
          <w:tcPr>
            <w:tcW w:w="0" w:type="dxa"/>
            <w:vAlign w:val="bottom"/>
          </w:tcPr>
          <w:p>
            <w:pPr>
              <w:spacing w:after="0"/>
              <w:rPr>
                <w:sz w:val="1"/>
                <w:szCs w:val="1"/>
                <w:color w:val="auto"/>
              </w:rPr>
            </w:pPr>
          </w:p>
        </w:tc>
      </w:tr>
      <w:tr>
        <w:trPr>
          <w:trHeight w:val="188"/>
        </w:trPr>
        <w:tc>
          <w:tcPr>
            <w:tcW w:w="80" w:type="dxa"/>
            <w:vAlign w:val="bottom"/>
            <w:tcBorders>
              <w:left w:val="single" w:sz="8" w:color="3465B0"/>
            </w:tcBorders>
          </w:tcPr>
          <w:p>
            <w:pPr>
              <w:spacing w:after="0"/>
              <w:rPr>
                <w:sz w:val="16"/>
                <w:szCs w:val="16"/>
                <w:color w:val="auto"/>
              </w:rPr>
            </w:pPr>
          </w:p>
        </w:tc>
        <w:tc>
          <w:tcPr>
            <w:tcW w:w="5260" w:type="dxa"/>
            <w:vAlign w:val="bottom"/>
            <w:tcBorders>
              <w:right w:val="single" w:sz="8" w:color="93A1D2"/>
            </w:tcBorders>
          </w:tcPr>
          <w:p>
            <w:pPr>
              <w:ind w:left="340"/>
              <w:spacing w:after="0" w:line="189" w:lineRule="exact"/>
              <w:rPr>
                <w:sz w:val="20"/>
                <w:szCs w:val="20"/>
                <w:color w:val="auto"/>
              </w:rPr>
            </w:pPr>
            <w:r>
              <w:rPr>
                <w:rFonts w:ascii="Arial" w:cs="Arial" w:eastAsia="Arial" w:hAnsi="Arial"/>
                <w:sz w:val="18"/>
                <w:szCs w:val="18"/>
                <w:color w:val="auto"/>
              </w:rPr>
              <w:t>performance period and, beginning in 2025, include a</w:t>
            </w:r>
          </w:p>
        </w:tc>
        <w:tc>
          <w:tcPr>
            <w:tcW w:w="60" w:type="dxa"/>
            <w:vAlign w:val="bottom"/>
          </w:tcPr>
          <w:p>
            <w:pPr>
              <w:spacing w:after="0"/>
              <w:rPr>
                <w:sz w:val="16"/>
                <w:szCs w:val="16"/>
                <w:color w:val="auto"/>
              </w:rPr>
            </w:pPr>
          </w:p>
        </w:tc>
        <w:tc>
          <w:tcPr>
            <w:tcW w:w="3760" w:type="dxa"/>
            <w:vAlign w:val="bottom"/>
            <w:tcBorders>
              <w:right w:val="single" w:sz="8" w:color="3465B0"/>
            </w:tcBorders>
          </w:tcPr>
          <w:p>
            <w:pPr>
              <w:ind w:left="260"/>
              <w:spacing w:after="0" w:line="189" w:lineRule="exact"/>
              <w:rPr>
                <w:sz w:val="20"/>
                <w:szCs w:val="20"/>
                <w:color w:val="auto"/>
              </w:rPr>
            </w:pPr>
            <w:r>
              <w:rPr>
                <w:rFonts w:ascii="Arial" w:cs="Arial" w:eastAsia="Arial" w:hAnsi="Arial"/>
                <w:sz w:val="18"/>
                <w:szCs w:val="18"/>
                <w:color w:val="auto"/>
              </w:rPr>
              <w:t>plans</w:t>
            </w:r>
          </w:p>
        </w:tc>
        <w:tc>
          <w:tcPr>
            <w:tcW w:w="0" w:type="dxa"/>
            <w:vAlign w:val="bottom"/>
          </w:tcPr>
          <w:p>
            <w:pPr>
              <w:spacing w:after="0"/>
              <w:rPr>
                <w:sz w:val="1"/>
                <w:szCs w:val="1"/>
                <w:color w:val="auto"/>
              </w:rPr>
            </w:pPr>
          </w:p>
        </w:tc>
      </w:tr>
      <w:tr>
        <w:trPr>
          <w:trHeight w:val="238"/>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relative shareholder return component</w:t>
            </w:r>
          </w:p>
        </w:tc>
        <w:tc>
          <w:tcPr>
            <w:tcW w:w="60" w:type="dxa"/>
            <w:vAlign w:val="bottom"/>
          </w:tcPr>
          <w:p>
            <w:pPr>
              <w:spacing w:after="0"/>
              <w:rPr>
                <w:sz w:val="20"/>
                <w:szCs w:val="20"/>
                <w:color w:val="auto"/>
              </w:rPr>
            </w:pPr>
          </w:p>
        </w:tc>
        <w:tc>
          <w:tcPr>
            <w:tcW w:w="3760" w:type="dxa"/>
            <w:vAlign w:val="bottom"/>
            <w:tcBorders>
              <w:right w:val="single" w:sz="8" w:color="3465B0"/>
            </w:tcBorders>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option repricing without stockholder</w:t>
            </w:r>
          </w:p>
        </w:tc>
        <w:tc>
          <w:tcPr>
            <w:tcW w:w="0" w:type="dxa"/>
            <w:vAlign w:val="bottom"/>
          </w:tcPr>
          <w:p>
            <w:pPr>
              <w:spacing w:after="0"/>
              <w:rPr>
                <w:sz w:val="1"/>
                <w:szCs w:val="1"/>
                <w:color w:val="auto"/>
              </w:rPr>
            </w:pPr>
          </w:p>
        </w:tc>
      </w:tr>
      <w:tr>
        <w:trPr>
          <w:trHeight w:val="54"/>
        </w:trPr>
        <w:tc>
          <w:tcPr>
            <w:tcW w:w="80" w:type="dxa"/>
            <w:vAlign w:val="bottom"/>
            <w:tcBorders>
              <w:left w:val="single" w:sz="8" w:color="3465B0"/>
            </w:tcBorders>
          </w:tcPr>
          <w:p>
            <w:pPr>
              <w:spacing w:after="0"/>
              <w:rPr>
                <w:sz w:val="4"/>
                <w:szCs w:val="4"/>
                <w:color w:val="auto"/>
              </w:rPr>
            </w:pPr>
          </w:p>
        </w:tc>
        <w:tc>
          <w:tcPr>
            <w:tcW w:w="526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Award annual cash incentives based on performance</w:t>
            </w:r>
          </w:p>
        </w:tc>
        <w:tc>
          <w:tcPr>
            <w:tcW w:w="60" w:type="dxa"/>
            <w:vAlign w:val="bottom"/>
          </w:tcPr>
          <w:p>
            <w:pPr>
              <w:spacing w:after="0"/>
              <w:rPr>
                <w:sz w:val="4"/>
                <w:szCs w:val="4"/>
                <w:color w:val="auto"/>
              </w:rPr>
            </w:pPr>
          </w:p>
        </w:tc>
        <w:tc>
          <w:tcPr>
            <w:tcW w:w="3760" w:type="dxa"/>
            <w:vAlign w:val="bottom"/>
            <w:tcBorders>
              <w:right w:val="single" w:sz="8" w:color="3465B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80" w:type="dxa"/>
            <w:vAlign w:val="bottom"/>
            <w:tcBorders>
              <w:left w:val="single" w:sz="8" w:color="3465B0"/>
            </w:tcBorders>
          </w:tcPr>
          <w:p>
            <w:pPr>
              <w:spacing w:after="0"/>
              <w:rPr>
                <w:sz w:val="15"/>
                <w:szCs w:val="15"/>
                <w:color w:val="auto"/>
              </w:rPr>
            </w:pPr>
          </w:p>
        </w:tc>
        <w:tc>
          <w:tcPr>
            <w:tcW w:w="5260" w:type="dxa"/>
            <w:vAlign w:val="bottom"/>
            <w:tcBorders>
              <w:right w:val="single" w:sz="8" w:color="93A1D2"/>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tcBorders>
              <w:right w:val="single" w:sz="8" w:color="3465B0"/>
            </w:tcBorders>
          </w:tcPr>
          <w:p>
            <w:pPr>
              <w:ind w:left="260"/>
              <w:spacing w:after="0" w:line="181" w:lineRule="exact"/>
              <w:rPr>
                <w:sz w:val="20"/>
                <w:szCs w:val="20"/>
                <w:color w:val="auto"/>
              </w:rPr>
            </w:pPr>
            <w:r>
              <w:rPr>
                <w:rFonts w:ascii="Arial" w:cs="Arial" w:eastAsia="Arial" w:hAnsi="Arial"/>
                <w:sz w:val="18"/>
                <w:szCs w:val="18"/>
                <w:color w:val="auto"/>
              </w:rPr>
              <w:t>approval</w:t>
            </w:r>
          </w:p>
        </w:tc>
        <w:tc>
          <w:tcPr>
            <w:tcW w:w="0" w:type="dxa"/>
            <w:vAlign w:val="bottom"/>
          </w:tcPr>
          <w:p>
            <w:pPr>
              <w:spacing w:after="0"/>
              <w:rPr>
                <w:sz w:val="1"/>
                <w:szCs w:val="1"/>
                <w:color w:val="auto"/>
              </w:rPr>
            </w:pPr>
          </w:p>
        </w:tc>
      </w:tr>
      <w:tr>
        <w:trPr>
          <w:trHeight w:val="224"/>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against predefined performance metrics</w:t>
            </w:r>
          </w:p>
        </w:tc>
        <w:tc>
          <w:tcPr>
            <w:tcW w:w="60" w:type="dxa"/>
            <w:vAlign w:val="bottom"/>
          </w:tcPr>
          <w:p>
            <w:pPr>
              <w:spacing w:after="0"/>
              <w:rPr>
                <w:sz w:val="19"/>
                <w:szCs w:val="19"/>
                <w:color w:val="auto"/>
              </w:rPr>
            </w:pPr>
          </w:p>
        </w:tc>
        <w:tc>
          <w:tcPr>
            <w:tcW w:w="3760" w:type="dxa"/>
            <w:vAlign w:val="bottom"/>
            <w:tcBorders>
              <w:right w:val="single" w:sz="8" w:color="3465B0"/>
            </w:tcBorders>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significant perquisites for executive</w:t>
            </w:r>
          </w:p>
        </w:tc>
        <w:tc>
          <w:tcPr>
            <w:tcW w:w="0" w:type="dxa"/>
            <w:vAlign w:val="bottom"/>
          </w:tcPr>
          <w:p>
            <w:pPr>
              <w:spacing w:after="0"/>
              <w:rPr>
                <w:sz w:val="1"/>
                <w:szCs w:val="1"/>
                <w:color w:val="auto"/>
              </w:rPr>
            </w:pPr>
          </w:p>
        </w:tc>
      </w:tr>
      <w:tr>
        <w:trPr>
          <w:trHeight w:val="54"/>
        </w:trPr>
        <w:tc>
          <w:tcPr>
            <w:tcW w:w="80" w:type="dxa"/>
            <w:vAlign w:val="bottom"/>
            <w:tcBorders>
              <w:left w:val="single" w:sz="8" w:color="3465B0"/>
            </w:tcBorders>
          </w:tcPr>
          <w:p>
            <w:pPr>
              <w:spacing w:after="0"/>
              <w:rPr>
                <w:sz w:val="4"/>
                <w:szCs w:val="4"/>
                <w:color w:val="auto"/>
              </w:rPr>
            </w:pPr>
          </w:p>
        </w:tc>
        <w:tc>
          <w:tcPr>
            <w:tcW w:w="5260" w:type="dxa"/>
            <w:vAlign w:val="bottom"/>
            <w:tcBorders>
              <w:right w:val="single" w:sz="8" w:color="93A1D2"/>
            </w:tcBorders>
            <w:vMerge w:val="restart"/>
          </w:tcPr>
          <w:p>
            <w:pPr>
              <w:ind w:left="160"/>
              <w:spacing w:after="0"/>
              <w:rPr>
                <w:sz w:val="20"/>
                <w:szCs w:val="20"/>
                <w:color w:val="auto"/>
              </w:rPr>
            </w:pPr>
            <w:r>
              <w:rPr>
                <w:rFonts w:ascii="Arial" w:cs="Arial" w:eastAsia="Arial" w:hAnsi="Arial"/>
                <w:sz w:val="18"/>
                <w:szCs w:val="18"/>
                <w:color w:val="auto"/>
              </w:rPr>
              <w:t>    Maintain robust stock ownership guidelines for our NEOs</w:t>
            </w:r>
          </w:p>
        </w:tc>
        <w:tc>
          <w:tcPr>
            <w:tcW w:w="60" w:type="dxa"/>
            <w:vAlign w:val="bottom"/>
          </w:tcPr>
          <w:p>
            <w:pPr>
              <w:spacing w:after="0"/>
              <w:rPr>
                <w:sz w:val="4"/>
                <w:szCs w:val="4"/>
                <w:color w:val="auto"/>
              </w:rPr>
            </w:pPr>
          </w:p>
        </w:tc>
        <w:tc>
          <w:tcPr>
            <w:tcW w:w="3760" w:type="dxa"/>
            <w:vAlign w:val="bottom"/>
            <w:tcBorders>
              <w:right w:val="single" w:sz="8" w:color="3465B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80" w:type="dxa"/>
            <w:vAlign w:val="bottom"/>
            <w:tcBorders>
              <w:left w:val="single" w:sz="8" w:color="3465B0"/>
            </w:tcBorders>
          </w:tcPr>
          <w:p>
            <w:pPr>
              <w:spacing w:after="0"/>
              <w:rPr>
                <w:sz w:val="15"/>
                <w:szCs w:val="15"/>
                <w:color w:val="auto"/>
              </w:rPr>
            </w:pPr>
          </w:p>
        </w:tc>
        <w:tc>
          <w:tcPr>
            <w:tcW w:w="5260" w:type="dxa"/>
            <w:vAlign w:val="bottom"/>
            <w:tcBorders>
              <w:right w:val="single" w:sz="8" w:color="93A1D2"/>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tcBorders>
              <w:right w:val="single" w:sz="8" w:color="3465B0"/>
            </w:tcBorders>
          </w:tcPr>
          <w:p>
            <w:pPr>
              <w:ind w:left="260"/>
              <w:spacing w:after="0" w:line="181" w:lineRule="exact"/>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24"/>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and directors</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28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Chief Executive Officer—6x annual base salary</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5260" w:type="dxa"/>
            <w:vAlign w:val="bottom"/>
            <w:tcBorders>
              <w:right w:val="single" w:sz="8" w:color="93A1D2"/>
            </w:tcBorders>
          </w:tcPr>
          <w:p>
            <w:pPr>
              <w:ind w:left="28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Other NEOs—3x annual base salary</w:t>
            </w:r>
          </w:p>
        </w:tc>
        <w:tc>
          <w:tcPr>
            <w:tcW w:w="60" w:type="dxa"/>
            <w:vAlign w:val="bottom"/>
          </w:tcPr>
          <w:p>
            <w:pPr>
              <w:spacing w:after="0"/>
              <w:rPr>
                <w:sz w:val="22"/>
                <w:szCs w:val="22"/>
                <w:color w:val="auto"/>
              </w:rPr>
            </w:pPr>
          </w:p>
        </w:tc>
        <w:tc>
          <w:tcPr>
            <w:tcW w:w="3760" w:type="dxa"/>
            <w:vAlign w:val="bottom"/>
            <w:tcBorders>
              <w:right w:val="single" w:sz="8" w:color="3465B0"/>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tcBorders>
              <w:left w:val="single" w:sz="8" w:color="3465B0"/>
            </w:tcBorders>
          </w:tcPr>
          <w:p>
            <w:pPr>
              <w:spacing w:after="0"/>
              <w:rPr>
                <w:sz w:val="22"/>
                <w:szCs w:val="22"/>
                <w:color w:val="auto"/>
              </w:rPr>
            </w:pPr>
          </w:p>
        </w:tc>
        <w:tc>
          <w:tcPr>
            <w:tcW w:w="5260" w:type="dxa"/>
            <w:vAlign w:val="bottom"/>
            <w:tcBorders>
              <w:right w:val="single" w:sz="8" w:color="93A1D2"/>
            </w:tcBorders>
          </w:tcPr>
          <w:p>
            <w:pPr>
              <w:ind w:left="28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Non-Employee Directors—5x annual cash retainer</w:t>
            </w:r>
          </w:p>
        </w:tc>
        <w:tc>
          <w:tcPr>
            <w:tcW w:w="60" w:type="dxa"/>
            <w:vAlign w:val="bottom"/>
          </w:tcPr>
          <w:p>
            <w:pPr>
              <w:spacing w:after="0"/>
              <w:rPr>
                <w:sz w:val="22"/>
                <w:szCs w:val="22"/>
                <w:color w:val="auto"/>
              </w:rPr>
            </w:pPr>
          </w:p>
        </w:tc>
        <w:tc>
          <w:tcPr>
            <w:tcW w:w="3760" w:type="dxa"/>
            <w:vAlign w:val="bottom"/>
            <w:tcBorders>
              <w:right w:val="single" w:sz="8" w:color="3465B0"/>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Review our compensation programs and strategy annually</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with robust Board and committee oversight</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Hold an annual Say-on-Pay vote supported by a strong</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stockholder engagement strategy</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Require “Double-Trigger” vesting for change in control</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provisions</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Borders>
              <w:left w:val="single" w:sz="8" w:color="3465B0"/>
            </w:tcBorders>
          </w:tcPr>
          <w:p>
            <w:pPr>
              <w:spacing w:after="0"/>
              <w:rPr>
                <w:sz w:val="19"/>
                <w:szCs w:val="19"/>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Maintain an incentive compensation recovery (“clawback”)</w:t>
            </w:r>
          </w:p>
        </w:tc>
        <w:tc>
          <w:tcPr>
            <w:tcW w:w="60" w:type="dxa"/>
            <w:vAlign w:val="bottom"/>
          </w:tcPr>
          <w:p>
            <w:pPr>
              <w:spacing w:after="0"/>
              <w:rPr>
                <w:sz w:val="19"/>
                <w:szCs w:val="19"/>
                <w:color w:val="auto"/>
              </w:rPr>
            </w:pPr>
          </w:p>
        </w:tc>
        <w:tc>
          <w:tcPr>
            <w:tcW w:w="376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left w:val="single" w:sz="8" w:color="3465B0"/>
            </w:tcBorders>
          </w:tcPr>
          <w:p>
            <w:pPr>
              <w:spacing w:after="0"/>
              <w:rPr>
                <w:sz w:val="20"/>
                <w:szCs w:val="20"/>
                <w:color w:val="auto"/>
              </w:rPr>
            </w:pPr>
          </w:p>
        </w:tc>
        <w:tc>
          <w:tcPr>
            <w:tcW w:w="5260" w:type="dxa"/>
            <w:vAlign w:val="bottom"/>
            <w:tcBorders>
              <w:right w:val="single" w:sz="8" w:color="93A1D2"/>
            </w:tcBorders>
          </w:tcPr>
          <w:p>
            <w:pPr>
              <w:ind w:left="340"/>
              <w:spacing w:after="0"/>
              <w:rPr>
                <w:sz w:val="20"/>
                <w:szCs w:val="20"/>
                <w:color w:val="auto"/>
              </w:rPr>
            </w:pPr>
            <w:r>
              <w:rPr>
                <w:rFonts w:ascii="Arial" w:cs="Arial" w:eastAsia="Arial" w:hAnsi="Arial"/>
                <w:sz w:val="18"/>
                <w:szCs w:val="18"/>
                <w:color w:val="auto"/>
              </w:rPr>
              <w:t>policy</w:t>
            </w:r>
          </w:p>
        </w:tc>
        <w:tc>
          <w:tcPr>
            <w:tcW w:w="60" w:type="dxa"/>
            <w:vAlign w:val="bottom"/>
          </w:tcPr>
          <w:p>
            <w:pPr>
              <w:spacing w:after="0"/>
              <w:rPr>
                <w:sz w:val="20"/>
                <w:szCs w:val="20"/>
                <w:color w:val="auto"/>
              </w:rPr>
            </w:pPr>
          </w:p>
        </w:tc>
        <w:tc>
          <w:tcPr>
            <w:tcW w:w="376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0" w:type="dxa"/>
            <w:vAlign w:val="bottom"/>
            <w:tcBorders>
              <w:left w:val="single" w:sz="8" w:color="3465B0"/>
            </w:tcBorders>
          </w:tcPr>
          <w:p>
            <w:pPr>
              <w:spacing w:after="0"/>
              <w:rPr>
                <w:sz w:val="24"/>
                <w:szCs w:val="24"/>
                <w:color w:val="auto"/>
              </w:rPr>
            </w:pPr>
          </w:p>
        </w:tc>
        <w:tc>
          <w:tcPr>
            <w:tcW w:w="5260" w:type="dxa"/>
            <w:vAlign w:val="bottom"/>
            <w:tcBorders>
              <w:right w:val="single" w:sz="8" w:color="93A1D2"/>
            </w:tcBorders>
          </w:tcPr>
          <w:p>
            <w:pPr>
              <w:ind w:left="160"/>
              <w:spacing w:after="0"/>
              <w:rPr>
                <w:sz w:val="20"/>
                <w:szCs w:val="20"/>
                <w:color w:val="auto"/>
              </w:rPr>
            </w:pPr>
            <w:r>
              <w:rPr>
                <w:rFonts w:ascii="Arial" w:cs="Arial" w:eastAsia="Arial" w:hAnsi="Arial"/>
                <w:sz w:val="18"/>
                <w:szCs w:val="18"/>
                <w:color w:val="auto"/>
              </w:rPr>
              <w:t>    Retain an independent compensation consultant</w:t>
            </w:r>
          </w:p>
        </w:tc>
        <w:tc>
          <w:tcPr>
            <w:tcW w:w="60" w:type="dxa"/>
            <w:vAlign w:val="bottom"/>
          </w:tcPr>
          <w:p>
            <w:pPr>
              <w:spacing w:after="0"/>
              <w:rPr>
                <w:sz w:val="24"/>
                <w:szCs w:val="24"/>
                <w:color w:val="auto"/>
              </w:rPr>
            </w:pPr>
          </w:p>
        </w:tc>
        <w:tc>
          <w:tcPr>
            <w:tcW w:w="3760" w:type="dxa"/>
            <w:vAlign w:val="bottom"/>
            <w:tcBorders>
              <w:right w:val="single" w:sz="8" w:color="3465B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5260" w:type="dxa"/>
            <w:vAlign w:val="bottom"/>
            <w:tcBorders>
              <w:right w:val="single" w:sz="8" w:color="3465B0"/>
            </w:tcBorders>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3760" w:type="dxa"/>
            <w:vAlign w:val="bottom"/>
            <w:tcBorders>
              <w:right w:val="single" w:sz="8" w:color="3465B0"/>
            </w:tcBorders>
            <w:shd w:val="clear" w:color="auto" w:fill="3465B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-3241675</wp:posOffset>
            </wp:positionV>
            <wp:extent cx="76835" cy="939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-2950210</wp:posOffset>
            </wp:positionV>
            <wp:extent cx="76835" cy="939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-2401570</wp:posOffset>
            </wp:positionV>
            <wp:extent cx="76835" cy="939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-2110105</wp:posOffset>
            </wp:positionV>
            <wp:extent cx="76835" cy="939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-1330325</wp:posOffset>
            </wp:positionV>
            <wp:extent cx="76835" cy="939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-1038860</wp:posOffset>
            </wp:positionV>
            <wp:extent cx="76835" cy="939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-747395</wp:posOffset>
            </wp:positionV>
            <wp:extent cx="76835" cy="946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9461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-455930</wp:posOffset>
            </wp:positionV>
            <wp:extent cx="76835" cy="939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-164465</wp:posOffset>
            </wp:positionV>
            <wp:extent cx="76835" cy="939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Compensation Philosophy and Approach</w:t>
      </w:r>
    </w:p>
    <w:p>
      <w:pPr>
        <w:spacing w:after="0" w:line="13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mission is making quality eye care and eyewear more accessible and affordable. In order to do this, we must attract, engage and retain highly talented individuals who are committed to our core values of doing what is right, creating happiness every day and being energized to serve. We design our compensation programs to attract and retain a talented and experienced executive team with the skills and qualifications to manage and lead the Company effectively and help us achieve these goals. We strive to create the right balance of pay for performance and long-term value creation for our stockholders, while rewarding short-term success and motivating our leaders to execute against our strategic growth initiatives without taking unnecessary risks. We believe our current compensation programs strike this balance.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Compensation Objectives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executive compensation program supports the following objectives:</w:t>
      </w:r>
    </w:p>
    <w:p>
      <w:pPr>
        <w:sectPr>
          <w:pgSz w:w="11900" w:h="16838" w:orient="portrait"/>
          <w:cols w:equalWidth="0" w:num="1">
            <w:col w:w="9160"/>
          </w:cols>
          <w:pgMar w:left="1360" w:top="114" w:right="1379" w:bottom="1440" w:gutter="0" w:footer="0" w:header="0"/>
        </w:sectPr>
      </w:pPr>
    </w:p>
    <w:p>
      <w:pPr>
        <w:spacing w:after="0" w:line="109"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Motivate executives to meet or exceed performance goals</w:t>
      </w:r>
      <w:r>
        <w:rPr>
          <w:rFonts w:ascii="Arial" w:cs="Arial" w:eastAsia="Arial" w:hAnsi="Arial"/>
          <w:sz w:val="18"/>
          <w:szCs w:val="18"/>
          <w:color w:val="auto"/>
        </w:rPr>
        <w:t>. A significant portion of each NEO’s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is directly tied to the achievement of the Company’s overall financial and strategic goals.</w:t>
      </w:r>
    </w:p>
    <w:p>
      <w:pPr>
        <w:spacing w:after="0" w:line="4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Attract and retain talented executives</w:t>
      </w:r>
      <w:r>
        <w:rPr>
          <w:rFonts w:ascii="Arial" w:cs="Arial" w:eastAsia="Arial" w:hAnsi="Arial"/>
          <w:sz w:val="18"/>
          <w:szCs w:val="18"/>
          <w:color w:val="auto"/>
        </w:rPr>
        <w:t>. The Company seeks to provide overall levels of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market-competitive to attract, retain and motivate highly qualified executives to continue to enhance long-term equity value.</w:t>
      </w:r>
    </w:p>
    <w:p>
      <w:pPr>
        <w:spacing w:after="0" w:line="6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i w:val="1"/>
          <w:iCs w:val="1"/>
          <w:color w:val="auto"/>
        </w:rPr>
        <w:t>Link the financial interests of executives and stockholders</w:t>
      </w:r>
      <w:r>
        <w:rPr>
          <w:rFonts w:ascii="Arial" w:cs="Arial" w:eastAsia="Arial" w:hAnsi="Arial"/>
          <w:sz w:val="18"/>
          <w:szCs w:val="18"/>
          <w:color w:val="auto"/>
        </w:rPr>
        <w:t>. In order to foster a strong relationship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stockholder value and executive compensation, a significant portion of executive compensation is composed of long-term equity incentive awards. Additionally, 50% of the long-term incentive awards granted to our NEOs is in the form of performance stock units (“PSUs”) directly tied to the Company’s financial performance.</w:t>
      </w:r>
    </w:p>
    <w:p>
      <w:pPr>
        <w:spacing w:after="0" w:line="55"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ind w:left="360" w:hanging="346"/>
        <w:spacing w:after="0"/>
        <w:tabs>
          <w:tab w:leader="none" w:pos="360" w:val="left"/>
        </w:tabs>
        <w:numPr>
          <w:ilvl w:val="0"/>
          <w:numId w:val="46"/>
        </w:numPr>
        <w:rPr>
          <w:rFonts w:ascii="Arial" w:cs="Arial" w:eastAsia="Arial" w:hAnsi="Arial"/>
          <w:sz w:val="15"/>
          <w:szCs w:val="15"/>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41" w:name="page42"/>
    <w:bookmarkEnd w:id="41"/>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2025 Executive Compensation Developments</w:t>
      </w:r>
    </w:p>
    <w:p>
      <w:pPr>
        <w:spacing w:after="0" w:line="139"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To further align the interests of our executive officers with the interests of our stockholders and to promote long-term value creation for stockholders, the compensation committee approved certain changes to our annual cash incentive program and long-term equity incentive program for 2025. Engaging with stockholders to understand their priorities and areas of focus is fundamental to our commitment to good governance and, over the past several years, feedback received from these discussions has helped inform these and other enhancements to our executive compensation programs and disclosures.</w:t>
      </w:r>
    </w:p>
    <w:p>
      <w:pPr>
        <w:spacing w:after="0" w:line="13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Our executive compensation program for 2025 included the following changes:</w:t>
      </w:r>
    </w:p>
    <w:p>
      <w:pPr>
        <w:sectPr>
          <w:pgSz w:w="11900" w:h="16838" w:orient="portrait"/>
          <w:cols w:equalWidth="0" w:num="1">
            <w:col w:w="11020"/>
          </w:cols>
          <w:pgMar w:left="440" w:top="114" w:right="439" w:bottom="1440" w:gutter="0" w:footer="0" w:header="0"/>
        </w:sectPr>
      </w:pPr>
    </w:p>
    <w:p>
      <w:pPr>
        <w:spacing w:after="0" w:line="109"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960"/>
        <w:spacing w:after="0" w:line="244" w:lineRule="auto"/>
        <w:rPr>
          <w:sz w:val="20"/>
          <w:szCs w:val="20"/>
          <w:color w:val="auto"/>
        </w:rPr>
      </w:pPr>
      <w:r>
        <w:rPr>
          <w:rFonts w:ascii="Arial" w:cs="Arial" w:eastAsia="Arial" w:hAnsi="Arial"/>
          <w:sz w:val="18"/>
          <w:szCs w:val="18"/>
          <w:b w:val="1"/>
          <w:bCs w:val="1"/>
          <w:i w:val="1"/>
          <w:iCs w:val="1"/>
          <w:color w:val="auto"/>
        </w:rPr>
        <w:t>Additional performance metric added to the annual cash incentive program</w:t>
      </w:r>
      <w:r>
        <w:rPr>
          <w:rFonts w:ascii="Arial" w:cs="Arial" w:eastAsia="Arial" w:hAnsi="Arial"/>
          <w:sz w:val="18"/>
          <w:szCs w:val="18"/>
          <w:color w:val="auto"/>
        </w:rPr>
        <w:t>. For 2025, our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incentive program included Adjusted Comparable Same Store Sales Growth as a second corporate performance metric, in addition to Annual Incentive Adjusted Operating Income. Adjusted Comparable Store Sales Growth is a key metric used by both management and stockholders to assess the operational health and overall performance of each brand and the Company as a whole.</w:t>
      </w:r>
    </w:p>
    <w:p>
      <w:pPr>
        <w:spacing w:after="0" w:line="68" w:lineRule="exact"/>
        <w:rPr>
          <w:sz w:val="20"/>
          <w:szCs w:val="20"/>
          <w:color w:val="auto"/>
        </w:rPr>
      </w:pPr>
    </w:p>
    <w:p>
      <w:pPr>
        <w:jc w:val="both"/>
        <w:ind w:right="960"/>
        <w:spacing w:after="0" w:line="247" w:lineRule="auto"/>
        <w:rPr>
          <w:sz w:val="20"/>
          <w:szCs w:val="20"/>
          <w:color w:val="auto"/>
        </w:rPr>
      </w:pPr>
      <w:r>
        <w:rPr>
          <w:rFonts w:ascii="Arial" w:cs="Arial" w:eastAsia="Arial" w:hAnsi="Arial"/>
          <w:sz w:val="18"/>
          <w:szCs w:val="18"/>
          <w:b w:val="1"/>
          <w:bCs w:val="1"/>
          <w:i w:val="1"/>
          <w:iCs w:val="1"/>
          <w:color w:val="auto"/>
        </w:rPr>
        <w:t>Enhanced PSU design, including relative total shareholder return component</w:t>
      </w:r>
      <w:r>
        <w:rPr>
          <w:rFonts w:ascii="Arial" w:cs="Arial" w:eastAsia="Arial" w:hAnsi="Arial"/>
          <w:sz w:val="18"/>
          <w:szCs w:val="18"/>
          <w:color w:val="auto"/>
        </w:rPr>
        <w:t>. For 2025, our PSUs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relative total stockholder return as a third performance metric (weighted 25%), in addition to financial performance goals related to growth in annual Adjusted Operating Income (50%) and Return on Invested Capital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53975</wp:posOffset>
            </wp:positionV>
            <wp:extent cx="205740" cy="2057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1320" w:space="140"/>
            <w:col w:w="9560"/>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35</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type w:val="continuous"/>
        </w:sectPr>
      </w:pPr>
    </w:p>
    <w:bookmarkStart w:id="42" w:name="page43"/>
    <w:bookmarkEnd w:id="4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NEO Compensation Overview</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Key Elements of 2025 Compensation</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80" w:type="dxa"/>
            <w:vAlign w:val="bottom"/>
            <w:tcBorders>
              <w:top w:val="single" w:sz="8" w:color="3465B0"/>
              <w:left w:val="single" w:sz="8" w:color="3465B0"/>
            </w:tcBorders>
            <w:shd w:val="clear" w:color="auto" w:fill="3465B0"/>
          </w:tcPr>
          <w:p>
            <w:pPr>
              <w:spacing w:after="0"/>
              <w:rPr>
                <w:sz w:val="23"/>
                <w:szCs w:val="23"/>
                <w:color w:val="auto"/>
              </w:rPr>
            </w:pPr>
          </w:p>
        </w:tc>
        <w:tc>
          <w:tcPr>
            <w:tcW w:w="240" w:type="dxa"/>
            <w:vAlign w:val="bottom"/>
            <w:tcBorders>
              <w:top w:val="single" w:sz="8" w:color="3465B0"/>
              <w:right w:val="single" w:sz="8" w:color="93A1D2"/>
            </w:tcBorders>
            <w:shd w:val="clear" w:color="auto" w:fill="3465B0"/>
          </w:tcPr>
          <w:p>
            <w:pPr>
              <w:spacing w:after="0"/>
              <w:rPr>
                <w:sz w:val="23"/>
                <w:szCs w:val="23"/>
                <w:color w:val="auto"/>
              </w:rPr>
            </w:pPr>
          </w:p>
        </w:tc>
        <w:tc>
          <w:tcPr>
            <w:tcW w:w="80" w:type="dxa"/>
            <w:vAlign w:val="bottom"/>
            <w:tcBorders>
              <w:top w:val="single" w:sz="8" w:color="3465B0"/>
            </w:tcBorders>
            <w:shd w:val="clear" w:color="auto" w:fill="3465B0"/>
          </w:tcPr>
          <w:p>
            <w:pPr>
              <w:spacing w:after="0"/>
              <w:rPr>
                <w:sz w:val="23"/>
                <w:szCs w:val="23"/>
                <w:color w:val="auto"/>
              </w:rPr>
            </w:pPr>
          </w:p>
        </w:tc>
        <w:tc>
          <w:tcPr>
            <w:tcW w:w="1920" w:type="dxa"/>
            <w:vAlign w:val="bottom"/>
            <w:tcBorders>
              <w:top w:val="single" w:sz="8" w:color="3465B0"/>
            </w:tcBorders>
            <w:shd w:val="clear" w:color="auto" w:fill="3465B0"/>
          </w:tcPr>
          <w:p>
            <w:pPr>
              <w:spacing w:after="0"/>
              <w:rPr>
                <w:sz w:val="20"/>
                <w:szCs w:val="20"/>
                <w:color w:val="auto"/>
              </w:rPr>
            </w:pPr>
            <w:r>
              <w:rPr>
                <w:rFonts w:ascii="Arial" w:cs="Arial" w:eastAsia="Arial" w:hAnsi="Arial"/>
                <w:sz w:val="18"/>
                <w:szCs w:val="18"/>
                <w:b w:val="1"/>
                <w:bCs w:val="1"/>
                <w:color w:val="FFFFFF"/>
              </w:rPr>
              <w:t>Compensation</w:t>
            </w:r>
          </w:p>
        </w:tc>
        <w:tc>
          <w:tcPr>
            <w:tcW w:w="100" w:type="dxa"/>
            <w:vAlign w:val="bottom"/>
            <w:tcBorders>
              <w:top w:val="single" w:sz="8" w:color="3465B0"/>
            </w:tcBorders>
            <w:shd w:val="clear" w:color="auto" w:fill="3465B0"/>
          </w:tcPr>
          <w:p>
            <w:pPr>
              <w:spacing w:after="0"/>
              <w:rPr>
                <w:sz w:val="23"/>
                <w:szCs w:val="23"/>
                <w:color w:val="auto"/>
              </w:rPr>
            </w:pPr>
          </w:p>
        </w:tc>
        <w:tc>
          <w:tcPr>
            <w:tcW w:w="2080" w:type="dxa"/>
            <w:vAlign w:val="bottom"/>
            <w:tcBorders>
              <w:top w:val="single" w:sz="8" w:color="3465B0"/>
              <w:right w:val="single" w:sz="8" w:color="93A1D2"/>
            </w:tcBorders>
            <w:shd w:val="clear" w:color="auto" w:fill="3465B0"/>
          </w:tcPr>
          <w:p>
            <w:pPr>
              <w:spacing w:after="0"/>
              <w:rPr>
                <w:sz w:val="23"/>
                <w:szCs w:val="23"/>
                <w:color w:val="auto"/>
              </w:rPr>
            </w:pPr>
          </w:p>
        </w:tc>
        <w:tc>
          <w:tcPr>
            <w:tcW w:w="80" w:type="dxa"/>
            <w:vAlign w:val="bottom"/>
            <w:tcBorders>
              <w:top w:val="single" w:sz="8" w:color="3465B0"/>
            </w:tcBorders>
            <w:shd w:val="clear" w:color="auto" w:fill="3465B0"/>
          </w:tcPr>
          <w:p>
            <w:pPr>
              <w:spacing w:after="0"/>
              <w:rPr>
                <w:sz w:val="23"/>
                <w:szCs w:val="23"/>
                <w:color w:val="auto"/>
              </w:rPr>
            </w:pPr>
          </w:p>
        </w:tc>
        <w:tc>
          <w:tcPr>
            <w:tcW w:w="400" w:type="dxa"/>
            <w:vAlign w:val="bottom"/>
            <w:tcBorders>
              <w:top w:val="single" w:sz="8" w:color="3465B0"/>
            </w:tcBorders>
            <w:shd w:val="clear" w:color="auto" w:fill="3465B0"/>
          </w:tcPr>
          <w:p>
            <w:pPr>
              <w:spacing w:after="0"/>
              <w:rPr>
                <w:sz w:val="23"/>
                <w:szCs w:val="23"/>
                <w:color w:val="auto"/>
              </w:rPr>
            </w:pPr>
          </w:p>
        </w:tc>
        <w:tc>
          <w:tcPr>
            <w:tcW w:w="1860" w:type="dxa"/>
            <w:vAlign w:val="bottom"/>
            <w:tcBorders>
              <w:top w:val="single" w:sz="8" w:color="3465B0"/>
              <w:right w:val="single" w:sz="8" w:color="93A1D2"/>
            </w:tcBorders>
            <w:shd w:val="clear" w:color="auto" w:fill="3465B0"/>
          </w:tcPr>
          <w:p>
            <w:pPr>
              <w:spacing w:after="0"/>
              <w:rPr>
                <w:sz w:val="23"/>
                <w:szCs w:val="23"/>
                <w:color w:val="auto"/>
              </w:rPr>
            </w:pPr>
          </w:p>
        </w:tc>
        <w:tc>
          <w:tcPr>
            <w:tcW w:w="80" w:type="dxa"/>
            <w:vAlign w:val="bottom"/>
            <w:tcBorders>
              <w:top w:val="single" w:sz="8" w:color="3465B0"/>
            </w:tcBorders>
            <w:shd w:val="clear" w:color="auto" w:fill="3465B0"/>
          </w:tcPr>
          <w:p>
            <w:pPr>
              <w:spacing w:after="0"/>
              <w:rPr>
                <w:sz w:val="23"/>
                <w:szCs w:val="23"/>
                <w:color w:val="auto"/>
              </w:rPr>
            </w:pPr>
          </w:p>
        </w:tc>
        <w:tc>
          <w:tcPr>
            <w:tcW w:w="2240" w:type="dxa"/>
            <w:vAlign w:val="bottom"/>
            <w:tcBorders>
              <w:top w:val="single" w:sz="8" w:color="3465B0"/>
              <w:right w:val="single" w:sz="8" w:color="3465B0"/>
            </w:tcBorders>
            <w:shd w:val="clear" w:color="auto" w:fill="3465B0"/>
          </w:tcPr>
          <w:p>
            <w:pPr>
              <w:spacing w:after="0"/>
              <w:rPr>
                <w:sz w:val="20"/>
                <w:szCs w:val="20"/>
                <w:color w:val="auto"/>
              </w:rPr>
            </w:pPr>
            <w:r>
              <w:rPr>
                <w:rFonts w:ascii="Arial" w:cs="Arial" w:eastAsia="Arial" w:hAnsi="Arial"/>
                <w:sz w:val="18"/>
                <w:szCs w:val="18"/>
                <w:b w:val="1"/>
                <w:bCs w:val="1"/>
                <w:color w:val="FFFFFF"/>
              </w:rPr>
              <w:t>2025 Actions and</w:t>
            </w:r>
          </w:p>
        </w:tc>
        <w:tc>
          <w:tcPr>
            <w:tcW w:w="0" w:type="dxa"/>
            <w:vAlign w:val="bottom"/>
          </w:tcPr>
          <w:p>
            <w:pPr>
              <w:spacing w:after="0"/>
              <w:rPr>
                <w:sz w:val="1"/>
                <w:szCs w:val="1"/>
                <w:color w:val="auto"/>
              </w:rPr>
            </w:pPr>
          </w:p>
        </w:tc>
      </w:tr>
      <w:tr>
        <w:trPr>
          <w:trHeight w:val="262"/>
        </w:trPr>
        <w:tc>
          <w:tcPr>
            <w:tcW w:w="80" w:type="dxa"/>
            <w:vAlign w:val="bottom"/>
            <w:tcBorders>
              <w:left w:val="single" w:sz="8" w:color="3465B0"/>
            </w:tcBorders>
            <w:shd w:val="clear" w:color="auto" w:fill="3465B0"/>
          </w:tcPr>
          <w:p>
            <w:pPr>
              <w:spacing w:after="0"/>
              <w:rPr>
                <w:sz w:val="22"/>
                <w:szCs w:val="22"/>
                <w:color w:val="auto"/>
              </w:rPr>
            </w:pPr>
          </w:p>
        </w:tc>
        <w:tc>
          <w:tcPr>
            <w:tcW w:w="240" w:type="dxa"/>
            <w:vAlign w:val="bottom"/>
            <w:tcBorders>
              <w:right w:val="single" w:sz="8" w:color="93A1D2"/>
            </w:tcBorders>
            <w:shd w:val="clear" w:color="auto" w:fill="3465B0"/>
          </w:tcPr>
          <w:p>
            <w:pPr>
              <w:spacing w:after="0"/>
              <w:rPr>
                <w:sz w:val="22"/>
                <w:szCs w:val="22"/>
                <w:color w:val="auto"/>
              </w:rPr>
            </w:pPr>
          </w:p>
        </w:tc>
        <w:tc>
          <w:tcPr>
            <w:tcW w:w="80" w:type="dxa"/>
            <w:vAlign w:val="bottom"/>
            <w:shd w:val="clear" w:color="auto" w:fill="3465B0"/>
          </w:tcPr>
          <w:p>
            <w:pPr>
              <w:spacing w:after="0"/>
              <w:rPr>
                <w:sz w:val="22"/>
                <w:szCs w:val="22"/>
                <w:color w:val="auto"/>
              </w:rPr>
            </w:pPr>
          </w:p>
        </w:tc>
        <w:tc>
          <w:tcPr>
            <w:tcW w:w="1920" w:type="dxa"/>
            <w:vAlign w:val="bottom"/>
            <w:shd w:val="clear" w:color="auto" w:fill="3465B0"/>
          </w:tcPr>
          <w:p>
            <w:pPr>
              <w:spacing w:after="0"/>
              <w:rPr>
                <w:sz w:val="20"/>
                <w:szCs w:val="20"/>
                <w:color w:val="auto"/>
              </w:rPr>
            </w:pPr>
            <w:r>
              <w:rPr>
                <w:rFonts w:ascii="Arial" w:cs="Arial" w:eastAsia="Arial" w:hAnsi="Arial"/>
                <w:sz w:val="18"/>
                <w:szCs w:val="18"/>
                <w:b w:val="1"/>
                <w:bCs w:val="1"/>
                <w:color w:val="FFFFFF"/>
              </w:rPr>
              <w:t>Elements</w:t>
            </w:r>
          </w:p>
        </w:tc>
        <w:tc>
          <w:tcPr>
            <w:tcW w:w="100" w:type="dxa"/>
            <w:vAlign w:val="bottom"/>
            <w:shd w:val="clear" w:color="auto" w:fill="3465B0"/>
          </w:tcPr>
          <w:p>
            <w:pPr>
              <w:spacing w:after="0"/>
              <w:rPr>
                <w:sz w:val="22"/>
                <w:szCs w:val="22"/>
                <w:color w:val="auto"/>
              </w:rPr>
            </w:pPr>
          </w:p>
        </w:tc>
        <w:tc>
          <w:tcPr>
            <w:tcW w:w="208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Purpose</w:t>
            </w:r>
          </w:p>
        </w:tc>
        <w:tc>
          <w:tcPr>
            <w:tcW w:w="80" w:type="dxa"/>
            <w:vAlign w:val="bottom"/>
            <w:shd w:val="clear" w:color="auto" w:fill="3465B0"/>
          </w:tcPr>
          <w:p>
            <w:pPr>
              <w:spacing w:after="0"/>
              <w:rPr>
                <w:sz w:val="22"/>
                <w:szCs w:val="22"/>
                <w:color w:val="auto"/>
              </w:rPr>
            </w:pPr>
          </w:p>
        </w:tc>
        <w:tc>
          <w:tcPr>
            <w:tcW w:w="2260" w:type="dxa"/>
            <w:vAlign w:val="bottom"/>
            <w:tcBorders>
              <w:right w:val="single" w:sz="8" w:color="93A1D2"/>
            </w:tcBorders>
            <w:gridSpan w:val="2"/>
            <w:shd w:val="clear" w:color="auto" w:fill="3465B0"/>
          </w:tcPr>
          <w:p>
            <w:pPr>
              <w:ind w:left="20"/>
              <w:spacing w:after="0"/>
              <w:rPr>
                <w:sz w:val="20"/>
                <w:szCs w:val="20"/>
                <w:color w:val="auto"/>
              </w:rPr>
            </w:pPr>
            <w:r>
              <w:rPr>
                <w:rFonts w:ascii="Arial" w:cs="Arial" w:eastAsia="Arial" w:hAnsi="Arial"/>
                <w:sz w:val="18"/>
                <w:szCs w:val="18"/>
                <w:b w:val="1"/>
                <w:bCs w:val="1"/>
                <w:color w:val="FFFFFF"/>
              </w:rPr>
              <w:t>Characteristics</w:t>
            </w:r>
          </w:p>
        </w:tc>
        <w:tc>
          <w:tcPr>
            <w:tcW w:w="80" w:type="dxa"/>
            <w:vAlign w:val="bottom"/>
            <w:shd w:val="clear" w:color="auto" w:fill="3465B0"/>
          </w:tcPr>
          <w:p>
            <w:pPr>
              <w:spacing w:after="0"/>
              <w:rPr>
                <w:sz w:val="22"/>
                <w:szCs w:val="22"/>
                <w:color w:val="auto"/>
              </w:rPr>
            </w:pPr>
          </w:p>
        </w:tc>
        <w:tc>
          <w:tcPr>
            <w:tcW w:w="224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8"/>
                <w:szCs w:val="18"/>
                <w:b w:val="1"/>
                <w:bCs w:val="1"/>
                <w:color w:val="FFFFFF"/>
              </w:rPr>
              <w:t>Results</w:t>
            </w:r>
          </w:p>
        </w:tc>
        <w:tc>
          <w:tcPr>
            <w:tcW w:w="0" w:type="dxa"/>
            <w:vAlign w:val="bottom"/>
          </w:tcPr>
          <w:p>
            <w:pPr>
              <w:spacing w:after="0"/>
              <w:rPr>
                <w:sz w:val="1"/>
                <w:szCs w:val="1"/>
                <w:color w:val="auto"/>
              </w:rPr>
            </w:pPr>
          </w:p>
        </w:tc>
      </w:tr>
      <w:tr>
        <w:trPr>
          <w:trHeight w:val="176"/>
        </w:trPr>
        <w:tc>
          <w:tcPr>
            <w:tcW w:w="80" w:type="dxa"/>
            <w:vAlign w:val="bottom"/>
            <w:tcBorders>
              <w:left w:val="single" w:sz="8" w:color="3465B0"/>
            </w:tcBorders>
            <w:shd w:val="clear" w:color="auto" w:fill="CCCCCC"/>
          </w:tcPr>
          <w:p>
            <w:pPr>
              <w:spacing w:after="0"/>
              <w:rPr>
                <w:sz w:val="15"/>
                <w:szCs w:val="15"/>
                <w:color w:val="auto"/>
              </w:rPr>
            </w:pPr>
          </w:p>
        </w:tc>
        <w:tc>
          <w:tcPr>
            <w:tcW w:w="240" w:type="dxa"/>
            <w:vAlign w:val="bottom"/>
            <w:tcBorders>
              <w:right w:val="single" w:sz="8" w:color="CCCCCC"/>
            </w:tcBorders>
            <w:shd w:val="clear" w:color="auto" w:fill="CCCCCC"/>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20"/>
                <w:szCs w:val="20"/>
                <w:color w:val="auto"/>
              </w:rPr>
            </w:pPr>
            <w:r>
              <w:rPr>
                <w:rFonts w:ascii="Arial" w:cs="Arial" w:eastAsia="Arial" w:hAnsi="Arial"/>
                <w:sz w:val="15"/>
                <w:szCs w:val="15"/>
                <w:b w:val="1"/>
                <w:bCs w:val="1"/>
                <w:color w:val="auto"/>
              </w:rPr>
              <w:t>Base Salary</w:t>
            </w:r>
          </w:p>
        </w:tc>
        <w:tc>
          <w:tcPr>
            <w:tcW w:w="10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5"/>
                <w:szCs w:val="15"/>
                <w:color w:val="auto"/>
              </w:rPr>
              <w:t>Provide a competitive level of</w:t>
            </w:r>
          </w:p>
        </w:tc>
        <w:tc>
          <w:tcPr>
            <w:tcW w:w="80" w:type="dxa"/>
            <w:vAlign w:val="bottom"/>
          </w:tcPr>
          <w:p>
            <w:pPr>
              <w:spacing w:after="0"/>
              <w:rPr>
                <w:sz w:val="15"/>
                <w:szCs w:val="15"/>
                <w:color w:val="auto"/>
              </w:rPr>
            </w:pPr>
          </w:p>
        </w:tc>
        <w:tc>
          <w:tcPr>
            <w:tcW w:w="2260" w:type="dxa"/>
            <w:vAlign w:val="bottom"/>
            <w:gridSpan w:val="2"/>
          </w:tcPr>
          <w:p>
            <w:pPr>
              <w:ind w:left="20"/>
              <w:spacing w:after="0" w:line="175" w:lineRule="exact"/>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Based on individual role,</w:t>
            </w:r>
          </w:p>
        </w:tc>
        <w:tc>
          <w:tcPr>
            <w:tcW w:w="80" w:type="dxa"/>
            <w:vAlign w:val="bottom"/>
          </w:tcPr>
          <w:p>
            <w:pPr>
              <w:spacing w:after="0"/>
              <w:rPr>
                <w:sz w:val="15"/>
                <w:szCs w:val="15"/>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In 2025, we increased the base</w:t>
            </w: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shd w:val="clear" w:color="auto" w:fill="CCCCCC"/>
          </w:tcPr>
          <w:p>
            <w:pPr>
              <w:spacing w:after="0"/>
              <w:rPr>
                <w:sz w:val="16"/>
                <w:szCs w:val="16"/>
                <w:color w:val="auto"/>
              </w:rPr>
            </w:pPr>
          </w:p>
        </w:tc>
        <w:tc>
          <w:tcPr>
            <w:tcW w:w="240" w:type="dxa"/>
            <w:vAlign w:val="bottom"/>
            <w:tcBorders>
              <w:right w:val="single" w:sz="8" w:color="CCCCCC"/>
            </w:tcBorders>
            <w:vMerge w:val="restart"/>
            <w:textDirection w:val="btLr"/>
            <w:shd w:val="clear" w:color="auto" w:fill="CCCCCC"/>
          </w:tcPr>
          <w:p>
            <w:pPr>
              <w:ind w:left="27"/>
              <w:spacing w:after="0"/>
              <w:rPr>
                <w:sz w:val="20"/>
                <w:szCs w:val="20"/>
                <w:color w:val="auto"/>
              </w:rPr>
            </w:pPr>
            <w:r>
              <w:rPr>
                <w:rFonts w:ascii="Arial" w:cs="Arial" w:eastAsia="Arial" w:hAnsi="Arial"/>
                <w:sz w:val="15"/>
                <w:szCs w:val="15"/>
                <w:b w:val="1"/>
                <w:bCs w:val="1"/>
                <w:color w:val="3465B0"/>
                <w:w w:val="97"/>
              </w:rPr>
              <w:t>Pay</w:t>
            </w: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5"/>
                <w:szCs w:val="15"/>
                <w:color w:val="auto"/>
              </w:rPr>
              <w:t>fixed pay to attract and retain</w:t>
            </w:r>
          </w:p>
        </w:tc>
        <w:tc>
          <w:tcPr>
            <w:tcW w:w="80" w:type="dxa"/>
            <w:vAlign w:val="bottom"/>
          </w:tcPr>
          <w:p>
            <w:pPr>
              <w:spacing w:after="0"/>
              <w:rPr>
                <w:sz w:val="16"/>
                <w:szCs w:val="16"/>
                <w:color w:val="auto"/>
              </w:rPr>
            </w:pPr>
          </w:p>
        </w:tc>
        <w:tc>
          <w:tcPr>
            <w:tcW w:w="2260" w:type="dxa"/>
            <w:vAlign w:val="bottom"/>
            <w:gridSpan w:val="2"/>
          </w:tcPr>
          <w:p>
            <w:pPr>
              <w:ind w:left="220"/>
              <w:spacing w:after="0"/>
              <w:rPr>
                <w:sz w:val="20"/>
                <w:szCs w:val="20"/>
                <w:color w:val="auto"/>
              </w:rPr>
            </w:pPr>
            <w:r>
              <w:rPr>
                <w:rFonts w:ascii="Arial" w:cs="Arial" w:eastAsia="Arial" w:hAnsi="Arial"/>
                <w:sz w:val="16"/>
                <w:szCs w:val="16"/>
                <w:color w:val="auto"/>
              </w:rPr>
              <w:t>skill set, market data, and</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salaries of our NEOs to more</w:t>
            </w:r>
          </w:p>
        </w:tc>
        <w:tc>
          <w:tcPr>
            <w:tcW w:w="0" w:type="dxa"/>
            <w:vAlign w:val="bottom"/>
          </w:tcPr>
          <w:p>
            <w:pPr>
              <w:spacing w:after="0"/>
              <w:rPr>
                <w:sz w:val="1"/>
                <w:szCs w:val="1"/>
                <w:color w:val="auto"/>
              </w:rPr>
            </w:pPr>
          </w:p>
        </w:tc>
      </w:tr>
      <w:tr>
        <w:trPr>
          <w:trHeight w:val="131"/>
        </w:trPr>
        <w:tc>
          <w:tcPr>
            <w:tcW w:w="80" w:type="dxa"/>
            <w:vAlign w:val="bottom"/>
            <w:tcBorders>
              <w:left w:val="single" w:sz="8" w:color="3465B0"/>
            </w:tcBorders>
            <w:shd w:val="clear" w:color="auto" w:fill="CCCCCC"/>
          </w:tcPr>
          <w:p>
            <w:pPr>
              <w:spacing w:after="0"/>
              <w:rPr>
                <w:sz w:val="11"/>
                <w:szCs w:val="11"/>
                <w:color w:val="auto"/>
              </w:rPr>
            </w:pPr>
          </w:p>
        </w:tc>
        <w:tc>
          <w:tcPr>
            <w:tcW w:w="240" w:type="dxa"/>
            <w:vAlign w:val="bottom"/>
            <w:tcBorders>
              <w:right w:val="single" w:sz="8" w:color="CCCCCC"/>
            </w:tcBorders>
            <w:vMerge w:val="continue"/>
            <w:shd w:val="clear" w:color="auto" w:fill="CCCCCC"/>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line="131" w:lineRule="exact"/>
              <w:rPr>
                <w:sz w:val="20"/>
                <w:szCs w:val="20"/>
                <w:color w:val="auto"/>
              </w:rPr>
            </w:pPr>
            <w:r>
              <w:rPr>
                <w:rFonts w:ascii="Arial" w:cs="Arial" w:eastAsia="Arial" w:hAnsi="Arial"/>
                <w:sz w:val="15"/>
                <w:szCs w:val="15"/>
                <w:color w:val="auto"/>
              </w:rPr>
              <w:t>talented and experienced</w:t>
            </w:r>
          </w:p>
        </w:tc>
        <w:tc>
          <w:tcPr>
            <w:tcW w:w="80" w:type="dxa"/>
            <w:vAlign w:val="bottom"/>
          </w:tcPr>
          <w:p>
            <w:pPr>
              <w:spacing w:after="0"/>
              <w:rPr>
                <w:sz w:val="11"/>
                <w:szCs w:val="11"/>
                <w:color w:val="auto"/>
              </w:rPr>
            </w:pPr>
          </w:p>
        </w:tc>
        <w:tc>
          <w:tcPr>
            <w:tcW w:w="2260" w:type="dxa"/>
            <w:vAlign w:val="bottom"/>
            <w:gridSpan w:val="2"/>
            <w:vMerge w:val="restart"/>
          </w:tcPr>
          <w:p>
            <w:pPr>
              <w:ind w:left="220"/>
              <w:spacing w:after="0"/>
              <w:rPr>
                <w:sz w:val="20"/>
                <w:szCs w:val="20"/>
                <w:color w:val="auto"/>
              </w:rPr>
            </w:pPr>
            <w:r>
              <w:rPr>
                <w:rFonts w:ascii="Arial" w:cs="Arial" w:eastAsia="Arial" w:hAnsi="Arial"/>
                <w:sz w:val="16"/>
                <w:szCs w:val="16"/>
                <w:color w:val="auto"/>
              </w:rPr>
              <w:t>internal pay equity</w:t>
            </w:r>
          </w:p>
        </w:tc>
        <w:tc>
          <w:tcPr>
            <w:tcW w:w="80" w:type="dxa"/>
            <w:vAlign w:val="bottom"/>
          </w:tcPr>
          <w:p>
            <w:pPr>
              <w:spacing w:after="0"/>
              <w:rPr>
                <w:sz w:val="11"/>
                <w:szCs w:val="11"/>
                <w:color w:val="auto"/>
              </w:rPr>
            </w:pPr>
          </w:p>
        </w:tc>
        <w:tc>
          <w:tcPr>
            <w:tcW w:w="2240" w:type="dxa"/>
            <w:vAlign w:val="bottom"/>
            <w:tcBorders>
              <w:right w:val="single" w:sz="8" w:color="3465B0"/>
            </w:tcBorders>
          </w:tcPr>
          <w:p>
            <w:pPr>
              <w:spacing w:after="0" w:line="131" w:lineRule="exact"/>
              <w:rPr>
                <w:sz w:val="20"/>
                <w:szCs w:val="20"/>
                <w:color w:val="auto"/>
              </w:rPr>
            </w:pPr>
            <w:r>
              <w:rPr>
                <w:rFonts w:ascii="Arial" w:cs="Arial" w:eastAsia="Arial" w:hAnsi="Arial"/>
                <w:sz w:val="15"/>
                <w:szCs w:val="15"/>
                <w:color w:val="auto"/>
              </w:rPr>
              <w:t>closely align compensation</w:t>
            </w:r>
          </w:p>
        </w:tc>
        <w:tc>
          <w:tcPr>
            <w:tcW w:w="0" w:type="dxa"/>
            <w:vAlign w:val="bottom"/>
          </w:tcPr>
          <w:p>
            <w:pPr>
              <w:spacing w:after="0"/>
              <w:rPr>
                <w:sz w:val="1"/>
                <w:szCs w:val="1"/>
                <w:color w:val="auto"/>
              </w:rPr>
            </w:pPr>
          </w:p>
        </w:tc>
      </w:tr>
      <w:tr>
        <w:trPr>
          <w:trHeight w:val="110"/>
        </w:trPr>
        <w:tc>
          <w:tcPr>
            <w:tcW w:w="80" w:type="dxa"/>
            <w:vAlign w:val="bottom"/>
            <w:tcBorders>
              <w:left w:val="single" w:sz="8" w:color="3465B0"/>
            </w:tcBorders>
            <w:shd w:val="clear" w:color="auto" w:fill="CCCCCC"/>
          </w:tcPr>
          <w:p>
            <w:pPr>
              <w:spacing w:after="0"/>
              <w:rPr>
                <w:sz w:val="9"/>
                <w:szCs w:val="9"/>
                <w:color w:val="auto"/>
              </w:rPr>
            </w:pPr>
          </w:p>
        </w:tc>
        <w:tc>
          <w:tcPr>
            <w:tcW w:w="240" w:type="dxa"/>
            <w:vAlign w:val="bottom"/>
            <w:tcBorders>
              <w:right w:val="single" w:sz="8" w:color="CCCCCC"/>
            </w:tcBorders>
            <w:vMerge w:val="restart"/>
            <w:textDirection w:val="btLr"/>
            <w:shd w:val="clear" w:color="auto" w:fill="CCCCCC"/>
          </w:tcPr>
          <w:p>
            <w:pPr>
              <w:ind w:left="27"/>
              <w:spacing w:after="0"/>
              <w:rPr>
                <w:sz w:val="20"/>
                <w:szCs w:val="20"/>
                <w:color w:val="auto"/>
              </w:rPr>
            </w:pPr>
            <w:r>
              <w:rPr>
                <w:rFonts w:ascii="Arial" w:cs="Arial" w:eastAsia="Arial" w:hAnsi="Arial"/>
                <w:sz w:val="15"/>
                <w:szCs w:val="15"/>
                <w:b w:val="1"/>
                <w:bCs w:val="1"/>
                <w:color w:val="3465B0"/>
              </w:rPr>
              <w:t>Fixed</w:t>
            </w:r>
          </w:p>
        </w:tc>
        <w:tc>
          <w:tcPr>
            <w:tcW w:w="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80" w:type="dxa"/>
            <w:vAlign w:val="bottom"/>
            <w:vMerge w:val="restart"/>
          </w:tcPr>
          <w:p>
            <w:pPr>
              <w:spacing w:after="0" w:line="162" w:lineRule="exact"/>
              <w:rPr>
                <w:sz w:val="20"/>
                <w:szCs w:val="20"/>
                <w:color w:val="auto"/>
              </w:rPr>
            </w:pPr>
            <w:r>
              <w:rPr>
                <w:rFonts w:ascii="Arial" w:cs="Arial" w:eastAsia="Arial" w:hAnsi="Arial"/>
                <w:sz w:val="15"/>
                <w:szCs w:val="15"/>
                <w:color w:val="auto"/>
              </w:rPr>
              <w:t>executives</w:t>
            </w:r>
          </w:p>
        </w:tc>
        <w:tc>
          <w:tcPr>
            <w:tcW w:w="8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tcBorders>
              <w:right w:val="single" w:sz="8" w:color="3465B0"/>
            </w:tcBorders>
            <w:vMerge w:val="restart"/>
          </w:tcPr>
          <w:p>
            <w:pPr>
              <w:spacing w:after="0" w:line="162" w:lineRule="exact"/>
              <w:rPr>
                <w:sz w:val="20"/>
                <w:szCs w:val="20"/>
                <w:color w:val="auto"/>
              </w:rPr>
            </w:pPr>
            <w:r>
              <w:rPr>
                <w:rFonts w:ascii="Arial" w:cs="Arial" w:eastAsia="Arial" w:hAnsi="Arial"/>
                <w:sz w:val="15"/>
                <w:szCs w:val="15"/>
                <w:color w:val="auto"/>
              </w:rPr>
              <w:t>opportunities with the</w:t>
            </w:r>
          </w:p>
        </w:tc>
        <w:tc>
          <w:tcPr>
            <w:tcW w:w="0" w:type="dxa"/>
            <w:vAlign w:val="bottom"/>
          </w:tcPr>
          <w:p>
            <w:pPr>
              <w:spacing w:after="0"/>
              <w:rPr>
                <w:sz w:val="1"/>
                <w:szCs w:val="1"/>
                <w:color w:val="auto"/>
              </w:rPr>
            </w:pPr>
          </w:p>
        </w:tc>
      </w:tr>
      <w:tr>
        <w:trPr>
          <w:trHeight w:val="52"/>
        </w:trPr>
        <w:tc>
          <w:tcPr>
            <w:tcW w:w="80" w:type="dxa"/>
            <w:vAlign w:val="bottom"/>
            <w:tcBorders>
              <w:left w:val="single" w:sz="8" w:color="3465B0"/>
            </w:tcBorders>
            <w:shd w:val="clear" w:color="auto" w:fill="CCCCCC"/>
          </w:tcPr>
          <w:p>
            <w:pPr>
              <w:spacing w:after="0"/>
              <w:rPr>
                <w:sz w:val="4"/>
                <w:szCs w:val="4"/>
                <w:color w:val="auto"/>
              </w:rPr>
            </w:pPr>
          </w:p>
        </w:tc>
        <w:tc>
          <w:tcPr>
            <w:tcW w:w="240" w:type="dxa"/>
            <w:vAlign w:val="bottom"/>
            <w:tcBorders>
              <w:right w:val="single" w:sz="8" w:color="CCCCCC"/>
            </w:tcBorders>
            <w:vMerge w:val="continue"/>
            <w:shd w:val="clear" w:color="auto" w:fill="CCCCCC"/>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Base salaries are reviewed</w:t>
            </w:r>
          </w:p>
        </w:tc>
        <w:tc>
          <w:tcPr>
            <w:tcW w:w="80" w:type="dxa"/>
            <w:vAlign w:val="bottom"/>
          </w:tcPr>
          <w:p>
            <w:pPr>
              <w:spacing w:after="0"/>
              <w:rPr>
                <w:sz w:val="4"/>
                <w:szCs w:val="4"/>
                <w:color w:val="auto"/>
              </w:rPr>
            </w:pPr>
          </w:p>
        </w:tc>
        <w:tc>
          <w:tcPr>
            <w:tcW w:w="2240" w:type="dxa"/>
            <w:vAlign w:val="bottom"/>
            <w:tcBorders>
              <w:right w:val="single" w:sz="8" w:color="3465B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0" w:type="dxa"/>
            <w:vAlign w:val="bottom"/>
            <w:tcBorders>
              <w:left w:val="single" w:sz="8" w:color="3465B0"/>
            </w:tcBorders>
            <w:shd w:val="clear" w:color="auto" w:fill="CCCCCC"/>
          </w:tcPr>
          <w:p>
            <w:pPr>
              <w:spacing w:after="0"/>
              <w:rPr>
                <w:sz w:val="14"/>
                <w:szCs w:val="14"/>
                <w:color w:val="auto"/>
              </w:rPr>
            </w:pPr>
          </w:p>
        </w:tc>
        <w:tc>
          <w:tcPr>
            <w:tcW w:w="240" w:type="dxa"/>
            <w:vAlign w:val="bottom"/>
            <w:tcBorders>
              <w:right w:val="single" w:sz="8" w:color="CCCCCC"/>
            </w:tcBorders>
            <w:vMerge w:val="continue"/>
            <w:shd w:val="clear" w:color="auto" w:fill="CCCCCC"/>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right w:val="single" w:sz="8" w:color="3465B0"/>
            </w:tcBorders>
          </w:tcPr>
          <w:p>
            <w:pPr>
              <w:spacing w:after="0" w:line="162" w:lineRule="exact"/>
              <w:rPr>
                <w:sz w:val="20"/>
                <w:szCs w:val="20"/>
                <w:color w:val="auto"/>
              </w:rPr>
            </w:pPr>
            <w:r>
              <w:rPr>
                <w:rFonts w:ascii="Arial" w:cs="Arial" w:eastAsia="Arial" w:hAnsi="Arial"/>
                <w:sz w:val="15"/>
                <w:szCs w:val="15"/>
                <w:color w:val="auto"/>
              </w:rPr>
              <w:t>competitive market, as further</w:t>
            </w:r>
          </w:p>
        </w:tc>
        <w:tc>
          <w:tcPr>
            <w:tcW w:w="0" w:type="dxa"/>
            <w:vAlign w:val="bottom"/>
          </w:tcPr>
          <w:p>
            <w:pPr>
              <w:spacing w:after="0"/>
              <w:rPr>
                <w:sz w:val="1"/>
                <w:szCs w:val="1"/>
                <w:color w:val="auto"/>
              </w:rPr>
            </w:pPr>
          </w:p>
        </w:tc>
      </w:tr>
      <w:tr>
        <w:trPr>
          <w:trHeight w:val="179"/>
        </w:trPr>
        <w:tc>
          <w:tcPr>
            <w:tcW w:w="80" w:type="dxa"/>
            <w:vAlign w:val="bottom"/>
            <w:tcBorders>
              <w:left w:val="single" w:sz="8" w:color="3465B0"/>
            </w:tcBorders>
            <w:shd w:val="clear" w:color="auto" w:fill="CCCCCC"/>
          </w:tcPr>
          <w:p>
            <w:pPr>
              <w:spacing w:after="0"/>
              <w:rPr>
                <w:sz w:val="15"/>
                <w:szCs w:val="15"/>
                <w:color w:val="auto"/>
              </w:rPr>
            </w:pPr>
          </w:p>
        </w:tc>
        <w:tc>
          <w:tcPr>
            <w:tcW w:w="240" w:type="dxa"/>
            <w:vAlign w:val="bottom"/>
            <w:tcBorders>
              <w:right w:val="single" w:sz="8" w:color="CCCCCC"/>
            </w:tcBorders>
            <w:vMerge w:val="continue"/>
            <w:shd w:val="clear" w:color="auto" w:fill="CCCCCC"/>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2"/>
          </w:tcPr>
          <w:p>
            <w:pPr>
              <w:ind w:left="220"/>
              <w:spacing w:after="0" w:line="180" w:lineRule="exact"/>
              <w:rPr>
                <w:sz w:val="20"/>
                <w:szCs w:val="20"/>
                <w:color w:val="auto"/>
              </w:rPr>
            </w:pPr>
            <w:r>
              <w:rPr>
                <w:rFonts w:ascii="Arial" w:cs="Arial" w:eastAsia="Arial" w:hAnsi="Arial"/>
                <w:sz w:val="16"/>
                <w:szCs w:val="16"/>
                <w:color w:val="auto"/>
              </w:rPr>
              <w:t>at least annually and may</w:t>
            </w:r>
          </w:p>
        </w:tc>
        <w:tc>
          <w:tcPr>
            <w:tcW w:w="80" w:type="dxa"/>
            <w:vAlign w:val="bottom"/>
          </w:tcPr>
          <w:p>
            <w:pPr>
              <w:spacing w:after="0"/>
              <w:rPr>
                <w:sz w:val="15"/>
                <w:szCs w:val="15"/>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described under “Base</w:t>
            </w:r>
          </w:p>
        </w:tc>
        <w:tc>
          <w:tcPr>
            <w:tcW w:w="0" w:type="dxa"/>
            <w:vAlign w:val="bottom"/>
          </w:tcPr>
          <w:p>
            <w:pPr>
              <w:spacing w:after="0"/>
              <w:rPr>
                <w:sz w:val="1"/>
                <w:szCs w:val="1"/>
                <w:color w:val="auto"/>
              </w:rPr>
            </w:pPr>
          </w:p>
        </w:tc>
      </w:tr>
      <w:tr>
        <w:trPr>
          <w:trHeight w:val="215"/>
        </w:trPr>
        <w:tc>
          <w:tcPr>
            <w:tcW w:w="80" w:type="dxa"/>
            <w:vAlign w:val="bottom"/>
            <w:tcBorders>
              <w:left w:val="single" w:sz="8" w:color="3465B0"/>
            </w:tcBorders>
            <w:shd w:val="clear" w:color="auto" w:fill="CCCCCC"/>
          </w:tcPr>
          <w:p>
            <w:pPr>
              <w:spacing w:after="0"/>
              <w:rPr>
                <w:sz w:val="18"/>
                <w:szCs w:val="18"/>
                <w:color w:val="auto"/>
              </w:rPr>
            </w:pPr>
          </w:p>
        </w:tc>
        <w:tc>
          <w:tcPr>
            <w:tcW w:w="240" w:type="dxa"/>
            <w:vAlign w:val="bottom"/>
            <w:tcBorders>
              <w:right w:val="single" w:sz="8" w:color="CCCCCC"/>
            </w:tcBorders>
            <w:shd w:val="clear" w:color="auto" w:fill="CCCCCC"/>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2"/>
          </w:tcPr>
          <w:p>
            <w:pPr>
              <w:ind w:left="220"/>
              <w:spacing w:after="0"/>
              <w:rPr>
                <w:sz w:val="20"/>
                <w:szCs w:val="20"/>
                <w:color w:val="auto"/>
              </w:rPr>
            </w:pPr>
            <w:r>
              <w:rPr>
                <w:rFonts w:ascii="Arial" w:cs="Arial" w:eastAsia="Arial" w:hAnsi="Arial"/>
                <w:sz w:val="16"/>
                <w:szCs w:val="16"/>
                <w:color w:val="auto"/>
              </w:rPr>
              <w:t>be increased from time to</w:t>
            </w:r>
          </w:p>
        </w:tc>
        <w:tc>
          <w:tcPr>
            <w:tcW w:w="80" w:type="dxa"/>
            <w:vAlign w:val="bottom"/>
          </w:tcPr>
          <w:p>
            <w:pPr>
              <w:spacing w:after="0"/>
              <w:rPr>
                <w:sz w:val="18"/>
                <w:szCs w:val="18"/>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Salaries” below</w:t>
            </w:r>
          </w:p>
        </w:tc>
        <w:tc>
          <w:tcPr>
            <w:tcW w:w="0" w:type="dxa"/>
            <w:vAlign w:val="bottom"/>
          </w:tcPr>
          <w:p>
            <w:pPr>
              <w:spacing w:after="0"/>
              <w:rPr>
                <w:sz w:val="1"/>
                <w:szCs w:val="1"/>
                <w:color w:val="auto"/>
              </w:rPr>
            </w:pPr>
          </w:p>
        </w:tc>
      </w:tr>
      <w:tr>
        <w:trPr>
          <w:trHeight w:val="277"/>
        </w:trPr>
        <w:tc>
          <w:tcPr>
            <w:tcW w:w="80" w:type="dxa"/>
            <w:vAlign w:val="bottom"/>
            <w:tcBorders>
              <w:left w:val="single" w:sz="8" w:color="3465B0"/>
              <w:bottom w:val="single" w:sz="8" w:color="CCCCCC"/>
            </w:tcBorders>
            <w:shd w:val="clear" w:color="auto" w:fill="CCCCCC"/>
          </w:tcPr>
          <w:p>
            <w:pPr>
              <w:spacing w:after="0"/>
              <w:rPr>
                <w:sz w:val="24"/>
                <w:szCs w:val="24"/>
                <w:color w:val="auto"/>
              </w:rPr>
            </w:pPr>
          </w:p>
        </w:tc>
        <w:tc>
          <w:tcPr>
            <w:tcW w:w="240" w:type="dxa"/>
            <w:vAlign w:val="bottom"/>
            <w:tcBorders>
              <w:bottom w:val="single" w:sz="8" w:color="CCCCCC"/>
              <w:right w:val="single" w:sz="8" w:color="CCCCCC"/>
            </w:tcBorders>
            <w:shd w:val="clear" w:color="auto" w:fill="CCCCCC"/>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Arial" w:cs="Arial" w:eastAsia="Arial" w:hAnsi="Arial"/>
                <w:sz w:val="16"/>
                <w:szCs w:val="16"/>
                <w:color w:val="auto"/>
              </w:rPr>
              <w:t>time</w:t>
            </w:r>
          </w:p>
        </w:tc>
        <w:tc>
          <w:tcPr>
            <w:tcW w:w="80" w:type="dxa"/>
            <w:vAlign w:val="bottom"/>
          </w:tcPr>
          <w:p>
            <w:pPr>
              <w:spacing w:after="0"/>
              <w:rPr>
                <w:sz w:val="24"/>
                <w:szCs w:val="24"/>
                <w:color w:val="auto"/>
              </w:rPr>
            </w:pPr>
          </w:p>
        </w:tc>
        <w:tc>
          <w:tcPr>
            <w:tcW w:w="2240" w:type="dxa"/>
            <w:vAlign w:val="bottom"/>
            <w:tcBorders>
              <w:right w:val="single" w:sz="8" w:color="3465B0"/>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0" w:type="dxa"/>
            <w:vAlign w:val="bottom"/>
            <w:tcBorders>
              <w:top w:val="single" w:sz="8" w:color="808080"/>
              <w:left w:val="single" w:sz="8" w:color="3465B0"/>
            </w:tcBorders>
          </w:tcPr>
          <w:p>
            <w:pPr>
              <w:spacing w:after="0"/>
              <w:rPr>
                <w:sz w:val="14"/>
                <w:szCs w:val="14"/>
                <w:color w:val="auto"/>
              </w:rPr>
            </w:pPr>
          </w:p>
        </w:tc>
        <w:tc>
          <w:tcPr>
            <w:tcW w:w="240" w:type="dxa"/>
            <w:vAlign w:val="bottom"/>
            <w:tcBorders>
              <w:top w:val="single" w:sz="8" w:color="808080"/>
              <w:right w:val="single" w:sz="8" w:color="93A1D2"/>
            </w:tcBorders>
          </w:tcPr>
          <w:p>
            <w:pPr>
              <w:spacing w:after="0"/>
              <w:rPr>
                <w:sz w:val="14"/>
                <w:szCs w:val="14"/>
                <w:color w:val="auto"/>
              </w:rPr>
            </w:pPr>
          </w:p>
        </w:tc>
        <w:tc>
          <w:tcPr>
            <w:tcW w:w="80" w:type="dxa"/>
            <w:vAlign w:val="bottom"/>
            <w:tcBorders>
              <w:top w:val="single" w:sz="8" w:color="808080"/>
            </w:tcBorders>
            <w:shd w:val="clear" w:color="auto" w:fill="CCCCCC"/>
          </w:tcPr>
          <w:p>
            <w:pPr>
              <w:spacing w:after="0"/>
              <w:rPr>
                <w:sz w:val="14"/>
                <w:szCs w:val="14"/>
                <w:color w:val="auto"/>
              </w:rPr>
            </w:pPr>
          </w:p>
        </w:tc>
        <w:tc>
          <w:tcPr>
            <w:tcW w:w="1920" w:type="dxa"/>
            <w:vAlign w:val="bottom"/>
            <w:tcBorders>
              <w:top w:val="single" w:sz="8" w:color="808080"/>
            </w:tcBorders>
            <w:shd w:val="clear" w:color="auto" w:fill="CCCCCC"/>
          </w:tcPr>
          <w:p>
            <w:pPr>
              <w:spacing w:after="0" w:line="163" w:lineRule="exact"/>
              <w:rPr>
                <w:sz w:val="20"/>
                <w:szCs w:val="20"/>
                <w:color w:val="auto"/>
              </w:rPr>
            </w:pPr>
            <w:r>
              <w:rPr>
                <w:rFonts w:ascii="Arial" w:cs="Arial" w:eastAsia="Arial" w:hAnsi="Arial"/>
                <w:sz w:val="15"/>
                <w:szCs w:val="15"/>
                <w:b w:val="1"/>
                <w:bCs w:val="1"/>
                <w:color w:val="auto"/>
              </w:rPr>
              <w:t>Annual Cash Incentive</w:t>
            </w:r>
          </w:p>
        </w:tc>
        <w:tc>
          <w:tcPr>
            <w:tcW w:w="100" w:type="dxa"/>
            <w:vAlign w:val="bottom"/>
            <w:tcBorders>
              <w:top w:val="single" w:sz="8" w:color="808080"/>
            </w:tcBorders>
            <w:shd w:val="clear" w:color="auto" w:fill="CCCCCC"/>
          </w:tcPr>
          <w:p>
            <w:pPr>
              <w:spacing w:after="0"/>
              <w:rPr>
                <w:sz w:val="14"/>
                <w:szCs w:val="14"/>
                <w:color w:val="auto"/>
              </w:rPr>
            </w:pPr>
          </w:p>
        </w:tc>
        <w:tc>
          <w:tcPr>
            <w:tcW w:w="2080" w:type="dxa"/>
            <w:vAlign w:val="bottom"/>
            <w:tcBorders>
              <w:top w:val="single" w:sz="8" w:color="808080"/>
              <w:right w:val="single" w:sz="8" w:color="CCCCCC"/>
            </w:tcBorders>
            <w:shd w:val="clear" w:color="auto" w:fill="CCCCCC"/>
          </w:tcPr>
          <w:p>
            <w:pPr>
              <w:spacing w:after="0" w:line="163" w:lineRule="exact"/>
              <w:rPr>
                <w:sz w:val="20"/>
                <w:szCs w:val="20"/>
                <w:color w:val="auto"/>
              </w:rPr>
            </w:pPr>
            <w:r>
              <w:rPr>
                <w:rFonts w:ascii="Arial" w:cs="Arial" w:eastAsia="Arial" w:hAnsi="Arial"/>
                <w:sz w:val="15"/>
                <w:szCs w:val="15"/>
                <w:color w:val="auto"/>
              </w:rPr>
              <w:t>Incentivize management to</w:t>
            </w:r>
          </w:p>
        </w:tc>
        <w:tc>
          <w:tcPr>
            <w:tcW w:w="80" w:type="dxa"/>
            <w:vAlign w:val="bottom"/>
            <w:tcBorders>
              <w:top w:val="single" w:sz="8" w:color="808080"/>
            </w:tcBorders>
            <w:shd w:val="clear" w:color="auto" w:fill="CCCCCC"/>
          </w:tcPr>
          <w:p>
            <w:pPr>
              <w:spacing w:after="0"/>
              <w:rPr>
                <w:sz w:val="14"/>
                <w:szCs w:val="14"/>
                <w:color w:val="auto"/>
              </w:rPr>
            </w:pPr>
          </w:p>
        </w:tc>
        <w:tc>
          <w:tcPr>
            <w:tcW w:w="2260" w:type="dxa"/>
            <w:vAlign w:val="bottom"/>
            <w:tcBorders>
              <w:top w:val="single" w:sz="8" w:color="808080"/>
              <w:right w:val="single" w:sz="8" w:color="CCCCCC"/>
            </w:tcBorders>
            <w:gridSpan w:val="2"/>
            <w:shd w:val="clear" w:color="auto" w:fill="CCCCCC"/>
          </w:tcPr>
          <w:p>
            <w:pPr>
              <w:ind w:left="20"/>
              <w:spacing w:after="0" w:line="162" w:lineRule="exact"/>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Based on annual,</w:t>
            </w:r>
          </w:p>
        </w:tc>
        <w:tc>
          <w:tcPr>
            <w:tcW w:w="80" w:type="dxa"/>
            <w:vAlign w:val="bottom"/>
            <w:tcBorders>
              <w:top w:val="single" w:sz="8" w:color="808080"/>
            </w:tcBorders>
            <w:shd w:val="clear" w:color="auto" w:fill="CCCCCC"/>
          </w:tcPr>
          <w:p>
            <w:pPr>
              <w:spacing w:after="0"/>
              <w:rPr>
                <w:sz w:val="14"/>
                <w:szCs w:val="14"/>
                <w:color w:val="auto"/>
              </w:rPr>
            </w:pPr>
          </w:p>
        </w:tc>
        <w:tc>
          <w:tcPr>
            <w:tcW w:w="2240" w:type="dxa"/>
            <w:vAlign w:val="bottom"/>
            <w:tcBorders>
              <w:top w:val="single" w:sz="8" w:color="808080"/>
              <w:right w:val="single" w:sz="8" w:color="3465B0"/>
            </w:tcBorders>
            <w:shd w:val="clear" w:color="auto" w:fill="CCCCCC"/>
          </w:tcPr>
          <w:p>
            <w:pPr>
              <w:spacing w:after="0" w:line="163" w:lineRule="exact"/>
              <w:rPr>
                <w:sz w:val="20"/>
                <w:szCs w:val="20"/>
                <w:color w:val="auto"/>
              </w:rPr>
            </w:pPr>
            <w:r>
              <w:rPr>
                <w:rFonts w:ascii="Arial" w:cs="Arial" w:eastAsia="Arial" w:hAnsi="Arial"/>
                <w:sz w:val="15"/>
                <w:szCs w:val="15"/>
                <w:color w:val="auto"/>
              </w:rPr>
              <w:t>Based on STIP AOI</w:t>
            </w: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20"/>
                <w:szCs w:val="20"/>
                <w:color w:val="auto"/>
              </w:rPr>
            </w:pPr>
            <w:r>
              <w:rPr>
                <w:rFonts w:ascii="Arial" w:cs="Arial" w:eastAsia="Arial" w:hAnsi="Arial"/>
                <w:sz w:val="15"/>
                <w:szCs w:val="15"/>
                <w:b w:val="1"/>
                <w:bCs w:val="1"/>
                <w:color w:val="auto"/>
              </w:rPr>
              <w:t>Awards</w:t>
            </w: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5"/>
                <w:szCs w:val="15"/>
                <w:color w:val="auto"/>
              </w:rPr>
              <w:t>achieve our short-term</w:t>
            </w: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quantitative financial</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20"/>
                <w:szCs w:val="20"/>
                <w:color w:val="auto"/>
              </w:rPr>
            </w:pPr>
            <w:r>
              <w:rPr>
                <w:rFonts w:ascii="Arial" w:cs="Arial" w:eastAsia="Arial" w:hAnsi="Arial"/>
                <w:sz w:val="15"/>
                <w:szCs w:val="15"/>
                <w:color w:val="auto"/>
              </w:rPr>
              <w:t>performance of $134.5 million</w:t>
            </w:r>
          </w:p>
        </w:tc>
        <w:tc>
          <w:tcPr>
            <w:tcW w:w="0" w:type="dxa"/>
            <w:vAlign w:val="bottom"/>
          </w:tcPr>
          <w:p>
            <w:pPr>
              <w:spacing w:after="0"/>
              <w:rPr>
                <w:sz w:val="1"/>
                <w:szCs w:val="1"/>
                <w:color w:val="auto"/>
              </w:rPr>
            </w:pPr>
          </w:p>
        </w:tc>
      </w:tr>
      <w:tr>
        <w:trPr>
          <w:trHeight w:val="131"/>
        </w:trPr>
        <w:tc>
          <w:tcPr>
            <w:tcW w:w="80" w:type="dxa"/>
            <w:vAlign w:val="bottom"/>
            <w:tcBorders>
              <w:left w:val="single" w:sz="8" w:color="3465B0"/>
            </w:tcBorders>
          </w:tcPr>
          <w:p>
            <w:pPr>
              <w:spacing w:after="0"/>
              <w:rPr>
                <w:sz w:val="11"/>
                <w:szCs w:val="11"/>
                <w:color w:val="auto"/>
              </w:rPr>
            </w:pPr>
          </w:p>
        </w:tc>
        <w:tc>
          <w:tcPr>
            <w:tcW w:w="240" w:type="dxa"/>
            <w:vAlign w:val="bottom"/>
            <w:tcBorders>
              <w:right w:val="single" w:sz="8" w:color="93A1D2"/>
            </w:tcBorders>
          </w:tcPr>
          <w:p>
            <w:pPr>
              <w:spacing w:after="0"/>
              <w:rPr>
                <w:sz w:val="11"/>
                <w:szCs w:val="11"/>
                <w:color w:val="auto"/>
              </w:rPr>
            </w:pPr>
          </w:p>
        </w:tc>
        <w:tc>
          <w:tcPr>
            <w:tcW w:w="80" w:type="dxa"/>
            <w:vAlign w:val="bottom"/>
            <w:shd w:val="clear" w:color="auto" w:fill="CCCCCC"/>
          </w:tcPr>
          <w:p>
            <w:pPr>
              <w:spacing w:after="0"/>
              <w:rPr>
                <w:sz w:val="11"/>
                <w:szCs w:val="11"/>
                <w:color w:val="auto"/>
              </w:rPr>
            </w:pPr>
          </w:p>
        </w:tc>
        <w:tc>
          <w:tcPr>
            <w:tcW w:w="1920" w:type="dxa"/>
            <w:vAlign w:val="bottom"/>
            <w:shd w:val="clear" w:color="auto" w:fill="CCCCCC"/>
          </w:tcPr>
          <w:p>
            <w:pPr>
              <w:spacing w:after="0" w:line="131" w:lineRule="exact"/>
              <w:rPr>
                <w:sz w:val="20"/>
                <w:szCs w:val="20"/>
                <w:color w:val="auto"/>
              </w:rPr>
            </w:pPr>
            <w:r>
              <w:rPr>
                <w:rFonts w:ascii="Arial" w:cs="Arial" w:eastAsia="Arial" w:hAnsi="Arial"/>
                <w:sz w:val="15"/>
                <w:szCs w:val="15"/>
                <w:b w:val="1"/>
                <w:bCs w:val="1"/>
                <w:color w:val="auto"/>
              </w:rPr>
              <w:t>(“STIP” Awards)</w:t>
            </w:r>
          </w:p>
        </w:tc>
        <w:tc>
          <w:tcPr>
            <w:tcW w:w="100" w:type="dxa"/>
            <w:vAlign w:val="bottom"/>
            <w:shd w:val="clear" w:color="auto" w:fill="CCCCCC"/>
          </w:tcPr>
          <w:p>
            <w:pPr>
              <w:spacing w:after="0"/>
              <w:rPr>
                <w:sz w:val="11"/>
                <w:szCs w:val="11"/>
                <w:color w:val="auto"/>
              </w:rPr>
            </w:pPr>
          </w:p>
        </w:tc>
        <w:tc>
          <w:tcPr>
            <w:tcW w:w="2080" w:type="dxa"/>
            <w:vAlign w:val="bottom"/>
            <w:tcBorders>
              <w:right w:val="single" w:sz="8" w:color="CCCCCC"/>
            </w:tcBorders>
            <w:shd w:val="clear" w:color="auto" w:fill="CCCCCC"/>
          </w:tcPr>
          <w:p>
            <w:pPr>
              <w:spacing w:after="0" w:line="131" w:lineRule="exact"/>
              <w:rPr>
                <w:sz w:val="20"/>
                <w:szCs w:val="20"/>
                <w:color w:val="auto"/>
              </w:rPr>
            </w:pPr>
            <w:r>
              <w:rPr>
                <w:rFonts w:ascii="Arial" w:cs="Arial" w:eastAsia="Arial" w:hAnsi="Arial"/>
                <w:sz w:val="15"/>
                <w:szCs w:val="15"/>
                <w:color w:val="auto"/>
              </w:rPr>
              <w:t>strategic and financial</w:t>
            </w:r>
          </w:p>
        </w:tc>
        <w:tc>
          <w:tcPr>
            <w:tcW w:w="80" w:type="dxa"/>
            <w:vAlign w:val="bottom"/>
            <w:shd w:val="clear" w:color="auto" w:fill="CCCCCC"/>
          </w:tcPr>
          <w:p>
            <w:pPr>
              <w:spacing w:after="0"/>
              <w:rPr>
                <w:sz w:val="11"/>
                <w:szCs w:val="11"/>
                <w:color w:val="auto"/>
              </w:rPr>
            </w:pPr>
          </w:p>
        </w:tc>
        <w:tc>
          <w:tcPr>
            <w:tcW w:w="2260" w:type="dxa"/>
            <w:vAlign w:val="bottom"/>
            <w:tcBorders>
              <w:right w:val="single" w:sz="8" w:color="CCCCCC"/>
            </w:tcBorders>
            <w:gridSpan w:val="2"/>
            <w:vMerge w:val="restart"/>
            <w:shd w:val="clear" w:color="auto" w:fill="CCCCCC"/>
          </w:tcPr>
          <w:p>
            <w:pPr>
              <w:ind w:left="220"/>
              <w:spacing w:after="0"/>
              <w:rPr>
                <w:sz w:val="20"/>
                <w:szCs w:val="20"/>
                <w:color w:val="auto"/>
              </w:rPr>
            </w:pPr>
            <w:r>
              <w:rPr>
                <w:rFonts w:ascii="Arial" w:cs="Arial" w:eastAsia="Arial" w:hAnsi="Arial"/>
                <w:sz w:val="16"/>
                <w:szCs w:val="16"/>
                <w:color w:val="auto"/>
              </w:rPr>
              <w:t>performance objectives</w:t>
            </w:r>
          </w:p>
        </w:tc>
        <w:tc>
          <w:tcPr>
            <w:tcW w:w="80" w:type="dxa"/>
            <w:vAlign w:val="bottom"/>
            <w:shd w:val="clear" w:color="auto" w:fill="CCCCCC"/>
          </w:tcPr>
          <w:p>
            <w:pPr>
              <w:spacing w:after="0"/>
              <w:rPr>
                <w:sz w:val="11"/>
                <w:szCs w:val="11"/>
                <w:color w:val="auto"/>
              </w:rPr>
            </w:pPr>
          </w:p>
        </w:tc>
        <w:tc>
          <w:tcPr>
            <w:tcW w:w="2240" w:type="dxa"/>
            <w:vAlign w:val="bottom"/>
            <w:tcBorders>
              <w:right w:val="single" w:sz="8" w:color="3465B0"/>
            </w:tcBorders>
            <w:shd w:val="clear" w:color="auto" w:fill="CCCCCC"/>
          </w:tcPr>
          <w:p>
            <w:pPr>
              <w:spacing w:after="0" w:line="131" w:lineRule="exact"/>
              <w:rPr>
                <w:sz w:val="20"/>
                <w:szCs w:val="20"/>
                <w:color w:val="auto"/>
              </w:rPr>
            </w:pPr>
            <w:r>
              <w:rPr>
                <w:rFonts w:ascii="Arial" w:cs="Arial" w:eastAsia="Arial" w:hAnsi="Arial"/>
                <w:sz w:val="15"/>
                <w:szCs w:val="15"/>
                <w:color w:val="auto"/>
              </w:rPr>
              <w:t>and Adjusted Comparable</w:t>
            </w:r>
          </w:p>
        </w:tc>
        <w:tc>
          <w:tcPr>
            <w:tcW w:w="0" w:type="dxa"/>
            <w:vAlign w:val="bottom"/>
          </w:tcPr>
          <w:p>
            <w:pPr>
              <w:spacing w:after="0"/>
              <w:rPr>
                <w:sz w:val="1"/>
                <w:szCs w:val="1"/>
                <w:color w:val="auto"/>
              </w:rPr>
            </w:pPr>
          </w:p>
        </w:tc>
      </w:tr>
      <w:tr>
        <w:trPr>
          <w:trHeight w:val="84"/>
        </w:trPr>
        <w:tc>
          <w:tcPr>
            <w:tcW w:w="80" w:type="dxa"/>
            <w:vAlign w:val="bottom"/>
            <w:tcBorders>
              <w:left w:val="single" w:sz="8" w:color="3465B0"/>
            </w:tcBorders>
          </w:tcPr>
          <w:p>
            <w:pPr>
              <w:spacing w:after="0"/>
              <w:rPr>
                <w:sz w:val="7"/>
                <w:szCs w:val="7"/>
                <w:color w:val="auto"/>
              </w:rPr>
            </w:pPr>
          </w:p>
        </w:tc>
        <w:tc>
          <w:tcPr>
            <w:tcW w:w="240" w:type="dxa"/>
            <w:vAlign w:val="bottom"/>
            <w:tcBorders>
              <w:right w:val="single" w:sz="8" w:color="93A1D2"/>
            </w:tcBorders>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1920" w:type="dxa"/>
            <w:vAlign w:val="bottom"/>
            <w:shd w:val="clear" w:color="auto" w:fill="CCCCCC"/>
          </w:tcPr>
          <w:p>
            <w:pPr>
              <w:spacing w:after="0"/>
              <w:rPr>
                <w:sz w:val="7"/>
                <w:szCs w:val="7"/>
                <w:color w:val="auto"/>
              </w:rPr>
            </w:pPr>
          </w:p>
        </w:tc>
        <w:tc>
          <w:tcPr>
            <w:tcW w:w="100" w:type="dxa"/>
            <w:vAlign w:val="bottom"/>
            <w:shd w:val="clear" w:color="auto" w:fill="CCCCCC"/>
          </w:tcPr>
          <w:p>
            <w:pPr>
              <w:spacing w:after="0"/>
              <w:rPr>
                <w:sz w:val="7"/>
                <w:szCs w:val="7"/>
                <w:color w:val="auto"/>
              </w:rPr>
            </w:pPr>
          </w:p>
        </w:tc>
        <w:tc>
          <w:tcPr>
            <w:tcW w:w="2080" w:type="dxa"/>
            <w:vAlign w:val="bottom"/>
            <w:tcBorders>
              <w:right w:val="single" w:sz="8" w:color="CCCCCC"/>
            </w:tcBorders>
            <w:vMerge w:val="restart"/>
            <w:shd w:val="clear" w:color="auto" w:fill="CCCCCC"/>
          </w:tcPr>
          <w:p>
            <w:pPr>
              <w:spacing w:after="0" w:line="162" w:lineRule="exact"/>
              <w:rPr>
                <w:sz w:val="20"/>
                <w:szCs w:val="20"/>
                <w:color w:val="auto"/>
              </w:rPr>
            </w:pPr>
            <w:r>
              <w:rPr>
                <w:rFonts w:ascii="Arial" w:cs="Arial" w:eastAsia="Arial" w:hAnsi="Arial"/>
                <w:sz w:val="15"/>
                <w:szCs w:val="15"/>
                <w:color w:val="auto"/>
              </w:rPr>
              <w:t>objectives consistent with our</w:t>
            </w:r>
          </w:p>
        </w:tc>
        <w:tc>
          <w:tcPr>
            <w:tcW w:w="80" w:type="dxa"/>
            <w:vAlign w:val="bottom"/>
            <w:shd w:val="clear" w:color="auto" w:fill="CCCCCC"/>
          </w:tcPr>
          <w:p>
            <w:pPr>
              <w:spacing w:after="0"/>
              <w:rPr>
                <w:sz w:val="7"/>
                <w:szCs w:val="7"/>
                <w:color w:val="auto"/>
              </w:rPr>
            </w:pPr>
          </w:p>
        </w:tc>
        <w:tc>
          <w:tcPr>
            <w:tcW w:w="2260" w:type="dxa"/>
            <w:vAlign w:val="bottom"/>
            <w:tcBorders>
              <w:right w:val="single" w:sz="8" w:color="CCCCCC"/>
            </w:tcBorders>
            <w:gridSpan w:val="2"/>
            <w:vMerge w:val="continue"/>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2240" w:type="dxa"/>
            <w:vAlign w:val="bottom"/>
            <w:tcBorders>
              <w:right w:val="single" w:sz="8" w:color="3465B0"/>
            </w:tcBorders>
            <w:vMerge w:val="restart"/>
            <w:shd w:val="clear" w:color="auto" w:fill="CCCCCC"/>
          </w:tcPr>
          <w:p>
            <w:pPr>
              <w:spacing w:after="0" w:line="162" w:lineRule="exact"/>
              <w:rPr>
                <w:sz w:val="20"/>
                <w:szCs w:val="20"/>
                <w:color w:val="auto"/>
              </w:rPr>
            </w:pPr>
            <w:r>
              <w:rPr>
                <w:rFonts w:ascii="Arial" w:cs="Arial" w:eastAsia="Arial" w:hAnsi="Arial"/>
                <w:sz w:val="15"/>
                <w:szCs w:val="15"/>
                <w:color w:val="auto"/>
              </w:rPr>
              <w:t>Same Store Sales Growth of</w:t>
            </w:r>
          </w:p>
        </w:tc>
        <w:tc>
          <w:tcPr>
            <w:tcW w:w="0" w:type="dxa"/>
            <w:vAlign w:val="bottom"/>
          </w:tcPr>
          <w:p>
            <w:pPr>
              <w:spacing w:after="0"/>
              <w:rPr>
                <w:sz w:val="1"/>
                <w:szCs w:val="1"/>
                <w:color w:val="auto"/>
              </w:rPr>
            </w:pPr>
          </w:p>
        </w:tc>
      </w:tr>
      <w:tr>
        <w:trPr>
          <w:trHeight w:val="78"/>
        </w:trPr>
        <w:tc>
          <w:tcPr>
            <w:tcW w:w="80" w:type="dxa"/>
            <w:vAlign w:val="bottom"/>
            <w:tcBorders>
              <w:left w:val="single" w:sz="8" w:color="3465B0"/>
            </w:tcBorders>
          </w:tcPr>
          <w:p>
            <w:pPr>
              <w:spacing w:after="0"/>
              <w:rPr>
                <w:sz w:val="6"/>
                <w:szCs w:val="6"/>
                <w:color w:val="auto"/>
              </w:rPr>
            </w:pPr>
          </w:p>
        </w:tc>
        <w:tc>
          <w:tcPr>
            <w:tcW w:w="240" w:type="dxa"/>
            <w:vAlign w:val="bottom"/>
            <w:tcBorders>
              <w:right w:val="single" w:sz="8" w:color="93A1D2"/>
            </w:tcBorders>
          </w:tcPr>
          <w:p>
            <w:pPr>
              <w:spacing w:after="0"/>
              <w:rPr>
                <w:sz w:val="6"/>
                <w:szCs w:val="6"/>
                <w:color w:val="auto"/>
              </w:rPr>
            </w:pPr>
          </w:p>
        </w:tc>
        <w:tc>
          <w:tcPr>
            <w:tcW w:w="80" w:type="dxa"/>
            <w:vAlign w:val="bottom"/>
            <w:shd w:val="clear" w:color="auto" w:fill="CCCCCC"/>
          </w:tcPr>
          <w:p>
            <w:pPr>
              <w:spacing w:after="0"/>
              <w:rPr>
                <w:sz w:val="6"/>
                <w:szCs w:val="6"/>
                <w:color w:val="auto"/>
              </w:rPr>
            </w:pPr>
          </w:p>
        </w:tc>
        <w:tc>
          <w:tcPr>
            <w:tcW w:w="1920" w:type="dxa"/>
            <w:vAlign w:val="bottom"/>
            <w:shd w:val="clear" w:color="auto" w:fill="CCCCCC"/>
          </w:tcPr>
          <w:p>
            <w:pPr>
              <w:spacing w:after="0"/>
              <w:rPr>
                <w:sz w:val="6"/>
                <w:szCs w:val="6"/>
                <w:color w:val="auto"/>
              </w:rPr>
            </w:pPr>
          </w:p>
        </w:tc>
        <w:tc>
          <w:tcPr>
            <w:tcW w:w="100" w:type="dxa"/>
            <w:vAlign w:val="bottom"/>
            <w:shd w:val="clear" w:color="auto" w:fill="CCCCCC"/>
          </w:tcPr>
          <w:p>
            <w:pPr>
              <w:spacing w:after="0"/>
              <w:rPr>
                <w:sz w:val="6"/>
                <w:szCs w:val="6"/>
                <w:color w:val="auto"/>
              </w:rPr>
            </w:pPr>
          </w:p>
        </w:tc>
        <w:tc>
          <w:tcPr>
            <w:tcW w:w="2080" w:type="dxa"/>
            <w:vAlign w:val="bottom"/>
            <w:tcBorders>
              <w:right w:val="single" w:sz="8" w:color="CCCCCC"/>
            </w:tcBorders>
            <w:vMerge w:val="continue"/>
            <w:shd w:val="clear" w:color="auto" w:fill="CCCCCC"/>
          </w:tcPr>
          <w:p>
            <w:pPr>
              <w:spacing w:after="0"/>
              <w:rPr>
                <w:sz w:val="6"/>
                <w:szCs w:val="6"/>
                <w:color w:val="auto"/>
              </w:rPr>
            </w:pPr>
          </w:p>
        </w:tc>
        <w:tc>
          <w:tcPr>
            <w:tcW w:w="80" w:type="dxa"/>
            <w:vAlign w:val="bottom"/>
            <w:shd w:val="clear" w:color="auto" w:fill="CCCCCC"/>
          </w:tcPr>
          <w:p>
            <w:pPr>
              <w:spacing w:after="0"/>
              <w:rPr>
                <w:sz w:val="6"/>
                <w:szCs w:val="6"/>
                <w:color w:val="auto"/>
              </w:rPr>
            </w:pPr>
          </w:p>
        </w:tc>
        <w:tc>
          <w:tcPr>
            <w:tcW w:w="2260" w:type="dxa"/>
            <w:vAlign w:val="bottom"/>
            <w:tcBorders>
              <w:right w:val="single" w:sz="8" w:color="CCCCCC"/>
            </w:tcBorders>
            <w:gridSpan w:val="2"/>
            <w:vMerge w:val="restart"/>
            <w:shd w:val="clear" w:color="auto" w:fill="CCCCCC"/>
          </w:tcPr>
          <w:p>
            <w:pPr>
              <w:ind w:left="220"/>
              <w:spacing w:after="0"/>
              <w:rPr>
                <w:sz w:val="20"/>
                <w:szCs w:val="20"/>
                <w:color w:val="auto"/>
              </w:rPr>
            </w:pPr>
            <w:r>
              <w:rPr>
                <w:rFonts w:ascii="Arial" w:cs="Arial" w:eastAsia="Arial" w:hAnsi="Arial"/>
                <w:sz w:val="16"/>
                <w:szCs w:val="16"/>
                <w:color w:val="auto"/>
              </w:rPr>
              <w:t>established by the</w:t>
            </w:r>
          </w:p>
        </w:tc>
        <w:tc>
          <w:tcPr>
            <w:tcW w:w="80" w:type="dxa"/>
            <w:vAlign w:val="bottom"/>
            <w:shd w:val="clear" w:color="auto" w:fill="CCCCCC"/>
          </w:tcPr>
          <w:p>
            <w:pPr>
              <w:spacing w:after="0"/>
              <w:rPr>
                <w:sz w:val="6"/>
                <w:szCs w:val="6"/>
                <w:color w:val="auto"/>
              </w:rPr>
            </w:pPr>
          </w:p>
        </w:tc>
        <w:tc>
          <w:tcPr>
            <w:tcW w:w="2240" w:type="dxa"/>
            <w:vAlign w:val="bottom"/>
            <w:tcBorders>
              <w:right w:val="single" w:sz="8" w:color="3465B0"/>
            </w:tcBorders>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80" w:type="dxa"/>
            <w:vAlign w:val="bottom"/>
            <w:tcBorders>
              <w:left w:val="single" w:sz="8" w:color="3465B0"/>
            </w:tcBorders>
          </w:tcPr>
          <w:p>
            <w:pPr>
              <w:spacing w:after="0"/>
              <w:rPr>
                <w:sz w:val="9"/>
                <w:szCs w:val="9"/>
                <w:color w:val="auto"/>
              </w:rPr>
            </w:pPr>
          </w:p>
        </w:tc>
        <w:tc>
          <w:tcPr>
            <w:tcW w:w="240" w:type="dxa"/>
            <w:vAlign w:val="bottom"/>
            <w:tcBorders>
              <w:right w:val="single" w:sz="8" w:color="93A1D2"/>
            </w:tcBorders>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1920" w:type="dxa"/>
            <w:vAlign w:val="bottom"/>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2080" w:type="dxa"/>
            <w:vAlign w:val="bottom"/>
            <w:tcBorders>
              <w:right w:val="single" w:sz="8" w:color="CCCCCC"/>
            </w:tcBorders>
            <w:vMerge w:val="restart"/>
            <w:shd w:val="clear" w:color="auto" w:fill="CCCCCC"/>
          </w:tcPr>
          <w:p>
            <w:pPr>
              <w:spacing w:after="0" w:line="162" w:lineRule="exact"/>
              <w:rPr>
                <w:sz w:val="20"/>
                <w:szCs w:val="20"/>
                <w:color w:val="auto"/>
              </w:rPr>
            </w:pPr>
            <w:r>
              <w:rPr>
                <w:rFonts w:ascii="Arial" w:cs="Arial" w:eastAsia="Arial" w:hAnsi="Arial"/>
                <w:sz w:val="15"/>
                <w:szCs w:val="15"/>
                <w:color w:val="auto"/>
              </w:rPr>
              <w:t>long-term goals</w:t>
            </w:r>
          </w:p>
        </w:tc>
        <w:tc>
          <w:tcPr>
            <w:tcW w:w="80" w:type="dxa"/>
            <w:vAlign w:val="bottom"/>
            <w:shd w:val="clear" w:color="auto" w:fill="CCCCCC"/>
          </w:tcPr>
          <w:p>
            <w:pPr>
              <w:spacing w:after="0"/>
              <w:rPr>
                <w:sz w:val="9"/>
                <w:szCs w:val="9"/>
                <w:color w:val="auto"/>
              </w:rPr>
            </w:pPr>
          </w:p>
        </w:tc>
        <w:tc>
          <w:tcPr>
            <w:tcW w:w="2260" w:type="dxa"/>
            <w:vAlign w:val="bottom"/>
            <w:tcBorders>
              <w:right w:val="single" w:sz="8" w:color="CCCCCC"/>
            </w:tcBorders>
            <w:gridSpan w:val="2"/>
            <w:vMerge w:val="continue"/>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2240" w:type="dxa"/>
            <w:vAlign w:val="bottom"/>
            <w:tcBorders>
              <w:right w:val="single" w:sz="8" w:color="3465B0"/>
            </w:tcBorders>
            <w:vMerge w:val="restart"/>
            <w:shd w:val="clear" w:color="auto" w:fill="CCCCCC"/>
          </w:tcPr>
          <w:p>
            <w:pPr>
              <w:spacing w:after="0" w:line="162" w:lineRule="exact"/>
              <w:rPr>
                <w:sz w:val="20"/>
                <w:szCs w:val="20"/>
                <w:color w:val="auto"/>
              </w:rPr>
            </w:pPr>
            <w:r>
              <w:rPr>
                <w:rFonts w:ascii="Arial" w:cs="Arial" w:eastAsia="Arial" w:hAnsi="Arial"/>
                <w:sz w:val="15"/>
                <w:szCs w:val="15"/>
                <w:color w:val="auto"/>
              </w:rPr>
              <w:t>6.0%, the STIP funded at</w:t>
            </w:r>
          </w:p>
        </w:tc>
        <w:tc>
          <w:tcPr>
            <w:tcW w:w="0" w:type="dxa"/>
            <w:vAlign w:val="bottom"/>
          </w:tcPr>
          <w:p>
            <w:pPr>
              <w:spacing w:after="0"/>
              <w:rPr>
                <w:sz w:val="1"/>
                <w:szCs w:val="1"/>
                <w:color w:val="auto"/>
              </w:rPr>
            </w:pPr>
          </w:p>
        </w:tc>
      </w:tr>
      <w:tr>
        <w:trPr>
          <w:trHeight w:val="51"/>
        </w:trPr>
        <w:tc>
          <w:tcPr>
            <w:tcW w:w="80" w:type="dxa"/>
            <w:vAlign w:val="bottom"/>
            <w:tcBorders>
              <w:left w:val="single" w:sz="8" w:color="3465B0"/>
            </w:tcBorders>
          </w:tcPr>
          <w:p>
            <w:pPr>
              <w:spacing w:after="0"/>
              <w:rPr>
                <w:sz w:val="4"/>
                <w:szCs w:val="4"/>
                <w:color w:val="auto"/>
              </w:rPr>
            </w:pPr>
          </w:p>
        </w:tc>
        <w:tc>
          <w:tcPr>
            <w:tcW w:w="240" w:type="dxa"/>
            <w:vAlign w:val="bottom"/>
            <w:tcBorders>
              <w:right w:val="single" w:sz="8" w:color="93A1D2"/>
            </w:tcBorders>
          </w:tcPr>
          <w:p>
            <w:pPr>
              <w:spacing w:after="0"/>
              <w:rPr>
                <w:sz w:val="4"/>
                <w:szCs w:val="4"/>
                <w:color w:val="auto"/>
              </w:rPr>
            </w:pPr>
          </w:p>
        </w:tc>
        <w:tc>
          <w:tcPr>
            <w:tcW w:w="80" w:type="dxa"/>
            <w:vAlign w:val="bottom"/>
            <w:shd w:val="clear" w:color="auto" w:fill="CCCCCC"/>
          </w:tcPr>
          <w:p>
            <w:pPr>
              <w:spacing w:after="0"/>
              <w:rPr>
                <w:sz w:val="4"/>
                <w:szCs w:val="4"/>
                <w:color w:val="auto"/>
              </w:rPr>
            </w:pPr>
          </w:p>
        </w:tc>
        <w:tc>
          <w:tcPr>
            <w:tcW w:w="1920" w:type="dxa"/>
            <w:vAlign w:val="bottom"/>
            <w:shd w:val="clear" w:color="auto" w:fill="CCCCCC"/>
          </w:tcPr>
          <w:p>
            <w:pPr>
              <w:spacing w:after="0"/>
              <w:rPr>
                <w:sz w:val="4"/>
                <w:szCs w:val="4"/>
                <w:color w:val="auto"/>
              </w:rPr>
            </w:pPr>
          </w:p>
        </w:tc>
        <w:tc>
          <w:tcPr>
            <w:tcW w:w="100" w:type="dxa"/>
            <w:vAlign w:val="bottom"/>
            <w:shd w:val="clear" w:color="auto" w:fill="CCCCCC"/>
          </w:tcPr>
          <w:p>
            <w:pPr>
              <w:spacing w:after="0"/>
              <w:rPr>
                <w:sz w:val="4"/>
                <w:szCs w:val="4"/>
                <w:color w:val="auto"/>
              </w:rPr>
            </w:pPr>
          </w:p>
        </w:tc>
        <w:tc>
          <w:tcPr>
            <w:tcW w:w="2080" w:type="dxa"/>
            <w:vAlign w:val="bottom"/>
            <w:tcBorders>
              <w:right w:val="single" w:sz="8" w:color="CCCCCC"/>
            </w:tcBorders>
            <w:vMerge w:val="continue"/>
            <w:shd w:val="clear" w:color="auto" w:fill="CCCCCC"/>
          </w:tcPr>
          <w:p>
            <w:pPr>
              <w:spacing w:after="0"/>
              <w:rPr>
                <w:sz w:val="4"/>
                <w:szCs w:val="4"/>
                <w:color w:val="auto"/>
              </w:rPr>
            </w:pPr>
          </w:p>
        </w:tc>
        <w:tc>
          <w:tcPr>
            <w:tcW w:w="80" w:type="dxa"/>
            <w:vAlign w:val="bottom"/>
            <w:shd w:val="clear" w:color="auto" w:fill="CCCCCC"/>
          </w:tcPr>
          <w:p>
            <w:pPr>
              <w:spacing w:after="0"/>
              <w:rPr>
                <w:sz w:val="4"/>
                <w:szCs w:val="4"/>
                <w:color w:val="auto"/>
              </w:rPr>
            </w:pPr>
          </w:p>
        </w:tc>
        <w:tc>
          <w:tcPr>
            <w:tcW w:w="2260" w:type="dxa"/>
            <w:vAlign w:val="bottom"/>
            <w:tcBorders>
              <w:right w:val="single" w:sz="8" w:color="CCCCCC"/>
            </w:tcBorders>
            <w:gridSpan w:val="2"/>
            <w:vMerge w:val="restart"/>
            <w:shd w:val="clear" w:color="auto" w:fill="CCCCCC"/>
          </w:tcPr>
          <w:p>
            <w:pPr>
              <w:ind w:left="220"/>
              <w:spacing w:after="0"/>
              <w:rPr>
                <w:sz w:val="20"/>
                <w:szCs w:val="20"/>
                <w:color w:val="auto"/>
              </w:rPr>
            </w:pPr>
            <w:r>
              <w:rPr>
                <w:rFonts w:ascii="Arial" w:cs="Arial" w:eastAsia="Arial" w:hAnsi="Arial"/>
                <w:sz w:val="16"/>
                <w:szCs w:val="16"/>
                <w:color w:val="auto"/>
              </w:rPr>
              <w:t>compensation committee</w:t>
            </w:r>
          </w:p>
        </w:tc>
        <w:tc>
          <w:tcPr>
            <w:tcW w:w="80" w:type="dxa"/>
            <w:vAlign w:val="bottom"/>
            <w:shd w:val="clear" w:color="auto" w:fill="CCCCCC"/>
          </w:tcPr>
          <w:p>
            <w:pPr>
              <w:spacing w:after="0"/>
              <w:rPr>
                <w:sz w:val="4"/>
                <w:szCs w:val="4"/>
                <w:color w:val="auto"/>
              </w:rPr>
            </w:pPr>
          </w:p>
        </w:tc>
        <w:tc>
          <w:tcPr>
            <w:tcW w:w="2240" w:type="dxa"/>
            <w:vAlign w:val="bottom"/>
            <w:tcBorders>
              <w:right w:val="single" w:sz="8" w:color="3465B0"/>
            </w:tcBorders>
            <w:vMerge w:val="continue"/>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3465B0"/>
            </w:tcBorders>
          </w:tcPr>
          <w:p>
            <w:pPr>
              <w:spacing w:after="0"/>
              <w:rPr>
                <w:sz w:val="17"/>
                <w:szCs w:val="17"/>
                <w:color w:val="auto"/>
              </w:rPr>
            </w:pPr>
          </w:p>
        </w:tc>
        <w:tc>
          <w:tcPr>
            <w:tcW w:w="240" w:type="dxa"/>
            <w:vAlign w:val="bottom"/>
            <w:tcBorders>
              <w:right w:val="single" w:sz="8" w:color="93A1D2"/>
            </w:tcBorders>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192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2080" w:type="dxa"/>
            <w:vAlign w:val="bottom"/>
            <w:tcBorders>
              <w:right w:val="single" w:sz="8" w:color="CCCCCC"/>
            </w:tcBorders>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2260" w:type="dxa"/>
            <w:vAlign w:val="bottom"/>
            <w:tcBorders>
              <w:right w:val="single" w:sz="8" w:color="CCCCCC"/>
            </w:tcBorders>
            <w:gridSpan w:val="2"/>
            <w:vMerge w:val="continue"/>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2240" w:type="dxa"/>
            <w:vAlign w:val="bottom"/>
            <w:tcBorders>
              <w:right w:val="single" w:sz="8" w:color="3465B0"/>
            </w:tcBorders>
            <w:shd w:val="clear" w:color="auto" w:fill="CCCCCC"/>
          </w:tcPr>
          <w:p>
            <w:pPr>
              <w:spacing w:after="0"/>
              <w:rPr>
                <w:sz w:val="20"/>
                <w:szCs w:val="20"/>
                <w:color w:val="auto"/>
              </w:rPr>
            </w:pPr>
            <w:r>
              <w:rPr>
                <w:rFonts w:ascii="Arial" w:cs="Arial" w:eastAsia="Arial" w:hAnsi="Arial"/>
                <w:sz w:val="15"/>
                <w:szCs w:val="15"/>
                <w:color w:val="auto"/>
              </w:rPr>
              <w:t>196.6% of target</w:t>
            </w:r>
          </w:p>
        </w:tc>
        <w:tc>
          <w:tcPr>
            <w:tcW w:w="0" w:type="dxa"/>
            <w:vAlign w:val="bottom"/>
          </w:tcPr>
          <w:p>
            <w:pPr>
              <w:spacing w:after="0"/>
              <w:rPr>
                <w:sz w:val="1"/>
                <w:szCs w:val="1"/>
                <w:color w:val="auto"/>
              </w:rPr>
            </w:pPr>
          </w:p>
        </w:tc>
      </w:tr>
      <w:tr>
        <w:trPr>
          <w:trHeight w:val="194"/>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0"/>
              <w:spacing w:after="0"/>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STIP awards pay out</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between 0% and 200% of</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target based on Company</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performance against a</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corporate performance</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 w:type="dxa"/>
            <w:vAlign w:val="bottom"/>
            <w:tcBorders>
              <w:left w:val="single" w:sz="8" w:color="3465B0"/>
            </w:tcBorders>
          </w:tcPr>
          <w:p>
            <w:pPr>
              <w:spacing w:after="0"/>
              <w:rPr>
                <w:sz w:val="18"/>
                <w:szCs w:val="18"/>
                <w:color w:val="auto"/>
              </w:rPr>
            </w:pPr>
          </w:p>
        </w:tc>
        <w:tc>
          <w:tcPr>
            <w:tcW w:w="240" w:type="dxa"/>
            <w:vAlign w:val="bottom"/>
            <w:tcBorders>
              <w:right w:val="single" w:sz="8" w:color="93A1D2"/>
            </w:tcBorders>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19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2080" w:type="dxa"/>
            <w:vAlign w:val="bottom"/>
            <w:tcBorders>
              <w:right w:val="single" w:sz="8" w:color="CCCCCC"/>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metric</w:t>
            </w:r>
          </w:p>
        </w:tc>
        <w:tc>
          <w:tcPr>
            <w:tcW w:w="80" w:type="dxa"/>
            <w:vAlign w:val="bottom"/>
            <w:shd w:val="clear" w:color="auto" w:fill="CCCCCC"/>
          </w:tcPr>
          <w:p>
            <w:pPr>
              <w:spacing w:after="0"/>
              <w:rPr>
                <w:sz w:val="18"/>
                <w:szCs w:val="18"/>
                <w:color w:val="auto"/>
              </w:rPr>
            </w:pPr>
          </w:p>
        </w:tc>
        <w:tc>
          <w:tcPr>
            <w:tcW w:w="2240" w:type="dxa"/>
            <w:vAlign w:val="bottom"/>
            <w:tcBorders>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0" w:type="dxa"/>
            <w:vAlign w:val="bottom"/>
            <w:tcBorders>
              <w:left w:val="single" w:sz="8" w:color="3465B0"/>
            </w:tcBorders>
          </w:tcPr>
          <w:p>
            <w:pPr>
              <w:spacing w:after="0"/>
              <w:rPr>
                <w:sz w:val="20"/>
                <w:szCs w:val="20"/>
                <w:color w:val="auto"/>
              </w:rPr>
            </w:pPr>
          </w:p>
        </w:tc>
        <w:tc>
          <w:tcPr>
            <w:tcW w:w="240" w:type="dxa"/>
            <w:vAlign w:val="bottom"/>
            <w:tcBorders>
              <w:right w:val="single" w:sz="8" w:color="93A1D2"/>
            </w:tcBorders>
          </w:tcPr>
          <w:p>
            <w:pPr>
              <w:spacing w:after="0"/>
              <w:rPr>
                <w:sz w:val="20"/>
                <w:szCs w:val="20"/>
                <w:color w:val="auto"/>
              </w:rPr>
            </w:pPr>
          </w:p>
        </w:tc>
        <w:tc>
          <w:tcPr>
            <w:tcW w:w="80" w:type="dxa"/>
            <w:vAlign w:val="bottom"/>
            <w:shd w:val="clear" w:color="auto" w:fill="CCCCCC"/>
          </w:tcPr>
          <w:p>
            <w:pPr>
              <w:spacing w:after="0"/>
              <w:rPr>
                <w:sz w:val="20"/>
                <w:szCs w:val="20"/>
                <w:color w:val="auto"/>
              </w:rPr>
            </w:pPr>
          </w:p>
        </w:tc>
        <w:tc>
          <w:tcPr>
            <w:tcW w:w="1920" w:type="dxa"/>
            <w:vAlign w:val="bottom"/>
            <w:shd w:val="clear" w:color="auto" w:fill="CCCCCC"/>
          </w:tcPr>
          <w:p>
            <w:pPr>
              <w:spacing w:after="0"/>
              <w:rPr>
                <w:sz w:val="20"/>
                <w:szCs w:val="20"/>
                <w:color w:val="auto"/>
              </w:rPr>
            </w:pPr>
          </w:p>
        </w:tc>
        <w:tc>
          <w:tcPr>
            <w:tcW w:w="100" w:type="dxa"/>
            <w:vAlign w:val="bottom"/>
            <w:shd w:val="clear" w:color="auto" w:fill="CCCCCC"/>
          </w:tcPr>
          <w:p>
            <w:pPr>
              <w:spacing w:after="0"/>
              <w:rPr>
                <w:sz w:val="20"/>
                <w:szCs w:val="20"/>
                <w:color w:val="auto"/>
              </w:rPr>
            </w:pPr>
          </w:p>
        </w:tc>
        <w:tc>
          <w:tcPr>
            <w:tcW w:w="2080" w:type="dxa"/>
            <w:vAlign w:val="bottom"/>
            <w:tcBorders>
              <w:right w:val="single" w:sz="8" w:color="CCCCCC"/>
            </w:tcBorders>
            <w:shd w:val="clear" w:color="auto" w:fill="CCCCCC"/>
          </w:tcPr>
          <w:p>
            <w:pPr>
              <w:spacing w:after="0"/>
              <w:rPr>
                <w:sz w:val="20"/>
                <w:szCs w:val="20"/>
                <w:color w:val="auto"/>
              </w:rPr>
            </w:pPr>
          </w:p>
        </w:tc>
        <w:tc>
          <w:tcPr>
            <w:tcW w:w="80" w:type="dxa"/>
            <w:vAlign w:val="bottom"/>
            <w:shd w:val="clear" w:color="auto" w:fill="CCCCCC"/>
          </w:tcPr>
          <w:p>
            <w:pPr>
              <w:spacing w:after="0"/>
              <w:rPr>
                <w:sz w:val="20"/>
                <w:szCs w:val="20"/>
                <w:color w:val="auto"/>
              </w:rPr>
            </w:pPr>
          </w:p>
        </w:tc>
        <w:tc>
          <w:tcPr>
            <w:tcW w:w="2260" w:type="dxa"/>
            <w:vAlign w:val="bottom"/>
            <w:tcBorders>
              <w:right w:val="single" w:sz="8" w:color="CCCCCC"/>
            </w:tcBorders>
            <w:gridSpan w:val="2"/>
            <w:shd w:val="clear" w:color="auto" w:fill="CCCCCC"/>
          </w:tcPr>
          <w:p>
            <w:pPr>
              <w:ind w:left="20"/>
              <w:spacing w:after="0"/>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In 2025, the compensation</w:t>
            </w:r>
          </w:p>
        </w:tc>
        <w:tc>
          <w:tcPr>
            <w:tcW w:w="80" w:type="dxa"/>
            <w:vAlign w:val="bottom"/>
            <w:shd w:val="clear" w:color="auto" w:fill="CCCCCC"/>
          </w:tcPr>
          <w:p>
            <w:pPr>
              <w:spacing w:after="0"/>
              <w:rPr>
                <w:sz w:val="20"/>
                <w:szCs w:val="20"/>
                <w:color w:val="auto"/>
              </w:rPr>
            </w:pPr>
          </w:p>
        </w:tc>
        <w:tc>
          <w:tcPr>
            <w:tcW w:w="2240" w:type="dxa"/>
            <w:vAlign w:val="bottom"/>
            <w:tcBorders>
              <w:right w:val="single" w:sz="8" w:color="3465B0"/>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committee set Annual</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Incentive Adjusted</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Operating Income (“STIP</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AOI”) (75%) and Adjusted</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Comparable Same Store</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Sales Growth (25%) as the</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corporate performance</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80" w:type="dxa"/>
            <w:vAlign w:val="bottom"/>
            <w:tcBorders>
              <w:left w:val="single" w:sz="8" w:color="3465B0"/>
            </w:tcBorders>
          </w:tcPr>
          <w:p>
            <w:pPr>
              <w:spacing w:after="0"/>
              <w:rPr>
                <w:sz w:val="22"/>
                <w:szCs w:val="22"/>
                <w:color w:val="auto"/>
              </w:rPr>
            </w:pPr>
          </w:p>
        </w:tc>
        <w:tc>
          <w:tcPr>
            <w:tcW w:w="240" w:type="dxa"/>
            <w:vAlign w:val="bottom"/>
            <w:tcBorders>
              <w:right w:val="single" w:sz="8" w:color="93A1D2"/>
            </w:tcBorders>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1920" w:type="dxa"/>
            <w:vAlign w:val="bottom"/>
            <w:tcBorders>
              <w:bottom w:val="single" w:sz="8" w:color="CCCCCC"/>
            </w:tcBorders>
            <w:shd w:val="clear" w:color="auto" w:fill="CCCCCC"/>
          </w:tcPr>
          <w:p>
            <w:pPr>
              <w:spacing w:after="0"/>
              <w:rPr>
                <w:sz w:val="22"/>
                <w:szCs w:val="22"/>
                <w:color w:val="auto"/>
              </w:rPr>
            </w:pPr>
          </w:p>
        </w:tc>
        <w:tc>
          <w:tcPr>
            <w:tcW w:w="100" w:type="dxa"/>
            <w:vAlign w:val="bottom"/>
            <w:tcBorders>
              <w:bottom w:val="single" w:sz="8" w:color="CCCCCC"/>
            </w:tcBorders>
            <w:shd w:val="clear" w:color="auto" w:fill="CCCCCC"/>
          </w:tcPr>
          <w:p>
            <w:pPr>
              <w:spacing w:after="0"/>
              <w:rPr>
                <w:sz w:val="22"/>
                <w:szCs w:val="22"/>
                <w:color w:val="auto"/>
              </w:rPr>
            </w:pPr>
          </w:p>
        </w:tc>
        <w:tc>
          <w:tcPr>
            <w:tcW w:w="2080" w:type="dxa"/>
            <w:vAlign w:val="bottom"/>
            <w:tcBorders>
              <w:bottom w:val="single" w:sz="8" w:color="CCCCCC"/>
              <w:right w:val="single" w:sz="8" w:color="CCCCCC"/>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2260" w:type="dxa"/>
            <w:vAlign w:val="bottom"/>
            <w:tcBorders>
              <w:bottom w:val="single" w:sz="8" w:color="CCCCCC"/>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metric for STIP awards</w:t>
            </w:r>
          </w:p>
        </w:tc>
        <w:tc>
          <w:tcPr>
            <w:tcW w:w="80" w:type="dxa"/>
            <w:vAlign w:val="bottom"/>
            <w:tcBorders>
              <w:bottom w:val="single" w:sz="8" w:color="CCCCCC"/>
            </w:tcBorders>
            <w:shd w:val="clear" w:color="auto" w:fill="CCCCCC"/>
          </w:tcPr>
          <w:p>
            <w:pPr>
              <w:spacing w:after="0"/>
              <w:rPr>
                <w:sz w:val="22"/>
                <w:szCs w:val="22"/>
                <w:color w:val="auto"/>
              </w:rPr>
            </w:pPr>
          </w:p>
        </w:tc>
        <w:tc>
          <w:tcPr>
            <w:tcW w:w="2240" w:type="dxa"/>
            <w:vAlign w:val="bottom"/>
            <w:tcBorders>
              <w:bottom w:val="single" w:sz="8" w:color="CCCCCC"/>
              <w:right w:val="single" w:sz="8" w:color="3465B0"/>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80" w:type="dxa"/>
            <w:vAlign w:val="bottom"/>
            <w:tcBorders>
              <w:left w:val="single" w:sz="8" w:color="3465B0"/>
            </w:tcBorders>
          </w:tcPr>
          <w:p>
            <w:pPr>
              <w:spacing w:after="0"/>
              <w:rPr>
                <w:sz w:val="15"/>
                <w:szCs w:val="15"/>
                <w:color w:val="auto"/>
              </w:rPr>
            </w:pPr>
          </w:p>
        </w:tc>
        <w:tc>
          <w:tcPr>
            <w:tcW w:w="240" w:type="dxa"/>
            <w:vAlign w:val="bottom"/>
            <w:tcBorders>
              <w:right w:val="single" w:sz="8" w:color="93A1D2"/>
            </w:tcBorders>
          </w:tcPr>
          <w:p>
            <w:pPr>
              <w:spacing w:after="0"/>
              <w:rPr>
                <w:sz w:val="15"/>
                <w:szCs w:val="15"/>
                <w:color w:val="auto"/>
              </w:rPr>
            </w:pPr>
          </w:p>
        </w:tc>
        <w:tc>
          <w:tcPr>
            <w:tcW w:w="80" w:type="dxa"/>
            <w:vAlign w:val="bottom"/>
            <w:tcBorders>
              <w:top w:val="single" w:sz="8" w:color="808080"/>
            </w:tcBorders>
          </w:tcPr>
          <w:p>
            <w:pPr>
              <w:spacing w:after="0"/>
              <w:rPr>
                <w:sz w:val="15"/>
                <w:szCs w:val="15"/>
                <w:color w:val="auto"/>
              </w:rPr>
            </w:pPr>
          </w:p>
        </w:tc>
        <w:tc>
          <w:tcPr>
            <w:tcW w:w="1920" w:type="dxa"/>
            <w:vAlign w:val="bottom"/>
            <w:tcBorders>
              <w:top w:val="single" w:sz="8" w:color="808080"/>
            </w:tcBorders>
          </w:tcPr>
          <w:p>
            <w:pPr>
              <w:spacing w:after="0"/>
              <w:rPr>
                <w:sz w:val="20"/>
                <w:szCs w:val="20"/>
                <w:color w:val="auto"/>
              </w:rPr>
            </w:pPr>
            <w:r>
              <w:rPr>
                <w:rFonts w:ascii="Arial" w:cs="Arial" w:eastAsia="Arial" w:hAnsi="Arial"/>
                <w:sz w:val="15"/>
                <w:szCs w:val="15"/>
                <w:b w:val="1"/>
                <w:bCs w:val="1"/>
                <w:color w:val="auto"/>
              </w:rPr>
              <w:t>Long-Term Incentive</w:t>
            </w:r>
          </w:p>
        </w:tc>
        <w:tc>
          <w:tcPr>
            <w:tcW w:w="100" w:type="dxa"/>
            <w:vAlign w:val="bottom"/>
            <w:tcBorders>
              <w:top w:val="single" w:sz="8" w:color="808080"/>
            </w:tcBorders>
          </w:tcPr>
          <w:p>
            <w:pPr>
              <w:spacing w:after="0"/>
              <w:rPr>
                <w:sz w:val="15"/>
                <w:szCs w:val="15"/>
                <w:color w:val="auto"/>
              </w:rPr>
            </w:pPr>
          </w:p>
        </w:tc>
        <w:tc>
          <w:tcPr>
            <w:tcW w:w="2080" w:type="dxa"/>
            <w:vAlign w:val="bottom"/>
            <w:tcBorders>
              <w:top w:val="single" w:sz="8" w:color="808080"/>
            </w:tcBorders>
          </w:tcPr>
          <w:p>
            <w:pPr>
              <w:spacing w:after="0"/>
              <w:rPr>
                <w:sz w:val="20"/>
                <w:szCs w:val="20"/>
                <w:color w:val="auto"/>
              </w:rPr>
            </w:pPr>
            <w:r>
              <w:rPr>
                <w:rFonts w:ascii="Arial" w:cs="Arial" w:eastAsia="Arial" w:hAnsi="Arial"/>
                <w:sz w:val="15"/>
                <w:szCs w:val="15"/>
                <w:color w:val="auto"/>
              </w:rPr>
              <w:t>Align the interests of our</w:t>
            </w:r>
          </w:p>
        </w:tc>
        <w:tc>
          <w:tcPr>
            <w:tcW w:w="80" w:type="dxa"/>
            <w:vAlign w:val="bottom"/>
            <w:tcBorders>
              <w:top w:val="single" w:sz="8" w:color="808080"/>
            </w:tcBorders>
          </w:tcPr>
          <w:p>
            <w:pPr>
              <w:spacing w:after="0"/>
              <w:rPr>
                <w:sz w:val="15"/>
                <w:szCs w:val="15"/>
                <w:color w:val="auto"/>
              </w:rPr>
            </w:pPr>
          </w:p>
        </w:tc>
        <w:tc>
          <w:tcPr>
            <w:tcW w:w="400" w:type="dxa"/>
            <w:vAlign w:val="bottom"/>
            <w:tcBorders>
              <w:top w:val="single" w:sz="8" w:color="808080"/>
            </w:tcBorders>
          </w:tcPr>
          <w:p>
            <w:pPr>
              <w:spacing w:after="0"/>
              <w:rPr>
                <w:sz w:val="15"/>
                <w:szCs w:val="15"/>
                <w:color w:val="auto"/>
              </w:rPr>
            </w:pPr>
          </w:p>
        </w:tc>
        <w:tc>
          <w:tcPr>
            <w:tcW w:w="1860" w:type="dxa"/>
            <w:vAlign w:val="bottom"/>
            <w:tcBorders>
              <w:top w:val="single" w:sz="8" w:color="808080"/>
            </w:tcBorders>
          </w:tcPr>
          <w:p>
            <w:pPr>
              <w:spacing w:after="0"/>
              <w:rPr>
                <w:sz w:val="15"/>
                <w:szCs w:val="15"/>
                <w:color w:val="auto"/>
              </w:rPr>
            </w:pPr>
          </w:p>
        </w:tc>
        <w:tc>
          <w:tcPr>
            <w:tcW w:w="80" w:type="dxa"/>
            <w:vAlign w:val="bottom"/>
            <w:tcBorders>
              <w:top w:val="single" w:sz="8" w:color="808080"/>
            </w:tcBorders>
          </w:tcPr>
          <w:p>
            <w:pPr>
              <w:spacing w:after="0"/>
              <w:rPr>
                <w:sz w:val="15"/>
                <w:szCs w:val="15"/>
                <w:color w:val="auto"/>
              </w:rPr>
            </w:pPr>
          </w:p>
        </w:tc>
        <w:tc>
          <w:tcPr>
            <w:tcW w:w="2240" w:type="dxa"/>
            <w:vAlign w:val="bottom"/>
            <w:tcBorders>
              <w:top w:val="single" w:sz="8" w:color="808080"/>
              <w:right w:val="single" w:sz="8" w:color="3465B0"/>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tcBorders>
              <w:left w:val="single" w:sz="8" w:color="3465B0"/>
            </w:tcBorders>
          </w:tcPr>
          <w:p>
            <w:pPr>
              <w:spacing w:after="0"/>
              <w:rPr>
                <w:sz w:val="14"/>
                <w:szCs w:val="14"/>
                <w:color w:val="auto"/>
              </w:rPr>
            </w:pPr>
          </w:p>
        </w:tc>
        <w:tc>
          <w:tcPr>
            <w:tcW w:w="240" w:type="dxa"/>
            <w:vAlign w:val="bottom"/>
            <w:tcBorders>
              <w:right w:val="single" w:sz="8" w:color="93A1D2"/>
            </w:tcBorders>
            <w:vMerge w:val="restart"/>
            <w:textDirection w:val="btLr"/>
          </w:tcPr>
          <w:p>
            <w:pPr>
              <w:ind w:left="27"/>
              <w:spacing w:after="0"/>
              <w:rPr>
                <w:sz w:val="20"/>
                <w:szCs w:val="20"/>
                <w:color w:val="auto"/>
              </w:rPr>
            </w:pPr>
            <w:r>
              <w:rPr>
                <w:rFonts w:ascii="Arial" w:cs="Arial" w:eastAsia="Arial" w:hAnsi="Arial"/>
                <w:sz w:val="15"/>
                <w:szCs w:val="15"/>
                <w:b w:val="1"/>
                <w:bCs w:val="1"/>
                <w:color w:val="3465B0"/>
              </w:rPr>
              <w:t>Pay</w:t>
            </w:r>
          </w:p>
        </w:tc>
        <w:tc>
          <w:tcPr>
            <w:tcW w:w="80" w:type="dxa"/>
            <w:vAlign w:val="bottom"/>
          </w:tcPr>
          <w:p>
            <w:pPr>
              <w:spacing w:after="0"/>
              <w:rPr>
                <w:sz w:val="14"/>
                <w:szCs w:val="14"/>
                <w:color w:val="auto"/>
              </w:rPr>
            </w:pPr>
          </w:p>
        </w:tc>
        <w:tc>
          <w:tcPr>
            <w:tcW w:w="1920" w:type="dxa"/>
            <w:vAlign w:val="bottom"/>
          </w:tcPr>
          <w:p>
            <w:pPr>
              <w:spacing w:after="0" w:line="162" w:lineRule="exact"/>
              <w:rPr>
                <w:sz w:val="20"/>
                <w:szCs w:val="20"/>
                <w:color w:val="auto"/>
              </w:rPr>
            </w:pPr>
            <w:r>
              <w:rPr>
                <w:rFonts w:ascii="Arial" w:cs="Arial" w:eastAsia="Arial" w:hAnsi="Arial"/>
                <w:sz w:val="15"/>
                <w:szCs w:val="15"/>
                <w:b w:val="1"/>
                <w:bCs w:val="1"/>
                <w:color w:val="auto"/>
              </w:rPr>
              <w:t>Awards</w:t>
            </w:r>
          </w:p>
        </w:tc>
        <w:tc>
          <w:tcPr>
            <w:tcW w:w="100" w:type="dxa"/>
            <w:vAlign w:val="bottom"/>
          </w:tcPr>
          <w:p>
            <w:pPr>
              <w:spacing w:after="0"/>
              <w:rPr>
                <w:sz w:val="14"/>
                <w:szCs w:val="14"/>
                <w:color w:val="auto"/>
              </w:rPr>
            </w:pPr>
          </w:p>
        </w:tc>
        <w:tc>
          <w:tcPr>
            <w:tcW w:w="2080" w:type="dxa"/>
            <w:vAlign w:val="bottom"/>
          </w:tcPr>
          <w:p>
            <w:pPr>
              <w:spacing w:after="0" w:line="162" w:lineRule="exact"/>
              <w:rPr>
                <w:sz w:val="20"/>
                <w:szCs w:val="20"/>
                <w:color w:val="auto"/>
              </w:rPr>
            </w:pPr>
            <w:r>
              <w:rPr>
                <w:rFonts w:ascii="Arial" w:cs="Arial" w:eastAsia="Arial" w:hAnsi="Arial"/>
                <w:sz w:val="15"/>
                <w:szCs w:val="15"/>
                <w:color w:val="auto"/>
              </w:rPr>
              <w:t>executives and stockholders</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right w:val="single" w:sz="8" w:color="3465B0"/>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0" w:type="dxa"/>
            <w:vAlign w:val="bottom"/>
            <w:tcBorders>
              <w:left w:val="single" w:sz="8" w:color="3465B0"/>
            </w:tcBorders>
          </w:tcPr>
          <w:p>
            <w:pPr>
              <w:spacing w:after="0"/>
              <w:rPr>
                <w:sz w:val="13"/>
                <w:szCs w:val="13"/>
                <w:color w:val="auto"/>
              </w:rPr>
            </w:pPr>
          </w:p>
        </w:tc>
        <w:tc>
          <w:tcPr>
            <w:tcW w:w="240" w:type="dxa"/>
            <w:vAlign w:val="bottom"/>
            <w:tcBorders>
              <w:right w:val="single" w:sz="8" w:color="93A1D2"/>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vMerge w:val="restart"/>
          </w:tcPr>
          <w:p>
            <w:pPr>
              <w:spacing w:after="0"/>
              <w:rPr>
                <w:sz w:val="20"/>
                <w:szCs w:val="20"/>
                <w:color w:val="auto"/>
              </w:rPr>
            </w:pPr>
            <w:r>
              <w:rPr>
                <w:rFonts w:ascii="Arial" w:cs="Arial" w:eastAsia="Arial" w:hAnsi="Arial"/>
                <w:sz w:val="15"/>
                <w:szCs w:val="15"/>
                <w:b w:val="1"/>
                <w:bCs w:val="1"/>
                <w:color w:val="auto"/>
              </w:rPr>
              <w:t>(“LTIP” Awards)</w:t>
            </w: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3465B0"/>
            </w:tcBorders>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80" w:type="dxa"/>
            <w:vAlign w:val="bottom"/>
            <w:tcBorders>
              <w:left w:val="single" w:sz="8" w:color="3465B0"/>
            </w:tcBorders>
          </w:tcPr>
          <w:p>
            <w:pPr>
              <w:spacing w:after="0"/>
              <w:rPr>
                <w:sz w:val="4"/>
                <w:szCs w:val="4"/>
                <w:color w:val="auto"/>
              </w:rPr>
            </w:pPr>
          </w:p>
        </w:tc>
        <w:tc>
          <w:tcPr>
            <w:tcW w:w="240" w:type="dxa"/>
            <w:vAlign w:val="bottom"/>
            <w:tcBorders>
              <w:right w:val="single" w:sz="8" w:color="93A1D2"/>
            </w:tcBorders>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40" w:type="dxa"/>
            <w:vAlign w:val="bottom"/>
            <w:tcBorders>
              <w:right w:val="single" w:sz="8" w:color="3465B0"/>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80" w:type="dxa"/>
            <w:vAlign w:val="bottom"/>
            <w:tcBorders>
              <w:left w:val="single" w:sz="8" w:color="3465B0"/>
            </w:tcBorders>
          </w:tcPr>
          <w:p>
            <w:pPr>
              <w:spacing w:after="0"/>
              <w:rPr>
                <w:sz w:val="3"/>
                <w:szCs w:val="3"/>
                <w:color w:val="auto"/>
              </w:rPr>
            </w:pPr>
          </w:p>
        </w:tc>
        <w:tc>
          <w:tcPr>
            <w:tcW w:w="240" w:type="dxa"/>
            <w:vAlign w:val="bottom"/>
            <w:tcBorders>
              <w:right w:val="single" w:sz="8" w:color="93A1D2"/>
            </w:tcBorders>
            <w:vMerge w:val="restart"/>
            <w:textDirection w:val="btLr"/>
          </w:tcPr>
          <w:p>
            <w:pPr>
              <w:ind w:left="50"/>
              <w:spacing w:after="0"/>
              <w:rPr>
                <w:sz w:val="20"/>
                <w:szCs w:val="20"/>
                <w:color w:val="auto"/>
              </w:rPr>
            </w:pPr>
            <w:r>
              <w:rPr>
                <w:rFonts w:ascii="Arial" w:cs="Arial" w:eastAsia="Arial" w:hAnsi="Arial"/>
                <w:sz w:val="13"/>
                <w:szCs w:val="13"/>
                <w:b w:val="1"/>
                <w:bCs w:val="1"/>
                <w:color w:val="3465B0"/>
                <w:w w:val="70"/>
              </w:rPr>
              <w:t>At-Risk</w:t>
            </w:r>
          </w:p>
        </w:tc>
        <w:tc>
          <w:tcPr>
            <w:tcW w:w="80" w:type="dxa"/>
            <w:vAlign w:val="bottom"/>
            <w:tcBorders>
              <w:bottom w:val="single" w:sz="8" w:color="808080"/>
            </w:tcBorders>
          </w:tcPr>
          <w:p>
            <w:pPr>
              <w:spacing w:after="0"/>
              <w:rPr>
                <w:sz w:val="3"/>
                <w:szCs w:val="3"/>
                <w:color w:val="auto"/>
              </w:rPr>
            </w:pPr>
          </w:p>
        </w:tc>
        <w:tc>
          <w:tcPr>
            <w:tcW w:w="19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260" w:type="dxa"/>
            <w:vAlign w:val="bottom"/>
            <w:tcBorders>
              <w:bottom w:val="single" w:sz="8" w:color="808080"/>
            </w:tcBorders>
            <w:gridSpan w:val="2"/>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240" w:type="dxa"/>
            <w:vAlign w:val="bottom"/>
            <w:tcBorders>
              <w:bottom w:val="single" w:sz="8" w:color="808080"/>
              <w:right w:val="single" w:sz="8" w:color="3465B0"/>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3465B0"/>
            </w:tcBorders>
          </w:tcPr>
          <w:p>
            <w:pPr>
              <w:spacing w:after="0"/>
              <w:rPr>
                <w:sz w:val="15"/>
                <w:szCs w:val="15"/>
                <w:color w:val="auto"/>
              </w:rPr>
            </w:pPr>
          </w:p>
        </w:tc>
        <w:tc>
          <w:tcPr>
            <w:tcW w:w="240" w:type="dxa"/>
            <w:vAlign w:val="bottom"/>
            <w:tcBorders>
              <w:right w:val="single" w:sz="8" w:color="93A1D2"/>
            </w:tcBorders>
            <w:vMerge w:val="continue"/>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1920" w:type="dxa"/>
            <w:vAlign w:val="bottom"/>
            <w:shd w:val="clear" w:color="auto" w:fill="CCCCCC"/>
          </w:tcPr>
          <w:p>
            <w:pPr>
              <w:spacing w:after="0"/>
              <w:rPr>
                <w:sz w:val="20"/>
                <w:szCs w:val="20"/>
                <w:color w:val="auto"/>
              </w:rPr>
            </w:pPr>
            <w:r>
              <w:rPr>
                <w:rFonts w:ascii="Arial" w:cs="Arial" w:eastAsia="Arial" w:hAnsi="Arial"/>
                <w:sz w:val="15"/>
                <w:szCs w:val="15"/>
                <w:b w:val="1"/>
                <w:bCs w:val="1"/>
                <w:color w:val="auto"/>
              </w:rPr>
              <w:t>50% Restricted</w:t>
            </w:r>
          </w:p>
        </w:tc>
        <w:tc>
          <w:tcPr>
            <w:tcW w:w="100" w:type="dxa"/>
            <w:vAlign w:val="bottom"/>
            <w:shd w:val="clear" w:color="auto" w:fill="CCCCCC"/>
          </w:tcPr>
          <w:p>
            <w:pPr>
              <w:spacing w:after="0"/>
              <w:rPr>
                <w:sz w:val="15"/>
                <w:szCs w:val="15"/>
                <w:color w:val="auto"/>
              </w:rPr>
            </w:pPr>
          </w:p>
        </w:tc>
        <w:tc>
          <w:tcPr>
            <w:tcW w:w="20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5"/>
                <w:szCs w:val="15"/>
                <w:color w:val="auto"/>
              </w:rPr>
              <w:t>Facilitate stock ownership</w:t>
            </w:r>
          </w:p>
        </w:tc>
        <w:tc>
          <w:tcPr>
            <w:tcW w:w="80" w:type="dxa"/>
            <w:vAlign w:val="bottom"/>
            <w:shd w:val="clear" w:color="auto" w:fill="CCCCCC"/>
          </w:tcPr>
          <w:p>
            <w:pPr>
              <w:spacing w:after="0"/>
              <w:rPr>
                <w:sz w:val="15"/>
                <w:szCs w:val="15"/>
                <w:color w:val="auto"/>
              </w:rPr>
            </w:pPr>
          </w:p>
        </w:tc>
        <w:tc>
          <w:tcPr>
            <w:tcW w:w="2260" w:type="dxa"/>
            <w:vAlign w:val="bottom"/>
            <w:tcBorders>
              <w:right w:val="single" w:sz="8" w:color="CCCCCC"/>
            </w:tcBorders>
            <w:gridSpan w:val="2"/>
            <w:shd w:val="clear" w:color="auto" w:fill="CCCCCC"/>
          </w:tcPr>
          <w:p>
            <w:pPr>
              <w:ind w:left="20"/>
              <w:spacing w:after="0" w:line="183" w:lineRule="exact"/>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RSUs vest in three equal</w:t>
            </w:r>
          </w:p>
        </w:tc>
        <w:tc>
          <w:tcPr>
            <w:tcW w:w="80" w:type="dxa"/>
            <w:vAlign w:val="bottom"/>
            <w:shd w:val="clear" w:color="auto" w:fill="CCCCCC"/>
          </w:tcPr>
          <w:p>
            <w:pPr>
              <w:spacing w:after="0"/>
              <w:rPr>
                <w:sz w:val="15"/>
                <w:szCs w:val="15"/>
                <w:color w:val="auto"/>
              </w:rPr>
            </w:pPr>
          </w:p>
        </w:tc>
        <w:tc>
          <w:tcPr>
            <w:tcW w:w="2240" w:type="dxa"/>
            <w:vAlign w:val="bottom"/>
            <w:tcBorders>
              <w:right w:val="single" w:sz="8" w:color="3465B0"/>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vMerge w:val="continue"/>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920" w:type="dxa"/>
            <w:vAlign w:val="bottom"/>
            <w:shd w:val="clear" w:color="auto" w:fill="CCCCCC"/>
          </w:tcPr>
          <w:p>
            <w:pPr>
              <w:spacing w:after="0"/>
              <w:rPr>
                <w:sz w:val="20"/>
                <w:szCs w:val="20"/>
                <w:color w:val="auto"/>
              </w:rPr>
            </w:pPr>
            <w:r>
              <w:rPr>
                <w:rFonts w:ascii="Arial" w:cs="Arial" w:eastAsia="Arial" w:hAnsi="Arial"/>
                <w:sz w:val="15"/>
                <w:szCs w:val="15"/>
                <w:b w:val="1"/>
                <w:bCs w:val="1"/>
                <w:color w:val="auto"/>
              </w:rPr>
              <w:t>Stock Units</w:t>
            </w:r>
          </w:p>
        </w:tc>
        <w:tc>
          <w:tcPr>
            <w:tcW w:w="100" w:type="dxa"/>
            <w:vAlign w:val="bottom"/>
            <w:shd w:val="clear" w:color="auto" w:fill="CCCCCC"/>
          </w:tcPr>
          <w:p>
            <w:pPr>
              <w:spacing w:after="0"/>
              <w:rPr>
                <w:sz w:val="16"/>
                <w:szCs w:val="16"/>
                <w:color w:val="auto"/>
              </w:rPr>
            </w:pPr>
          </w:p>
        </w:tc>
        <w:tc>
          <w:tcPr>
            <w:tcW w:w="20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5"/>
                <w:szCs w:val="15"/>
                <w:color w:val="auto"/>
              </w:rPr>
              <w:t>and retain talented</w:t>
            </w:r>
          </w:p>
        </w:tc>
        <w:tc>
          <w:tcPr>
            <w:tcW w:w="80" w:type="dxa"/>
            <w:vAlign w:val="bottom"/>
            <w:shd w:val="clear" w:color="auto" w:fill="CCCCCC"/>
          </w:tcPr>
          <w:p>
            <w:pPr>
              <w:spacing w:after="0"/>
              <w:rPr>
                <w:sz w:val="16"/>
                <w:szCs w:val="16"/>
                <w:color w:val="auto"/>
              </w:rPr>
            </w:pPr>
          </w:p>
        </w:tc>
        <w:tc>
          <w:tcPr>
            <w:tcW w:w="2260" w:type="dxa"/>
            <w:vAlign w:val="bottom"/>
            <w:tcBorders>
              <w:right w:val="single" w:sz="8" w:color="CCCCCC"/>
            </w:tcBorders>
            <w:gridSpan w:val="2"/>
            <w:shd w:val="clear" w:color="auto" w:fill="CCCCCC"/>
          </w:tcPr>
          <w:p>
            <w:pPr>
              <w:ind w:left="220"/>
              <w:spacing w:after="0"/>
              <w:rPr>
                <w:sz w:val="20"/>
                <w:szCs w:val="20"/>
                <w:color w:val="auto"/>
              </w:rPr>
            </w:pPr>
            <w:r>
              <w:rPr>
                <w:rFonts w:ascii="Arial" w:cs="Arial" w:eastAsia="Arial" w:hAnsi="Arial"/>
                <w:sz w:val="16"/>
                <w:szCs w:val="16"/>
                <w:color w:val="auto"/>
              </w:rPr>
              <w:t>annual installments</w:t>
            </w:r>
          </w:p>
        </w:tc>
        <w:tc>
          <w:tcPr>
            <w:tcW w:w="80" w:type="dxa"/>
            <w:vAlign w:val="bottom"/>
            <w:shd w:val="clear" w:color="auto" w:fill="CCCCCC"/>
          </w:tcPr>
          <w:p>
            <w:pPr>
              <w:spacing w:after="0"/>
              <w:rPr>
                <w:sz w:val="16"/>
                <w:szCs w:val="16"/>
                <w:color w:val="auto"/>
              </w:rPr>
            </w:pPr>
          </w:p>
        </w:tc>
        <w:tc>
          <w:tcPr>
            <w:tcW w:w="224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 w:type="dxa"/>
            <w:vAlign w:val="bottom"/>
            <w:tcBorders>
              <w:left w:val="single" w:sz="8" w:color="3465B0"/>
            </w:tcBorders>
          </w:tcPr>
          <w:p>
            <w:pPr>
              <w:spacing w:after="0"/>
              <w:rPr>
                <w:sz w:val="18"/>
                <w:szCs w:val="18"/>
                <w:color w:val="auto"/>
              </w:rPr>
            </w:pPr>
          </w:p>
        </w:tc>
        <w:tc>
          <w:tcPr>
            <w:tcW w:w="240" w:type="dxa"/>
            <w:vAlign w:val="bottom"/>
            <w:tcBorders>
              <w:right w:val="single" w:sz="8" w:color="93A1D2"/>
            </w:tcBorders>
          </w:tcPr>
          <w:p>
            <w:pPr>
              <w:spacing w:after="0"/>
              <w:rPr>
                <w:sz w:val="18"/>
                <w:szCs w:val="18"/>
                <w:color w:val="auto"/>
              </w:rPr>
            </w:pPr>
          </w:p>
        </w:tc>
        <w:tc>
          <w:tcPr>
            <w:tcW w:w="80" w:type="dxa"/>
            <w:vAlign w:val="bottom"/>
            <w:tcBorders>
              <w:bottom w:val="single" w:sz="8" w:color="808080"/>
            </w:tcBorders>
            <w:shd w:val="clear" w:color="auto" w:fill="CCCCCC"/>
          </w:tcPr>
          <w:p>
            <w:pPr>
              <w:spacing w:after="0"/>
              <w:rPr>
                <w:sz w:val="18"/>
                <w:szCs w:val="18"/>
                <w:color w:val="auto"/>
              </w:rPr>
            </w:pPr>
          </w:p>
        </w:tc>
        <w:tc>
          <w:tcPr>
            <w:tcW w:w="1920" w:type="dxa"/>
            <w:vAlign w:val="bottom"/>
            <w:tcBorders>
              <w:bottom w:val="single" w:sz="8" w:color="808080"/>
            </w:tcBorders>
            <w:shd w:val="clear" w:color="auto" w:fill="CCCCCC"/>
          </w:tcPr>
          <w:p>
            <w:pPr>
              <w:spacing w:after="0"/>
              <w:rPr>
                <w:sz w:val="20"/>
                <w:szCs w:val="20"/>
                <w:color w:val="auto"/>
              </w:rPr>
            </w:pPr>
            <w:r>
              <w:rPr>
                <w:rFonts w:ascii="Arial" w:cs="Arial" w:eastAsia="Arial" w:hAnsi="Arial"/>
                <w:sz w:val="15"/>
                <w:szCs w:val="15"/>
                <w:b w:val="1"/>
                <w:bCs w:val="1"/>
                <w:color w:val="auto"/>
              </w:rPr>
              <w:t>(“RSUs”)</w:t>
            </w:r>
          </w:p>
        </w:tc>
        <w:tc>
          <w:tcPr>
            <w:tcW w:w="100" w:type="dxa"/>
            <w:vAlign w:val="bottom"/>
            <w:tcBorders>
              <w:bottom w:val="single" w:sz="8" w:color="808080"/>
            </w:tcBorders>
            <w:shd w:val="clear" w:color="auto" w:fill="CCCCCC"/>
          </w:tcPr>
          <w:p>
            <w:pPr>
              <w:spacing w:after="0"/>
              <w:rPr>
                <w:sz w:val="18"/>
                <w:szCs w:val="18"/>
                <w:color w:val="auto"/>
              </w:rPr>
            </w:pPr>
          </w:p>
        </w:tc>
        <w:tc>
          <w:tcPr>
            <w:tcW w:w="2080" w:type="dxa"/>
            <w:vAlign w:val="bottom"/>
            <w:tcBorders>
              <w:bottom w:val="single" w:sz="8" w:color="808080"/>
              <w:right w:val="single" w:sz="8" w:color="CCCCCC"/>
            </w:tcBorders>
            <w:shd w:val="clear" w:color="auto" w:fill="CCCCCC"/>
          </w:tcPr>
          <w:p>
            <w:pPr>
              <w:spacing w:after="0"/>
              <w:rPr>
                <w:sz w:val="20"/>
                <w:szCs w:val="20"/>
                <w:color w:val="auto"/>
              </w:rPr>
            </w:pPr>
            <w:r>
              <w:rPr>
                <w:rFonts w:ascii="Arial" w:cs="Arial" w:eastAsia="Arial" w:hAnsi="Arial"/>
                <w:sz w:val="15"/>
                <w:szCs w:val="15"/>
                <w:color w:val="auto"/>
              </w:rPr>
              <w:t>executives</w:t>
            </w:r>
          </w:p>
        </w:tc>
        <w:tc>
          <w:tcPr>
            <w:tcW w:w="80" w:type="dxa"/>
            <w:vAlign w:val="bottom"/>
            <w:tcBorders>
              <w:bottom w:val="single" w:sz="8" w:color="808080"/>
            </w:tcBorders>
            <w:shd w:val="clear" w:color="auto" w:fill="CCCCCC"/>
          </w:tcPr>
          <w:p>
            <w:pPr>
              <w:spacing w:after="0"/>
              <w:rPr>
                <w:sz w:val="18"/>
                <w:szCs w:val="18"/>
                <w:color w:val="auto"/>
              </w:rPr>
            </w:pPr>
          </w:p>
        </w:tc>
        <w:tc>
          <w:tcPr>
            <w:tcW w:w="400" w:type="dxa"/>
            <w:vAlign w:val="bottom"/>
            <w:tcBorders>
              <w:bottom w:val="single" w:sz="8" w:color="808080"/>
            </w:tcBorders>
            <w:shd w:val="clear" w:color="auto" w:fill="CCCCCC"/>
          </w:tcPr>
          <w:p>
            <w:pPr>
              <w:spacing w:after="0"/>
              <w:rPr>
                <w:sz w:val="18"/>
                <w:szCs w:val="18"/>
                <w:color w:val="auto"/>
              </w:rPr>
            </w:pPr>
          </w:p>
        </w:tc>
        <w:tc>
          <w:tcPr>
            <w:tcW w:w="1860" w:type="dxa"/>
            <w:vAlign w:val="bottom"/>
            <w:tcBorders>
              <w:bottom w:val="single" w:sz="8" w:color="808080"/>
              <w:right w:val="single" w:sz="8" w:color="CCCCCC"/>
            </w:tcBorders>
            <w:shd w:val="clear" w:color="auto" w:fill="CCCCCC"/>
          </w:tcPr>
          <w:p>
            <w:pPr>
              <w:spacing w:after="0"/>
              <w:rPr>
                <w:sz w:val="18"/>
                <w:szCs w:val="18"/>
                <w:color w:val="auto"/>
              </w:rPr>
            </w:pPr>
          </w:p>
        </w:tc>
        <w:tc>
          <w:tcPr>
            <w:tcW w:w="80" w:type="dxa"/>
            <w:vAlign w:val="bottom"/>
            <w:tcBorders>
              <w:bottom w:val="single" w:sz="8" w:color="808080"/>
            </w:tcBorders>
            <w:shd w:val="clear" w:color="auto" w:fill="CCCCCC"/>
          </w:tcPr>
          <w:p>
            <w:pPr>
              <w:spacing w:after="0"/>
              <w:rPr>
                <w:sz w:val="18"/>
                <w:szCs w:val="18"/>
                <w:color w:val="auto"/>
              </w:rPr>
            </w:pPr>
          </w:p>
        </w:tc>
        <w:tc>
          <w:tcPr>
            <w:tcW w:w="2240" w:type="dxa"/>
            <w:vAlign w:val="bottom"/>
            <w:tcBorders>
              <w:bottom w:val="single" w:sz="8" w:color="808080"/>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5"/>
                <w:szCs w:val="15"/>
                <w:b w:val="1"/>
                <w:bCs w:val="1"/>
                <w:color w:val="auto"/>
              </w:rPr>
              <w:t>50% Performance</w:t>
            </w:r>
          </w:p>
        </w:tc>
        <w:tc>
          <w:tcPr>
            <w:tcW w:w="10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5"/>
                <w:szCs w:val="15"/>
                <w:color w:val="auto"/>
              </w:rPr>
              <w:t>Reward long-term</w:t>
            </w:r>
          </w:p>
        </w:tc>
        <w:tc>
          <w:tcPr>
            <w:tcW w:w="80" w:type="dxa"/>
            <w:vAlign w:val="bottom"/>
          </w:tcPr>
          <w:p>
            <w:pPr>
              <w:spacing w:after="0"/>
              <w:rPr>
                <w:sz w:val="16"/>
                <w:szCs w:val="16"/>
                <w:color w:val="auto"/>
              </w:rPr>
            </w:pPr>
          </w:p>
        </w:tc>
        <w:tc>
          <w:tcPr>
            <w:tcW w:w="2260" w:type="dxa"/>
            <w:vAlign w:val="bottom"/>
            <w:gridSpan w:val="2"/>
          </w:tcPr>
          <w:p>
            <w:pPr>
              <w:ind w:left="20"/>
              <w:spacing w:after="0"/>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Three-year performance</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In January 2026, the</w:t>
            </w:r>
          </w:p>
        </w:tc>
        <w:tc>
          <w:tcPr>
            <w:tcW w:w="0" w:type="dxa"/>
            <w:vAlign w:val="bottom"/>
          </w:tcPr>
          <w:p>
            <w:pPr>
              <w:spacing w:after="0"/>
              <w:rPr>
                <w:sz w:val="1"/>
                <w:szCs w:val="1"/>
                <w:color w:val="auto"/>
              </w:rPr>
            </w:pPr>
          </w:p>
        </w:tc>
      </w:tr>
      <w:tr>
        <w:trPr>
          <w:trHeight w:val="172"/>
        </w:trPr>
        <w:tc>
          <w:tcPr>
            <w:tcW w:w="80" w:type="dxa"/>
            <w:vAlign w:val="bottom"/>
            <w:tcBorders>
              <w:left w:val="single" w:sz="8" w:color="3465B0"/>
            </w:tcBorders>
          </w:tcPr>
          <w:p>
            <w:pPr>
              <w:spacing w:after="0"/>
              <w:rPr>
                <w:sz w:val="14"/>
                <w:szCs w:val="14"/>
                <w:color w:val="auto"/>
              </w:rPr>
            </w:pPr>
          </w:p>
        </w:tc>
        <w:tc>
          <w:tcPr>
            <w:tcW w:w="240" w:type="dxa"/>
            <w:vAlign w:val="bottom"/>
            <w:tcBorders>
              <w:right w:val="single" w:sz="8" w:color="93A1D2"/>
            </w:tcBorders>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Arial" w:cs="Arial" w:eastAsia="Arial" w:hAnsi="Arial"/>
                <w:sz w:val="15"/>
                <w:szCs w:val="15"/>
                <w:b w:val="1"/>
                <w:bCs w:val="1"/>
                <w:color w:val="auto"/>
              </w:rPr>
              <w:t>Stock Units</w:t>
            </w:r>
          </w:p>
        </w:tc>
        <w:tc>
          <w:tcPr>
            <w:tcW w:w="10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Arial" w:cs="Arial" w:eastAsia="Arial" w:hAnsi="Arial"/>
                <w:sz w:val="15"/>
                <w:szCs w:val="15"/>
                <w:color w:val="auto"/>
              </w:rPr>
              <w:t>performance</w:t>
            </w:r>
          </w:p>
        </w:tc>
        <w:tc>
          <w:tcPr>
            <w:tcW w:w="80" w:type="dxa"/>
            <w:vAlign w:val="bottom"/>
          </w:tcPr>
          <w:p>
            <w:pPr>
              <w:spacing w:after="0"/>
              <w:rPr>
                <w:sz w:val="14"/>
                <w:szCs w:val="14"/>
                <w:color w:val="auto"/>
              </w:rPr>
            </w:pPr>
          </w:p>
        </w:tc>
        <w:tc>
          <w:tcPr>
            <w:tcW w:w="2260" w:type="dxa"/>
            <w:vAlign w:val="bottom"/>
            <w:gridSpan w:val="2"/>
          </w:tcPr>
          <w:p>
            <w:pPr>
              <w:ind w:left="220"/>
              <w:spacing w:after="0" w:line="172" w:lineRule="exact"/>
              <w:rPr>
                <w:sz w:val="20"/>
                <w:szCs w:val="20"/>
                <w:color w:val="auto"/>
              </w:rPr>
            </w:pPr>
            <w:r>
              <w:rPr>
                <w:rFonts w:ascii="Arial" w:cs="Arial" w:eastAsia="Arial" w:hAnsi="Arial"/>
                <w:sz w:val="16"/>
                <w:szCs w:val="16"/>
                <w:color w:val="auto"/>
              </w:rPr>
              <w:t>period</w:t>
            </w:r>
          </w:p>
        </w:tc>
        <w:tc>
          <w:tcPr>
            <w:tcW w:w="80" w:type="dxa"/>
            <w:vAlign w:val="bottom"/>
          </w:tcPr>
          <w:p>
            <w:pPr>
              <w:spacing w:after="0"/>
              <w:rPr>
                <w:sz w:val="14"/>
                <w:szCs w:val="14"/>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compensation committee</w:t>
            </w:r>
          </w:p>
        </w:tc>
        <w:tc>
          <w:tcPr>
            <w:tcW w:w="0" w:type="dxa"/>
            <w:vAlign w:val="bottom"/>
          </w:tcPr>
          <w:p>
            <w:pPr>
              <w:spacing w:after="0"/>
              <w:rPr>
                <w:sz w:val="1"/>
                <w:szCs w:val="1"/>
                <w:color w:val="auto"/>
              </w:rPr>
            </w:pPr>
          </w:p>
        </w:tc>
      </w:tr>
      <w:tr>
        <w:trPr>
          <w:trHeight w:val="148"/>
        </w:trPr>
        <w:tc>
          <w:tcPr>
            <w:tcW w:w="80" w:type="dxa"/>
            <w:vAlign w:val="bottom"/>
            <w:tcBorders>
              <w:left w:val="single" w:sz="8" w:color="3465B0"/>
            </w:tcBorders>
          </w:tcPr>
          <w:p>
            <w:pPr>
              <w:spacing w:after="0"/>
              <w:rPr>
                <w:sz w:val="12"/>
                <w:szCs w:val="12"/>
                <w:color w:val="auto"/>
              </w:rPr>
            </w:pPr>
          </w:p>
        </w:tc>
        <w:tc>
          <w:tcPr>
            <w:tcW w:w="240" w:type="dxa"/>
            <w:vAlign w:val="bottom"/>
            <w:tcBorders>
              <w:right w:val="single" w:sz="8" w:color="93A1D2"/>
            </w:tcBorders>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line="148" w:lineRule="exact"/>
              <w:rPr>
                <w:sz w:val="20"/>
                <w:szCs w:val="20"/>
                <w:color w:val="auto"/>
              </w:rPr>
            </w:pPr>
            <w:r>
              <w:rPr>
                <w:rFonts w:ascii="Arial" w:cs="Arial" w:eastAsia="Arial" w:hAnsi="Arial"/>
                <w:sz w:val="15"/>
                <w:szCs w:val="15"/>
                <w:b w:val="1"/>
                <w:bCs w:val="1"/>
                <w:color w:val="auto"/>
              </w:rPr>
              <w:t>(“PSUs”)</w:t>
            </w: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Vest between 0% and</w:t>
            </w:r>
          </w:p>
        </w:tc>
        <w:tc>
          <w:tcPr>
            <w:tcW w:w="80" w:type="dxa"/>
            <w:vAlign w:val="bottom"/>
          </w:tcPr>
          <w:p>
            <w:pPr>
              <w:spacing w:after="0"/>
              <w:rPr>
                <w:sz w:val="12"/>
                <w:szCs w:val="12"/>
                <w:color w:val="auto"/>
              </w:rPr>
            </w:pPr>
          </w:p>
        </w:tc>
        <w:tc>
          <w:tcPr>
            <w:tcW w:w="2240" w:type="dxa"/>
            <w:vAlign w:val="bottom"/>
            <w:tcBorders>
              <w:right w:val="single" w:sz="8" w:color="3465B0"/>
            </w:tcBorders>
          </w:tcPr>
          <w:p>
            <w:pPr>
              <w:spacing w:after="0" w:line="148" w:lineRule="exact"/>
              <w:rPr>
                <w:sz w:val="20"/>
                <w:szCs w:val="20"/>
                <w:color w:val="auto"/>
              </w:rPr>
            </w:pPr>
            <w:r>
              <w:rPr>
                <w:rFonts w:ascii="Arial" w:cs="Arial" w:eastAsia="Arial" w:hAnsi="Arial"/>
                <w:sz w:val="15"/>
                <w:szCs w:val="15"/>
                <w:color w:val="auto"/>
              </w:rPr>
              <w:t>certified the level of</w:t>
            </w:r>
          </w:p>
        </w:tc>
        <w:tc>
          <w:tcPr>
            <w:tcW w:w="0" w:type="dxa"/>
            <w:vAlign w:val="bottom"/>
          </w:tcPr>
          <w:p>
            <w:pPr>
              <w:spacing w:after="0"/>
              <w:rPr>
                <w:sz w:val="1"/>
                <w:szCs w:val="1"/>
                <w:color w:val="auto"/>
              </w:rPr>
            </w:pPr>
          </w:p>
        </w:tc>
      </w:tr>
      <w:tr>
        <w:trPr>
          <w:trHeight w:val="152"/>
        </w:trPr>
        <w:tc>
          <w:tcPr>
            <w:tcW w:w="80" w:type="dxa"/>
            <w:vAlign w:val="bottom"/>
            <w:tcBorders>
              <w:left w:val="single" w:sz="8" w:color="3465B0"/>
            </w:tcBorders>
          </w:tcPr>
          <w:p>
            <w:pPr>
              <w:spacing w:after="0"/>
              <w:rPr>
                <w:sz w:val="13"/>
                <w:szCs w:val="13"/>
                <w:color w:val="auto"/>
              </w:rPr>
            </w:pPr>
          </w:p>
        </w:tc>
        <w:tc>
          <w:tcPr>
            <w:tcW w:w="240" w:type="dxa"/>
            <w:vAlign w:val="bottom"/>
            <w:tcBorders>
              <w:right w:val="single" w:sz="8" w:color="93A1D2"/>
            </w:tcBorders>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right w:val="single" w:sz="8" w:color="3465B0"/>
            </w:tcBorders>
          </w:tcPr>
          <w:p>
            <w:pPr>
              <w:spacing w:after="0" w:line="153" w:lineRule="exact"/>
              <w:rPr>
                <w:sz w:val="20"/>
                <w:szCs w:val="20"/>
                <w:color w:val="auto"/>
              </w:rPr>
            </w:pPr>
            <w:r>
              <w:rPr>
                <w:rFonts w:ascii="Arial" w:cs="Arial" w:eastAsia="Arial" w:hAnsi="Arial"/>
                <w:sz w:val="15"/>
                <w:szCs w:val="15"/>
                <w:color w:val="auto"/>
              </w:rPr>
              <w:t>achievement for the PSUs</w:t>
            </w:r>
          </w:p>
        </w:tc>
        <w:tc>
          <w:tcPr>
            <w:tcW w:w="0" w:type="dxa"/>
            <w:vAlign w:val="bottom"/>
          </w:tcPr>
          <w:p>
            <w:pPr>
              <w:spacing w:after="0"/>
              <w:rPr>
                <w:sz w:val="1"/>
                <w:szCs w:val="1"/>
                <w:color w:val="auto"/>
              </w:rPr>
            </w:pPr>
          </w:p>
        </w:tc>
      </w:tr>
      <w:tr>
        <w:trPr>
          <w:trHeight w:val="172"/>
        </w:trPr>
        <w:tc>
          <w:tcPr>
            <w:tcW w:w="80" w:type="dxa"/>
            <w:vAlign w:val="bottom"/>
            <w:tcBorders>
              <w:left w:val="single" w:sz="8" w:color="3465B0"/>
            </w:tcBorders>
          </w:tcPr>
          <w:p>
            <w:pPr>
              <w:spacing w:after="0"/>
              <w:rPr>
                <w:sz w:val="14"/>
                <w:szCs w:val="14"/>
                <w:color w:val="auto"/>
              </w:rPr>
            </w:pPr>
          </w:p>
        </w:tc>
        <w:tc>
          <w:tcPr>
            <w:tcW w:w="240" w:type="dxa"/>
            <w:vAlign w:val="bottom"/>
            <w:tcBorders>
              <w:right w:val="single" w:sz="8" w:color="93A1D2"/>
            </w:tcBorders>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ind w:left="220"/>
              <w:spacing w:after="0" w:line="171" w:lineRule="exact"/>
              <w:rPr>
                <w:sz w:val="20"/>
                <w:szCs w:val="20"/>
                <w:color w:val="auto"/>
              </w:rPr>
            </w:pPr>
            <w:r>
              <w:rPr>
                <w:rFonts w:ascii="Arial" w:cs="Arial" w:eastAsia="Arial" w:hAnsi="Arial"/>
                <w:sz w:val="16"/>
                <w:szCs w:val="16"/>
                <w:color w:val="auto"/>
              </w:rPr>
              <w:t>200% based on Company</w:t>
            </w:r>
          </w:p>
        </w:tc>
        <w:tc>
          <w:tcPr>
            <w:tcW w:w="80" w:type="dxa"/>
            <w:vAlign w:val="bottom"/>
          </w:tcPr>
          <w:p>
            <w:pPr>
              <w:spacing w:after="0"/>
              <w:rPr>
                <w:sz w:val="14"/>
                <w:szCs w:val="14"/>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granted in 2023, resulting in</w:t>
            </w:r>
          </w:p>
        </w:tc>
        <w:tc>
          <w:tcPr>
            <w:tcW w:w="0" w:type="dxa"/>
            <w:vAlign w:val="bottom"/>
          </w:tcPr>
          <w:p>
            <w:pPr>
              <w:spacing w:after="0"/>
              <w:rPr>
                <w:sz w:val="1"/>
                <w:szCs w:val="1"/>
                <w:color w:val="auto"/>
              </w:rPr>
            </w:pPr>
          </w:p>
        </w:tc>
      </w:tr>
      <w:tr>
        <w:trPr>
          <w:trHeight w:val="179"/>
        </w:trPr>
        <w:tc>
          <w:tcPr>
            <w:tcW w:w="80" w:type="dxa"/>
            <w:vAlign w:val="bottom"/>
            <w:tcBorders>
              <w:left w:val="single" w:sz="8" w:color="3465B0"/>
            </w:tcBorders>
          </w:tcPr>
          <w:p>
            <w:pPr>
              <w:spacing w:after="0"/>
              <w:rPr>
                <w:sz w:val="15"/>
                <w:szCs w:val="15"/>
                <w:color w:val="auto"/>
              </w:rPr>
            </w:pPr>
          </w:p>
        </w:tc>
        <w:tc>
          <w:tcPr>
            <w:tcW w:w="240" w:type="dxa"/>
            <w:vAlign w:val="bottom"/>
            <w:tcBorders>
              <w:right w:val="single" w:sz="8" w:color="93A1D2"/>
            </w:tcBorders>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2"/>
          </w:tcPr>
          <w:p>
            <w:pPr>
              <w:ind w:left="220"/>
              <w:spacing w:after="0" w:line="180" w:lineRule="exact"/>
              <w:rPr>
                <w:sz w:val="20"/>
                <w:szCs w:val="20"/>
                <w:color w:val="auto"/>
              </w:rPr>
            </w:pPr>
            <w:r>
              <w:rPr>
                <w:rFonts w:ascii="Arial" w:cs="Arial" w:eastAsia="Arial" w:hAnsi="Arial"/>
                <w:sz w:val="16"/>
                <w:szCs w:val="16"/>
                <w:color w:val="auto"/>
              </w:rPr>
              <w:t>performance against</w:t>
            </w:r>
          </w:p>
        </w:tc>
        <w:tc>
          <w:tcPr>
            <w:tcW w:w="80" w:type="dxa"/>
            <w:vAlign w:val="bottom"/>
          </w:tcPr>
          <w:p>
            <w:pPr>
              <w:spacing w:after="0"/>
              <w:rPr>
                <w:sz w:val="15"/>
                <w:szCs w:val="15"/>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vesting at 133.3% of target</w:t>
            </w: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20"/>
              <w:spacing w:after="0"/>
              <w:rPr>
                <w:sz w:val="20"/>
                <w:szCs w:val="20"/>
                <w:color w:val="auto"/>
              </w:rPr>
            </w:pPr>
            <w:r>
              <w:rPr>
                <w:rFonts w:ascii="Arial" w:cs="Arial" w:eastAsia="Arial" w:hAnsi="Arial"/>
                <w:sz w:val="16"/>
                <w:szCs w:val="16"/>
                <w:color w:val="auto"/>
              </w:rPr>
              <w:t>qualitative performance</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based on three-year AOI and</w:t>
            </w: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vMerge w:val="restart"/>
          </w:tcPr>
          <w:p>
            <w:pPr>
              <w:ind w:left="220"/>
              <w:spacing w:after="0"/>
              <w:rPr>
                <w:sz w:val="20"/>
                <w:szCs w:val="20"/>
                <w:color w:val="auto"/>
              </w:rPr>
            </w:pPr>
            <w:r>
              <w:rPr>
                <w:rFonts w:ascii="Arial" w:cs="Arial" w:eastAsia="Arial" w:hAnsi="Arial"/>
                <w:sz w:val="16"/>
                <w:szCs w:val="16"/>
                <w:color w:val="auto"/>
              </w:rPr>
              <w:t>objectives established by</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20"/>
                <w:szCs w:val="20"/>
                <w:color w:val="auto"/>
              </w:rPr>
            </w:pPr>
            <w:r>
              <w:rPr>
                <w:rFonts w:ascii="Arial" w:cs="Arial" w:eastAsia="Arial" w:hAnsi="Arial"/>
                <w:sz w:val="15"/>
                <w:szCs w:val="15"/>
                <w:color w:val="auto"/>
              </w:rPr>
              <w:t>ROIC performance</w:t>
            </w:r>
          </w:p>
        </w:tc>
        <w:tc>
          <w:tcPr>
            <w:tcW w:w="0" w:type="dxa"/>
            <w:vAlign w:val="bottom"/>
          </w:tcPr>
          <w:p>
            <w:pPr>
              <w:spacing w:after="0"/>
              <w:rPr>
                <w:sz w:val="1"/>
                <w:szCs w:val="1"/>
                <w:color w:val="auto"/>
              </w:rPr>
            </w:pPr>
          </w:p>
        </w:tc>
      </w:tr>
      <w:tr>
        <w:trPr>
          <w:trHeight w:val="26"/>
        </w:trPr>
        <w:tc>
          <w:tcPr>
            <w:tcW w:w="80" w:type="dxa"/>
            <w:vAlign w:val="bottom"/>
            <w:tcBorders>
              <w:left w:val="single" w:sz="8" w:color="3465B0"/>
            </w:tcBorders>
          </w:tcPr>
          <w:p>
            <w:pPr>
              <w:spacing w:after="0"/>
              <w:rPr>
                <w:sz w:val="2"/>
                <w:szCs w:val="2"/>
                <w:color w:val="auto"/>
              </w:rPr>
            </w:pPr>
          </w:p>
        </w:tc>
        <w:tc>
          <w:tcPr>
            <w:tcW w:w="240" w:type="dxa"/>
            <w:vAlign w:val="bottom"/>
            <w:tcBorders>
              <w:right w:val="single" w:sz="8" w:color="93A1D2"/>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Borders>
              <w:right w:val="single" w:sz="8" w:color="3465B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2"/>
          </w:tcPr>
          <w:p>
            <w:pPr>
              <w:ind w:left="220"/>
              <w:spacing w:after="0"/>
              <w:rPr>
                <w:sz w:val="20"/>
                <w:szCs w:val="20"/>
                <w:color w:val="auto"/>
              </w:rPr>
            </w:pPr>
            <w:r>
              <w:rPr>
                <w:rFonts w:ascii="Arial" w:cs="Arial" w:eastAsia="Arial" w:hAnsi="Arial"/>
                <w:sz w:val="16"/>
                <w:szCs w:val="16"/>
                <w:color w:val="auto"/>
              </w:rPr>
              <w:t>the compensation</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 w:type="dxa"/>
            <w:vAlign w:val="bottom"/>
            <w:tcBorders>
              <w:left w:val="single" w:sz="8" w:color="3465B0"/>
            </w:tcBorders>
          </w:tcPr>
          <w:p>
            <w:pPr>
              <w:spacing w:after="0"/>
              <w:rPr>
                <w:sz w:val="18"/>
                <w:szCs w:val="18"/>
                <w:color w:val="auto"/>
              </w:rPr>
            </w:pPr>
          </w:p>
        </w:tc>
        <w:tc>
          <w:tcPr>
            <w:tcW w:w="240" w:type="dxa"/>
            <w:vAlign w:val="bottom"/>
            <w:tcBorders>
              <w:right w:val="single" w:sz="8" w:color="93A1D2"/>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2"/>
          </w:tcPr>
          <w:p>
            <w:pPr>
              <w:ind w:left="220"/>
              <w:spacing w:after="0"/>
              <w:rPr>
                <w:sz w:val="20"/>
                <w:szCs w:val="20"/>
                <w:color w:val="auto"/>
              </w:rPr>
            </w:pPr>
            <w:r>
              <w:rPr>
                <w:rFonts w:ascii="Arial" w:cs="Arial" w:eastAsia="Arial" w:hAnsi="Arial"/>
                <w:sz w:val="16"/>
                <w:szCs w:val="16"/>
                <w:color w:val="auto"/>
              </w:rPr>
              <w:t>committee</w:t>
            </w:r>
          </w:p>
        </w:tc>
        <w:tc>
          <w:tcPr>
            <w:tcW w:w="80" w:type="dxa"/>
            <w:vAlign w:val="bottom"/>
          </w:tcPr>
          <w:p>
            <w:pPr>
              <w:spacing w:after="0"/>
              <w:rPr>
                <w:sz w:val="18"/>
                <w:szCs w:val="18"/>
                <w:color w:val="auto"/>
              </w:rPr>
            </w:pPr>
          </w:p>
        </w:tc>
        <w:tc>
          <w:tcPr>
            <w:tcW w:w="224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0" w:type="dxa"/>
            <w:vAlign w:val="bottom"/>
            <w:tcBorders>
              <w:left w:val="single" w:sz="8" w:color="3465B0"/>
            </w:tcBorders>
          </w:tcPr>
          <w:p>
            <w:pPr>
              <w:spacing w:after="0"/>
              <w:rPr>
                <w:sz w:val="20"/>
                <w:szCs w:val="20"/>
                <w:color w:val="auto"/>
              </w:rPr>
            </w:pPr>
          </w:p>
        </w:tc>
        <w:tc>
          <w:tcPr>
            <w:tcW w:w="240" w:type="dxa"/>
            <w:vAlign w:val="bottom"/>
            <w:tcBorders>
              <w:right w:val="single" w:sz="8" w:color="93A1D2"/>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2"/>
          </w:tcPr>
          <w:p>
            <w:pPr>
              <w:ind w:left="20"/>
              <w:spacing w:after="0"/>
              <w:rPr>
                <w:sz w:val="20"/>
                <w:szCs w:val="20"/>
                <w:color w:val="auto"/>
              </w:rPr>
            </w:pPr>
            <w:r>
              <w:rPr>
                <w:rFonts w:ascii="Arial" w:cs="Arial" w:eastAsia="Arial" w:hAnsi="Arial"/>
                <w:sz w:val="11"/>
                <w:szCs w:val="11"/>
                <w:color w:val="3465B0"/>
              </w:rPr>
              <w:t>•</w:t>
            </w:r>
            <w:r>
              <w:rPr>
                <w:rFonts w:ascii="Arial" w:cs="Arial" w:eastAsia="Arial" w:hAnsi="Arial"/>
                <w:sz w:val="16"/>
                <w:szCs w:val="16"/>
                <w:color w:val="000000"/>
              </w:rPr>
              <w:t xml:space="preserve">   PSUs granted in 2025 will</w:t>
            </w:r>
          </w:p>
        </w:tc>
        <w:tc>
          <w:tcPr>
            <w:tcW w:w="80" w:type="dxa"/>
            <w:vAlign w:val="bottom"/>
          </w:tcPr>
          <w:p>
            <w:pPr>
              <w:spacing w:after="0"/>
              <w:rPr>
                <w:sz w:val="20"/>
                <w:szCs w:val="20"/>
                <w:color w:val="auto"/>
              </w:rPr>
            </w:pPr>
          </w:p>
        </w:tc>
        <w:tc>
          <w:tcPr>
            <w:tcW w:w="224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tcBorders>
              <w:left w:val="single" w:sz="8" w:color="3465B0"/>
            </w:tcBorders>
          </w:tcPr>
          <w:p>
            <w:pPr>
              <w:spacing w:after="0"/>
              <w:rPr>
                <w:sz w:val="18"/>
                <w:szCs w:val="18"/>
                <w:color w:val="auto"/>
              </w:rPr>
            </w:pPr>
          </w:p>
        </w:tc>
        <w:tc>
          <w:tcPr>
            <w:tcW w:w="240" w:type="dxa"/>
            <w:vAlign w:val="bottom"/>
            <w:tcBorders>
              <w:right w:val="single" w:sz="8" w:color="93A1D2"/>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2"/>
          </w:tcPr>
          <w:p>
            <w:pPr>
              <w:ind w:left="220"/>
              <w:spacing w:after="0"/>
              <w:rPr>
                <w:sz w:val="20"/>
                <w:szCs w:val="20"/>
                <w:color w:val="auto"/>
              </w:rPr>
            </w:pPr>
            <w:r>
              <w:rPr>
                <w:rFonts w:ascii="Arial" w:cs="Arial" w:eastAsia="Arial" w:hAnsi="Arial"/>
                <w:sz w:val="16"/>
                <w:szCs w:val="16"/>
                <w:color w:val="auto"/>
              </w:rPr>
              <w:t>vest based on:</w:t>
            </w:r>
          </w:p>
        </w:tc>
        <w:tc>
          <w:tcPr>
            <w:tcW w:w="80" w:type="dxa"/>
            <w:vAlign w:val="bottom"/>
          </w:tcPr>
          <w:p>
            <w:pPr>
              <w:spacing w:after="0"/>
              <w:rPr>
                <w:sz w:val="18"/>
                <w:szCs w:val="18"/>
                <w:color w:val="auto"/>
              </w:rPr>
            </w:pPr>
          </w:p>
        </w:tc>
        <w:tc>
          <w:tcPr>
            <w:tcW w:w="224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 w:type="dxa"/>
            <w:vAlign w:val="bottom"/>
            <w:tcBorders>
              <w:left w:val="single" w:sz="8" w:color="3465B0"/>
            </w:tcBorders>
          </w:tcPr>
          <w:p>
            <w:pPr>
              <w:spacing w:after="0"/>
              <w:rPr>
                <w:sz w:val="21"/>
                <w:szCs w:val="21"/>
                <w:color w:val="auto"/>
              </w:rPr>
            </w:pPr>
          </w:p>
        </w:tc>
        <w:tc>
          <w:tcPr>
            <w:tcW w:w="240" w:type="dxa"/>
            <w:vAlign w:val="bottom"/>
            <w:tcBorders>
              <w:right w:val="single" w:sz="8" w:color="93A1D2"/>
            </w:tcBorders>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w w:val="71"/>
              </w:rPr>
              <w:t>— </w:t>
            </w:r>
          </w:p>
        </w:tc>
        <w:tc>
          <w:tcPr>
            <w:tcW w:w="1860" w:type="dxa"/>
            <w:vAlign w:val="bottom"/>
          </w:tcPr>
          <w:p>
            <w:pPr>
              <w:ind w:left="100"/>
              <w:spacing w:after="0"/>
              <w:rPr>
                <w:sz w:val="20"/>
                <w:szCs w:val="20"/>
                <w:color w:val="auto"/>
              </w:rPr>
            </w:pPr>
            <w:r>
              <w:rPr>
                <w:rFonts w:ascii="Arial" w:cs="Arial" w:eastAsia="Arial" w:hAnsi="Arial"/>
                <w:sz w:val="16"/>
                <w:szCs w:val="16"/>
                <w:color w:val="auto"/>
              </w:rPr>
              <w:t>Adjusted Operating</w:t>
            </w:r>
          </w:p>
        </w:tc>
        <w:tc>
          <w:tcPr>
            <w:tcW w:w="80" w:type="dxa"/>
            <w:vAlign w:val="bottom"/>
          </w:tcPr>
          <w:p>
            <w:pPr>
              <w:spacing w:after="0"/>
              <w:rPr>
                <w:sz w:val="21"/>
                <w:szCs w:val="21"/>
                <w:color w:val="auto"/>
              </w:rPr>
            </w:pPr>
          </w:p>
        </w:tc>
        <w:tc>
          <w:tcPr>
            <w:tcW w:w="2240" w:type="dxa"/>
            <w:vAlign w:val="bottom"/>
            <w:tcBorders>
              <w:right w:val="single" w:sz="8" w:color="3465B0"/>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6"/>
                <w:szCs w:val="16"/>
                <w:color w:val="auto"/>
              </w:rPr>
              <w:t>Income (“AOI”) - 50%</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 w:type="dxa"/>
            <w:vAlign w:val="bottom"/>
            <w:tcBorders>
              <w:left w:val="single" w:sz="8" w:color="3465B0"/>
            </w:tcBorders>
          </w:tcPr>
          <w:p>
            <w:pPr>
              <w:spacing w:after="0"/>
              <w:rPr>
                <w:sz w:val="18"/>
                <w:szCs w:val="18"/>
                <w:color w:val="auto"/>
              </w:rPr>
            </w:pPr>
          </w:p>
        </w:tc>
        <w:tc>
          <w:tcPr>
            <w:tcW w:w="240" w:type="dxa"/>
            <w:vAlign w:val="bottom"/>
            <w:tcBorders>
              <w:right w:val="single" w:sz="8" w:color="93A1D2"/>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ind w:left="100"/>
              <w:spacing w:after="0"/>
              <w:rPr>
                <w:sz w:val="20"/>
                <w:szCs w:val="20"/>
                <w:color w:val="auto"/>
              </w:rPr>
            </w:pPr>
            <w:r>
              <w:rPr>
                <w:rFonts w:ascii="Arial" w:cs="Arial" w:eastAsia="Arial" w:hAnsi="Arial"/>
                <w:sz w:val="16"/>
                <w:szCs w:val="16"/>
                <w:color w:val="auto"/>
              </w:rPr>
              <w:t>weighting</w:t>
            </w:r>
          </w:p>
        </w:tc>
        <w:tc>
          <w:tcPr>
            <w:tcW w:w="80" w:type="dxa"/>
            <w:vAlign w:val="bottom"/>
          </w:tcPr>
          <w:p>
            <w:pPr>
              <w:spacing w:after="0"/>
              <w:rPr>
                <w:sz w:val="18"/>
                <w:szCs w:val="18"/>
                <w:color w:val="auto"/>
              </w:rPr>
            </w:pPr>
          </w:p>
        </w:tc>
        <w:tc>
          <w:tcPr>
            <w:tcW w:w="224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0" w:type="dxa"/>
            <w:vAlign w:val="bottom"/>
            <w:tcBorders>
              <w:left w:val="single" w:sz="8" w:color="3465B0"/>
            </w:tcBorders>
          </w:tcPr>
          <w:p>
            <w:pPr>
              <w:spacing w:after="0"/>
              <w:rPr>
                <w:sz w:val="20"/>
                <w:szCs w:val="20"/>
                <w:color w:val="auto"/>
              </w:rPr>
            </w:pPr>
          </w:p>
        </w:tc>
        <w:tc>
          <w:tcPr>
            <w:tcW w:w="240" w:type="dxa"/>
            <w:vAlign w:val="bottom"/>
            <w:tcBorders>
              <w:right w:val="single" w:sz="8" w:color="93A1D2"/>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w w:val="71"/>
              </w:rPr>
              <w:t>— </w:t>
            </w:r>
          </w:p>
        </w:tc>
        <w:tc>
          <w:tcPr>
            <w:tcW w:w="1860" w:type="dxa"/>
            <w:vAlign w:val="bottom"/>
          </w:tcPr>
          <w:p>
            <w:pPr>
              <w:ind w:left="100"/>
              <w:spacing w:after="0"/>
              <w:rPr>
                <w:sz w:val="20"/>
                <w:szCs w:val="20"/>
                <w:color w:val="auto"/>
              </w:rPr>
            </w:pPr>
            <w:r>
              <w:rPr>
                <w:rFonts w:ascii="Arial" w:cs="Arial" w:eastAsia="Arial" w:hAnsi="Arial"/>
                <w:sz w:val="16"/>
                <w:szCs w:val="16"/>
                <w:color w:val="auto"/>
              </w:rPr>
              <w:t>Return on Invested</w:t>
            </w:r>
          </w:p>
        </w:tc>
        <w:tc>
          <w:tcPr>
            <w:tcW w:w="80" w:type="dxa"/>
            <w:vAlign w:val="bottom"/>
          </w:tcPr>
          <w:p>
            <w:pPr>
              <w:spacing w:after="0"/>
              <w:rPr>
                <w:sz w:val="20"/>
                <w:szCs w:val="20"/>
                <w:color w:val="auto"/>
              </w:rPr>
            </w:pPr>
          </w:p>
        </w:tc>
        <w:tc>
          <w:tcPr>
            <w:tcW w:w="224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6"/>
                <w:szCs w:val="16"/>
                <w:color w:val="auto"/>
              </w:rPr>
              <w:t>Capital (“ROIC”) -</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 w:type="dxa"/>
            <w:vAlign w:val="bottom"/>
            <w:tcBorders>
              <w:left w:val="single" w:sz="8" w:color="3465B0"/>
            </w:tcBorders>
          </w:tcPr>
          <w:p>
            <w:pPr>
              <w:spacing w:after="0"/>
              <w:rPr>
                <w:sz w:val="18"/>
                <w:szCs w:val="18"/>
                <w:color w:val="auto"/>
              </w:rPr>
            </w:pPr>
          </w:p>
        </w:tc>
        <w:tc>
          <w:tcPr>
            <w:tcW w:w="240" w:type="dxa"/>
            <w:vAlign w:val="bottom"/>
            <w:tcBorders>
              <w:right w:val="single" w:sz="8" w:color="93A1D2"/>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6"/>
                <w:szCs w:val="16"/>
                <w:color w:val="auto"/>
              </w:rPr>
              <w:t>25% weighting</w:t>
            </w:r>
          </w:p>
        </w:tc>
        <w:tc>
          <w:tcPr>
            <w:tcW w:w="80" w:type="dxa"/>
            <w:vAlign w:val="bottom"/>
          </w:tcPr>
          <w:p>
            <w:pPr>
              <w:spacing w:after="0"/>
              <w:rPr>
                <w:sz w:val="18"/>
                <w:szCs w:val="18"/>
                <w:color w:val="auto"/>
              </w:rPr>
            </w:pPr>
          </w:p>
        </w:tc>
        <w:tc>
          <w:tcPr>
            <w:tcW w:w="224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0" w:type="dxa"/>
            <w:vAlign w:val="bottom"/>
            <w:tcBorders>
              <w:left w:val="single" w:sz="8" w:color="3465B0"/>
            </w:tcBorders>
          </w:tcPr>
          <w:p>
            <w:pPr>
              <w:spacing w:after="0"/>
              <w:rPr>
                <w:sz w:val="20"/>
                <w:szCs w:val="20"/>
                <w:color w:val="auto"/>
              </w:rPr>
            </w:pPr>
          </w:p>
        </w:tc>
        <w:tc>
          <w:tcPr>
            <w:tcW w:w="240" w:type="dxa"/>
            <w:vAlign w:val="bottom"/>
            <w:tcBorders>
              <w:right w:val="single" w:sz="8" w:color="93A1D2"/>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w w:val="71"/>
              </w:rPr>
              <w:t>— </w:t>
            </w:r>
          </w:p>
        </w:tc>
        <w:tc>
          <w:tcPr>
            <w:tcW w:w="1860" w:type="dxa"/>
            <w:vAlign w:val="bottom"/>
          </w:tcPr>
          <w:p>
            <w:pPr>
              <w:ind w:left="100"/>
              <w:spacing w:after="0"/>
              <w:rPr>
                <w:sz w:val="20"/>
                <w:szCs w:val="20"/>
                <w:color w:val="auto"/>
              </w:rPr>
            </w:pPr>
            <w:r>
              <w:rPr>
                <w:rFonts w:ascii="Arial" w:cs="Arial" w:eastAsia="Arial" w:hAnsi="Arial"/>
                <w:sz w:val="16"/>
                <w:szCs w:val="16"/>
                <w:color w:val="auto"/>
              </w:rPr>
              <w:t>Relative Total</w:t>
            </w:r>
          </w:p>
        </w:tc>
        <w:tc>
          <w:tcPr>
            <w:tcW w:w="80" w:type="dxa"/>
            <w:vAlign w:val="bottom"/>
          </w:tcPr>
          <w:p>
            <w:pPr>
              <w:spacing w:after="0"/>
              <w:rPr>
                <w:sz w:val="20"/>
                <w:szCs w:val="20"/>
                <w:color w:val="auto"/>
              </w:rPr>
            </w:pPr>
          </w:p>
        </w:tc>
        <w:tc>
          <w:tcPr>
            <w:tcW w:w="2240" w:type="dxa"/>
            <w:vAlign w:val="bottom"/>
            <w:tcBorders>
              <w:right w:val="single" w:sz="8" w:color="3465B0"/>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6"/>
                <w:szCs w:val="16"/>
                <w:color w:val="auto"/>
              </w:rPr>
              <w:t>Shareholder Return</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3465B0"/>
            </w:tcBorders>
          </w:tcPr>
          <w:p>
            <w:pPr>
              <w:spacing w:after="0"/>
              <w:rPr>
                <w:sz w:val="16"/>
                <w:szCs w:val="16"/>
                <w:color w:val="auto"/>
              </w:rPr>
            </w:pPr>
          </w:p>
        </w:tc>
        <w:tc>
          <w:tcPr>
            <w:tcW w:w="24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6"/>
                <w:szCs w:val="16"/>
                <w:color w:val="auto"/>
              </w:rPr>
              <w:t>(“rTSR”) -</w:t>
            </w:r>
          </w:p>
        </w:tc>
        <w:tc>
          <w:tcPr>
            <w:tcW w:w="80" w:type="dxa"/>
            <w:vAlign w:val="bottom"/>
          </w:tcPr>
          <w:p>
            <w:pPr>
              <w:spacing w:after="0"/>
              <w:rPr>
                <w:sz w:val="16"/>
                <w:szCs w:val="16"/>
                <w:color w:val="auto"/>
              </w:rPr>
            </w:pPr>
          </w:p>
        </w:tc>
        <w:tc>
          <w:tcPr>
            <w:tcW w:w="224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80" w:type="dxa"/>
            <w:vAlign w:val="bottom"/>
            <w:tcBorders>
              <w:left w:val="single" w:sz="8" w:color="3465B0"/>
            </w:tcBorders>
          </w:tcPr>
          <w:p>
            <w:pPr>
              <w:spacing w:after="0"/>
              <w:rPr>
                <w:sz w:val="23"/>
                <w:szCs w:val="23"/>
                <w:color w:val="auto"/>
              </w:rPr>
            </w:pPr>
          </w:p>
        </w:tc>
        <w:tc>
          <w:tcPr>
            <w:tcW w:w="240" w:type="dxa"/>
            <w:vAlign w:val="bottom"/>
            <w:tcBorders>
              <w:right w:val="single" w:sz="8" w:color="93A1D2"/>
            </w:tcBorders>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ind w:left="20"/>
              <w:spacing w:after="0"/>
              <w:rPr>
                <w:sz w:val="20"/>
                <w:szCs w:val="20"/>
                <w:color w:val="auto"/>
              </w:rPr>
            </w:pPr>
            <w:r>
              <w:rPr>
                <w:rFonts w:ascii="Arial" w:cs="Arial" w:eastAsia="Arial" w:hAnsi="Arial"/>
                <w:sz w:val="16"/>
                <w:szCs w:val="16"/>
                <w:color w:val="auto"/>
              </w:rPr>
              <w:t>25% weighting</w:t>
            </w:r>
          </w:p>
        </w:tc>
        <w:tc>
          <w:tcPr>
            <w:tcW w:w="80" w:type="dxa"/>
            <w:vAlign w:val="bottom"/>
          </w:tcPr>
          <w:p>
            <w:pPr>
              <w:spacing w:after="0"/>
              <w:rPr>
                <w:sz w:val="23"/>
                <w:szCs w:val="23"/>
                <w:color w:val="auto"/>
              </w:rPr>
            </w:pPr>
          </w:p>
        </w:tc>
        <w:tc>
          <w:tcPr>
            <w:tcW w:w="2240" w:type="dxa"/>
            <w:vAlign w:val="bottom"/>
            <w:tcBorders>
              <w:right w:val="single" w:sz="8" w:color="3465B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240" w:type="dxa"/>
            <w:vAlign w:val="bottom"/>
            <w:tcBorders>
              <w:right w:val="single" w:sz="8" w:color="3465B0"/>
            </w:tcBorders>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1920" w:type="dxa"/>
            <w:vAlign w:val="bottom"/>
            <w:shd w:val="clear" w:color="auto" w:fill="3465B0"/>
          </w:tcPr>
          <w:p>
            <w:pPr>
              <w:spacing w:after="0" w:line="20" w:lineRule="exact"/>
              <w:rPr>
                <w:sz w:val="1"/>
                <w:szCs w:val="1"/>
                <w:color w:val="auto"/>
              </w:rPr>
            </w:pPr>
          </w:p>
        </w:tc>
        <w:tc>
          <w:tcPr>
            <w:tcW w:w="100" w:type="dxa"/>
            <w:vAlign w:val="bottom"/>
            <w:shd w:val="clear" w:color="auto" w:fill="3465B0"/>
          </w:tcPr>
          <w:p>
            <w:pPr>
              <w:spacing w:after="0" w:line="20" w:lineRule="exact"/>
              <w:rPr>
                <w:sz w:val="1"/>
                <w:szCs w:val="1"/>
                <w:color w:val="auto"/>
              </w:rPr>
            </w:pPr>
          </w:p>
        </w:tc>
        <w:tc>
          <w:tcPr>
            <w:tcW w:w="2080" w:type="dxa"/>
            <w:vAlign w:val="bottom"/>
            <w:tcBorders>
              <w:right w:val="single" w:sz="8" w:color="3465B0"/>
            </w:tcBorders>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1860" w:type="dxa"/>
            <w:vAlign w:val="bottom"/>
            <w:tcBorders>
              <w:right w:val="single" w:sz="8" w:color="3465B0"/>
            </w:tcBorders>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2240" w:type="dxa"/>
            <w:vAlign w:val="bottom"/>
            <w:tcBorders>
              <w:right w:val="single" w:sz="8" w:color="3465B0"/>
            </w:tcBorders>
            <w:shd w:val="clear" w:color="auto" w:fill="3465B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-7103745</wp:posOffset>
            </wp:positionV>
            <wp:extent cx="34290" cy="9683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96837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Each of these elements is further described under the heading “Elements of Compensation” below.</w:t>
      </w:r>
    </w:p>
    <w:p>
      <w:pPr>
        <w:sectPr>
          <w:pgSz w:w="11900" w:h="16838" w:orient="portrait"/>
          <w:cols w:equalWidth="0" w:num="1">
            <w:col w:w="9160"/>
          </w:cols>
          <w:pgMar w:left="1360" w:top="114" w:right="1379" w:bottom="1440" w:gutter="0" w:footer="0" w:header="0"/>
        </w:sectPr>
      </w:pPr>
    </w:p>
    <w:p>
      <w:pPr>
        <w:spacing w:after="0" w:line="91" w:lineRule="exact"/>
        <w:rPr>
          <w:sz w:val="20"/>
          <w:szCs w:val="20"/>
          <w:color w:val="auto"/>
        </w:rPr>
      </w:pPr>
    </w:p>
    <w:p>
      <w:pPr>
        <w:ind w:left="360" w:hanging="346"/>
        <w:spacing w:after="0"/>
        <w:tabs>
          <w:tab w:leader="none" w:pos="360" w:val="left"/>
        </w:tabs>
        <w:numPr>
          <w:ilvl w:val="0"/>
          <w:numId w:val="47"/>
        </w:numPr>
        <w:rPr>
          <w:rFonts w:ascii="Arial" w:cs="Arial" w:eastAsia="Arial" w:hAnsi="Arial"/>
          <w:sz w:val="15"/>
          <w:szCs w:val="15"/>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43" w:name="page44"/>
    <w:bookmarkEnd w:id="43"/>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2026 Executive Compensation Updates</w:t>
      </w:r>
    </w:p>
    <w:p>
      <w:pPr>
        <w:spacing w:after="0" w:line="139"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In March 2026, the compensation committee approved a special, one-time design for the PSUs granted in 2026 to the Company’s senior leadership, including our executive officers, to further align the interests of our executive officers with the interests of our stockholders, further promote long-term value creation for stockholders, and help secure the benefit of our executive officers’ leadership in a highly competitive market.</w:t>
      </w:r>
    </w:p>
    <w:p>
      <w:pPr>
        <w:spacing w:after="0" w:line="106"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The core portion of these 2026 PSUs is similar to the PSUs granted in 2025, with 25% vesting based on attainment of relative total shareholder return, and the remainder vesting based on achievement of financial performance goals related to growth in annual Adjusted Operating Income (50%) and Return on Invested Capital (25%) (together, the “Base 2026 PSUs”). Regardless of our performance against goals relating to growth in Annual Adjusted Operating Income, the AOI portion of the Base 2026 PSUs will not vest if the Company’s Adjusted Operating Income growth is negative over the three-year performance period.</w:t>
      </w:r>
    </w:p>
    <w:p>
      <w:pPr>
        <w:spacing w:after="0" w:line="98"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The 2026 PSUs also include a special, one-time modifier based on total stockholder return milestones during the three-year performance period (the “Modifier PSUs”). These Modifier PSUs are entirely performance-based, only apply to the number of Base 2026 PSUs actually earned over the performance period, have a longer vesting requirement than the Base 2026 PSUs (50% on the fourth anniversary of the grant date and 50% on the fifth anniversary of the grant date, assuming the milestone requirements are met), and will only deliver significant value to the recipients if the Company’s stock price significantly exceeds the 20-day average leading up to the grant date. The compensation committee does not expect to grant similar modifier awards in the coming years.</w:t>
      </w:r>
    </w:p>
    <w:p>
      <w:pPr>
        <w:spacing w:after="0" w:line="19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465B0"/>
        </w:rPr>
        <w:t>Pay for Performance Philosophy</w:t>
      </w:r>
    </w:p>
    <w:p>
      <w:pPr>
        <w:spacing w:after="0" w:line="144"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Our executive compensation program reflects our commitment to pay for performance and long-term stockholder value creation by tying the majority of compensation for executives to performance-based metrics aligned to our growth strategy. Our program emphasizes at-risk, performance-based compensation in the form of annual cash incentive awards and long-term incentive awards comprised of 50% restricted stock units and 50% performance stock units. The chart below shows the 2025 target total direct compensation for our CEO, Mr. Wilkes, and the average 2025 target total direct compensation for our NEOs other than Messrs. Wilkes and Moore and Ms. Rasmussen, as Mr. Moore and Ms. Rasmussen did not participate in all elements of our compensation program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186055</wp:posOffset>
            </wp:positionV>
            <wp:extent cx="5220335" cy="1945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2033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  </w:t>
      </w:r>
    </w:p>
    <w:p>
      <w:pPr>
        <w:spacing w:after="0" w:line="21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465B0"/>
        </w:rPr>
        <w:t>Our Annual Compensation-Setting Process</w:t>
      </w:r>
    </w:p>
    <w:p>
      <w:pPr>
        <w:spacing w:after="0" w:line="173"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Consideration of Say-on-Pay Votes</w:t>
      </w:r>
    </w:p>
    <w:p>
      <w:pPr>
        <w:spacing w:after="0" w:line="142" w:lineRule="exact"/>
        <w:rPr>
          <w:sz w:val="20"/>
          <w:szCs w:val="20"/>
          <w:color w:val="auto"/>
        </w:rPr>
      </w:pPr>
    </w:p>
    <w:p>
      <w:pPr>
        <w:jc w:val="both"/>
        <w:ind w:left="940" w:right="960"/>
        <w:spacing w:after="0" w:line="247" w:lineRule="auto"/>
        <w:rPr>
          <w:sz w:val="20"/>
          <w:szCs w:val="20"/>
          <w:color w:val="auto"/>
        </w:rPr>
      </w:pPr>
      <w:r>
        <w:rPr>
          <w:rFonts w:ascii="Arial" w:cs="Arial" w:eastAsia="Arial" w:hAnsi="Arial"/>
          <w:sz w:val="18"/>
          <w:szCs w:val="18"/>
          <w:color w:val="auto"/>
        </w:rPr>
        <w:t>We are pleased that our executive compensation program was supported by stockholders at our 2025 annual meeting with over 90% of votes cast in favor of the Say-on-Pay proposal. During 2025, we continued our stockholder engagement program and sought feedback from stockholders on a range of topics, including executive compensation. See “Corporate Governance Matters—Stockholder Engagement”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53975</wp:posOffset>
            </wp:positionV>
            <wp:extent cx="205740" cy="2057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37</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In considering updates to our compensation programs, the compensation committee took into account the results of prior Say-on-Pay votes, feedback received from stockholders through our engagement program and the other factors discussed in more detail in “Our Annual Compensation-Setting Process” below, when. Given the strong Say-on-Pay vote outcome and feedback from our stockholder engagement, the committee did not believe any material changes were necessary to our compensation programs for 2025.</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29"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Our executive compensation plans and programs are administered by our compensation committee. Our compensation committee is responsible for:</w:t>
      </w:r>
    </w:p>
    <w:p>
      <w:pPr>
        <w:sectPr>
          <w:pgSz w:w="11900" w:h="16838" w:orient="portrait"/>
          <w:cols w:equalWidth="0" w:num="1">
            <w:col w:w="9160"/>
          </w:cols>
          <w:pgMar w:left="1360" w:top="114" w:right="1379" w:bottom="1440" w:gutter="0" w:footer="0" w:header="0"/>
        </w:sectPr>
      </w:pPr>
    </w:p>
    <w:p>
      <w:pPr>
        <w:spacing w:after="0" w:line="51"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Reviewing and approving, and making recommendations to the Board regarding, executive compensation, including plan design and performance goals related to STIP and LTIP incentive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Making recommendations to the Board regarding the compensation of our CEO</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Determining and approving the compensation of other executive officers, as recommended by our CEO and Chief People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Administering our equity incentive plans</w:t>
      </w:r>
    </w:p>
    <w:p>
      <w:pPr>
        <w:spacing w:after="0" w:line="144"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jc w:val="both"/>
        <w:ind w:left="20"/>
        <w:spacing w:after="0" w:line="253" w:lineRule="auto"/>
        <w:rPr>
          <w:sz w:val="20"/>
          <w:szCs w:val="20"/>
          <w:color w:val="auto"/>
        </w:rPr>
      </w:pPr>
      <w:r>
        <w:rPr>
          <w:rFonts w:ascii="Arial" w:cs="Arial" w:eastAsia="Arial" w:hAnsi="Arial"/>
          <w:sz w:val="18"/>
          <w:szCs w:val="18"/>
          <w:color w:val="auto"/>
        </w:rPr>
        <w:t>At the beginning of each performance cycle, the compensation committee or the Board of Directors, as applicable, approves the payment of STIP and LTIP awards, sets base salaries and approves performance goals and targets related to the STIP and LTIP programs for all executive officers.</w:t>
      </w:r>
    </w:p>
    <w:p>
      <w:pPr>
        <w:spacing w:after="0" w:line="101"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independent directors are responsible for assessing the performance of our CEO, reviewing the compensation committee’s assessment of CEO performance and approving CEO compensation in consideration of the recommendation of the compensation committee. Our CEO does not attend any portion of the compensation committee meeting during which the committee deliberates on matters related specifically to his compensation.</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42"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Our CEO and our Chief People Officer work closely with the compensation committee in managing our executive compensation program, along with gathering information for, and attending meetings of, the compensation committee.</w:t>
      </w:r>
    </w:p>
    <w:p>
      <w:pPr>
        <w:spacing w:after="0" w:line="88" w:lineRule="exact"/>
        <w:rPr>
          <w:sz w:val="20"/>
          <w:szCs w:val="20"/>
          <w:color w:val="auto"/>
        </w:rPr>
      </w:pPr>
    </w:p>
    <w:p>
      <w:pPr>
        <w:jc w:val="both"/>
        <w:ind w:left="20" w:right="20"/>
        <w:spacing w:after="0" w:line="247" w:lineRule="auto"/>
        <w:rPr>
          <w:sz w:val="20"/>
          <w:szCs w:val="20"/>
          <w:color w:val="auto"/>
        </w:rPr>
      </w:pPr>
      <w:r>
        <w:rPr>
          <w:rFonts w:ascii="Arial" w:cs="Arial" w:eastAsia="Arial" w:hAnsi="Arial"/>
          <w:sz w:val="18"/>
          <w:szCs w:val="18"/>
          <w:color w:val="auto"/>
        </w:rPr>
        <w:t>Our CEO and our Chief People Officer compile market data and information and make recommendations to the compensation committee concerning the compensation of executive officers other than themselves, including base salary amounts and incentive compensation plans. Our CEO and CFO also provide input regarding annual performance goals for our executive compensation programs.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29"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In 2025, the compensation committee engaged Meridian Compensation Partners, LLC (“Meridian”) to assist the committee regarding various executive compensation matters. Meridian assisted the compensation committee in reviewing the effectiveness and competitiveness of the Company’s executive compensation program, including an annual risk assessment of the program, and made recommendations consistent with the Company’s compensation philosophy, market trends, legal and regulatory considerations, and the Company’s overall business strategy. Meridian also provided the Company with market data as one point of consideration in making recommendations regarding executive compensation. The compensation committee reviewed Meridian’s independence procedures, along with the factors specified in the Nasdaq listing rules, and determined that Meridian was able to provide independent advice to the compensation committee without giving rise to any conflict of interest.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Peer Group</w:t>
      </w:r>
    </w:p>
    <w:p>
      <w:pPr>
        <w:spacing w:after="0" w:line="129"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In setting the compensation of our executive officers, the compensation committee considers, among other factors, the compensation of similarly situated executives at companies in our peer group, including by reviewing publicly available proxy information and survey data of the peer companies listed below. The compensation committee did not target a specific percentile with respect to the peer group in determining our executives’ total</w:t>
      </w:r>
    </w:p>
    <w:p>
      <w:pPr>
        <w:spacing w:after="0" w:line="51" w:lineRule="exact"/>
        <w:rPr>
          <w:sz w:val="20"/>
          <w:szCs w:val="20"/>
          <w:color w:val="auto"/>
        </w:rPr>
      </w:pPr>
    </w:p>
    <w:p>
      <w:pPr>
        <w:ind w:left="360" w:hanging="346"/>
        <w:spacing w:after="0"/>
        <w:tabs>
          <w:tab w:leader="none" w:pos="360" w:val="left"/>
        </w:tabs>
        <w:numPr>
          <w:ilvl w:val="0"/>
          <w:numId w:val="48"/>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45" w:name="page46"/>
    <w:bookmarkEnd w:id="45"/>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compensation, nor did it establish a prescribed compensation mix. The compensation committee reviewed the peer group in September 2024 and removed Cano Health, Inc. from, and added RadNet, Inc. to, the peer group for fiscal year 2025. The peer group that the compensation committee considered in setting 2025 compensation is set forth below:</w:t>
      </w:r>
    </w:p>
    <w:p>
      <w:pPr>
        <w:spacing w:after="0" w:line="196"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3640" w:type="dxa"/>
            <w:vAlign w:val="bottom"/>
          </w:tcPr>
          <w:p>
            <w:pPr>
              <w:jc w:val="center"/>
              <w:ind w:right="870"/>
              <w:spacing w:after="0"/>
              <w:rPr>
                <w:sz w:val="20"/>
                <w:szCs w:val="20"/>
                <w:color w:val="auto"/>
              </w:rPr>
            </w:pPr>
            <w:r>
              <w:rPr>
                <w:rFonts w:ascii="Arial" w:cs="Arial" w:eastAsia="Arial" w:hAnsi="Arial"/>
                <w:sz w:val="18"/>
                <w:szCs w:val="18"/>
                <w:color w:val="auto"/>
                <w:w w:val="99"/>
              </w:rPr>
              <w:t>Acadia Healthcare Company, Inc.</w:t>
            </w:r>
          </w:p>
        </w:tc>
        <w:tc>
          <w:tcPr>
            <w:tcW w:w="3800" w:type="dxa"/>
            <w:vAlign w:val="bottom"/>
          </w:tcPr>
          <w:p>
            <w:pPr>
              <w:jc w:val="center"/>
              <w:ind w:left="870"/>
              <w:spacing w:after="0"/>
              <w:rPr>
                <w:sz w:val="20"/>
                <w:szCs w:val="20"/>
                <w:color w:val="auto"/>
              </w:rPr>
            </w:pPr>
            <w:r>
              <w:rPr>
                <w:rFonts w:ascii="Arial" w:cs="Arial" w:eastAsia="Arial" w:hAnsi="Arial"/>
                <w:sz w:val="18"/>
                <w:szCs w:val="18"/>
                <w:color w:val="auto"/>
                <w:w w:val="99"/>
              </w:rPr>
              <w:t>Merit Medical Systems, Inc.</w:t>
            </w:r>
          </w:p>
        </w:tc>
      </w:tr>
      <w:tr>
        <w:trPr>
          <w:trHeight w:val="203"/>
        </w:trPr>
        <w:tc>
          <w:tcPr>
            <w:tcW w:w="3640" w:type="dxa"/>
            <w:vAlign w:val="bottom"/>
          </w:tcPr>
          <w:p>
            <w:pPr>
              <w:jc w:val="center"/>
              <w:ind w:right="850"/>
              <w:spacing w:after="0" w:line="202" w:lineRule="exact"/>
              <w:rPr>
                <w:sz w:val="20"/>
                <w:szCs w:val="20"/>
                <w:color w:val="auto"/>
              </w:rPr>
            </w:pPr>
            <w:r>
              <w:rPr>
                <w:rFonts w:ascii="Arial" w:cs="Arial" w:eastAsia="Arial" w:hAnsi="Arial"/>
                <w:sz w:val="18"/>
                <w:szCs w:val="18"/>
                <w:color w:val="auto"/>
                <w:w w:val="98"/>
              </w:rPr>
              <w:t>Align Technology, Inc.</w:t>
            </w:r>
          </w:p>
        </w:tc>
        <w:tc>
          <w:tcPr>
            <w:tcW w:w="3800" w:type="dxa"/>
            <w:vAlign w:val="bottom"/>
          </w:tcPr>
          <w:p>
            <w:pPr>
              <w:jc w:val="center"/>
              <w:ind w:left="870"/>
              <w:spacing w:after="0" w:line="202" w:lineRule="exact"/>
              <w:rPr>
                <w:sz w:val="20"/>
                <w:szCs w:val="20"/>
                <w:color w:val="auto"/>
              </w:rPr>
            </w:pPr>
            <w:r>
              <w:rPr>
                <w:rFonts w:ascii="Arial" w:cs="Arial" w:eastAsia="Arial" w:hAnsi="Arial"/>
                <w:sz w:val="18"/>
                <w:szCs w:val="18"/>
                <w:color w:val="auto"/>
              </w:rPr>
              <w:t>Ollie’s Bargain Outlet Holdings, Inc.</w:t>
            </w:r>
          </w:p>
        </w:tc>
      </w:tr>
      <w:tr>
        <w:trPr>
          <w:trHeight w:val="203"/>
        </w:trPr>
        <w:tc>
          <w:tcPr>
            <w:tcW w:w="3640" w:type="dxa"/>
            <w:vAlign w:val="bottom"/>
          </w:tcPr>
          <w:p>
            <w:pPr>
              <w:jc w:val="center"/>
              <w:ind w:right="870"/>
              <w:spacing w:after="0" w:line="202" w:lineRule="exact"/>
              <w:rPr>
                <w:sz w:val="20"/>
                <w:szCs w:val="20"/>
                <w:color w:val="auto"/>
              </w:rPr>
            </w:pPr>
            <w:r>
              <w:rPr>
                <w:rFonts w:ascii="Arial" w:cs="Arial" w:eastAsia="Arial" w:hAnsi="Arial"/>
                <w:sz w:val="18"/>
                <w:szCs w:val="18"/>
                <w:color w:val="auto"/>
                <w:w w:val="98"/>
              </w:rPr>
              <w:t>Caleres, Inc.</w:t>
            </w:r>
          </w:p>
        </w:tc>
        <w:tc>
          <w:tcPr>
            <w:tcW w:w="3800" w:type="dxa"/>
            <w:vAlign w:val="bottom"/>
          </w:tcPr>
          <w:p>
            <w:pPr>
              <w:jc w:val="center"/>
              <w:ind w:left="870"/>
              <w:spacing w:after="0" w:line="202" w:lineRule="exact"/>
              <w:rPr>
                <w:sz w:val="20"/>
                <w:szCs w:val="20"/>
                <w:color w:val="auto"/>
              </w:rPr>
            </w:pPr>
            <w:r>
              <w:rPr>
                <w:rFonts w:ascii="Arial" w:cs="Arial" w:eastAsia="Arial" w:hAnsi="Arial"/>
                <w:sz w:val="18"/>
                <w:szCs w:val="18"/>
                <w:color w:val="auto"/>
                <w:w w:val="99"/>
              </w:rPr>
              <w:t>Oxford Industries, Inc.</w:t>
            </w:r>
          </w:p>
        </w:tc>
      </w:tr>
      <w:tr>
        <w:trPr>
          <w:trHeight w:val="203"/>
        </w:trPr>
        <w:tc>
          <w:tcPr>
            <w:tcW w:w="3640" w:type="dxa"/>
            <w:vAlign w:val="bottom"/>
          </w:tcPr>
          <w:p>
            <w:pPr>
              <w:jc w:val="center"/>
              <w:ind w:right="870"/>
              <w:spacing w:after="0" w:line="202" w:lineRule="exact"/>
              <w:rPr>
                <w:sz w:val="20"/>
                <w:szCs w:val="20"/>
                <w:color w:val="auto"/>
              </w:rPr>
            </w:pPr>
            <w:r>
              <w:rPr>
                <w:rFonts w:ascii="Arial" w:cs="Arial" w:eastAsia="Arial" w:hAnsi="Arial"/>
                <w:sz w:val="18"/>
                <w:szCs w:val="18"/>
                <w:color w:val="auto"/>
                <w:w w:val="99"/>
              </w:rPr>
              <w:t>Columbia Sportswear Co.</w:t>
            </w:r>
          </w:p>
        </w:tc>
        <w:tc>
          <w:tcPr>
            <w:tcW w:w="3800" w:type="dxa"/>
            <w:vAlign w:val="bottom"/>
          </w:tcPr>
          <w:p>
            <w:pPr>
              <w:jc w:val="center"/>
              <w:ind w:left="870"/>
              <w:spacing w:after="0" w:line="202" w:lineRule="exact"/>
              <w:rPr>
                <w:sz w:val="20"/>
                <w:szCs w:val="20"/>
                <w:color w:val="auto"/>
              </w:rPr>
            </w:pPr>
            <w:r>
              <w:rPr>
                <w:rFonts w:ascii="Arial" w:cs="Arial" w:eastAsia="Arial" w:hAnsi="Arial"/>
                <w:sz w:val="18"/>
                <w:szCs w:val="18"/>
                <w:color w:val="auto"/>
                <w:w w:val="99"/>
              </w:rPr>
              <w:t>RadNet, Inc.</w:t>
            </w:r>
          </w:p>
        </w:tc>
      </w:tr>
      <w:tr>
        <w:trPr>
          <w:trHeight w:val="203"/>
        </w:trPr>
        <w:tc>
          <w:tcPr>
            <w:tcW w:w="3640" w:type="dxa"/>
            <w:vAlign w:val="bottom"/>
          </w:tcPr>
          <w:p>
            <w:pPr>
              <w:jc w:val="center"/>
              <w:ind w:right="870"/>
              <w:spacing w:after="0" w:line="202" w:lineRule="exact"/>
              <w:rPr>
                <w:sz w:val="20"/>
                <w:szCs w:val="20"/>
                <w:color w:val="auto"/>
              </w:rPr>
            </w:pPr>
            <w:r>
              <w:rPr>
                <w:rFonts w:ascii="Arial" w:cs="Arial" w:eastAsia="Arial" w:hAnsi="Arial"/>
                <w:sz w:val="18"/>
                <w:szCs w:val="18"/>
                <w:color w:val="auto"/>
                <w:w w:val="99"/>
              </w:rPr>
              <w:t>Dentsply Sirona Inc.</w:t>
            </w:r>
          </w:p>
        </w:tc>
        <w:tc>
          <w:tcPr>
            <w:tcW w:w="3800" w:type="dxa"/>
            <w:vAlign w:val="bottom"/>
          </w:tcPr>
          <w:p>
            <w:pPr>
              <w:jc w:val="center"/>
              <w:ind w:left="850"/>
              <w:spacing w:after="0" w:line="202" w:lineRule="exact"/>
              <w:rPr>
                <w:sz w:val="20"/>
                <w:szCs w:val="20"/>
                <w:color w:val="auto"/>
              </w:rPr>
            </w:pPr>
            <w:r>
              <w:rPr>
                <w:rFonts w:ascii="Arial" w:cs="Arial" w:eastAsia="Arial" w:hAnsi="Arial"/>
                <w:sz w:val="18"/>
                <w:szCs w:val="18"/>
                <w:color w:val="auto"/>
                <w:w w:val="99"/>
              </w:rPr>
              <w:t>Surgery Partners Inc.</w:t>
            </w:r>
          </w:p>
        </w:tc>
      </w:tr>
      <w:tr>
        <w:trPr>
          <w:trHeight w:val="203"/>
        </w:trPr>
        <w:tc>
          <w:tcPr>
            <w:tcW w:w="3640" w:type="dxa"/>
            <w:vAlign w:val="bottom"/>
          </w:tcPr>
          <w:p>
            <w:pPr>
              <w:jc w:val="center"/>
              <w:ind w:right="870"/>
              <w:spacing w:after="0" w:line="202" w:lineRule="exact"/>
              <w:rPr>
                <w:sz w:val="20"/>
                <w:szCs w:val="20"/>
                <w:color w:val="auto"/>
              </w:rPr>
            </w:pPr>
            <w:r>
              <w:rPr>
                <w:rFonts w:ascii="Arial" w:cs="Arial" w:eastAsia="Arial" w:hAnsi="Arial"/>
                <w:sz w:val="18"/>
                <w:szCs w:val="18"/>
                <w:color w:val="auto"/>
                <w:w w:val="99"/>
              </w:rPr>
              <w:t>Embecta Corp.</w:t>
            </w:r>
          </w:p>
        </w:tc>
        <w:tc>
          <w:tcPr>
            <w:tcW w:w="3800" w:type="dxa"/>
            <w:vAlign w:val="bottom"/>
          </w:tcPr>
          <w:p>
            <w:pPr>
              <w:jc w:val="center"/>
              <w:ind w:left="870"/>
              <w:spacing w:after="0" w:line="202" w:lineRule="exact"/>
              <w:rPr>
                <w:sz w:val="20"/>
                <w:szCs w:val="20"/>
                <w:color w:val="auto"/>
              </w:rPr>
            </w:pPr>
            <w:r>
              <w:rPr>
                <w:rFonts w:ascii="Arial" w:cs="Arial" w:eastAsia="Arial" w:hAnsi="Arial"/>
                <w:sz w:val="18"/>
                <w:szCs w:val="18"/>
                <w:color w:val="auto"/>
                <w:w w:val="99"/>
              </w:rPr>
              <w:t>Tandem Diabetes Care, Inc.</w:t>
            </w:r>
          </w:p>
        </w:tc>
      </w:tr>
      <w:tr>
        <w:trPr>
          <w:trHeight w:val="203"/>
        </w:trPr>
        <w:tc>
          <w:tcPr>
            <w:tcW w:w="3640" w:type="dxa"/>
            <w:vAlign w:val="bottom"/>
          </w:tcPr>
          <w:p>
            <w:pPr>
              <w:jc w:val="center"/>
              <w:ind w:right="850"/>
              <w:spacing w:after="0" w:line="202" w:lineRule="exact"/>
              <w:rPr>
                <w:sz w:val="20"/>
                <w:szCs w:val="20"/>
                <w:color w:val="auto"/>
              </w:rPr>
            </w:pPr>
            <w:r>
              <w:rPr>
                <w:rFonts w:ascii="Arial" w:cs="Arial" w:eastAsia="Arial" w:hAnsi="Arial"/>
                <w:sz w:val="18"/>
                <w:szCs w:val="18"/>
                <w:color w:val="auto"/>
                <w:w w:val="99"/>
              </w:rPr>
              <w:t>Five Below, Inc.</w:t>
            </w:r>
          </w:p>
        </w:tc>
        <w:tc>
          <w:tcPr>
            <w:tcW w:w="3800" w:type="dxa"/>
            <w:vAlign w:val="bottom"/>
          </w:tcPr>
          <w:p>
            <w:pPr>
              <w:jc w:val="center"/>
              <w:ind w:left="850"/>
              <w:spacing w:after="0" w:line="202" w:lineRule="exact"/>
              <w:rPr>
                <w:sz w:val="20"/>
                <w:szCs w:val="20"/>
                <w:color w:val="auto"/>
              </w:rPr>
            </w:pPr>
            <w:r>
              <w:rPr>
                <w:rFonts w:ascii="Arial" w:cs="Arial" w:eastAsia="Arial" w:hAnsi="Arial"/>
                <w:sz w:val="18"/>
                <w:szCs w:val="18"/>
                <w:color w:val="auto"/>
                <w:w w:val="99"/>
              </w:rPr>
              <w:t>The Cooper Companies, Inc.</w:t>
            </w:r>
          </w:p>
        </w:tc>
      </w:tr>
      <w:tr>
        <w:trPr>
          <w:trHeight w:val="203"/>
        </w:trPr>
        <w:tc>
          <w:tcPr>
            <w:tcW w:w="3640" w:type="dxa"/>
            <w:vAlign w:val="bottom"/>
          </w:tcPr>
          <w:p>
            <w:pPr>
              <w:jc w:val="center"/>
              <w:ind w:right="870"/>
              <w:spacing w:after="0" w:line="202" w:lineRule="exact"/>
              <w:rPr>
                <w:sz w:val="20"/>
                <w:szCs w:val="20"/>
                <w:color w:val="auto"/>
              </w:rPr>
            </w:pPr>
            <w:r>
              <w:rPr>
                <w:rFonts w:ascii="Arial" w:cs="Arial" w:eastAsia="Arial" w:hAnsi="Arial"/>
                <w:sz w:val="18"/>
                <w:szCs w:val="18"/>
                <w:color w:val="auto"/>
                <w:w w:val="99"/>
              </w:rPr>
              <w:t>Fossil Group, Inc.</w:t>
            </w:r>
          </w:p>
        </w:tc>
        <w:tc>
          <w:tcPr>
            <w:tcW w:w="3800" w:type="dxa"/>
            <w:vAlign w:val="bottom"/>
          </w:tcPr>
          <w:p>
            <w:pPr>
              <w:jc w:val="center"/>
              <w:ind w:left="870"/>
              <w:spacing w:after="0" w:line="202" w:lineRule="exact"/>
              <w:rPr>
                <w:sz w:val="20"/>
                <w:szCs w:val="20"/>
                <w:color w:val="auto"/>
              </w:rPr>
            </w:pPr>
            <w:r>
              <w:rPr>
                <w:rFonts w:ascii="Arial" w:cs="Arial" w:eastAsia="Arial" w:hAnsi="Arial"/>
                <w:sz w:val="18"/>
                <w:szCs w:val="18"/>
                <w:color w:val="auto"/>
                <w:w w:val="99"/>
              </w:rPr>
              <w:t>Warby Parker Inc.</w:t>
            </w:r>
          </w:p>
        </w:tc>
      </w:tr>
      <w:tr>
        <w:trPr>
          <w:trHeight w:val="239"/>
        </w:trPr>
        <w:tc>
          <w:tcPr>
            <w:tcW w:w="3640" w:type="dxa"/>
            <w:vAlign w:val="bottom"/>
          </w:tcPr>
          <w:p>
            <w:pPr>
              <w:jc w:val="center"/>
              <w:ind w:right="870"/>
              <w:spacing w:after="0"/>
              <w:rPr>
                <w:sz w:val="20"/>
                <w:szCs w:val="20"/>
                <w:color w:val="auto"/>
              </w:rPr>
            </w:pPr>
            <w:r>
              <w:rPr>
                <w:rFonts w:ascii="Arial" w:cs="Arial" w:eastAsia="Arial" w:hAnsi="Arial"/>
                <w:sz w:val="18"/>
                <w:szCs w:val="18"/>
                <w:color w:val="auto"/>
                <w:w w:val="99"/>
              </w:rPr>
              <w:t>ICU Medical, Inc.</w:t>
            </w:r>
          </w:p>
        </w:tc>
        <w:tc>
          <w:tcPr>
            <w:tcW w:w="3800" w:type="dxa"/>
            <w:vAlign w:val="bottom"/>
          </w:tcPr>
          <w:p>
            <w:pPr>
              <w:jc w:val="center"/>
              <w:ind w:left="870"/>
              <w:spacing w:after="0"/>
              <w:rPr>
                <w:sz w:val="20"/>
                <w:szCs w:val="20"/>
                <w:color w:val="auto"/>
              </w:rPr>
            </w:pPr>
            <w:r>
              <w:rPr>
                <w:rFonts w:ascii="Arial" w:cs="Arial" w:eastAsia="Arial" w:hAnsi="Arial"/>
                <w:sz w:val="18"/>
                <w:szCs w:val="18"/>
                <w:color w:val="auto"/>
              </w:rPr>
              <w:t>West Pharmaceutical Services, Inc.</w:t>
            </w:r>
          </w:p>
        </w:tc>
      </w:tr>
    </w:tbl>
    <w:p>
      <w:pPr>
        <w:spacing w:after="0" w:line="274"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We believe our peer group reflects a mix of companies in various industries that together appropriately represent the retail and health care aspects of our business and scope of operations, and are of a similar size as measured by annual revenue, market capitalization and number of employees.</w:t>
      </w:r>
    </w:p>
    <w:p>
      <w:pPr>
        <w:spacing w:after="0" w:line="101" w:lineRule="exact"/>
        <w:rPr>
          <w:sz w:val="20"/>
          <w:szCs w:val="20"/>
          <w:color w:val="auto"/>
        </w:rPr>
      </w:pPr>
    </w:p>
    <w:p>
      <w:pPr>
        <w:jc w:val="both"/>
        <w:ind w:left="940" w:right="960"/>
        <w:spacing w:after="0" w:line="253" w:lineRule="auto"/>
        <w:rPr>
          <w:sz w:val="20"/>
          <w:szCs w:val="20"/>
          <w:color w:val="auto"/>
        </w:rPr>
      </w:pPr>
      <w:r>
        <w:rPr>
          <w:rFonts w:ascii="Arial" w:cs="Arial" w:eastAsia="Arial" w:hAnsi="Arial"/>
          <w:sz w:val="18"/>
          <w:szCs w:val="18"/>
          <w:color w:val="auto"/>
        </w:rPr>
        <w:t>In September 2025, the compensation committee reviewed the peer group and removed Five Below, Inc., Fossil Group, Inc., and West Pharmaceutical Service, Inc. and added G-III Apparel Group, Inc., Genesco, Inc. and Good RX Holdings, Inc. for the peer group for fiscal year 2026.</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465B0"/>
        </w:rPr>
        <w:t>Compensation Elements</w:t>
      </w:r>
    </w:p>
    <w:p>
      <w:pPr>
        <w:spacing w:after="0" w:line="144" w:lineRule="exact"/>
        <w:rPr>
          <w:sz w:val="20"/>
          <w:szCs w:val="20"/>
          <w:color w:val="auto"/>
        </w:rPr>
      </w:pPr>
    </w:p>
    <w:p>
      <w:pPr>
        <w:jc w:val="both"/>
        <w:ind w:left="940" w:right="940"/>
        <w:spacing w:after="0" w:line="239" w:lineRule="auto"/>
        <w:rPr>
          <w:sz w:val="20"/>
          <w:szCs w:val="20"/>
          <w:color w:val="auto"/>
        </w:rPr>
      </w:pPr>
      <w:r>
        <w:rPr>
          <w:rFonts w:ascii="Arial" w:cs="Arial" w:eastAsia="Arial" w:hAnsi="Arial"/>
          <w:sz w:val="18"/>
          <w:szCs w:val="18"/>
          <w:color w:val="auto"/>
        </w:rPr>
        <w:t>Our executive compensation program has three main components: (1) base salary; (2) annual cash incentive compensation (STIP); and (3) long-term incentive awards (LTIP). Each component is designed to be consistent with the Company’s compensation philosophy and, when taken together, are intended to achieve the compensation committee’s principal compensation objectives. When making decisions about each component of compensation for an executive officer, the impact on the value of target total direct compensation for the individual is considered. Additionally, when making current compensation decisions, the compensation committee does not consider existing equity ownership or realized compensation from prior equity awards because we do not want to discourage executive officers from holding significant amounts of our common stock and believe that if the value of equity awards granted in prior years increases significantly in future years, this positive development should not impact current compensation decisions.</w:t>
      </w:r>
    </w:p>
    <w:p>
      <w:pPr>
        <w:spacing w:after="0" w:line="155"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Base Salary</w:t>
      </w:r>
    </w:p>
    <w:p>
      <w:pPr>
        <w:spacing w:after="0" w:line="142"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We believe it is important to provide a competitive level of fixed pay to attract and retain talented and experienced executives capable of driving the Company’s business strategy. Base salaries are reviewed at least annually and may be increased from time to time. In determining the amount of base salary that each NEO receives, the compensation committee considers:</w:t>
      </w:r>
    </w:p>
    <w:p>
      <w:pPr>
        <w:sectPr>
          <w:pgSz w:w="11900" w:h="16838" w:orient="portrait"/>
          <w:cols w:equalWidth="0" w:num="1">
            <w:col w:w="11020"/>
          </w:cols>
          <w:pgMar w:left="440" w:top="114" w:right="439" w:bottom="1440" w:gutter="0" w:footer="0" w:header="0"/>
        </w:sectPr>
      </w:pPr>
    </w:p>
    <w:p>
      <w:pPr>
        <w:spacing w:after="0" w:line="72"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The executive’s position or responsibilities, including complexity and scope, time in position, and changes in roles or responsibilities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executive’s personal experience, skills and future contributions and leadership</w:t>
      </w:r>
    </w:p>
    <w:p>
      <w:pPr>
        <w:spacing w:after="0" w:line="104"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The compensation of similarly situated executives, both within the Company and at the companies in our peer group</w:t>
      </w:r>
    </w:p>
    <w:p>
      <w:pPr>
        <w:spacing w:after="0" w:line="73" w:lineRule="exact"/>
        <w:rPr>
          <w:sz w:val="20"/>
          <w:szCs w:val="20"/>
          <w:color w:val="auto"/>
        </w:rPr>
      </w:pPr>
    </w:p>
    <w:p>
      <w:pPr>
        <w:sectPr>
          <w:pgSz w:w="11900" w:h="16838" w:orient="portrait"/>
          <w:cols w:equalWidth="0" w:num="2">
            <w:col w:w="1320" w:space="140"/>
            <w:col w:w="9560"/>
          </w:cols>
          <w:pgMar w:left="440" w:top="114" w:right="439" w:bottom="1440" w:gutter="0" w:footer="0" w:header="0"/>
          <w:type w:val="continuous"/>
        </w:sectPr>
      </w:pPr>
    </w:p>
    <w:p>
      <w:pPr>
        <w:jc w:val="both"/>
        <w:ind w:left="940" w:right="940"/>
        <w:spacing w:after="0" w:line="253" w:lineRule="auto"/>
        <w:rPr>
          <w:sz w:val="20"/>
          <w:szCs w:val="20"/>
          <w:color w:val="auto"/>
        </w:rPr>
      </w:pPr>
      <w:r>
        <w:rPr>
          <w:rFonts w:ascii="Arial" w:cs="Arial" w:eastAsia="Arial" w:hAnsi="Arial"/>
          <w:sz w:val="18"/>
          <w:szCs w:val="18"/>
          <w:color w:val="auto"/>
        </w:rPr>
        <w:t>In January 2025, the Company announced changes to its executive leadership team to support the Company’s transformation, enhance the overall patient and customer experience and promote growth in strategic areas. In connection with these changes:</w:t>
      </w:r>
    </w:p>
    <w:p>
      <w:pPr>
        <w:spacing w:after="0" w:line="61" w:lineRule="exact"/>
        <w:rPr>
          <w:sz w:val="20"/>
          <w:szCs w:val="20"/>
          <w:color w:val="auto"/>
        </w:rPr>
      </w:pPr>
    </w:p>
    <w:p>
      <w:pPr>
        <w:jc w:val="both"/>
        <w:ind w:left="1460" w:right="960" w:hanging="168"/>
        <w:spacing w:after="0" w:line="231" w:lineRule="auto"/>
        <w:tabs>
          <w:tab w:leader="none" w:pos="1460" w:val="left"/>
        </w:tabs>
        <w:numPr>
          <w:ilvl w:val="0"/>
          <w:numId w:val="49"/>
        </w:numPr>
        <w:rPr>
          <w:rFonts w:ascii="Arial" w:cs="Arial" w:eastAsia="Arial" w:hAnsi="Arial"/>
          <w:sz w:val="22"/>
          <w:szCs w:val="22"/>
          <w:color w:val="3465B0"/>
          <w:vertAlign w:val="superscript"/>
        </w:rPr>
      </w:pPr>
      <w:r>
        <w:rPr>
          <w:rFonts w:ascii="Arial" w:cs="Arial" w:eastAsia="Arial" w:hAnsi="Arial"/>
          <w:sz w:val="18"/>
          <w:szCs w:val="18"/>
          <w:color w:val="auto"/>
        </w:rPr>
        <w:t>Mr. Banner, who previously served as Chief Stores Officer, was named President of America’s Best. In this role, Mr. Banner plays a critical role in leading the transformation of the brand’s in-store experience, and also oversees Store Design and Clinical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58420</wp:posOffset>
            </wp:positionV>
            <wp:extent cx="205740" cy="2057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39</w:t>
            </w:r>
          </w:p>
        </w:tc>
      </w:tr>
      <w:tr>
        <w:trPr>
          <w:trHeight w:val="257"/>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type w:val="continuous"/>
        </w:sectPr>
      </w:pPr>
    </w:p>
    <w:bookmarkStart w:id="46" w:name="page47"/>
    <w:bookmarkEnd w:id="4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7"/>
          <w:szCs w:val="17"/>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p>
      <w:pPr>
        <w:spacing w:after="0" w:line="9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Mr. Brandman, who previously served as General Counsel, was named Chief Legal &amp; Strategy Officer, assuming responsibility for oversight of corporate strategy in addition to the legal, compliance, government relations and sustainability functions.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Mr. Clark, Chief People Officer, assumed expanded responsibilities in the areas of Transformation, Enterprise PMO, and Change Management.</w:t>
      </w:r>
    </w:p>
    <w:p>
      <w:pPr>
        <w:spacing w:after="0" w:line="73"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jc w:val="both"/>
        <w:ind w:left="20"/>
        <w:spacing w:after="0" w:line="247" w:lineRule="auto"/>
        <w:rPr>
          <w:sz w:val="20"/>
          <w:szCs w:val="20"/>
          <w:color w:val="auto"/>
        </w:rPr>
      </w:pPr>
      <w:r>
        <w:rPr>
          <w:rFonts w:ascii="Arial" w:cs="Arial" w:eastAsia="Arial" w:hAnsi="Arial"/>
          <w:sz w:val="18"/>
          <w:szCs w:val="18"/>
          <w:color w:val="auto"/>
        </w:rPr>
        <w:t>In February 2025, the compensation committee approved adjustments to the base salaries of Messrs. Banner, Brandman and Clark to reflect the expanded scope of each of their responsibilities in line with the growth of the Company and to align their base salaries to executive officers at peer group companies with a similar scope of responsibility. These increases took effect in July 2025.</w:t>
      </w:r>
    </w:p>
    <w:p>
      <w:pPr>
        <w:spacing w:after="0" w:line="106"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In connection with the Company’s CEO Succession Plan, the compensation committee approved an increase in Mr. Wilkes’ salary in accordance with his new position and responsibilities, Mr. Wilkes’ salary was increased from $600,000 to $900,000 effective August 1, 2025. Additionally, in connection with the Succession Plan, the Company entered into an Executive Chair Agreement with Mr. Fahs, under the terms of which Mr. Fahs’ salary was reduced to $700,000. The terms of this agreement are further described below under “Agreements with Named Executive Officers.”</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308"/>
        </w:trPr>
        <w:tc>
          <w:tcPr>
            <w:tcW w:w="522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140" w:type="dxa"/>
            <w:vAlign w:val="bottom"/>
            <w:tcBorders>
              <w:top w:val="single" w:sz="8" w:color="3465B0"/>
            </w:tcBorders>
            <w:shd w:val="clear" w:color="auto" w:fill="3465B0"/>
          </w:tcPr>
          <w:p>
            <w:pPr>
              <w:spacing w:after="0"/>
              <w:rPr>
                <w:sz w:val="24"/>
                <w:szCs w:val="24"/>
                <w:color w:val="auto"/>
              </w:rPr>
            </w:pPr>
          </w:p>
        </w:tc>
        <w:tc>
          <w:tcPr>
            <w:tcW w:w="1180" w:type="dxa"/>
            <w:vAlign w:val="bottom"/>
            <w:tcBorders>
              <w:top w:val="single" w:sz="8" w:color="3465B0"/>
              <w:right w:val="single" w:sz="8" w:color="93A1D2"/>
            </w:tcBorders>
            <w:gridSpan w:val="2"/>
            <w:shd w:val="clear" w:color="auto" w:fill="3465B0"/>
          </w:tcPr>
          <w:p>
            <w:pPr>
              <w:spacing w:after="0"/>
              <w:rPr>
                <w:sz w:val="20"/>
                <w:szCs w:val="20"/>
                <w:color w:val="auto"/>
              </w:rPr>
            </w:pPr>
            <w:r>
              <w:rPr>
                <w:rFonts w:ascii="Arial" w:cs="Arial" w:eastAsia="Arial" w:hAnsi="Arial"/>
                <w:sz w:val="18"/>
                <w:szCs w:val="18"/>
                <w:b w:val="1"/>
                <w:bCs w:val="1"/>
                <w:color w:val="FFFFFF"/>
              </w:rPr>
              <w:t>2024</w:t>
            </w:r>
          </w:p>
        </w:tc>
        <w:tc>
          <w:tcPr>
            <w:tcW w:w="140" w:type="dxa"/>
            <w:vAlign w:val="bottom"/>
            <w:tcBorders>
              <w:top w:val="single" w:sz="8" w:color="3465B0"/>
            </w:tcBorders>
            <w:shd w:val="clear" w:color="auto" w:fill="3465B0"/>
          </w:tcPr>
          <w:p>
            <w:pPr>
              <w:spacing w:after="0"/>
              <w:rPr>
                <w:sz w:val="24"/>
                <w:szCs w:val="24"/>
                <w:color w:val="auto"/>
              </w:rPr>
            </w:pPr>
          </w:p>
        </w:tc>
        <w:tc>
          <w:tcPr>
            <w:tcW w:w="1240" w:type="dxa"/>
            <w:vAlign w:val="bottom"/>
            <w:tcBorders>
              <w:top w:val="single" w:sz="8" w:color="3465B0"/>
              <w:right w:val="single" w:sz="8" w:color="93A1D2"/>
            </w:tcBorders>
            <w:shd w:val="clear" w:color="auto" w:fill="3465B0"/>
          </w:tcPr>
          <w:p>
            <w:pPr>
              <w:ind w:left="20"/>
              <w:spacing w:after="0"/>
              <w:rPr>
                <w:sz w:val="20"/>
                <w:szCs w:val="20"/>
                <w:color w:val="auto"/>
              </w:rPr>
            </w:pPr>
            <w:r>
              <w:rPr>
                <w:rFonts w:ascii="Arial" w:cs="Arial" w:eastAsia="Arial" w:hAnsi="Arial"/>
                <w:sz w:val="18"/>
                <w:szCs w:val="18"/>
                <w:b w:val="1"/>
                <w:bCs w:val="1"/>
                <w:color w:val="FFFFFF"/>
              </w:rPr>
              <w:t>Percentage</w:t>
            </w:r>
          </w:p>
        </w:tc>
        <w:tc>
          <w:tcPr>
            <w:tcW w:w="140" w:type="dxa"/>
            <w:vAlign w:val="bottom"/>
            <w:tcBorders>
              <w:top w:val="single" w:sz="8" w:color="3465B0"/>
            </w:tcBorders>
            <w:shd w:val="clear" w:color="auto" w:fill="3465B0"/>
          </w:tcPr>
          <w:p>
            <w:pPr>
              <w:spacing w:after="0"/>
              <w:rPr>
                <w:sz w:val="24"/>
                <w:szCs w:val="24"/>
                <w:color w:val="auto"/>
              </w:rPr>
            </w:pPr>
          </w:p>
        </w:tc>
        <w:tc>
          <w:tcPr>
            <w:tcW w:w="1100" w:type="dxa"/>
            <w:vAlign w:val="bottom"/>
            <w:tcBorders>
              <w:top w:val="single" w:sz="8" w:color="3465B0"/>
              <w:right w:val="single" w:sz="8" w:color="3465B0"/>
            </w:tcBorders>
            <w:gridSpan w:val="2"/>
            <w:shd w:val="clear" w:color="auto" w:fill="3465B0"/>
          </w:tcPr>
          <w:p>
            <w:pPr>
              <w:jc w:val="center"/>
              <w:ind w:right="610"/>
              <w:spacing w:after="0"/>
              <w:rPr>
                <w:sz w:val="20"/>
                <w:szCs w:val="20"/>
                <w:color w:val="auto"/>
              </w:rPr>
            </w:pPr>
            <w:r>
              <w:rPr>
                <w:rFonts w:ascii="Arial" w:cs="Arial" w:eastAsia="Arial" w:hAnsi="Arial"/>
                <w:sz w:val="18"/>
                <w:szCs w:val="18"/>
                <w:b w:val="1"/>
                <w:bCs w:val="1"/>
                <w:color w:val="FFFFFF"/>
                <w:w w:val="99"/>
              </w:rPr>
              <w:t>2025</w:t>
            </w:r>
          </w:p>
        </w:tc>
      </w:tr>
      <w:tr>
        <w:trPr>
          <w:trHeight w:val="262"/>
        </w:trPr>
        <w:tc>
          <w:tcPr>
            <w:tcW w:w="5220" w:type="dxa"/>
            <w:vAlign w:val="bottom"/>
            <w:tcBorders>
              <w:left w:val="single" w:sz="8" w:color="3465B0"/>
              <w:right w:val="single" w:sz="8" w:color="93A1D2"/>
            </w:tcBorders>
            <w:shd w:val="clear" w:color="auto" w:fill="3465B0"/>
          </w:tcPr>
          <w:p>
            <w:pPr>
              <w:ind w:left="100"/>
              <w:spacing w:after="0"/>
              <w:rPr>
                <w:sz w:val="20"/>
                <w:szCs w:val="20"/>
                <w:color w:val="auto"/>
              </w:rPr>
            </w:pPr>
            <w:r>
              <w:rPr>
                <w:rFonts w:ascii="Arial" w:cs="Arial" w:eastAsia="Arial" w:hAnsi="Arial"/>
                <w:sz w:val="18"/>
                <w:szCs w:val="18"/>
                <w:b w:val="1"/>
                <w:bCs w:val="1"/>
                <w:color w:val="FFFFFF"/>
              </w:rPr>
              <w:t>Named Executive Officer</w:t>
            </w:r>
          </w:p>
        </w:tc>
        <w:tc>
          <w:tcPr>
            <w:tcW w:w="140" w:type="dxa"/>
            <w:vAlign w:val="bottom"/>
            <w:shd w:val="clear" w:color="auto" w:fill="3465B0"/>
          </w:tcPr>
          <w:p>
            <w:pPr>
              <w:spacing w:after="0"/>
              <w:rPr>
                <w:sz w:val="22"/>
                <w:szCs w:val="22"/>
                <w:color w:val="auto"/>
              </w:rPr>
            </w:pPr>
          </w:p>
        </w:tc>
        <w:tc>
          <w:tcPr>
            <w:tcW w:w="1180" w:type="dxa"/>
            <w:vAlign w:val="bottom"/>
            <w:tcBorders>
              <w:right w:val="single" w:sz="8" w:color="93A1D2"/>
            </w:tcBorders>
            <w:gridSpan w:val="2"/>
            <w:shd w:val="clear" w:color="auto" w:fill="3465B0"/>
          </w:tcPr>
          <w:p>
            <w:pPr>
              <w:spacing w:after="0"/>
              <w:rPr>
                <w:sz w:val="20"/>
                <w:szCs w:val="20"/>
                <w:color w:val="auto"/>
              </w:rPr>
            </w:pPr>
            <w:r>
              <w:rPr>
                <w:rFonts w:ascii="Arial" w:cs="Arial" w:eastAsia="Arial" w:hAnsi="Arial"/>
                <w:sz w:val="18"/>
                <w:szCs w:val="18"/>
                <w:b w:val="1"/>
                <w:bCs w:val="1"/>
                <w:color w:val="FFFFFF"/>
              </w:rPr>
              <w:t>Base Salary</w:t>
            </w:r>
          </w:p>
        </w:tc>
        <w:tc>
          <w:tcPr>
            <w:tcW w:w="140" w:type="dxa"/>
            <w:vAlign w:val="bottom"/>
            <w:shd w:val="clear" w:color="auto" w:fill="3465B0"/>
          </w:tcPr>
          <w:p>
            <w:pPr>
              <w:spacing w:after="0"/>
              <w:rPr>
                <w:sz w:val="22"/>
                <w:szCs w:val="22"/>
                <w:color w:val="auto"/>
              </w:rPr>
            </w:pPr>
          </w:p>
        </w:tc>
        <w:tc>
          <w:tcPr>
            <w:tcW w:w="124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8"/>
                <w:szCs w:val="18"/>
                <w:b w:val="1"/>
                <w:bCs w:val="1"/>
                <w:color w:val="FFFFFF"/>
              </w:rPr>
              <w:t>Change</w:t>
            </w:r>
          </w:p>
        </w:tc>
        <w:tc>
          <w:tcPr>
            <w:tcW w:w="140" w:type="dxa"/>
            <w:vAlign w:val="bottom"/>
            <w:shd w:val="clear" w:color="auto" w:fill="3465B0"/>
          </w:tcPr>
          <w:p>
            <w:pPr>
              <w:spacing w:after="0"/>
              <w:rPr>
                <w:sz w:val="22"/>
                <w:szCs w:val="22"/>
                <w:color w:val="auto"/>
              </w:rPr>
            </w:pPr>
          </w:p>
        </w:tc>
        <w:tc>
          <w:tcPr>
            <w:tcW w:w="1100" w:type="dxa"/>
            <w:vAlign w:val="bottom"/>
            <w:tcBorders>
              <w:right w:val="single" w:sz="8" w:color="3465B0"/>
            </w:tcBorders>
            <w:gridSpan w:val="2"/>
            <w:shd w:val="clear" w:color="auto" w:fill="3465B0"/>
          </w:tcPr>
          <w:p>
            <w:pPr>
              <w:jc w:val="right"/>
              <w:spacing w:after="0"/>
              <w:rPr>
                <w:sz w:val="20"/>
                <w:szCs w:val="20"/>
                <w:color w:val="auto"/>
              </w:rPr>
            </w:pPr>
            <w:r>
              <w:rPr>
                <w:rFonts w:ascii="Arial" w:cs="Arial" w:eastAsia="Arial" w:hAnsi="Arial"/>
                <w:sz w:val="18"/>
                <w:szCs w:val="18"/>
                <w:b w:val="1"/>
                <w:bCs w:val="1"/>
                <w:color w:val="FFFFFF"/>
                <w:w w:val="97"/>
              </w:rPr>
              <w:t>Base Salary</w:t>
            </w:r>
          </w:p>
        </w:tc>
      </w:tr>
      <w:tr>
        <w:trPr>
          <w:trHeight w:val="247"/>
        </w:trPr>
        <w:tc>
          <w:tcPr>
            <w:tcW w:w="52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L. Reade Fahs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w w:val="97"/>
              </w:rPr>
              <w:t>1,030,000</w:t>
            </w:r>
          </w:p>
        </w:tc>
        <w:tc>
          <w:tcPr>
            <w:tcW w:w="1380" w:type="dxa"/>
            <w:vAlign w:val="bottom"/>
            <w:tcBorders>
              <w:right w:val="single" w:sz="8" w:color="93A1D2"/>
            </w:tcBorders>
            <w:gridSpan w:val="2"/>
          </w:tcPr>
          <w:p>
            <w:pPr>
              <w:jc w:val="right"/>
              <w:ind w:right="90"/>
              <w:spacing w:after="0"/>
              <w:rPr>
                <w:sz w:val="20"/>
                <w:szCs w:val="20"/>
                <w:color w:val="auto"/>
              </w:rPr>
            </w:pPr>
            <w:r>
              <w:rPr>
                <w:rFonts w:ascii="Arial" w:cs="Arial" w:eastAsia="Arial" w:hAnsi="Arial"/>
                <w:sz w:val="18"/>
                <w:szCs w:val="18"/>
                <w:color w:val="auto"/>
              </w:rPr>
              <w:t>(32.0)%</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3465B0"/>
            </w:tcBorders>
          </w:tcPr>
          <w:p>
            <w:pPr>
              <w:jc w:val="right"/>
              <w:ind w:right="110"/>
              <w:spacing w:after="0"/>
              <w:rPr>
                <w:sz w:val="20"/>
                <w:szCs w:val="20"/>
                <w:color w:val="auto"/>
              </w:rPr>
            </w:pPr>
            <w:r>
              <w:rPr>
                <w:rFonts w:ascii="Arial" w:cs="Arial" w:eastAsia="Arial" w:hAnsi="Arial"/>
                <w:sz w:val="18"/>
                <w:szCs w:val="18"/>
                <w:color w:val="auto"/>
                <w:w w:val="95"/>
              </w:rPr>
              <w:t>700,000</w:t>
            </w:r>
          </w:p>
        </w:tc>
      </w:tr>
      <w:tr>
        <w:trPr>
          <w:trHeight w:val="23"/>
        </w:trPr>
        <w:tc>
          <w:tcPr>
            <w:tcW w:w="5220" w:type="dxa"/>
            <w:vAlign w:val="bottom"/>
            <w:tcBorders>
              <w:left w:val="single" w:sz="8" w:color="3465B0"/>
              <w:right w:val="single" w:sz="8" w:color="93A1D2"/>
            </w:tcBorders>
          </w:tcPr>
          <w:p>
            <w:pPr>
              <w:spacing w:after="0"/>
              <w:rPr>
                <w:sz w:val="2"/>
                <w:szCs w:val="2"/>
                <w:color w:val="auto"/>
              </w:rPr>
            </w:pPr>
          </w:p>
        </w:tc>
        <w:tc>
          <w:tcPr>
            <w:tcW w:w="280" w:type="dxa"/>
            <w:vAlign w:val="bottom"/>
            <w:gridSpan w:val="2"/>
          </w:tcPr>
          <w:p>
            <w:pPr>
              <w:spacing w:after="0"/>
              <w:rPr>
                <w:sz w:val="2"/>
                <w:szCs w:val="2"/>
                <w:color w:val="auto"/>
              </w:rPr>
            </w:pPr>
          </w:p>
        </w:tc>
        <w:tc>
          <w:tcPr>
            <w:tcW w:w="1040" w:type="dxa"/>
            <w:vAlign w:val="bottom"/>
            <w:tcBorders>
              <w:right w:val="single" w:sz="8" w:color="93A1D2"/>
            </w:tcBorders>
          </w:tcPr>
          <w:p>
            <w:pPr>
              <w:spacing w:after="0"/>
              <w:rPr>
                <w:sz w:val="2"/>
                <w:szCs w:val="2"/>
                <w:color w:val="auto"/>
              </w:rPr>
            </w:pPr>
          </w:p>
        </w:tc>
        <w:tc>
          <w:tcPr>
            <w:tcW w:w="1380" w:type="dxa"/>
            <w:vAlign w:val="bottom"/>
            <w:tcBorders>
              <w:right w:val="single" w:sz="8" w:color="93A1D2"/>
            </w:tcBorders>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840" w:type="dxa"/>
            <w:vAlign w:val="bottom"/>
            <w:tcBorders>
              <w:right w:val="single" w:sz="8" w:color="3465B0"/>
            </w:tcBorders>
          </w:tcPr>
          <w:p>
            <w:pPr>
              <w:spacing w:after="0"/>
              <w:rPr>
                <w:sz w:val="2"/>
                <w:szCs w:val="2"/>
                <w:color w:val="auto"/>
              </w:rPr>
            </w:pPr>
          </w:p>
        </w:tc>
      </w:tr>
      <w:tr>
        <w:trPr>
          <w:trHeight w:val="250"/>
        </w:trPr>
        <w:tc>
          <w:tcPr>
            <w:tcW w:w="52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Alexander N. Wilkes</w:t>
            </w:r>
          </w:p>
        </w:tc>
        <w:tc>
          <w:tcPr>
            <w:tcW w:w="28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CCCC"/>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600,000</w:t>
            </w:r>
          </w:p>
        </w:tc>
        <w:tc>
          <w:tcPr>
            <w:tcW w:w="1380" w:type="dxa"/>
            <w:vAlign w:val="bottom"/>
            <w:tcBorders>
              <w:bottom w:val="single" w:sz="8" w:color="CCCCCC"/>
              <w:right w:val="single" w:sz="8" w:color="93A1D2"/>
            </w:tcBorders>
            <w:gridSpan w:val="2"/>
            <w:shd w:val="clear" w:color="auto" w:fill="CCCCCC"/>
          </w:tcPr>
          <w:p>
            <w:pPr>
              <w:jc w:val="right"/>
              <w:ind w:right="90"/>
              <w:spacing w:after="0"/>
              <w:rPr>
                <w:sz w:val="20"/>
                <w:szCs w:val="20"/>
                <w:color w:val="auto"/>
              </w:rPr>
            </w:pPr>
            <w:r>
              <w:rPr>
                <w:rFonts w:ascii="Arial" w:cs="Arial" w:eastAsia="Arial" w:hAnsi="Arial"/>
                <w:sz w:val="18"/>
                <w:szCs w:val="18"/>
                <w:color w:val="auto"/>
              </w:rPr>
              <w:t>50.0%</w:t>
            </w:r>
          </w:p>
        </w:tc>
        <w:tc>
          <w:tcPr>
            <w:tcW w:w="400" w:type="dxa"/>
            <w:vAlign w:val="bottom"/>
            <w:tcBorders>
              <w:bottom w:val="single" w:sz="8" w:color="CCCCCC"/>
            </w:tcBorders>
            <w:gridSpan w:val="2"/>
            <w:shd w:val="clear" w:color="auto" w:fill="CCCCCC"/>
          </w:tcPr>
          <w:p>
            <w:pPr>
              <w:jc w:val="center"/>
              <w:ind w:lef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CCCC"/>
              <w:right w:val="single" w:sz="8" w:color="3465B0"/>
            </w:tcBorders>
            <w:shd w:val="clear" w:color="auto" w:fill="CCCCCC"/>
          </w:tcPr>
          <w:p>
            <w:pPr>
              <w:jc w:val="right"/>
              <w:ind w:right="110"/>
              <w:spacing w:after="0"/>
              <w:rPr>
                <w:sz w:val="20"/>
                <w:szCs w:val="20"/>
                <w:color w:val="auto"/>
              </w:rPr>
            </w:pPr>
            <w:r>
              <w:rPr>
                <w:rFonts w:ascii="Arial" w:cs="Arial" w:eastAsia="Arial" w:hAnsi="Arial"/>
                <w:sz w:val="18"/>
                <w:szCs w:val="18"/>
                <w:color w:val="auto"/>
                <w:w w:val="95"/>
              </w:rPr>
              <w:t>900,000</w:t>
            </w:r>
          </w:p>
        </w:tc>
      </w:tr>
      <w:tr>
        <w:trPr>
          <w:trHeight w:val="247"/>
        </w:trPr>
        <w:tc>
          <w:tcPr>
            <w:tcW w:w="52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Christopher J. Laden</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Borders>
              <w:right w:val="single" w:sz="8" w:color="93A1D2"/>
            </w:tcBorders>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3465B0"/>
            </w:tcBorders>
          </w:tcPr>
          <w:p>
            <w:pPr>
              <w:jc w:val="right"/>
              <w:ind w:right="110"/>
              <w:spacing w:after="0"/>
              <w:rPr>
                <w:sz w:val="20"/>
                <w:szCs w:val="20"/>
                <w:color w:val="auto"/>
              </w:rPr>
            </w:pPr>
            <w:r>
              <w:rPr>
                <w:rFonts w:ascii="Arial" w:cs="Arial" w:eastAsia="Arial" w:hAnsi="Arial"/>
                <w:sz w:val="18"/>
                <w:szCs w:val="18"/>
                <w:color w:val="auto"/>
                <w:w w:val="95"/>
              </w:rPr>
              <w:t>500,000</w:t>
            </w:r>
          </w:p>
        </w:tc>
      </w:tr>
      <w:tr>
        <w:trPr>
          <w:trHeight w:val="23"/>
        </w:trPr>
        <w:tc>
          <w:tcPr>
            <w:tcW w:w="5220" w:type="dxa"/>
            <w:vAlign w:val="bottom"/>
            <w:tcBorders>
              <w:left w:val="single" w:sz="8" w:color="3465B0"/>
              <w:right w:val="single" w:sz="8" w:color="93A1D2"/>
            </w:tcBorders>
          </w:tcPr>
          <w:p>
            <w:pPr>
              <w:spacing w:after="0"/>
              <w:rPr>
                <w:sz w:val="2"/>
                <w:szCs w:val="2"/>
                <w:color w:val="auto"/>
              </w:rPr>
            </w:pPr>
          </w:p>
        </w:tc>
        <w:tc>
          <w:tcPr>
            <w:tcW w:w="280" w:type="dxa"/>
            <w:vAlign w:val="bottom"/>
            <w:gridSpan w:val="2"/>
          </w:tcPr>
          <w:p>
            <w:pPr>
              <w:spacing w:after="0"/>
              <w:rPr>
                <w:sz w:val="2"/>
                <w:szCs w:val="2"/>
                <w:color w:val="auto"/>
              </w:rPr>
            </w:pPr>
          </w:p>
        </w:tc>
        <w:tc>
          <w:tcPr>
            <w:tcW w:w="1040" w:type="dxa"/>
            <w:vAlign w:val="bottom"/>
            <w:tcBorders>
              <w:right w:val="single" w:sz="8" w:color="93A1D2"/>
            </w:tcBorders>
          </w:tcPr>
          <w:p>
            <w:pPr>
              <w:spacing w:after="0"/>
              <w:rPr>
                <w:sz w:val="2"/>
                <w:szCs w:val="2"/>
                <w:color w:val="auto"/>
              </w:rPr>
            </w:pPr>
          </w:p>
        </w:tc>
        <w:tc>
          <w:tcPr>
            <w:tcW w:w="1380" w:type="dxa"/>
            <w:vAlign w:val="bottom"/>
            <w:tcBorders>
              <w:right w:val="single" w:sz="8" w:color="93A1D2"/>
            </w:tcBorders>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840" w:type="dxa"/>
            <w:vAlign w:val="bottom"/>
            <w:tcBorders>
              <w:right w:val="single" w:sz="8" w:color="3465B0"/>
            </w:tcBorders>
          </w:tcPr>
          <w:p>
            <w:pPr>
              <w:spacing w:after="0"/>
              <w:rPr>
                <w:sz w:val="2"/>
                <w:szCs w:val="2"/>
                <w:color w:val="auto"/>
              </w:rPr>
            </w:pPr>
          </w:p>
        </w:tc>
      </w:tr>
      <w:tr>
        <w:trPr>
          <w:trHeight w:val="250"/>
        </w:trPr>
        <w:tc>
          <w:tcPr>
            <w:tcW w:w="52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Mark S. Banner</w:t>
            </w:r>
          </w:p>
        </w:tc>
        <w:tc>
          <w:tcPr>
            <w:tcW w:w="28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CCCC"/>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500,000</w:t>
            </w:r>
          </w:p>
        </w:tc>
        <w:tc>
          <w:tcPr>
            <w:tcW w:w="1380" w:type="dxa"/>
            <w:vAlign w:val="bottom"/>
            <w:tcBorders>
              <w:bottom w:val="single" w:sz="8" w:color="CCCCCC"/>
              <w:right w:val="single" w:sz="8" w:color="93A1D2"/>
            </w:tcBorders>
            <w:gridSpan w:val="2"/>
            <w:shd w:val="clear" w:color="auto" w:fill="CCCCCC"/>
          </w:tcPr>
          <w:p>
            <w:pPr>
              <w:jc w:val="right"/>
              <w:ind w:right="90"/>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CCCCC"/>
            </w:tcBorders>
            <w:gridSpan w:val="2"/>
            <w:shd w:val="clear" w:color="auto" w:fill="CCCCCC"/>
          </w:tcPr>
          <w:p>
            <w:pPr>
              <w:jc w:val="center"/>
              <w:ind w:lef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CCCC"/>
              <w:right w:val="single" w:sz="8" w:color="3465B0"/>
            </w:tcBorders>
            <w:shd w:val="clear" w:color="auto" w:fill="CCCCCC"/>
          </w:tcPr>
          <w:p>
            <w:pPr>
              <w:jc w:val="right"/>
              <w:ind w:right="110"/>
              <w:spacing w:after="0"/>
              <w:rPr>
                <w:sz w:val="20"/>
                <w:szCs w:val="20"/>
                <w:color w:val="auto"/>
              </w:rPr>
            </w:pPr>
            <w:r>
              <w:rPr>
                <w:rFonts w:ascii="Arial" w:cs="Arial" w:eastAsia="Arial" w:hAnsi="Arial"/>
                <w:sz w:val="18"/>
                <w:szCs w:val="18"/>
                <w:color w:val="auto"/>
                <w:w w:val="95"/>
              </w:rPr>
              <w:t>550,000</w:t>
            </w:r>
          </w:p>
        </w:tc>
      </w:tr>
      <w:tr>
        <w:trPr>
          <w:trHeight w:val="247"/>
        </w:trPr>
        <w:tc>
          <w:tcPr>
            <w:tcW w:w="52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Jared Brandman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500,000</w:t>
            </w:r>
          </w:p>
        </w:tc>
        <w:tc>
          <w:tcPr>
            <w:tcW w:w="1380" w:type="dxa"/>
            <w:vAlign w:val="bottom"/>
            <w:tcBorders>
              <w:right w:val="single" w:sz="8" w:color="93A1D2"/>
            </w:tcBorders>
            <w:gridSpan w:val="2"/>
          </w:tcPr>
          <w:p>
            <w:pPr>
              <w:jc w:val="right"/>
              <w:ind w:right="90"/>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3465B0"/>
            </w:tcBorders>
          </w:tcPr>
          <w:p>
            <w:pPr>
              <w:jc w:val="right"/>
              <w:ind w:right="110"/>
              <w:spacing w:after="0"/>
              <w:rPr>
                <w:sz w:val="20"/>
                <w:szCs w:val="20"/>
                <w:color w:val="auto"/>
              </w:rPr>
            </w:pPr>
            <w:r>
              <w:rPr>
                <w:rFonts w:ascii="Arial" w:cs="Arial" w:eastAsia="Arial" w:hAnsi="Arial"/>
                <w:sz w:val="18"/>
                <w:szCs w:val="18"/>
                <w:color w:val="auto"/>
                <w:w w:val="95"/>
              </w:rPr>
              <w:t>550,000</w:t>
            </w:r>
          </w:p>
        </w:tc>
      </w:tr>
      <w:tr>
        <w:trPr>
          <w:trHeight w:val="23"/>
        </w:trPr>
        <w:tc>
          <w:tcPr>
            <w:tcW w:w="5220" w:type="dxa"/>
            <w:vAlign w:val="bottom"/>
            <w:tcBorders>
              <w:left w:val="single" w:sz="8" w:color="3465B0"/>
              <w:right w:val="single" w:sz="8" w:color="93A1D2"/>
            </w:tcBorders>
          </w:tcPr>
          <w:p>
            <w:pPr>
              <w:spacing w:after="0"/>
              <w:rPr>
                <w:sz w:val="2"/>
                <w:szCs w:val="2"/>
                <w:color w:val="auto"/>
              </w:rPr>
            </w:pPr>
          </w:p>
        </w:tc>
        <w:tc>
          <w:tcPr>
            <w:tcW w:w="280" w:type="dxa"/>
            <w:vAlign w:val="bottom"/>
            <w:gridSpan w:val="2"/>
          </w:tcPr>
          <w:p>
            <w:pPr>
              <w:spacing w:after="0"/>
              <w:rPr>
                <w:sz w:val="2"/>
                <w:szCs w:val="2"/>
                <w:color w:val="auto"/>
              </w:rPr>
            </w:pPr>
          </w:p>
        </w:tc>
        <w:tc>
          <w:tcPr>
            <w:tcW w:w="1040" w:type="dxa"/>
            <w:vAlign w:val="bottom"/>
            <w:tcBorders>
              <w:right w:val="single" w:sz="8" w:color="93A1D2"/>
            </w:tcBorders>
          </w:tcPr>
          <w:p>
            <w:pPr>
              <w:spacing w:after="0"/>
              <w:rPr>
                <w:sz w:val="2"/>
                <w:szCs w:val="2"/>
                <w:color w:val="auto"/>
              </w:rPr>
            </w:pPr>
          </w:p>
        </w:tc>
        <w:tc>
          <w:tcPr>
            <w:tcW w:w="1380" w:type="dxa"/>
            <w:vAlign w:val="bottom"/>
            <w:tcBorders>
              <w:right w:val="single" w:sz="8" w:color="93A1D2"/>
            </w:tcBorders>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840" w:type="dxa"/>
            <w:vAlign w:val="bottom"/>
            <w:tcBorders>
              <w:right w:val="single" w:sz="8" w:color="3465B0"/>
            </w:tcBorders>
          </w:tcPr>
          <w:p>
            <w:pPr>
              <w:spacing w:after="0"/>
              <w:rPr>
                <w:sz w:val="2"/>
                <w:szCs w:val="2"/>
                <w:color w:val="auto"/>
              </w:rPr>
            </w:pPr>
          </w:p>
        </w:tc>
      </w:tr>
      <w:tr>
        <w:trPr>
          <w:trHeight w:val="250"/>
        </w:trPr>
        <w:tc>
          <w:tcPr>
            <w:tcW w:w="52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Bill Clark</w:t>
            </w:r>
          </w:p>
        </w:tc>
        <w:tc>
          <w:tcPr>
            <w:tcW w:w="28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CCCC"/>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430,000</w:t>
            </w:r>
          </w:p>
        </w:tc>
        <w:tc>
          <w:tcPr>
            <w:tcW w:w="1380" w:type="dxa"/>
            <w:vAlign w:val="bottom"/>
            <w:tcBorders>
              <w:bottom w:val="single" w:sz="8" w:color="CCCCCC"/>
              <w:right w:val="single" w:sz="8" w:color="93A1D2"/>
            </w:tcBorders>
            <w:gridSpan w:val="2"/>
            <w:shd w:val="clear" w:color="auto" w:fill="CCCCCC"/>
          </w:tcPr>
          <w:p>
            <w:pPr>
              <w:jc w:val="right"/>
              <w:ind w:right="90"/>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CCCCCC"/>
            </w:tcBorders>
            <w:gridSpan w:val="2"/>
            <w:shd w:val="clear" w:color="auto" w:fill="CCCCCC"/>
          </w:tcPr>
          <w:p>
            <w:pPr>
              <w:jc w:val="center"/>
              <w:ind w:lef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CCCC"/>
              <w:right w:val="single" w:sz="8" w:color="3465B0"/>
            </w:tcBorders>
            <w:shd w:val="clear" w:color="auto" w:fill="CCCCCC"/>
          </w:tcPr>
          <w:p>
            <w:pPr>
              <w:jc w:val="right"/>
              <w:ind w:right="110"/>
              <w:spacing w:after="0"/>
              <w:rPr>
                <w:sz w:val="20"/>
                <w:szCs w:val="20"/>
                <w:color w:val="auto"/>
              </w:rPr>
            </w:pPr>
            <w:r>
              <w:rPr>
                <w:rFonts w:ascii="Arial" w:cs="Arial" w:eastAsia="Arial" w:hAnsi="Arial"/>
                <w:sz w:val="18"/>
                <w:szCs w:val="18"/>
                <w:color w:val="auto"/>
                <w:w w:val="95"/>
              </w:rPr>
              <w:t>451,500</w:t>
            </w:r>
          </w:p>
        </w:tc>
      </w:tr>
      <w:tr>
        <w:trPr>
          <w:trHeight w:val="310"/>
        </w:trPr>
        <w:tc>
          <w:tcPr>
            <w:tcW w:w="5220" w:type="dxa"/>
            <w:vAlign w:val="bottom"/>
            <w:tcBorders>
              <w:left w:val="single" w:sz="8" w:color="3465B0"/>
              <w:right w:val="single" w:sz="8" w:color="93A1D2"/>
            </w:tcBorders>
          </w:tcPr>
          <w:p>
            <w:pPr>
              <w:ind w:left="100"/>
              <w:spacing w:after="0" w:line="310" w:lineRule="exact"/>
              <w:rPr>
                <w:sz w:val="20"/>
                <w:szCs w:val="20"/>
                <w:color w:val="auto"/>
              </w:rPr>
            </w:pPr>
            <w:r>
              <w:rPr>
                <w:rFonts w:ascii="Arial" w:cs="Arial" w:eastAsia="Arial" w:hAnsi="Arial"/>
                <w:sz w:val="18"/>
                <w:szCs w:val="18"/>
                <w:color w:val="auto"/>
              </w:rPr>
              <w:t>Patrick R. Moore</w:t>
            </w:r>
            <w:r>
              <w:rPr>
                <w:rFonts w:ascii="Arial" w:cs="Arial" w:eastAsia="Arial" w:hAnsi="Arial"/>
                <w:sz w:val="29"/>
                <w:szCs w:val="29"/>
                <w:color w:val="auto"/>
                <w:vertAlign w:val="superscript"/>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650,000</w:t>
            </w:r>
          </w:p>
        </w:tc>
        <w:tc>
          <w:tcPr>
            <w:tcW w:w="1380" w:type="dxa"/>
            <w:vAlign w:val="bottom"/>
            <w:tcBorders>
              <w:right w:val="single" w:sz="8" w:color="93A1D2"/>
            </w:tcBorders>
            <w:gridSpan w:val="2"/>
          </w:tcPr>
          <w:p>
            <w:pPr>
              <w:jc w:val="right"/>
              <w:ind w:right="90"/>
              <w:spacing w:after="0"/>
              <w:rPr>
                <w:sz w:val="20"/>
                <w:szCs w:val="20"/>
                <w:color w:val="auto"/>
              </w:rPr>
            </w:pPr>
            <w:r>
              <w:rPr>
                <w:rFonts w:ascii="Arial" w:cs="Arial" w:eastAsia="Arial" w:hAnsi="Arial"/>
                <w:sz w:val="18"/>
                <w:szCs w:val="18"/>
                <w:color w:val="auto"/>
              </w:rPr>
              <w:t>(98.2)%</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3465B0"/>
            </w:tcBorders>
          </w:tcPr>
          <w:p>
            <w:pPr>
              <w:jc w:val="right"/>
              <w:ind w:right="110"/>
              <w:spacing w:after="0"/>
              <w:rPr>
                <w:sz w:val="20"/>
                <w:szCs w:val="20"/>
                <w:color w:val="auto"/>
              </w:rPr>
            </w:pPr>
            <w:r>
              <w:rPr>
                <w:rFonts w:ascii="Arial" w:cs="Arial" w:eastAsia="Arial" w:hAnsi="Arial"/>
                <w:sz w:val="18"/>
                <w:szCs w:val="18"/>
                <w:color w:val="auto"/>
              </w:rPr>
              <w:t>12,000</w:t>
            </w:r>
          </w:p>
        </w:tc>
      </w:tr>
      <w:tr>
        <w:trPr>
          <w:trHeight w:val="240"/>
        </w:trPr>
        <w:tc>
          <w:tcPr>
            <w:tcW w:w="5220" w:type="dxa"/>
            <w:vAlign w:val="bottom"/>
            <w:tcBorders>
              <w:left w:val="single" w:sz="8" w:color="3465B0"/>
              <w:bottom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Melissa Rasmussen</w:t>
            </w:r>
          </w:p>
        </w:tc>
        <w:tc>
          <w:tcPr>
            <w:tcW w:w="140" w:type="dxa"/>
            <w:vAlign w:val="bottom"/>
            <w:tcBorders>
              <w:bottom w:val="single" w:sz="8" w:color="3465B0"/>
            </w:tcBorders>
            <w:shd w:val="clear" w:color="auto" w:fill="CCCCCC"/>
          </w:tcPr>
          <w:p>
            <w:pPr>
              <w:spacing w:after="0"/>
              <w:rPr>
                <w:sz w:val="20"/>
                <w:szCs w:val="20"/>
                <w:color w:val="auto"/>
              </w:rPr>
            </w:pPr>
          </w:p>
        </w:tc>
        <w:tc>
          <w:tcPr>
            <w:tcW w:w="14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3465B0"/>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500,000</w:t>
            </w:r>
          </w:p>
        </w:tc>
        <w:tc>
          <w:tcPr>
            <w:tcW w:w="140" w:type="dxa"/>
            <w:vAlign w:val="bottom"/>
            <w:tcBorders>
              <w:bottom w:val="single" w:sz="8" w:color="3465B0"/>
            </w:tcBorders>
            <w:shd w:val="clear" w:color="auto" w:fill="CCCCCC"/>
          </w:tcPr>
          <w:p>
            <w:pPr>
              <w:spacing w:after="0"/>
              <w:rPr>
                <w:sz w:val="20"/>
                <w:szCs w:val="20"/>
                <w:color w:val="auto"/>
              </w:rPr>
            </w:pPr>
          </w:p>
        </w:tc>
        <w:tc>
          <w:tcPr>
            <w:tcW w:w="1240" w:type="dxa"/>
            <w:vAlign w:val="bottom"/>
            <w:tcBorders>
              <w:bottom w:val="single" w:sz="8" w:color="3465B0"/>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3465B0"/>
            </w:tcBorders>
            <w:shd w:val="clear" w:color="auto" w:fill="CCCCCC"/>
          </w:tcPr>
          <w:p>
            <w:pPr>
              <w:spacing w:after="0"/>
              <w:rPr>
                <w:sz w:val="20"/>
                <w:szCs w:val="20"/>
                <w:color w:val="auto"/>
              </w:rPr>
            </w:pPr>
          </w:p>
        </w:tc>
        <w:tc>
          <w:tcPr>
            <w:tcW w:w="260" w:type="dxa"/>
            <w:vAlign w:val="bottom"/>
            <w:tcBorders>
              <w:bottom w:val="single" w:sz="8" w:color="3465B0"/>
            </w:tcBorders>
            <w:shd w:val="clear" w:color="auto" w:fill="CCCCCC"/>
          </w:tcPr>
          <w:p>
            <w:pPr>
              <w:jc w:val="center"/>
              <w:ind w:lef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3465B0"/>
              <w:right w:val="single" w:sz="8" w:color="3465B0"/>
            </w:tcBorders>
            <w:shd w:val="clear" w:color="auto" w:fill="CCCCCC"/>
          </w:tcPr>
          <w:p>
            <w:pPr>
              <w:jc w:val="right"/>
              <w:ind w:right="110"/>
              <w:spacing w:after="0"/>
              <w:rPr>
                <w:sz w:val="20"/>
                <w:szCs w:val="20"/>
                <w:color w:val="auto"/>
              </w:rPr>
            </w:pPr>
            <w:r>
              <w:rPr>
                <w:rFonts w:ascii="Arial" w:cs="Arial" w:eastAsia="Arial" w:hAnsi="Arial"/>
                <w:sz w:val="18"/>
                <w:szCs w:val="18"/>
                <w:color w:val="auto"/>
                <w:w w:val="95"/>
              </w:rPr>
              <w:t>500,000</w:t>
            </w:r>
          </w:p>
        </w:tc>
      </w:tr>
    </w:tbl>
    <w:p>
      <w:pPr>
        <w:spacing w:after="0" w:line="150" w:lineRule="exact"/>
        <w:rPr>
          <w:sz w:val="20"/>
          <w:szCs w:val="20"/>
          <w:color w:val="auto"/>
        </w:rPr>
      </w:pPr>
    </w:p>
    <w:p>
      <w:pPr>
        <w:jc w:val="both"/>
        <w:ind w:left="360" w:hanging="348"/>
        <w:spacing w:after="0" w:line="256"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Moore served as our Senior Vice President, Chief Operating Officer through August 19, 2024, after which he assumed the role of Special Advisor through December 28, 2024. On March 4, 2025, Mr. Moore was appointed as Interim Chief Financial Officer, and served in that role through March 31, 2025, when Mr. Laden, our current Chief Financial Officer, assumed the role. Mr. Moore continues to serve in an advisory role to the Company.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42"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Our executives are eligible for awards under our Short Term Incentive Plan (“STIP”), which is our annual cash incentive program. The primary purpose of the STIP is to incentivize management to achieve our short-term strategic and financial objectives consistent with our long-term goals. We believe that tying annual incentive compensation for our NEOs to the achievement of our annual financial and strategic growth objectives encourages collaboration across the executive leadership team.</w:t>
      </w:r>
    </w:p>
    <w:p>
      <w:pPr>
        <w:spacing w:after="0" w:line="53" w:lineRule="exact"/>
        <w:rPr>
          <w:sz w:val="20"/>
          <w:szCs w:val="20"/>
          <w:color w:val="auto"/>
        </w:rPr>
      </w:pPr>
    </w:p>
    <w:p>
      <w:pPr>
        <w:ind w:left="360" w:hanging="346"/>
        <w:spacing w:after="0"/>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47" w:name="page48"/>
    <w:bookmarkEnd w:id="47"/>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In February 2025, the compensation committee approved the 2025 STIP design. STIP award payouts for 2025 were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169545</wp:posOffset>
            </wp:positionV>
            <wp:extent cx="3977640" cy="13373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9776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w:t>
      </w:r>
    </w:p>
    <w:p>
      <w:pPr>
        <w:spacing w:after="0" w:line="131" w:lineRule="exact"/>
        <w:rPr>
          <w:sz w:val="20"/>
          <w:szCs w:val="20"/>
          <w:color w:val="auto"/>
        </w:rPr>
      </w:pPr>
    </w:p>
    <w:p>
      <w:pPr>
        <w:jc w:val="both"/>
        <w:ind w:left="940" w:right="940"/>
        <w:spacing w:after="0" w:line="239" w:lineRule="auto"/>
        <w:rPr>
          <w:sz w:val="20"/>
          <w:szCs w:val="20"/>
          <w:color w:val="auto"/>
        </w:rPr>
      </w:pPr>
      <w:r>
        <w:rPr>
          <w:rFonts w:ascii="Arial" w:cs="Arial" w:eastAsia="Arial" w:hAnsi="Arial"/>
          <w:sz w:val="18"/>
          <w:szCs w:val="18"/>
          <w:color w:val="auto"/>
        </w:rPr>
        <w:t>For our NEOs, the compensation committee approved two corporate performance metrics for determining STIP awards – Annual Incentive Adjusted Operating Income (“STIP AOI”) and Adjusted Comparable Store Sales Growth. The committee selected STIP AOI because Adjusted Operating Income is a key performance indicator that the Company considers when evaluating Company performance as a whole, and Adjusted Comparable Store Sales Growth because it is a key metric used by both management and stockholders to assess the operational health and overall performance of each brand and the Company as a whole. The committee set performance goals for STIP AOI and Adjusted Comparable Same Store Sales Growth that it believed would be challenging but achievable under the then-current economic assumptions and conditions. A discussion of how STIP AOI calculated from GAAP revenue and how Adjusted Comparable Store Sales Growth is calculated is provided in Appendix A to this proxy statement.</w:t>
      </w:r>
    </w:p>
    <w:p>
      <w:pPr>
        <w:spacing w:after="0" w:line="112"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The performance objectives, weighting, and threshold, target, maximum performance levels approved by the compensation committee and actual results for 2025 were as follows:</w:t>
      </w:r>
    </w:p>
    <w:p>
      <w:pPr>
        <w:spacing w:after="0" w:line="82" w:lineRule="exact"/>
        <w:rPr>
          <w:sz w:val="20"/>
          <w:szCs w:val="20"/>
          <w:color w:val="auto"/>
        </w:rPr>
      </w:pPr>
    </w:p>
    <w:tbl>
      <w:tblPr>
        <w:tblLayout w:type="fixed"/>
        <w:tblInd w:w="930" w:type="dxa"/>
        <w:tblCellMar>
          <w:top w:w="0" w:type="dxa"/>
          <w:left w:w="0" w:type="dxa"/>
          <w:bottom w:w="0" w:type="dxa"/>
          <w:right w:w="0" w:type="dxa"/>
        </w:tblCellMar>
      </w:tblPr>
      <w:tr>
        <w:trPr>
          <w:trHeight w:val="327"/>
        </w:trPr>
        <w:tc>
          <w:tcPr>
            <w:tcW w:w="60" w:type="dxa"/>
            <w:vAlign w:val="bottom"/>
            <w:tcBorders>
              <w:top w:val="single" w:sz="8" w:color="3465B0"/>
              <w:left w:val="single" w:sz="8" w:color="3465B0"/>
            </w:tcBorders>
            <w:shd w:val="clear" w:color="auto" w:fill="3465B0"/>
          </w:tcPr>
          <w:p>
            <w:pPr>
              <w:spacing w:after="0"/>
              <w:rPr>
                <w:sz w:val="24"/>
                <w:szCs w:val="24"/>
                <w:color w:val="auto"/>
              </w:rPr>
            </w:pPr>
          </w:p>
        </w:tc>
        <w:tc>
          <w:tcPr>
            <w:tcW w:w="3280" w:type="dxa"/>
            <w:vAlign w:val="bottom"/>
            <w:tcBorders>
              <w:top w:val="single" w:sz="8" w:color="3465B0"/>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Performance Metrics and Weighting</w:t>
            </w:r>
          </w:p>
        </w:tc>
        <w:tc>
          <w:tcPr>
            <w:tcW w:w="1100" w:type="dxa"/>
            <w:vAlign w:val="bottom"/>
            <w:tcBorders>
              <w:top w:val="single" w:sz="8" w:color="3465B0"/>
              <w:right w:val="single" w:sz="8" w:color="93A1D2"/>
            </w:tcBorders>
            <w:shd w:val="clear" w:color="auto" w:fill="3465B0"/>
          </w:tcPr>
          <w:p>
            <w:pPr>
              <w:spacing w:after="0"/>
              <w:rPr>
                <w:sz w:val="24"/>
                <w:szCs w:val="24"/>
                <w:color w:val="auto"/>
              </w:rPr>
            </w:pPr>
          </w:p>
        </w:tc>
        <w:tc>
          <w:tcPr>
            <w:tcW w:w="860" w:type="dxa"/>
            <w:vAlign w:val="bottom"/>
            <w:tcBorders>
              <w:top w:val="single" w:sz="8" w:color="3465B0"/>
              <w:right w:val="single" w:sz="8" w:color="93A1D2"/>
            </w:tcBorders>
            <w:shd w:val="clear" w:color="auto" w:fill="3465B0"/>
          </w:tcPr>
          <w:p>
            <w:pPr>
              <w:spacing w:after="0"/>
              <w:rPr>
                <w:sz w:val="24"/>
                <w:szCs w:val="24"/>
                <w:color w:val="auto"/>
              </w:rPr>
            </w:pPr>
          </w:p>
        </w:tc>
        <w:tc>
          <w:tcPr>
            <w:tcW w:w="1120" w:type="dxa"/>
            <w:vAlign w:val="bottom"/>
            <w:tcBorders>
              <w:top w:val="single" w:sz="8" w:color="3465B0"/>
              <w:right w:val="single" w:sz="8" w:color="93A1D2"/>
            </w:tcBorders>
            <w:shd w:val="clear" w:color="auto" w:fill="3465B0"/>
          </w:tcPr>
          <w:p>
            <w:pPr>
              <w:spacing w:after="0"/>
              <w:rPr>
                <w:sz w:val="24"/>
                <w:szCs w:val="24"/>
                <w:color w:val="auto"/>
              </w:rPr>
            </w:pPr>
          </w:p>
        </w:tc>
        <w:tc>
          <w:tcPr>
            <w:tcW w:w="100" w:type="dxa"/>
            <w:vAlign w:val="bottom"/>
            <w:tcBorders>
              <w:top w:val="single" w:sz="8" w:color="3465B0"/>
            </w:tcBorders>
            <w:shd w:val="clear" w:color="auto" w:fill="3465B0"/>
          </w:tcPr>
          <w:p>
            <w:pPr>
              <w:spacing w:after="0"/>
              <w:rPr>
                <w:sz w:val="24"/>
                <w:szCs w:val="24"/>
                <w:color w:val="auto"/>
              </w:rPr>
            </w:pPr>
          </w:p>
        </w:tc>
        <w:tc>
          <w:tcPr>
            <w:tcW w:w="1280" w:type="dxa"/>
            <w:vAlign w:val="bottom"/>
            <w:tcBorders>
              <w:top w:val="single" w:sz="8" w:color="3465B0"/>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Actual</w:t>
            </w:r>
          </w:p>
        </w:tc>
        <w:tc>
          <w:tcPr>
            <w:tcW w:w="100" w:type="dxa"/>
            <w:vAlign w:val="bottom"/>
            <w:tcBorders>
              <w:top w:val="single" w:sz="8" w:color="3465B0"/>
            </w:tcBorders>
            <w:shd w:val="clear" w:color="auto" w:fill="3465B0"/>
          </w:tcPr>
          <w:p>
            <w:pPr>
              <w:spacing w:after="0"/>
              <w:rPr>
                <w:sz w:val="24"/>
                <w:szCs w:val="24"/>
                <w:color w:val="auto"/>
              </w:rPr>
            </w:pPr>
          </w:p>
        </w:tc>
        <w:tc>
          <w:tcPr>
            <w:tcW w:w="1260" w:type="dxa"/>
            <w:vAlign w:val="bottom"/>
            <w:tcBorders>
              <w:top w:val="single" w:sz="8" w:color="3465B0"/>
              <w:right w:val="single" w:sz="8" w:color="3465B0"/>
            </w:tcBorders>
            <w:shd w:val="clear" w:color="auto" w:fill="3465B0"/>
          </w:tcPr>
          <w:p>
            <w:pPr>
              <w:ind w:left="20"/>
              <w:spacing w:after="0"/>
              <w:rPr>
                <w:sz w:val="20"/>
                <w:szCs w:val="20"/>
                <w:color w:val="auto"/>
              </w:rPr>
            </w:pPr>
            <w:r>
              <w:rPr>
                <w:rFonts w:ascii="Arial" w:cs="Arial" w:eastAsia="Arial" w:hAnsi="Arial"/>
                <w:sz w:val="18"/>
                <w:szCs w:val="18"/>
                <w:b w:val="1"/>
                <w:bCs w:val="1"/>
                <w:color w:val="FFFFFF"/>
              </w:rPr>
              <w:t>Achievement</w:t>
            </w:r>
          </w:p>
        </w:tc>
      </w:tr>
      <w:tr>
        <w:trPr>
          <w:trHeight w:val="283"/>
        </w:trPr>
        <w:tc>
          <w:tcPr>
            <w:tcW w:w="60" w:type="dxa"/>
            <w:vAlign w:val="bottom"/>
            <w:tcBorders>
              <w:left w:val="single" w:sz="8" w:color="3465B0"/>
            </w:tcBorders>
            <w:shd w:val="clear" w:color="auto" w:fill="3465B0"/>
          </w:tcPr>
          <w:p>
            <w:pPr>
              <w:spacing w:after="0"/>
              <w:rPr>
                <w:sz w:val="24"/>
                <w:szCs w:val="24"/>
                <w:color w:val="auto"/>
              </w:rPr>
            </w:pPr>
          </w:p>
        </w:tc>
        <w:tc>
          <w:tcPr>
            <w:tcW w:w="3280" w:type="dxa"/>
            <w:vAlign w:val="bottom"/>
            <w:tcBorders>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 in millions)</w:t>
            </w:r>
          </w:p>
        </w:tc>
        <w:tc>
          <w:tcPr>
            <w:tcW w:w="1100" w:type="dxa"/>
            <w:vAlign w:val="bottom"/>
            <w:tcBorders>
              <w:right w:val="single" w:sz="8" w:color="93A1D2"/>
            </w:tcBorders>
            <w:shd w:val="clear" w:color="auto" w:fill="3465B0"/>
          </w:tcPr>
          <w:p>
            <w:pPr>
              <w:jc w:val="right"/>
              <w:ind w:right="30"/>
              <w:spacing w:after="0"/>
              <w:rPr>
                <w:sz w:val="20"/>
                <w:szCs w:val="20"/>
                <w:color w:val="auto"/>
              </w:rPr>
            </w:pPr>
            <w:r>
              <w:rPr>
                <w:rFonts w:ascii="Arial" w:cs="Arial" w:eastAsia="Arial" w:hAnsi="Arial"/>
                <w:sz w:val="18"/>
                <w:szCs w:val="18"/>
                <w:b w:val="1"/>
                <w:bCs w:val="1"/>
                <w:color w:val="FFFFFF"/>
              </w:rPr>
              <w:t>Threshold</w:t>
            </w:r>
          </w:p>
        </w:tc>
        <w:tc>
          <w:tcPr>
            <w:tcW w:w="860" w:type="dxa"/>
            <w:vAlign w:val="bottom"/>
            <w:tcBorders>
              <w:right w:val="single" w:sz="8" w:color="93A1D2"/>
            </w:tcBorders>
            <w:shd w:val="clear" w:color="auto" w:fill="3465B0"/>
          </w:tcPr>
          <w:p>
            <w:pPr>
              <w:jc w:val="right"/>
              <w:ind w:right="130"/>
              <w:spacing w:after="0"/>
              <w:rPr>
                <w:sz w:val="20"/>
                <w:szCs w:val="20"/>
                <w:color w:val="auto"/>
              </w:rPr>
            </w:pPr>
            <w:r>
              <w:rPr>
                <w:rFonts w:ascii="Arial" w:cs="Arial" w:eastAsia="Arial" w:hAnsi="Arial"/>
                <w:sz w:val="18"/>
                <w:szCs w:val="18"/>
                <w:b w:val="1"/>
                <w:bCs w:val="1"/>
                <w:color w:val="FFFFFF"/>
              </w:rPr>
              <w:t>Target</w:t>
            </w:r>
          </w:p>
        </w:tc>
        <w:tc>
          <w:tcPr>
            <w:tcW w:w="1120" w:type="dxa"/>
            <w:vAlign w:val="bottom"/>
            <w:tcBorders>
              <w:right w:val="single" w:sz="8" w:color="93A1D2"/>
            </w:tcBorders>
            <w:shd w:val="clear" w:color="auto" w:fill="3465B0"/>
          </w:tcPr>
          <w:p>
            <w:pPr>
              <w:jc w:val="right"/>
              <w:ind w:right="90"/>
              <w:spacing w:after="0"/>
              <w:rPr>
                <w:sz w:val="20"/>
                <w:szCs w:val="20"/>
                <w:color w:val="auto"/>
              </w:rPr>
            </w:pPr>
            <w:r>
              <w:rPr>
                <w:rFonts w:ascii="Arial" w:cs="Arial" w:eastAsia="Arial" w:hAnsi="Arial"/>
                <w:sz w:val="18"/>
                <w:szCs w:val="18"/>
                <w:b w:val="1"/>
                <w:bCs w:val="1"/>
                <w:color w:val="FFFFFF"/>
              </w:rPr>
              <w:t>Maximum</w:t>
            </w:r>
          </w:p>
        </w:tc>
        <w:tc>
          <w:tcPr>
            <w:tcW w:w="100" w:type="dxa"/>
            <w:vAlign w:val="bottom"/>
            <w:shd w:val="clear" w:color="auto" w:fill="3465B0"/>
          </w:tcPr>
          <w:p>
            <w:pPr>
              <w:spacing w:after="0"/>
              <w:rPr>
                <w:sz w:val="24"/>
                <w:szCs w:val="24"/>
                <w:color w:val="auto"/>
              </w:rPr>
            </w:pPr>
          </w:p>
        </w:tc>
        <w:tc>
          <w:tcPr>
            <w:tcW w:w="128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Achievement</w:t>
            </w:r>
          </w:p>
        </w:tc>
        <w:tc>
          <w:tcPr>
            <w:tcW w:w="100" w:type="dxa"/>
            <w:vAlign w:val="bottom"/>
            <w:shd w:val="clear" w:color="auto" w:fill="3465B0"/>
          </w:tcPr>
          <w:p>
            <w:pPr>
              <w:spacing w:after="0"/>
              <w:rPr>
                <w:sz w:val="24"/>
                <w:szCs w:val="24"/>
                <w:color w:val="auto"/>
              </w:rPr>
            </w:pPr>
          </w:p>
        </w:tc>
        <w:tc>
          <w:tcPr>
            <w:tcW w:w="1260" w:type="dxa"/>
            <w:vAlign w:val="bottom"/>
            <w:tcBorders>
              <w:right w:val="single" w:sz="8" w:color="3465B0"/>
            </w:tcBorders>
            <w:shd w:val="clear" w:color="auto" w:fill="3465B0"/>
          </w:tcPr>
          <w:p>
            <w:pPr>
              <w:ind w:left="20"/>
              <w:spacing w:after="0" w:line="284" w:lineRule="exact"/>
              <w:rPr>
                <w:sz w:val="20"/>
                <w:szCs w:val="20"/>
                <w:color w:val="auto"/>
              </w:rPr>
            </w:pPr>
            <w:r>
              <w:rPr>
                <w:rFonts w:ascii="Arial" w:cs="Arial" w:eastAsia="Arial" w:hAnsi="Arial"/>
                <w:sz w:val="18"/>
                <w:szCs w:val="18"/>
                <w:b w:val="1"/>
                <w:bCs w:val="1"/>
                <w:color w:val="FFFFFF"/>
              </w:rPr>
              <w:t>Factor</w:t>
            </w:r>
            <w:r>
              <w:rPr>
                <w:rFonts w:ascii="Arial" w:cs="Arial" w:eastAsia="Arial" w:hAnsi="Arial"/>
                <w:sz w:val="29"/>
                <w:szCs w:val="29"/>
                <w:b w:val="1"/>
                <w:bCs w:val="1"/>
                <w:color w:val="FFFFFF"/>
                <w:vertAlign w:val="superscript"/>
              </w:rPr>
              <w:t>(1)</w:t>
            </w:r>
          </w:p>
        </w:tc>
      </w:tr>
      <w:tr>
        <w:trPr>
          <w:trHeight w:val="270"/>
        </w:trPr>
        <w:tc>
          <w:tcPr>
            <w:tcW w:w="60" w:type="dxa"/>
            <w:vAlign w:val="bottom"/>
            <w:tcBorders>
              <w:left w:val="single" w:sz="8" w:color="3465B0"/>
            </w:tcBorders>
          </w:tcPr>
          <w:p>
            <w:pPr>
              <w:spacing w:after="0"/>
              <w:rPr>
                <w:sz w:val="23"/>
                <w:szCs w:val="23"/>
                <w:color w:val="auto"/>
              </w:rPr>
            </w:pPr>
          </w:p>
        </w:tc>
        <w:tc>
          <w:tcPr>
            <w:tcW w:w="3280" w:type="dxa"/>
            <w:vAlign w:val="bottom"/>
            <w:tcBorders>
              <w:right w:val="single" w:sz="8" w:color="93A1D2"/>
            </w:tcBorders>
          </w:tcPr>
          <w:p>
            <w:pPr>
              <w:ind w:left="40"/>
              <w:spacing w:after="0"/>
              <w:rPr>
                <w:sz w:val="20"/>
                <w:szCs w:val="20"/>
                <w:color w:val="auto"/>
              </w:rPr>
            </w:pPr>
            <w:r>
              <w:rPr>
                <w:rFonts w:ascii="Arial" w:cs="Arial" w:eastAsia="Arial" w:hAnsi="Arial"/>
                <w:sz w:val="18"/>
                <w:szCs w:val="18"/>
                <w:b w:val="1"/>
                <w:bCs w:val="1"/>
                <w:color w:val="auto"/>
              </w:rPr>
              <w:t>STIP AOI (75%)</w:t>
            </w:r>
          </w:p>
        </w:tc>
        <w:tc>
          <w:tcPr>
            <w:tcW w:w="1100" w:type="dxa"/>
            <w:vAlign w:val="bottom"/>
            <w:tcBorders>
              <w:right w:val="single" w:sz="8" w:color="93A1D2"/>
            </w:tcBorders>
          </w:tcPr>
          <w:p>
            <w:pPr>
              <w:jc w:val="right"/>
              <w:ind w:right="50"/>
              <w:spacing w:after="0"/>
              <w:rPr>
                <w:sz w:val="20"/>
                <w:szCs w:val="20"/>
                <w:color w:val="auto"/>
              </w:rPr>
            </w:pPr>
            <w:r>
              <w:rPr>
                <w:rFonts w:ascii="Arial" w:cs="Arial" w:eastAsia="Arial" w:hAnsi="Arial"/>
                <w:sz w:val="18"/>
                <w:szCs w:val="18"/>
                <w:color w:val="auto"/>
              </w:rPr>
              <w:t>$ 90.5</w:t>
            </w:r>
          </w:p>
        </w:tc>
        <w:tc>
          <w:tcPr>
            <w:tcW w:w="860" w:type="dxa"/>
            <w:vAlign w:val="bottom"/>
            <w:tcBorders>
              <w:right w:val="single" w:sz="8" w:color="93A1D2"/>
            </w:tcBorders>
          </w:tcPr>
          <w:p>
            <w:pPr>
              <w:jc w:val="right"/>
              <w:ind w:right="50"/>
              <w:spacing w:after="0"/>
              <w:rPr>
                <w:sz w:val="20"/>
                <w:szCs w:val="20"/>
                <w:color w:val="auto"/>
              </w:rPr>
            </w:pPr>
            <w:r>
              <w:rPr>
                <w:rFonts w:ascii="Arial" w:cs="Arial" w:eastAsia="Arial" w:hAnsi="Arial"/>
                <w:sz w:val="18"/>
                <w:szCs w:val="18"/>
                <w:color w:val="auto"/>
              </w:rPr>
              <w:t>$113.0</w:t>
            </w:r>
          </w:p>
        </w:tc>
        <w:tc>
          <w:tcPr>
            <w:tcW w:w="1120" w:type="dxa"/>
            <w:vAlign w:val="bottom"/>
            <w:tcBorders>
              <w:right w:val="single" w:sz="8" w:color="93A1D2"/>
            </w:tcBorders>
          </w:tcPr>
          <w:p>
            <w:pPr>
              <w:jc w:val="right"/>
              <w:ind w:right="50"/>
              <w:spacing w:after="0"/>
              <w:rPr>
                <w:sz w:val="20"/>
                <w:szCs w:val="20"/>
                <w:color w:val="auto"/>
              </w:rPr>
            </w:pPr>
            <w:r>
              <w:rPr>
                <w:rFonts w:ascii="Arial" w:cs="Arial" w:eastAsia="Arial" w:hAnsi="Arial"/>
                <w:sz w:val="18"/>
                <w:szCs w:val="18"/>
                <w:color w:val="auto"/>
              </w:rPr>
              <w:t>$135.7</w:t>
            </w:r>
          </w:p>
        </w:tc>
        <w:tc>
          <w:tcPr>
            <w:tcW w:w="1380" w:type="dxa"/>
            <w:vAlign w:val="bottom"/>
            <w:tcBorders>
              <w:right w:val="single" w:sz="8" w:color="93A1D2"/>
            </w:tcBorders>
            <w:gridSpan w:val="2"/>
          </w:tcPr>
          <w:p>
            <w:pPr>
              <w:jc w:val="right"/>
              <w:ind w:right="30"/>
              <w:spacing w:after="0"/>
              <w:rPr>
                <w:sz w:val="20"/>
                <w:szCs w:val="20"/>
                <w:color w:val="auto"/>
              </w:rPr>
            </w:pPr>
            <w:r>
              <w:rPr>
                <w:rFonts w:ascii="Arial" w:cs="Arial" w:eastAsia="Arial" w:hAnsi="Arial"/>
                <w:sz w:val="18"/>
                <w:szCs w:val="18"/>
                <w:color w:val="auto"/>
              </w:rPr>
              <w:t>$134.5</w:t>
            </w:r>
          </w:p>
        </w:tc>
        <w:tc>
          <w:tcPr>
            <w:tcW w:w="136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8"/>
                <w:szCs w:val="18"/>
                <w:color w:val="auto"/>
              </w:rPr>
              <w:t>146.6%</w:t>
            </w:r>
          </w:p>
        </w:tc>
      </w:tr>
      <w:tr>
        <w:trPr>
          <w:trHeight w:val="211"/>
        </w:trPr>
        <w:tc>
          <w:tcPr>
            <w:tcW w:w="60" w:type="dxa"/>
            <w:vAlign w:val="bottom"/>
            <w:tcBorders>
              <w:left w:val="single" w:sz="8" w:color="3465B0"/>
            </w:tcBorders>
            <w:shd w:val="clear" w:color="auto" w:fill="CCCCCC"/>
          </w:tcPr>
          <w:p>
            <w:pPr>
              <w:spacing w:after="0"/>
              <w:rPr>
                <w:sz w:val="18"/>
                <w:szCs w:val="18"/>
                <w:color w:val="auto"/>
              </w:rPr>
            </w:pPr>
          </w:p>
        </w:tc>
        <w:tc>
          <w:tcPr>
            <w:tcW w:w="328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Adjusted Comparable Store Sales</w:t>
            </w:r>
          </w:p>
        </w:tc>
        <w:tc>
          <w:tcPr>
            <w:tcW w:w="1100" w:type="dxa"/>
            <w:vAlign w:val="bottom"/>
            <w:tcBorders>
              <w:right w:val="single" w:sz="8" w:color="93A1D2"/>
            </w:tcBorders>
            <w:shd w:val="clear" w:color="auto" w:fill="CCCCCC"/>
          </w:tcPr>
          <w:p>
            <w:pPr>
              <w:spacing w:after="0"/>
              <w:rPr>
                <w:sz w:val="18"/>
                <w:szCs w:val="18"/>
                <w:color w:val="auto"/>
              </w:rPr>
            </w:pPr>
          </w:p>
        </w:tc>
        <w:tc>
          <w:tcPr>
            <w:tcW w:w="860" w:type="dxa"/>
            <w:vAlign w:val="bottom"/>
            <w:tcBorders>
              <w:right w:val="single" w:sz="8" w:color="93A1D2"/>
            </w:tcBorders>
            <w:shd w:val="clear" w:color="auto" w:fill="CCCCCC"/>
          </w:tcPr>
          <w:p>
            <w:pPr>
              <w:spacing w:after="0"/>
              <w:rPr>
                <w:sz w:val="18"/>
                <w:szCs w:val="18"/>
                <w:color w:val="auto"/>
              </w:rPr>
            </w:pPr>
          </w:p>
        </w:tc>
        <w:tc>
          <w:tcPr>
            <w:tcW w:w="1120" w:type="dxa"/>
            <w:vAlign w:val="bottom"/>
            <w:tcBorders>
              <w:right w:val="single" w:sz="8" w:color="93A1D2"/>
            </w:tcBorders>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260" w:type="dxa"/>
            <w:vAlign w:val="bottom"/>
            <w:tcBorders>
              <w:right w:val="single" w:sz="8" w:color="3465B0"/>
            </w:tcBorders>
            <w:shd w:val="clear" w:color="auto" w:fill="CCCCCC"/>
          </w:tcPr>
          <w:p>
            <w:pPr>
              <w:spacing w:after="0"/>
              <w:rPr>
                <w:sz w:val="18"/>
                <w:szCs w:val="18"/>
                <w:color w:val="auto"/>
              </w:rPr>
            </w:pPr>
          </w:p>
        </w:tc>
      </w:tr>
      <w:tr>
        <w:trPr>
          <w:trHeight w:val="262"/>
        </w:trPr>
        <w:tc>
          <w:tcPr>
            <w:tcW w:w="60" w:type="dxa"/>
            <w:vAlign w:val="bottom"/>
            <w:tcBorders>
              <w:left w:val="single" w:sz="8" w:color="3465B0"/>
            </w:tcBorders>
            <w:shd w:val="clear" w:color="auto" w:fill="CCCCCC"/>
          </w:tcPr>
          <w:p>
            <w:pPr>
              <w:spacing w:after="0"/>
              <w:rPr>
                <w:sz w:val="22"/>
                <w:szCs w:val="22"/>
                <w:color w:val="auto"/>
              </w:rPr>
            </w:pPr>
          </w:p>
        </w:tc>
        <w:tc>
          <w:tcPr>
            <w:tcW w:w="328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8"/>
                <w:szCs w:val="18"/>
                <w:b w:val="1"/>
                <w:bCs w:val="1"/>
                <w:color w:val="auto"/>
              </w:rPr>
              <w:t>Growth (25%)</w:t>
            </w:r>
          </w:p>
        </w:tc>
        <w:tc>
          <w:tcPr>
            <w:tcW w:w="1100" w:type="dxa"/>
            <w:vAlign w:val="bottom"/>
            <w:tcBorders>
              <w:right w:val="single" w:sz="8" w:color="93A1D2"/>
            </w:tcBorders>
            <w:shd w:val="clear" w:color="auto" w:fill="CCCCCC"/>
          </w:tcPr>
          <w:p>
            <w:pPr>
              <w:jc w:val="right"/>
              <w:ind w:right="50"/>
              <w:spacing w:after="0"/>
              <w:rPr>
                <w:sz w:val="20"/>
                <w:szCs w:val="20"/>
                <w:color w:val="auto"/>
              </w:rPr>
            </w:pPr>
            <w:r>
              <w:rPr>
                <w:rFonts w:ascii="Arial" w:cs="Arial" w:eastAsia="Arial" w:hAnsi="Arial"/>
                <w:sz w:val="18"/>
                <w:szCs w:val="18"/>
                <w:color w:val="auto"/>
              </w:rPr>
              <w:t>3.7%</w:t>
            </w:r>
          </w:p>
        </w:tc>
        <w:tc>
          <w:tcPr>
            <w:tcW w:w="860" w:type="dxa"/>
            <w:vAlign w:val="bottom"/>
            <w:tcBorders>
              <w:right w:val="single" w:sz="8" w:color="93A1D2"/>
            </w:tcBorders>
            <w:shd w:val="clear" w:color="auto" w:fill="CCCCCC"/>
          </w:tcPr>
          <w:p>
            <w:pPr>
              <w:jc w:val="right"/>
              <w:ind w:right="50"/>
              <w:spacing w:after="0"/>
              <w:rPr>
                <w:sz w:val="20"/>
                <w:szCs w:val="20"/>
                <w:color w:val="auto"/>
              </w:rPr>
            </w:pPr>
            <w:r>
              <w:rPr>
                <w:rFonts w:ascii="Arial" w:cs="Arial" w:eastAsia="Arial" w:hAnsi="Arial"/>
                <w:sz w:val="18"/>
                <w:szCs w:val="18"/>
                <w:color w:val="auto"/>
              </w:rPr>
              <w:t>4.6%</w:t>
            </w:r>
          </w:p>
        </w:tc>
        <w:tc>
          <w:tcPr>
            <w:tcW w:w="1120" w:type="dxa"/>
            <w:vAlign w:val="bottom"/>
            <w:tcBorders>
              <w:right w:val="single" w:sz="8" w:color="93A1D2"/>
            </w:tcBorders>
            <w:shd w:val="clear" w:color="auto" w:fill="CCCCCC"/>
          </w:tcPr>
          <w:p>
            <w:pPr>
              <w:jc w:val="right"/>
              <w:ind w:right="50"/>
              <w:spacing w:after="0"/>
              <w:rPr>
                <w:sz w:val="20"/>
                <w:szCs w:val="20"/>
                <w:color w:val="auto"/>
              </w:rPr>
            </w:pPr>
            <w:r>
              <w:rPr>
                <w:rFonts w:ascii="Arial" w:cs="Arial" w:eastAsia="Arial" w:hAnsi="Arial"/>
                <w:sz w:val="18"/>
                <w:szCs w:val="18"/>
                <w:color w:val="auto"/>
              </w:rPr>
              <w:t>5.6%</w:t>
            </w:r>
          </w:p>
        </w:tc>
        <w:tc>
          <w:tcPr>
            <w:tcW w:w="1380" w:type="dxa"/>
            <w:vAlign w:val="bottom"/>
            <w:tcBorders>
              <w:right w:val="single" w:sz="8" w:color="93A1D2"/>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6.0%</w:t>
            </w:r>
          </w:p>
        </w:tc>
        <w:tc>
          <w:tcPr>
            <w:tcW w:w="1360" w:type="dxa"/>
            <w:vAlign w:val="bottom"/>
            <w:tcBorders>
              <w:right w:val="single" w:sz="8" w:color="3465B0"/>
            </w:tcBorders>
            <w:gridSpan w:val="2"/>
            <w:shd w:val="clear" w:color="auto" w:fill="CCCCCC"/>
          </w:tcPr>
          <w:p>
            <w:pPr>
              <w:jc w:val="right"/>
              <w:ind w:right="10"/>
              <w:spacing w:after="0"/>
              <w:rPr>
                <w:sz w:val="20"/>
                <w:szCs w:val="20"/>
                <w:color w:val="auto"/>
              </w:rPr>
            </w:pPr>
            <w:r>
              <w:rPr>
                <w:rFonts w:ascii="Arial" w:cs="Arial" w:eastAsia="Arial" w:hAnsi="Arial"/>
                <w:sz w:val="18"/>
                <w:szCs w:val="18"/>
                <w:color w:val="auto"/>
              </w:rPr>
              <w:t>50%</w:t>
            </w:r>
          </w:p>
        </w:tc>
      </w:tr>
      <w:tr>
        <w:trPr>
          <w:trHeight w:val="240"/>
        </w:trPr>
        <w:tc>
          <w:tcPr>
            <w:tcW w:w="60" w:type="dxa"/>
            <w:vAlign w:val="bottom"/>
            <w:tcBorders>
              <w:left w:val="single" w:sz="8" w:color="3465B0"/>
              <w:bottom w:val="single" w:sz="8" w:color="3465B0"/>
            </w:tcBorders>
          </w:tcPr>
          <w:p>
            <w:pPr>
              <w:spacing w:after="0"/>
              <w:rPr>
                <w:sz w:val="20"/>
                <w:szCs w:val="20"/>
                <w:color w:val="auto"/>
              </w:rPr>
            </w:pPr>
          </w:p>
        </w:tc>
        <w:tc>
          <w:tcPr>
            <w:tcW w:w="3280" w:type="dxa"/>
            <w:vAlign w:val="bottom"/>
            <w:tcBorders>
              <w:bottom w:val="single" w:sz="8" w:color="3465B0"/>
              <w:right w:val="single" w:sz="8" w:color="93A1D2"/>
            </w:tcBorders>
          </w:tcPr>
          <w:p>
            <w:pPr>
              <w:ind w:left="40"/>
              <w:spacing w:after="0"/>
              <w:rPr>
                <w:sz w:val="20"/>
                <w:szCs w:val="20"/>
                <w:color w:val="auto"/>
              </w:rPr>
            </w:pPr>
            <w:r>
              <w:rPr>
                <w:rFonts w:ascii="Arial" w:cs="Arial" w:eastAsia="Arial" w:hAnsi="Arial"/>
                <w:sz w:val="18"/>
                <w:szCs w:val="18"/>
                <w:b w:val="1"/>
                <w:bCs w:val="1"/>
                <w:color w:val="auto"/>
              </w:rPr>
              <w:t>2025 Achievement</w:t>
            </w:r>
          </w:p>
        </w:tc>
        <w:tc>
          <w:tcPr>
            <w:tcW w:w="1100" w:type="dxa"/>
            <w:vAlign w:val="bottom"/>
            <w:tcBorders>
              <w:bottom w:val="single" w:sz="8" w:color="3465B0"/>
              <w:right w:val="single" w:sz="8" w:color="93A1D2"/>
            </w:tcBorders>
          </w:tcPr>
          <w:p>
            <w:pPr>
              <w:spacing w:after="0"/>
              <w:rPr>
                <w:sz w:val="20"/>
                <w:szCs w:val="20"/>
                <w:color w:val="auto"/>
              </w:rPr>
            </w:pPr>
          </w:p>
        </w:tc>
        <w:tc>
          <w:tcPr>
            <w:tcW w:w="860" w:type="dxa"/>
            <w:vAlign w:val="bottom"/>
            <w:tcBorders>
              <w:bottom w:val="single" w:sz="8" w:color="3465B0"/>
              <w:right w:val="single" w:sz="8" w:color="93A1D2"/>
            </w:tcBorders>
          </w:tcPr>
          <w:p>
            <w:pPr>
              <w:spacing w:after="0"/>
              <w:rPr>
                <w:sz w:val="20"/>
                <w:szCs w:val="20"/>
                <w:color w:val="auto"/>
              </w:rPr>
            </w:pPr>
          </w:p>
        </w:tc>
        <w:tc>
          <w:tcPr>
            <w:tcW w:w="1120" w:type="dxa"/>
            <w:vAlign w:val="bottom"/>
            <w:tcBorders>
              <w:bottom w:val="single" w:sz="8" w:color="3465B0"/>
              <w:right w:val="single" w:sz="8" w:color="93A1D2"/>
            </w:tcBorders>
          </w:tcPr>
          <w:p>
            <w:pPr>
              <w:spacing w:after="0"/>
              <w:rPr>
                <w:sz w:val="20"/>
                <w:szCs w:val="20"/>
                <w:color w:val="auto"/>
              </w:rPr>
            </w:pPr>
          </w:p>
        </w:tc>
        <w:tc>
          <w:tcPr>
            <w:tcW w:w="100" w:type="dxa"/>
            <w:vAlign w:val="bottom"/>
            <w:tcBorders>
              <w:bottom w:val="single" w:sz="8" w:color="3465B0"/>
            </w:tcBorders>
          </w:tcPr>
          <w:p>
            <w:pPr>
              <w:spacing w:after="0"/>
              <w:rPr>
                <w:sz w:val="20"/>
                <w:szCs w:val="20"/>
                <w:color w:val="auto"/>
              </w:rPr>
            </w:pPr>
          </w:p>
        </w:tc>
        <w:tc>
          <w:tcPr>
            <w:tcW w:w="1280" w:type="dxa"/>
            <w:vAlign w:val="bottom"/>
            <w:tcBorders>
              <w:bottom w:val="single" w:sz="8" w:color="3465B0"/>
              <w:right w:val="single" w:sz="8" w:color="93A1D2"/>
            </w:tcBorders>
          </w:tcPr>
          <w:p>
            <w:pPr>
              <w:spacing w:after="0"/>
              <w:rPr>
                <w:sz w:val="20"/>
                <w:szCs w:val="20"/>
                <w:color w:val="auto"/>
              </w:rPr>
            </w:pPr>
          </w:p>
        </w:tc>
        <w:tc>
          <w:tcPr>
            <w:tcW w:w="1360" w:type="dxa"/>
            <w:vAlign w:val="bottom"/>
            <w:tcBorders>
              <w:bottom w:val="single" w:sz="8" w:color="3465B0"/>
              <w:right w:val="single" w:sz="8" w:color="3465B0"/>
            </w:tcBorders>
            <w:gridSpan w:val="2"/>
          </w:tcPr>
          <w:p>
            <w:pPr>
              <w:jc w:val="right"/>
              <w:ind w:right="10"/>
              <w:spacing w:after="0"/>
              <w:rPr>
                <w:sz w:val="20"/>
                <w:szCs w:val="20"/>
                <w:color w:val="auto"/>
              </w:rPr>
            </w:pPr>
            <w:r>
              <w:rPr>
                <w:rFonts w:ascii="Arial" w:cs="Arial" w:eastAsia="Arial" w:hAnsi="Arial"/>
                <w:sz w:val="18"/>
                <w:szCs w:val="18"/>
                <w:b w:val="1"/>
                <w:bCs w:val="1"/>
                <w:color w:val="auto"/>
              </w:rPr>
              <w:t>196.6%</w:t>
            </w:r>
          </w:p>
        </w:tc>
      </w:tr>
    </w:tbl>
    <w:p>
      <w:pPr>
        <w:spacing w:after="0" w:line="150" w:lineRule="exact"/>
        <w:rPr>
          <w:sz w:val="20"/>
          <w:szCs w:val="20"/>
          <w:color w:val="auto"/>
        </w:rPr>
      </w:pPr>
    </w:p>
    <w:p>
      <w:pPr>
        <w:ind w:left="1280" w:right="960" w:hanging="348"/>
        <w:spacing w:after="0" w:line="285" w:lineRule="auto"/>
        <w:tabs>
          <w:tab w:leader="none" w:pos="12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Payouts were capped at 200% of target opportunity, and achievement factor percentages between outcomes were interpolated on a straight-line basis.</w:t>
      </w:r>
    </w:p>
    <w:p>
      <w:pPr>
        <w:spacing w:after="0" w:line="67"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color w:val="auto"/>
        </w:rPr>
        <w:t>Each NEO’s target opportunity as approved by the compensation committee is set forth in the table below. Based on STIP AOI performance of $134.5 million and Adjusted Comparable Store Sales Growth performance of 6.0%, the STIP funded at 196.6% of target and our NEOs earned STIP awards for fiscal 2025 as follows, which are included in the “Non-Equity Incentive Plan Compensation” column of the “Summary Compensation Table” later in this proxy statement.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940" w:type="dxa"/>
            <w:vAlign w:val="bottom"/>
            <w:tcBorders>
              <w:right w:val="single" w:sz="8" w:color="3465B0"/>
            </w:tcBorders>
          </w:tcPr>
          <w:p>
            <w:pPr>
              <w:spacing w:after="0"/>
              <w:rPr>
                <w:sz w:val="24"/>
                <w:szCs w:val="24"/>
                <w:color w:val="auto"/>
              </w:rPr>
            </w:pPr>
          </w:p>
        </w:tc>
        <w:tc>
          <w:tcPr>
            <w:tcW w:w="3520" w:type="dxa"/>
            <w:vAlign w:val="bottom"/>
            <w:tcBorders>
              <w:top w:val="single" w:sz="8" w:color="3465B0"/>
              <w:right w:val="single" w:sz="8" w:color="93A1D2"/>
            </w:tcBorders>
            <w:shd w:val="clear" w:color="auto" w:fill="3465B0"/>
          </w:tcPr>
          <w:p>
            <w:pPr>
              <w:spacing w:after="0"/>
              <w:rPr>
                <w:sz w:val="24"/>
                <w:szCs w:val="24"/>
                <w:color w:val="auto"/>
              </w:rPr>
            </w:pPr>
          </w:p>
        </w:tc>
        <w:tc>
          <w:tcPr>
            <w:tcW w:w="160" w:type="dxa"/>
            <w:vAlign w:val="bottom"/>
            <w:tcBorders>
              <w:top w:val="single" w:sz="8" w:color="3465B0"/>
            </w:tcBorders>
            <w:shd w:val="clear" w:color="auto" w:fill="3465B0"/>
          </w:tcPr>
          <w:p>
            <w:pPr>
              <w:spacing w:after="0"/>
              <w:rPr>
                <w:sz w:val="24"/>
                <w:szCs w:val="24"/>
                <w:color w:val="auto"/>
              </w:rPr>
            </w:pPr>
          </w:p>
        </w:tc>
        <w:tc>
          <w:tcPr>
            <w:tcW w:w="1340" w:type="dxa"/>
            <w:vAlign w:val="bottom"/>
            <w:tcBorders>
              <w:top w:val="single" w:sz="8" w:color="3465B0"/>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2025</w:t>
            </w:r>
          </w:p>
        </w:tc>
        <w:tc>
          <w:tcPr>
            <w:tcW w:w="160" w:type="dxa"/>
            <w:vAlign w:val="bottom"/>
            <w:tcBorders>
              <w:top w:val="single" w:sz="8" w:color="3465B0"/>
            </w:tcBorders>
            <w:shd w:val="clear" w:color="auto" w:fill="3465B0"/>
          </w:tcPr>
          <w:p>
            <w:pPr>
              <w:spacing w:after="0"/>
              <w:rPr>
                <w:sz w:val="24"/>
                <w:szCs w:val="24"/>
                <w:color w:val="auto"/>
              </w:rPr>
            </w:pPr>
          </w:p>
        </w:tc>
        <w:tc>
          <w:tcPr>
            <w:tcW w:w="1300" w:type="dxa"/>
            <w:vAlign w:val="bottom"/>
            <w:tcBorders>
              <w:top w:val="single" w:sz="8" w:color="3465B0"/>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Target</w:t>
            </w:r>
          </w:p>
        </w:tc>
        <w:tc>
          <w:tcPr>
            <w:tcW w:w="180" w:type="dxa"/>
            <w:vAlign w:val="bottom"/>
            <w:tcBorders>
              <w:top w:val="single" w:sz="8" w:color="3465B0"/>
            </w:tcBorders>
            <w:shd w:val="clear" w:color="auto" w:fill="3465B0"/>
          </w:tcPr>
          <w:p>
            <w:pPr>
              <w:spacing w:after="0"/>
              <w:rPr>
                <w:sz w:val="24"/>
                <w:szCs w:val="24"/>
                <w:color w:val="auto"/>
              </w:rPr>
            </w:pPr>
          </w:p>
        </w:tc>
        <w:tc>
          <w:tcPr>
            <w:tcW w:w="1300" w:type="dxa"/>
            <w:vAlign w:val="bottom"/>
            <w:tcBorders>
              <w:top w:val="single" w:sz="8" w:color="3465B0"/>
              <w:right w:val="single" w:sz="8" w:color="93A1D2"/>
            </w:tcBorders>
            <w:shd w:val="clear" w:color="auto" w:fill="3465B0"/>
          </w:tcPr>
          <w:p>
            <w:pPr>
              <w:spacing w:after="0"/>
              <w:rPr>
                <w:sz w:val="20"/>
                <w:szCs w:val="20"/>
                <w:color w:val="auto"/>
              </w:rPr>
            </w:pPr>
            <w:r>
              <w:rPr>
                <w:rFonts w:ascii="Arial" w:cs="Arial" w:eastAsia="Arial" w:hAnsi="Arial"/>
                <w:sz w:val="16"/>
                <w:szCs w:val="16"/>
                <w:b w:val="1"/>
                <w:bCs w:val="1"/>
                <w:color w:val="FFFFFF"/>
              </w:rPr>
              <w:t>Achievement</w:t>
            </w:r>
          </w:p>
        </w:tc>
        <w:tc>
          <w:tcPr>
            <w:tcW w:w="180" w:type="dxa"/>
            <w:vAlign w:val="bottom"/>
            <w:tcBorders>
              <w:top w:val="single" w:sz="8" w:color="3465B0"/>
            </w:tcBorders>
            <w:shd w:val="clear" w:color="auto" w:fill="3465B0"/>
          </w:tcPr>
          <w:p>
            <w:pPr>
              <w:spacing w:after="0"/>
              <w:rPr>
                <w:sz w:val="24"/>
                <w:szCs w:val="24"/>
                <w:color w:val="auto"/>
              </w:rPr>
            </w:pPr>
          </w:p>
        </w:tc>
        <w:tc>
          <w:tcPr>
            <w:tcW w:w="1000" w:type="dxa"/>
            <w:vAlign w:val="bottom"/>
            <w:tcBorders>
              <w:top w:val="single" w:sz="8" w:color="3465B0"/>
              <w:right w:val="single" w:sz="8" w:color="3465B0"/>
            </w:tcBorders>
            <w:gridSpan w:val="2"/>
            <w:shd w:val="clear" w:color="auto" w:fill="3465B0"/>
          </w:tcPr>
          <w:p>
            <w:pPr>
              <w:spacing w:after="0"/>
              <w:rPr>
                <w:sz w:val="20"/>
                <w:szCs w:val="20"/>
                <w:color w:val="auto"/>
              </w:rPr>
            </w:pPr>
            <w:r>
              <w:rPr>
                <w:rFonts w:ascii="Arial" w:cs="Arial" w:eastAsia="Arial" w:hAnsi="Arial"/>
                <w:sz w:val="16"/>
                <w:szCs w:val="16"/>
                <w:b w:val="1"/>
                <w:bCs w:val="1"/>
                <w:color w:val="FFFFFF"/>
              </w:rPr>
              <w:t>2025 STIP</w:t>
            </w:r>
          </w:p>
        </w:tc>
        <w:tc>
          <w:tcPr>
            <w:tcW w:w="940" w:type="dxa"/>
            <w:vAlign w:val="bottom"/>
          </w:tcPr>
          <w:p>
            <w:pPr>
              <w:spacing w:after="0"/>
              <w:rPr>
                <w:sz w:val="24"/>
                <w:szCs w:val="24"/>
                <w:color w:val="auto"/>
              </w:rPr>
            </w:pPr>
          </w:p>
        </w:tc>
      </w:tr>
      <w:tr>
        <w:trPr>
          <w:trHeight w:val="216"/>
        </w:trPr>
        <w:tc>
          <w:tcPr>
            <w:tcW w:w="940" w:type="dxa"/>
            <w:vAlign w:val="bottom"/>
            <w:tcBorders>
              <w:right w:val="single" w:sz="8" w:color="3465B0"/>
            </w:tcBorders>
          </w:tcPr>
          <w:p>
            <w:pPr>
              <w:spacing w:after="0"/>
              <w:rPr>
                <w:sz w:val="18"/>
                <w:szCs w:val="18"/>
                <w:color w:val="auto"/>
              </w:rPr>
            </w:pPr>
          </w:p>
        </w:tc>
        <w:tc>
          <w:tcPr>
            <w:tcW w:w="3520" w:type="dxa"/>
            <w:vAlign w:val="bottom"/>
            <w:tcBorders>
              <w:right w:val="single" w:sz="8" w:color="93A1D2"/>
            </w:tcBorders>
            <w:shd w:val="clear" w:color="auto" w:fill="3465B0"/>
          </w:tcPr>
          <w:p>
            <w:pPr>
              <w:spacing w:after="0"/>
              <w:rPr>
                <w:sz w:val="18"/>
                <w:szCs w:val="18"/>
                <w:color w:val="auto"/>
              </w:rPr>
            </w:pPr>
          </w:p>
        </w:tc>
        <w:tc>
          <w:tcPr>
            <w:tcW w:w="160" w:type="dxa"/>
            <w:vAlign w:val="bottom"/>
            <w:shd w:val="clear" w:color="auto" w:fill="3465B0"/>
          </w:tcPr>
          <w:p>
            <w:pPr>
              <w:spacing w:after="0"/>
              <w:rPr>
                <w:sz w:val="18"/>
                <w:szCs w:val="18"/>
                <w:color w:val="auto"/>
              </w:rPr>
            </w:pPr>
          </w:p>
        </w:tc>
        <w:tc>
          <w:tcPr>
            <w:tcW w:w="1340" w:type="dxa"/>
            <w:vAlign w:val="bottom"/>
            <w:tcBorders>
              <w:right w:val="single" w:sz="8" w:color="93A1D2"/>
            </w:tcBorders>
            <w:shd w:val="clear" w:color="auto" w:fill="3465B0"/>
          </w:tcPr>
          <w:p>
            <w:pPr>
              <w:jc w:val="center"/>
              <w:ind w:right="137"/>
              <w:spacing w:after="0" w:line="216" w:lineRule="exact"/>
              <w:rPr>
                <w:sz w:val="20"/>
                <w:szCs w:val="20"/>
                <w:color w:val="auto"/>
              </w:rPr>
            </w:pPr>
            <w:r>
              <w:rPr>
                <w:rFonts w:ascii="Arial" w:cs="Arial" w:eastAsia="Arial" w:hAnsi="Arial"/>
                <w:sz w:val="16"/>
                <w:szCs w:val="16"/>
                <w:b w:val="1"/>
                <w:bCs w:val="1"/>
                <w:color w:val="FFFFFF"/>
                <w:w w:val="97"/>
              </w:rPr>
              <w:t>Base Salary</w:t>
            </w:r>
            <w:r>
              <w:rPr>
                <w:rFonts w:ascii="Arial" w:cs="Arial" w:eastAsia="Arial" w:hAnsi="Arial"/>
                <w:sz w:val="25"/>
                <w:szCs w:val="25"/>
                <w:b w:val="1"/>
                <w:bCs w:val="1"/>
                <w:color w:val="FFFFFF"/>
                <w:w w:val="97"/>
                <w:vertAlign w:val="superscript"/>
              </w:rPr>
              <w:t>(1)</w:t>
            </w:r>
          </w:p>
        </w:tc>
        <w:tc>
          <w:tcPr>
            <w:tcW w:w="160" w:type="dxa"/>
            <w:vAlign w:val="bottom"/>
            <w:shd w:val="clear" w:color="auto" w:fill="3465B0"/>
          </w:tcPr>
          <w:p>
            <w:pPr>
              <w:spacing w:after="0"/>
              <w:rPr>
                <w:sz w:val="18"/>
                <w:szCs w:val="18"/>
                <w:color w:val="auto"/>
              </w:rPr>
            </w:pPr>
          </w:p>
        </w:tc>
        <w:tc>
          <w:tcPr>
            <w:tcW w:w="1300" w:type="dxa"/>
            <w:vAlign w:val="bottom"/>
            <w:tcBorders>
              <w:right w:val="single" w:sz="8" w:color="93A1D2"/>
            </w:tcBorders>
            <w:shd w:val="clear" w:color="auto" w:fill="3465B0"/>
          </w:tcPr>
          <w:p>
            <w:pPr>
              <w:ind w:left="20"/>
              <w:spacing w:after="0" w:line="216" w:lineRule="exact"/>
              <w:rPr>
                <w:sz w:val="20"/>
                <w:szCs w:val="20"/>
                <w:color w:val="auto"/>
              </w:rPr>
            </w:pPr>
            <w:r>
              <w:rPr>
                <w:rFonts w:ascii="Arial" w:cs="Arial" w:eastAsia="Arial" w:hAnsi="Arial"/>
                <w:sz w:val="16"/>
                <w:szCs w:val="16"/>
                <w:b w:val="1"/>
                <w:bCs w:val="1"/>
                <w:color w:val="FFFFFF"/>
              </w:rPr>
              <w:t>Opportunity</w:t>
            </w:r>
            <w:r>
              <w:rPr>
                <w:rFonts w:ascii="Arial" w:cs="Arial" w:eastAsia="Arial" w:hAnsi="Arial"/>
                <w:sz w:val="25"/>
                <w:szCs w:val="25"/>
                <w:b w:val="1"/>
                <w:bCs w:val="1"/>
                <w:color w:val="FFFFFF"/>
                <w:vertAlign w:val="superscript"/>
              </w:rPr>
              <w:t>(2)</w:t>
            </w:r>
          </w:p>
        </w:tc>
        <w:tc>
          <w:tcPr>
            <w:tcW w:w="180" w:type="dxa"/>
            <w:vAlign w:val="bottom"/>
            <w:shd w:val="clear" w:color="auto" w:fill="3465B0"/>
          </w:tcPr>
          <w:p>
            <w:pPr>
              <w:spacing w:after="0"/>
              <w:rPr>
                <w:sz w:val="18"/>
                <w:szCs w:val="18"/>
                <w:color w:val="auto"/>
              </w:rPr>
            </w:pPr>
          </w:p>
        </w:tc>
        <w:tc>
          <w:tcPr>
            <w:tcW w:w="1300" w:type="dxa"/>
            <w:vAlign w:val="bottom"/>
            <w:tcBorders>
              <w:right w:val="single" w:sz="8" w:color="93A1D2"/>
            </w:tcBorders>
            <w:shd w:val="clear" w:color="auto" w:fill="3465B0"/>
          </w:tcPr>
          <w:p>
            <w:pPr>
              <w:spacing w:after="0" w:line="216" w:lineRule="exact"/>
              <w:rPr>
                <w:sz w:val="20"/>
                <w:szCs w:val="20"/>
                <w:color w:val="auto"/>
              </w:rPr>
            </w:pPr>
            <w:r>
              <w:rPr>
                <w:rFonts w:ascii="Arial" w:cs="Arial" w:eastAsia="Arial" w:hAnsi="Arial"/>
                <w:sz w:val="16"/>
                <w:szCs w:val="16"/>
                <w:b w:val="1"/>
                <w:bCs w:val="1"/>
                <w:color w:val="FFFFFF"/>
              </w:rPr>
              <w:t>Factor</w:t>
            </w:r>
            <w:r>
              <w:rPr>
                <w:rFonts w:ascii="Arial" w:cs="Arial" w:eastAsia="Arial" w:hAnsi="Arial"/>
                <w:sz w:val="25"/>
                <w:szCs w:val="25"/>
                <w:b w:val="1"/>
                <w:bCs w:val="1"/>
                <w:color w:val="FFFFFF"/>
                <w:vertAlign w:val="superscript"/>
              </w:rPr>
              <w:t>(2)</w:t>
            </w:r>
          </w:p>
        </w:tc>
        <w:tc>
          <w:tcPr>
            <w:tcW w:w="180" w:type="dxa"/>
            <w:vAlign w:val="bottom"/>
            <w:shd w:val="clear" w:color="auto" w:fill="3465B0"/>
          </w:tcPr>
          <w:p>
            <w:pPr>
              <w:spacing w:after="0"/>
              <w:rPr>
                <w:sz w:val="18"/>
                <w:szCs w:val="18"/>
                <w:color w:val="auto"/>
              </w:rPr>
            </w:pPr>
          </w:p>
        </w:tc>
        <w:tc>
          <w:tcPr>
            <w:tcW w:w="1000" w:type="dxa"/>
            <w:vAlign w:val="bottom"/>
            <w:tcBorders>
              <w:right w:val="single" w:sz="8" w:color="3465B0"/>
            </w:tcBorders>
            <w:gridSpan w:val="2"/>
            <w:shd w:val="clear" w:color="auto" w:fill="3465B0"/>
          </w:tcPr>
          <w:p>
            <w:pPr>
              <w:spacing w:after="0"/>
              <w:rPr>
                <w:sz w:val="20"/>
                <w:szCs w:val="20"/>
                <w:color w:val="auto"/>
              </w:rPr>
            </w:pPr>
            <w:r>
              <w:rPr>
                <w:rFonts w:ascii="Arial" w:cs="Arial" w:eastAsia="Arial" w:hAnsi="Arial"/>
                <w:sz w:val="16"/>
                <w:szCs w:val="16"/>
                <w:b w:val="1"/>
                <w:bCs w:val="1"/>
                <w:color w:val="FFFFFF"/>
              </w:rPr>
              <w:t>Award</w:t>
            </w:r>
          </w:p>
        </w:tc>
        <w:tc>
          <w:tcPr>
            <w:tcW w:w="940" w:type="dxa"/>
            <w:vAlign w:val="bottom"/>
          </w:tcPr>
          <w:p>
            <w:pPr>
              <w:spacing w:after="0"/>
              <w:rPr>
                <w:sz w:val="18"/>
                <w:szCs w:val="18"/>
                <w:color w:val="auto"/>
              </w:rPr>
            </w:pPr>
          </w:p>
        </w:tc>
      </w:tr>
      <w:tr>
        <w:trPr>
          <w:trHeight w:val="224"/>
        </w:trPr>
        <w:tc>
          <w:tcPr>
            <w:tcW w:w="940" w:type="dxa"/>
            <w:vAlign w:val="bottom"/>
            <w:tcBorders>
              <w:right w:val="single" w:sz="8" w:color="3465B0"/>
            </w:tcBorders>
          </w:tcPr>
          <w:p>
            <w:pPr>
              <w:spacing w:after="0"/>
              <w:rPr>
                <w:sz w:val="19"/>
                <w:szCs w:val="19"/>
                <w:color w:val="auto"/>
              </w:rPr>
            </w:pPr>
          </w:p>
        </w:tc>
        <w:tc>
          <w:tcPr>
            <w:tcW w:w="3520" w:type="dxa"/>
            <w:vAlign w:val="bottom"/>
            <w:tcBorders>
              <w:bottom w:val="single" w:sz="8" w:color="3465B0"/>
              <w:right w:val="single" w:sz="8" w:color="93A1D2"/>
            </w:tcBorders>
            <w:shd w:val="clear" w:color="auto" w:fill="3465B0"/>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160" w:type="dxa"/>
            <w:vAlign w:val="bottom"/>
            <w:tcBorders>
              <w:bottom w:val="single" w:sz="8" w:color="3465B0"/>
            </w:tcBorders>
            <w:shd w:val="clear" w:color="auto" w:fill="3465B0"/>
          </w:tcPr>
          <w:p>
            <w:pPr>
              <w:spacing w:after="0"/>
              <w:rPr>
                <w:sz w:val="19"/>
                <w:szCs w:val="19"/>
                <w:color w:val="auto"/>
              </w:rPr>
            </w:pPr>
          </w:p>
        </w:tc>
        <w:tc>
          <w:tcPr>
            <w:tcW w:w="1340" w:type="dxa"/>
            <w:vAlign w:val="bottom"/>
            <w:tcBorders>
              <w:bottom w:val="single" w:sz="8" w:color="3465B0"/>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w:t>
            </w:r>
          </w:p>
        </w:tc>
        <w:tc>
          <w:tcPr>
            <w:tcW w:w="160" w:type="dxa"/>
            <w:vAlign w:val="bottom"/>
            <w:tcBorders>
              <w:bottom w:val="single" w:sz="8" w:color="3465B0"/>
            </w:tcBorders>
            <w:shd w:val="clear" w:color="auto" w:fill="3465B0"/>
          </w:tcPr>
          <w:p>
            <w:pPr>
              <w:spacing w:after="0"/>
              <w:rPr>
                <w:sz w:val="19"/>
                <w:szCs w:val="19"/>
                <w:color w:val="auto"/>
              </w:rPr>
            </w:pPr>
          </w:p>
        </w:tc>
        <w:tc>
          <w:tcPr>
            <w:tcW w:w="1300" w:type="dxa"/>
            <w:vAlign w:val="bottom"/>
            <w:tcBorders>
              <w:bottom w:val="single" w:sz="8" w:color="3465B0"/>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w:t>
            </w:r>
          </w:p>
        </w:tc>
        <w:tc>
          <w:tcPr>
            <w:tcW w:w="180" w:type="dxa"/>
            <w:vAlign w:val="bottom"/>
            <w:tcBorders>
              <w:bottom w:val="single" w:sz="8" w:color="3465B0"/>
            </w:tcBorders>
            <w:shd w:val="clear" w:color="auto" w:fill="3465B0"/>
          </w:tcPr>
          <w:p>
            <w:pPr>
              <w:spacing w:after="0"/>
              <w:rPr>
                <w:sz w:val="19"/>
                <w:szCs w:val="19"/>
                <w:color w:val="auto"/>
              </w:rPr>
            </w:pPr>
          </w:p>
        </w:tc>
        <w:tc>
          <w:tcPr>
            <w:tcW w:w="1300" w:type="dxa"/>
            <w:vAlign w:val="bottom"/>
            <w:tcBorders>
              <w:bottom w:val="single" w:sz="8" w:color="3465B0"/>
              <w:right w:val="single" w:sz="8" w:color="93A1D2"/>
            </w:tcBorders>
            <w:shd w:val="clear" w:color="auto" w:fill="3465B0"/>
          </w:tcPr>
          <w:p>
            <w:pPr>
              <w:spacing w:after="0"/>
              <w:rPr>
                <w:sz w:val="20"/>
                <w:szCs w:val="20"/>
                <w:color w:val="auto"/>
              </w:rPr>
            </w:pPr>
            <w:r>
              <w:rPr>
                <w:rFonts w:ascii="Arial" w:cs="Arial" w:eastAsia="Arial" w:hAnsi="Arial"/>
                <w:sz w:val="16"/>
                <w:szCs w:val="16"/>
                <w:b w:val="1"/>
                <w:bCs w:val="1"/>
                <w:color w:val="FFFFFF"/>
              </w:rPr>
              <w:t>(%)</w:t>
            </w:r>
          </w:p>
        </w:tc>
        <w:tc>
          <w:tcPr>
            <w:tcW w:w="180" w:type="dxa"/>
            <w:vAlign w:val="bottom"/>
            <w:tcBorders>
              <w:bottom w:val="single" w:sz="8" w:color="3465B0"/>
            </w:tcBorders>
            <w:shd w:val="clear" w:color="auto" w:fill="3465B0"/>
          </w:tcPr>
          <w:p>
            <w:pPr>
              <w:spacing w:after="0"/>
              <w:rPr>
                <w:sz w:val="19"/>
                <w:szCs w:val="19"/>
                <w:color w:val="auto"/>
              </w:rPr>
            </w:pPr>
          </w:p>
        </w:tc>
        <w:tc>
          <w:tcPr>
            <w:tcW w:w="240" w:type="dxa"/>
            <w:vAlign w:val="bottom"/>
            <w:tcBorders>
              <w:bottom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w:t>
            </w:r>
          </w:p>
        </w:tc>
        <w:tc>
          <w:tcPr>
            <w:tcW w:w="760" w:type="dxa"/>
            <w:vAlign w:val="bottom"/>
            <w:tcBorders>
              <w:bottom w:val="single" w:sz="8" w:color="3465B0"/>
              <w:right w:val="single" w:sz="8" w:color="3465B0"/>
            </w:tcBorders>
            <w:shd w:val="clear" w:color="auto" w:fill="3465B0"/>
          </w:tcPr>
          <w:p>
            <w:pPr>
              <w:spacing w:after="0"/>
              <w:rPr>
                <w:sz w:val="19"/>
                <w:szCs w:val="19"/>
                <w:color w:val="auto"/>
              </w:rPr>
            </w:pPr>
          </w:p>
        </w:tc>
        <w:tc>
          <w:tcPr>
            <w:tcW w:w="940" w:type="dxa"/>
            <w:vAlign w:val="bottom"/>
          </w:tcPr>
          <w:p>
            <w:pPr>
              <w:spacing w:after="0"/>
              <w:rPr>
                <w:sz w:val="19"/>
                <w:szCs w:val="19"/>
                <w:color w:val="auto"/>
              </w:rPr>
            </w:pPr>
          </w:p>
        </w:tc>
      </w:tr>
      <w:tr>
        <w:trPr>
          <w:trHeight w:val="310"/>
        </w:trPr>
        <w:tc>
          <w:tcPr>
            <w:tcW w:w="940" w:type="dxa"/>
            <w:vAlign w:val="bottom"/>
            <w:tcBorders>
              <w:right w:val="single" w:sz="8" w:color="3465B0"/>
            </w:tcBorders>
          </w:tcPr>
          <w:p>
            <w:pPr>
              <w:spacing w:after="0"/>
              <w:rPr>
                <w:sz w:val="24"/>
                <w:szCs w:val="24"/>
                <w:color w:val="auto"/>
              </w:rPr>
            </w:pPr>
          </w:p>
        </w:tc>
        <w:tc>
          <w:tcPr>
            <w:tcW w:w="3520" w:type="dxa"/>
            <w:vAlign w:val="bottom"/>
            <w:tcBorders>
              <w:right w:val="single" w:sz="8" w:color="93A1D2"/>
            </w:tcBorders>
          </w:tcPr>
          <w:p>
            <w:pPr>
              <w:ind w:left="80"/>
              <w:spacing w:after="0" w:line="310" w:lineRule="exact"/>
              <w:rPr>
                <w:sz w:val="20"/>
                <w:szCs w:val="20"/>
                <w:color w:val="auto"/>
              </w:rPr>
            </w:pPr>
            <w:r>
              <w:rPr>
                <w:rFonts w:ascii="Arial" w:cs="Arial" w:eastAsia="Arial" w:hAnsi="Arial"/>
                <w:sz w:val="18"/>
                <w:szCs w:val="18"/>
                <w:color w:val="auto"/>
              </w:rPr>
              <w:t>L. Reade Fahs</w:t>
            </w:r>
            <w:r>
              <w:rPr>
                <w:rFonts w:ascii="Arial" w:cs="Arial" w:eastAsia="Arial" w:hAnsi="Arial"/>
                <w:sz w:val="29"/>
                <w:szCs w:val="29"/>
                <w:color w:val="auto"/>
                <w:vertAlign w:val="superscript"/>
              </w:rPr>
              <w:t>(3)</w:t>
            </w:r>
          </w:p>
        </w:tc>
        <w:tc>
          <w:tcPr>
            <w:tcW w:w="1500" w:type="dxa"/>
            <w:vAlign w:val="bottom"/>
            <w:tcBorders>
              <w:right w:val="single" w:sz="8" w:color="93A1D2"/>
            </w:tcBorders>
            <w:gridSpan w:val="2"/>
          </w:tcPr>
          <w:p>
            <w:pPr>
              <w:jc w:val="center"/>
              <w:spacing w:after="0"/>
              <w:rPr>
                <w:sz w:val="20"/>
                <w:szCs w:val="20"/>
                <w:color w:val="auto"/>
              </w:rPr>
            </w:pPr>
            <w:r>
              <w:rPr>
                <w:rFonts w:ascii="Arial" w:cs="Arial" w:eastAsia="Arial" w:hAnsi="Arial"/>
                <w:sz w:val="18"/>
                <w:szCs w:val="18"/>
                <w:color w:val="auto"/>
                <w:w w:val="98"/>
              </w:rPr>
              <w:t>$700,000</w:t>
            </w:r>
          </w:p>
        </w:tc>
        <w:tc>
          <w:tcPr>
            <w:tcW w:w="1460" w:type="dxa"/>
            <w:vAlign w:val="bottom"/>
            <w:tcBorders>
              <w:right w:val="single" w:sz="8" w:color="93A1D2"/>
            </w:tcBorders>
            <w:gridSpan w:val="2"/>
          </w:tcPr>
          <w:p>
            <w:pPr>
              <w:jc w:val="right"/>
              <w:ind w:right="96"/>
              <w:spacing w:after="0"/>
              <w:rPr>
                <w:sz w:val="20"/>
                <w:szCs w:val="20"/>
                <w:color w:val="auto"/>
              </w:rPr>
            </w:pPr>
            <w:r>
              <w:rPr>
                <w:rFonts w:ascii="Arial" w:cs="Arial" w:eastAsia="Arial" w:hAnsi="Arial"/>
                <w:sz w:val="18"/>
                <w:szCs w:val="18"/>
                <w:color w:val="auto"/>
              </w:rPr>
              <w:t>100%</w:t>
            </w:r>
          </w:p>
        </w:tc>
        <w:tc>
          <w:tcPr>
            <w:tcW w:w="1480" w:type="dxa"/>
            <w:vAlign w:val="bottom"/>
            <w:tcBorders>
              <w:right w:val="single" w:sz="8" w:color="93A1D2"/>
            </w:tcBorders>
            <w:gridSpan w:val="2"/>
          </w:tcPr>
          <w:p>
            <w:pPr>
              <w:jc w:val="right"/>
              <w:ind w:right="136"/>
              <w:spacing w:after="0"/>
              <w:rPr>
                <w:sz w:val="20"/>
                <w:szCs w:val="20"/>
                <w:color w:val="auto"/>
              </w:rPr>
            </w:pPr>
            <w:r>
              <w:rPr>
                <w:rFonts w:ascii="Arial" w:cs="Arial" w:eastAsia="Arial" w:hAnsi="Arial"/>
                <w:sz w:val="18"/>
                <w:szCs w:val="18"/>
                <w:color w:val="auto"/>
              </w:rPr>
              <w:t>196.6%</w:t>
            </w:r>
          </w:p>
        </w:tc>
        <w:tc>
          <w:tcPr>
            <w:tcW w:w="1180" w:type="dxa"/>
            <w:vAlign w:val="bottom"/>
            <w:tcBorders>
              <w:right w:val="single" w:sz="8" w:color="3465B0"/>
            </w:tcBorders>
            <w:gridSpan w:val="3"/>
          </w:tcPr>
          <w:p>
            <w:pPr>
              <w:ind w:left="180"/>
              <w:spacing w:after="0"/>
              <w:rPr>
                <w:sz w:val="20"/>
                <w:szCs w:val="20"/>
                <w:color w:val="auto"/>
              </w:rPr>
            </w:pPr>
            <w:r>
              <w:rPr>
                <w:rFonts w:ascii="Arial" w:cs="Arial" w:eastAsia="Arial" w:hAnsi="Arial"/>
                <w:sz w:val="18"/>
                <w:szCs w:val="18"/>
                <w:color w:val="auto"/>
              </w:rPr>
              <w:t>$2,024,980</w:t>
            </w:r>
          </w:p>
        </w:tc>
        <w:tc>
          <w:tcPr>
            <w:tcW w:w="940" w:type="dxa"/>
            <w:vAlign w:val="bottom"/>
          </w:tcPr>
          <w:p>
            <w:pPr>
              <w:spacing w:after="0"/>
              <w:rPr>
                <w:sz w:val="24"/>
                <w:szCs w:val="24"/>
                <w:color w:val="auto"/>
              </w:rPr>
            </w:pPr>
          </w:p>
        </w:tc>
      </w:tr>
      <w:tr>
        <w:trPr>
          <w:trHeight w:val="250"/>
        </w:trPr>
        <w:tc>
          <w:tcPr>
            <w:tcW w:w="940" w:type="dxa"/>
            <w:vAlign w:val="bottom"/>
            <w:tcBorders>
              <w:right w:val="single" w:sz="8" w:color="3465B0"/>
            </w:tcBorders>
          </w:tcPr>
          <w:p>
            <w:pPr>
              <w:spacing w:after="0"/>
              <w:rPr>
                <w:sz w:val="21"/>
                <w:szCs w:val="21"/>
                <w:color w:val="auto"/>
              </w:rPr>
            </w:pPr>
          </w:p>
        </w:tc>
        <w:tc>
          <w:tcPr>
            <w:tcW w:w="3520" w:type="dxa"/>
            <w:vAlign w:val="bottom"/>
            <w:tcBorders>
              <w:bottom w:val="single" w:sz="8" w:color="CCCCCC"/>
              <w:right w:val="single" w:sz="8" w:color="93A1D2"/>
            </w:tcBorders>
            <w:shd w:val="clear" w:color="auto" w:fill="CCCCCC"/>
          </w:tcPr>
          <w:p>
            <w:pPr>
              <w:ind w:left="80"/>
              <w:spacing w:after="0"/>
              <w:rPr>
                <w:sz w:val="20"/>
                <w:szCs w:val="20"/>
                <w:color w:val="auto"/>
              </w:rPr>
            </w:pPr>
            <w:r>
              <w:rPr>
                <w:rFonts w:ascii="Arial" w:cs="Arial" w:eastAsia="Arial" w:hAnsi="Arial"/>
                <w:sz w:val="18"/>
                <w:szCs w:val="18"/>
                <w:color w:val="auto"/>
              </w:rPr>
              <w:t>Alexander N. Wilkes</w:t>
            </w:r>
          </w:p>
        </w:tc>
        <w:tc>
          <w:tcPr>
            <w:tcW w:w="1500" w:type="dxa"/>
            <w:vAlign w:val="bottom"/>
            <w:tcBorders>
              <w:bottom w:val="single" w:sz="8" w:color="CCCCCC"/>
              <w:right w:val="single" w:sz="8" w:color="93A1D2"/>
            </w:tcBorders>
            <w:gridSpan w:val="2"/>
            <w:shd w:val="clear" w:color="auto" w:fill="CCCCCC"/>
          </w:tcPr>
          <w:p>
            <w:pPr>
              <w:jc w:val="center"/>
              <w:spacing w:after="0"/>
              <w:rPr>
                <w:sz w:val="20"/>
                <w:szCs w:val="20"/>
                <w:color w:val="auto"/>
              </w:rPr>
            </w:pPr>
            <w:r>
              <w:rPr>
                <w:rFonts w:ascii="Arial" w:cs="Arial" w:eastAsia="Arial" w:hAnsi="Arial"/>
                <w:sz w:val="18"/>
                <w:szCs w:val="18"/>
                <w:color w:val="auto"/>
                <w:w w:val="98"/>
              </w:rPr>
              <w:t>$900,000</w:t>
            </w:r>
          </w:p>
        </w:tc>
        <w:tc>
          <w:tcPr>
            <w:tcW w:w="1460" w:type="dxa"/>
            <w:vAlign w:val="bottom"/>
            <w:tcBorders>
              <w:bottom w:val="single" w:sz="8" w:color="CCCCCC"/>
              <w:right w:val="single" w:sz="8" w:color="93A1D2"/>
            </w:tcBorders>
            <w:gridSpan w:val="2"/>
            <w:shd w:val="clear" w:color="auto" w:fill="CCCCCC"/>
          </w:tcPr>
          <w:p>
            <w:pPr>
              <w:jc w:val="right"/>
              <w:ind w:right="96"/>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CCCCCC"/>
              <w:right w:val="single" w:sz="8" w:color="93A1D2"/>
            </w:tcBorders>
            <w:gridSpan w:val="2"/>
            <w:shd w:val="clear" w:color="auto" w:fill="CCCCCC"/>
          </w:tcPr>
          <w:p>
            <w:pPr>
              <w:jc w:val="right"/>
              <w:ind w:right="136"/>
              <w:spacing w:after="0"/>
              <w:rPr>
                <w:sz w:val="20"/>
                <w:szCs w:val="20"/>
                <w:color w:val="auto"/>
              </w:rPr>
            </w:pPr>
            <w:r>
              <w:rPr>
                <w:rFonts w:ascii="Arial" w:cs="Arial" w:eastAsia="Arial" w:hAnsi="Arial"/>
                <w:sz w:val="18"/>
                <w:szCs w:val="18"/>
                <w:color w:val="auto"/>
              </w:rPr>
              <w:t>196.6%</w:t>
            </w:r>
          </w:p>
        </w:tc>
        <w:tc>
          <w:tcPr>
            <w:tcW w:w="1180" w:type="dxa"/>
            <w:vAlign w:val="bottom"/>
            <w:tcBorders>
              <w:bottom w:val="single" w:sz="8" w:color="CCCCCC"/>
              <w:right w:val="single" w:sz="8" w:color="3465B0"/>
            </w:tcBorders>
            <w:gridSpan w:val="3"/>
            <w:shd w:val="clear" w:color="auto" w:fill="CCCCCC"/>
          </w:tcPr>
          <w:p>
            <w:pPr>
              <w:ind w:left="180"/>
              <w:spacing w:after="0"/>
              <w:rPr>
                <w:sz w:val="20"/>
                <w:szCs w:val="20"/>
                <w:color w:val="auto"/>
              </w:rPr>
            </w:pPr>
            <w:r>
              <w:rPr>
                <w:rFonts w:ascii="Arial" w:cs="Arial" w:eastAsia="Arial" w:hAnsi="Arial"/>
                <w:sz w:val="18"/>
                <w:szCs w:val="18"/>
                <w:color w:val="auto"/>
              </w:rPr>
              <w:t>$1,259,468</w:t>
            </w:r>
          </w:p>
        </w:tc>
        <w:tc>
          <w:tcPr>
            <w:tcW w:w="940" w:type="dxa"/>
            <w:vAlign w:val="bottom"/>
          </w:tcPr>
          <w:p>
            <w:pPr>
              <w:spacing w:after="0"/>
              <w:rPr>
                <w:sz w:val="21"/>
                <w:szCs w:val="21"/>
                <w:color w:val="auto"/>
              </w:rPr>
            </w:pPr>
          </w:p>
        </w:tc>
      </w:tr>
      <w:tr>
        <w:trPr>
          <w:trHeight w:val="247"/>
        </w:trPr>
        <w:tc>
          <w:tcPr>
            <w:tcW w:w="940" w:type="dxa"/>
            <w:vAlign w:val="bottom"/>
            <w:tcBorders>
              <w:right w:val="single" w:sz="8" w:color="3465B0"/>
            </w:tcBorders>
          </w:tcPr>
          <w:p>
            <w:pPr>
              <w:spacing w:after="0"/>
              <w:rPr>
                <w:sz w:val="21"/>
                <w:szCs w:val="21"/>
                <w:color w:val="auto"/>
              </w:rPr>
            </w:pPr>
          </w:p>
        </w:tc>
        <w:tc>
          <w:tcPr>
            <w:tcW w:w="3520" w:type="dxa"/>
            <w:vAlign w:val="bottom"/>
            <w:tcBorders>
              <w:right w:val="single" w:sz="8" w:color="93A1D2"/>
            </w:tcBorders>
          </w:tcPr>
          <w:p>
            <w:pPr>
              <w:ind w:left="80"/>
              <w:spacing w:after="0"/>
              <w:rPr>
                <w:sz w:val="20"/>
                <w:szCs w:val="20"/>
                <w:color w:val="auto"/>
              </w:rPr>
            </w:pPr>
            <w:r>
              <w:rPr>
                <w:rFonts w:ascii="Arial" w:cs="Arial" w:eastAsia="Arial" w:hAnsi="Arial"/>
                <w:sz w:val="18"/>
                <w:szCs w:val="18"/>
                <w:color w:val="auto"/>
              </w:rPr>
              <w:t>Christopher J. Laden</w:t>
            </w:r>
          </w:p>
        </w:tc>
        <w:tc>
          <w:tcPr>
            <w:tcW w:w="1500" w:type="dxa"/>
            <w:vAlign w:val="bottom"/>
            <w:tcBorders>
              <w:right w:val="single" w:sz="8" w:color="93A1D2"/>
            </w:tcBorders>
            <w:gridSpan w:val="2"/>
          </w:tcPr>
          <w:p>
            <w:pPr>
              <w:jc w:val="center"/>
              <w:spacing w:after="0"/>
              <w:rPr>
                <w:sz w:val="20"/>
                <w:szCs w:val="20"/>
                <w:color w:val="auto"/>
              </w:rPr>
            </w:pPr>
            <w:r>
              <w:rPr>
                <w:rFonts w:ascii="Arial" w:cs="Arial" w:eastAsia="Arial" w:hAnsi="Arial"/>
                <w:sz w:val="18"/>
                <w:szCs w:val="18"/>
                <w:color w:val="auto"/>
                <w:w w:val="98"/>
              </w:rPr>
              <w:t>$500,000</w:t>
            </w:r>
          </w:p>
        </w:tc>
        <w:tc>
          <w:tcPr>
            <w:tcW w:w="1460" w:type="dxa"/>
            <w:vAlign w:val="bottom"/>
            <w:tcBorders>
              <w:right w:val="single" w:sz="8" w:color="93A1D2"/>
            </w:tcBorders>
            <w:gridSpan w:val="2"/>
          </w:tcPr>
          <w:p>
            <w:pPr>
              <w:jc w:val="right"/>
              <w:ind w:right="116"/>
              <w:spacing w:after="0"/>
              <w:rPr>
                <w:sz w:val="20"/>
                <w:szCs w:val="20"/>
                <w:color w:val="auto"/>
              </w:rPr>
            </w:pPr>
            <w:r>
              <w:rPr>
                <w:rFonts w:ascii="Arial" w:cs="Arial" w:eastAsia="Arial" w:hAnsi="Arial"/>
                <w:sz w:val="18"/>
                <w:szCs w:val="18"/>
                <w:color w:val="auto"/>
              </w:rPr>
              <w:t>65%</w:t>
            </w:r>
          </w:p>
        </w:tc>
        <w:tc>
          <w:tcPr>
            <w:tcW w:w="1480" w:type="dxa"/>
            <w:vAlign w:val="bottom"/>
            <w:tcBorders>
              <w:right w:val="single" w:sz="8" w:color="93A1D2"/>
            </w:tcBorders>
            <w:gridSpan w:val="2"/>
          </w:tcPr>
          <w:p>
            <w:pPr>
              <w:jc w:val="right"/>
              <w:ind w:right="136"/>
              <w:spacing w:after="0"/>
              <w:rPr>
                <w:sz w:val="20"/>
                <w:szCs w:val="20"/>
                <w:color w:val="auto"/>
              </w:rPr>
            </w:pPr>
            <w:r>
              <w:rPr>
                <w:rFonts w:ascii="Arial" w:cs="Arial" w:eastAsia="Arial" w:hAnsi="Arial"/>
                <w:sz w:val="18"/>
                <w:szCs w:val="18"/>
                <w:color w:val="auto"/>
              </w:rPr>
              <w:t>196.6%</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3465B0"/>
            </w:tcBorders>
          </w:tcPr>
          <w:p>
            <w:pPr>
              <w:jc w:val="right"/>
              <w:ind w:right="11"/>
              <w:spacing w:after="0"/>
              <w:rPr>
                <w:sz w:val="20"/>
                <w:szCs w:val="20"/>
                <w:color w:val="auto"/>
              </w:rPr>
            </w:pPr>
            <w:r>
              <w:rPr>
                <w:rFonts w:ascii="Arial" w:cs="Arial" w:eastAsia="Arial" w:hAnsi="Arial"/>
                <w:sz w:val="18"/>
                <w:szCs w:val="18"/>
                <w:color w:val="auto"/>
                <w:w w:val="98"/>
              </w:rPr>
              <w:t>638,950</w:t>
            </w:r>
          </w:p>
        </w:tc>
        <w:tc>
          <w:tcPr>
            <w:tcW w:w="940" w:type="dxa"/>
            <w:vAlign w:val="bottom"/>
          </w:tcPr>
          <w:p>
            <w:pPr>
              <w:spacing w:after="0"/>
              <w:rPr>
                <w:sz w:val="21"/>
                <w:szCs w:val="21"/>
                <w:color w:val="auto"/>
              </w:rPr>
            </w:pPr>
          </w:p>
        </w:tc>
      </w:tr>
      <w:tr>
        <w:trPr>
          <w:trHeight w:val="23"/>
        </w:trPr>
        <w:tc>
          <w:tcPr>
            <w:tcW w:w="940" w:type="dxa"/>
            <w:vAlign w:val="bottom"/>
            <w:tcBorders>
              <w:right w:val="single" w:sz="8" w:color="3465B0"/>
            </w:tcBorders>
          </w:tcPr>
          <w:p>
            <w:pPr>
              <w:spacing w:after="0"/>
              <w:rPr>
                <w:sz w:val="2"/>
                <w:szCs w:val="2"/>
                <w:color w:val="auto"/>
              </w:rPr>
            </w:pPr>
          </w:p>
        </w:tc>
        <w:tc>
          <w:tcPr>
            <w:tcW w:w="3520" w:type="dxa"/>
            <w:vAlign w:val="bottom"/>
            <w:tcBorders>
              <w:right w:val="single" w:sz="8" w:color="93A1D2"/>
            </w:tcBorders>
          </w:tcPr>
          <w:p>
            <w:pPr>
              <w:spacing w:after="0"/>
              <w:rPr>
                <w:sz w:val="2"/>
                <w:szCs w:val="2"/>
                <w:color w:val="auto"/>
              </w:rPr>
            </w:pPr>
          </w:p>
        </w:tc>
        <w:tc>
          <w:tcPr>
            <w:tcW w:w="1500" w:type="dxa"/>
            <w:vAlign w:val="bottom"/>
            <w:tcBorders>
              <w:right w:val="single" w:sz="8" w:color="93A1D2"/>
            </w:tcBorders>
            <w:gridSpan w:val="2"/>
          </w:tcPr>
          <w:p>
            <w:pPr>
              <w:spacing w:after="0"/>
              <w:rPr>
                <w:sz w:val="2"/>
                <w:szCs w:val="2"/>
                <w:color w:val="auto"/>
              </w:rPr>
            </w:pPr>
          </w:p>
        </w:tc>
        <w:tc>
          <w:tcPr>
            <w:tcW w:w="1460" w:type="dxa"/>
            <w:vAlign w:val="bottom"/>
            <w:tcBorders>
              <w:right w:val="single" w:sz="8" w:color="93A1D2"/>
            </w:tcBorders>
            <w:gridSpan w:val="2"/>
          </w:tcPr>
          <w:p>
            <w:pPr>
              <w:spacing w:after="0"/>
              <w:rPr>
                <w:sz w:val="2"/>
                <w:szCs w:val="2"/>
                <w:color w:val="auto"/>
              </w:rPr>
            </w:pPr>
          </w:p>
        </w:tc>
        <w:tc>
          <w:tcPr>
            <w:tcW w:w="1480" w:type="dxa"/>
            <w:vAlign w:val="bottom"/>
            <w:tcBorders>
              <w:right w:val="single" w:sz="8" w:color="93A1D2"/>
            </w:tcBorders>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6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40" w:type="dxa"/>
            <w:vAlign w:val="bottom"/>
            <w:tcBorders>
              <w:right w:val="single" w:sz="8" w:color="3465B0"/>
            </w:tcBorders>
          </w:tcPr>
          <w:p>
            <w:pPr>
              <w:spacing w:after="0"/>
              <w:rPr>
                <w:sz w:val="21"/>
                <w:szCs w:val="21"/>
                <w:color w:val="auto"/>
              </w:rPr>
            </w:pPr>
          </w:p>
        </w:tc>
        <w:tc>
          <w:tcPr>
            <w:tcW w:w="3520" w:type="dxa"/>
            <w:vAlign w:val="bottom"/>
            <w:tcBorders>
              <w:bottom w:val="single" w:sz="8" w:color="CCCCCC"/>
              <w:right w:val="single" w:sz="8" w:color="93A1D2"/>
            </w:tcBorders>
            <w:shd w:val="clear" w:color="auto" w:fill="CCCCCC"/>
          </w:tcPr>
          <w:p>
            <w:pPr>
              <w:ind w:left="80"/>
              <w:spacing w:after="0"/>
              <w:rPr>
                <w:sz w:val="20"/>
                <w:szCs w:val="20"/>
                <w:color w:val="auto"/>
              </w:rPr>
            </w:pPr>
            <w:r>
              <w:rPr>
                <w:rFonts w:ascii="Arial" w:cs="Arial" w:eastAsia="Arial" w:hAnsi="Arial"/>
                <w:sz w:val="18"/>
                <w:szCs w:val="18"/>
                <w:color w:val="auto"/>
              </w:rPr>
              <w:t>Mark S. Banner</w:t>
            </w:r>
          </w:p>
        </w:tc>
        <w:tc>
          <w:tcPr>
            <w:tcW w:w="1500" w:type="dxa"/>
            <w:vAlign w:val="bottom"/>
            <w:tcBorders>
              <w:bottom w:val="single" w:sz="8" w:color="CCCCCC"/>
              <w:right w:val="single" w:sz="8" w:color="93A1D2"/>
            </w:tcBorders>
            <w:gridSpan w:val="2"/>
            <w:shd w:val="clear" w:color="auto" w:fill="CCCCCC"/>
          </w:tcPr>
          <w:p>
            <w:pPr>
              <w:jc w:val="center"/>
              <w:spacing w:after="0"/>
              <w:rPr>
                <w:sz w:val="20"/>
                <w:szCs w:val="20"/>
                <w:color w:val="auto"/>
              </w:rPr>
            </w:pPr>
            <w:r>
              <w:rPr>
                <w:rFonts w:ascii="Arial" w:cs="Arial" w:eastAsia="Arial" w:hAnsi="Arial"/>
                <w:sz w:val="18"/>
                <w:szCs w:val="18"/>
                <w:color w:val="auto"/>
                <w:w w:val="98"/>
              </w:rPr>
              <w:t>$550,000</w:t>
            </w:r>
          </w:p>
        </w:tc>
        <w:tc>
          <w:tcPr>
            <w:tcW w:w="1460" w:type="dxa"/>
            <w:vAlign w:val="bottom"/>
            <w:tcBorders>
              <w:bottom w:val="single" w:sz="8" w:color="CCCCCC"/>
              <w:right w:val="single" w:sz="8" w:color="93A1D2"/>
            </w:tcBorders>
            <w:gridSpan w:val="2"/>
            <w:shd w:val="clear" w:color="auto" w:fill="CCCCCC"/>
          </w:tcPr>
          <w:p>
            <w:pPr>
              <w:jc w:val="right"/>
              <w:ind w:right="116"/>
              <w:spacing w:after="0"/>
              <w:rPr>
                <w:sz w:val="20"/>
                <w:szCs w:val="20"/>
                <w:color w:val="auto"/>
              </w:rPr>
            </w:pPr>
            <w:r>
              <w:rPr>
                <w:rFonts w:ascii="Arial" w:cs="Arial" w:eastAsia="Arial" w:hAnsi="Arial"/>
                <w:sz w:val="18"/>
                <w:szCs w:val="18"/>
                <w:color w:val="auto"/>
              </w:rPr>
              <w:t>60%</w:t>
            </w:r>
          </w:p>
        </w:tc>
        <w:tc>
          <w:tcPr>
            <w:tcW w:w="1480" w:type="dxa"/>
            <w:vAlign w:val="bottom"/>
            <w:tcBorders>
              <w:bottom w:val="single" w:sz="8" w:color="CCCCCC"/>
              <w:right w:val="single" w:sz="8" w:color="93A1D2"/>
            </w:tcBorders>
            <w:gridSpan w:val="2"/>
            <w:shd w:val="clear" w:color="auto" w:fill="CCCCCC"/>
          </w:tcPr>
          <w:p>
            <w:pPr>
              <w:jc w:val="right"/>
              <w:ind w:right="136"/>
              <w:spacing w:after="0"/>
              <w:rPr>
                <w:sz w:val="20"/>
                <w:szCs w:val="20"/>
                <w:color w:val="auto"/>
              </w:rPr>
            </w:pPr>
            <w:r>
              <w:rPr>
                <w:rFonts w:ascii="Arial" w:cs="Arial" w:eastAsia="Arial" w:hAnsi="Arial"/>
                <w:sz w:val="18"/>
                <w:szCs w:val="18"/>
                <w:color w:val="auto"/>
              </w:rPr>
              <w:t>196.6%</w:t>
            </w:r>
          </w:p>
        </w:tc>
        <w:tc>
          <w:tcPr>
            <w:tcW w:w="420" w:type="dxa"/>
            <w:vAlign w:val="bottom"/>
            <w:tcBorders>
              <w:bottom w:val="single" w:sz="8" w:color="CCCCCC"/>
            </w:tcBorders>
            <w:gridSpan w:val="2"/>
            <w:shd w:val="clear" w:color="auto" w:fill="CCCCCC"/>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CCCC"/>
              <w:right w:val="single" w:sz="8" w:color="3465B0"/>
            </w:tcBorders>
            <w:shd w:val="clear" w:color="auto" w:fill="CCCCCC"/>
          </w:tcPr>
          <w:p>
            <w:pPr>
              <w:jc w:val="right"/>
              <w:ind w:right="11"/>
              <w:spacing w:after="0"/>
              <w:rPr>
                <w:sz w:val="20"/>
                <w:szCs w:val="20"/>
                <w:color w:val="auto"/>
              </w:rPr>
            </w:pPr>
            <w:r>
              <w:rPr>
                <w:rFonts w:ascii="Arial" w:cs="Arial" w:eastAsia="Arial" w:hAnsi="Arial"/>
                <w:sz w:val="18"/>
                <w:szCs w:val="18"/>
                <w:color w:val="auto"/>
                <w:w w:val="98"/>
              </w:rPr>
              <w:t>648,780</w:t>
            </w:r>
          </w:p>
        </w:tc>
        <w:tc>
          <w:tcPr>
            <w:tcW w:w="940" w:type="dxa"/>
            <w:vAlign w:val="bottom"/>
          </w:tcPr>
          <w:p>
            <w:pPr>
              <w:spacing w:after="0"/>
              <w:rPr>
                <w:sz w:val="21"/>
                <w:szCs w:val="21"/>
                <w:color w:val="auto"/>
              </w:rPr>
            </w:pPr>
          </w:p>
        </w:tc>
      </w:tr>
      <w:tr>
        <w:trPr>
          <w:trHeight w:val="247"/>
        </w:trPr>
        <w:tc>
          <w:tcPr>
            <w:tcW w:w="940" w:type="dxa"/>
            <w:vAlign w:val="bottom"/>
            <w:tcBorders>
              <w:right w:val="single" w:sz="8" w:color="3465B0"/>
            </w:tcBorders>
          </w:tcPr>
          <w:p>
            <w:pPr>
              <w:spacing w:after="0"/>
              <w:rPr>
                <w:sz w:val="21"/>
                <w:szCs w:val="21"/>
                <w:color w:val="auto"/>
              </w:rPr>
            </w:pPr>
          </w:p>
        </w:tc>
        <w:tc>
          <w:tcPr>
            <w:tcW w:w="3520" w:type="dxa"/>
            <w:vAlign w:val="bottom"/>
            <w:tcBorders>
              <w:right w:val="single" w:sz="8" w:color="93A1D2"/>
            </w:tcBorders>
          </w:tcPr>
          <w:p>
            <w:pPr>
              <w:ind w:left="80"/>
              <w:spacing w:after="0"/>
              <w:rPr>
                <w:sz w:val="20"/>
                <w:szCs w:val="20"/>
                <w:color w:val="auto"/>
              </w:rPr>
            </w:pPr>
            <w:r>
              <w:rPr>
                <w:rFonts w:ascii="Arial" w:cs="Arial" w:eastAsia="Arial" w:hAnsi="Arial"/>
                <w:sz w:val="18"/>
                <w:szCs w:val="18"/>
                <w:color w:val="auto"/>
              </w:rPr>
              <w:t>Jared Brandman</w:t>
            </w:r>
          </w:p>
        </w:tc>
        <w:tc>
          <w:tcPr>
            <w:tcW w:w="1500" w:type="dxa"/>
            <w:vAlign w:val="bottom"/>
            <w:tcBorders>
              <w:right w:val="single" w:sz="8" w:color="93A1D2"/>
            </w:tcBorders>
            <w:gridSpan w:val="2"/>
          </w:tcPr>
          <w:p>
            <w:pPr>
              <w:jc w:val="center"/>
              <w:spacing w:after="0"/>
              <w:rPr>
                <w:sz w:val="20"/>
                <w:szCs w:val="20"/>
                <w:color w:val="auto"/>
              </w:rPr>
            </w:pPr>
            <w:r>
              <w:rPr>
                <w:rFonts w:ascii="Arial" w:cs="Arial" w:eastAsia="Arial" w:hAnsi="Arial"/>
                <w:sz w:val="18"/>
                <w:szCs w:val="18"/>
                <w:color w:val="auto"/>
                <w:w w:val="98"/>
              </w:rPr>
              <w:t>$550,000</w:t>
            </w:r>
          </w:p>
        </w:tc>
        <w:tc>
          <w:tcPr>
            <w:tcW w:w="1460" w:type="dxa"/>
            <w:vAlign w:val="bottom"/>
            <w:tcBorders>
              <w:right w:val="single" w:sz="8" w:color="93A1D2"/>
            </w:tcBorders>
            <w:gridSpan w:val="2"/>
          </w:tcPr>
          <w:p>
            <w:pPr>
              <w:jc w:val="right"/>
              <w:ind w:right="116"/>
              <w:spacing w:after="0"/>
              <w:rPr>
                <w:sz w:val="20"/>
                <w:szCs w:val="20"/>
                <w:color w:val="auto"/>
              </w:rPr>
            </w:pPr>
            <w:r>
              <w:rPr>
                <w:rFonts w:ascii="Arial" w:cs="Arial" w:eastAsia="Arial" w:hAnsi="Arial"/>
                <w:sz w:val="18"/>
                <w:szCs w:val="18"/>
                <w:color w:val="auto"/>
              </w:rPr>
              <w:t>65%</w:t>
            </w:r>
          </w:p>
        </w:tc>
        <w:tc>
          <w:tcPr>
            <w:tcW w:w="1480" w:type="dxa"/>
            <w:vAlign w:val="bottom"/>
            <w:tcBorders>
              <w:right w:val="single" w:sz="8" w:color="93A1D2"/>
            </w:tcBorders>
            <w:gridSpan w:val="2"/>
          </w:tcPr>
          <w:p>
            <w:pPr>
              <w:jc w:val="right"/>
              <w:ind w:right="136"/>
              <w:spacing w:after="0"/>
              <w:rPr>
                <w:sz w:val="20"/>
                <w:szCs w:val="20"/>
                <w:color w:val="auto"/>
              </w:rPr>
            </w:pPr>
            <w:r>
              <w:rPr>
                <w:rFonts w:ascii="Arial" w:cs="Arial" w:eastAsia="Arial" w:hAnsi="Arial"/>
                <w:sz w:val="18"/>
                <w:szCs w:val="18"/>
                <w:color w:val="auto"/>
              </w:rPr>
              <w:t>196.6%</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3465B0"/>
            </w:tcBorders>
          </w:tcPr>
          <w:p>
            <w:pPr>
              <w:jc w:val="right"/>
              <w:ind w:right="11"/>
              <w:spacing w:after="0"/>
              <w:rPr>
                <w:sz w:val="20"/>
                <w:szCs w:val="20"/>
                <w:color w:val="auto"/>
              </w:rPr>
            </w:pPr>
            <w:r>
              <w:rPr>
                <w:rFonts w:ascii="Arial" w:cs="Arial" w:eastAsia="Arial" w:hAnsi="Arial"/>
                <w:sz w:val="18"/>
                <w:szCs w:val="18"/>
                <w:color w:val="auto"/>
                <w:w w:val="98"/>
              </w:rPr>
              <w:t>702,845</w:t>
            </w:r>
          </w:p>
        </w:tc>
        <w:tc>
          <w:tcPr>
            <w:tcW w:w="940" w:type="dxa"/>
            <w:vAlign w:val="bottom"/>
          </w:tcPr>
          <w:p>
            <w:pPr>
              <w:spacing w:after="0"/>
              <w:rPr>
                <w:sz w:val="21"/>
                <w:szCs w:val="21"/>
                <w:color w:val="auto"/>
              </w:rPr>
            </w:pPr>
          </w:p>
        </w:tc>
      </w:tr>
      <w:tr>
        <w:trPr>
          <w:trHeight w:val="23"/>
        </w:trPr>
        <w:tc>
          <w:tcPr>
            <w:tcW w:w="940" w:type="dxa"/>
            <w:vAlign w:val="bottom"/>
            <w:tcBorders>
              <w:right w:val="single" w:sz="8" w:color="3465B0"/>
            </w:tcBorders>
          </w:tcPr>
          <w:p>
            <w:pPr>
              <w:spacing w:after="0"/>
              <w:rPr>
                <w:sz w:val="2"/>
                <w:szCs w:val="2"/>
                <w:color w:val="auto"/>
              </w:rPr>
            </w:pPr>
          </w:p>
        </w:tc>
        <w:tc>
          <w:tcPr>
            <w:tcW w:w="3520" w:type="dxa"/>
            <w:vAlign w:val="bottom"/>
            <w:tcBorders>
              <w:right w:val="single" w:sz="8" w:color="93A1D2"/>
            </w:tcBorders>
          </w:tcPr>
          <w:p>
            <w:pPr>
              <w:spacing w:after="0"/>
              <w:rPr>
                <w:sz w:val="2"/>
                <w:szCs w:val="2"/>
                <w:color w:val="auto"/>
              </w:rPr>
            </w:pPr>
          </w:p>
        </w:tc>
        <w:tc>
          <w:tcPr>
            <w:tcW w:w="1500" w:type="dxa"/>
            <w:vAlign w:val="bottom"/>
            <w:tcBorders>
              <w:right w:val="single" w:sz="8" w:color="93A1D2"/>
            </w:tcBorders>
            <w:gridSpan w:val="2"/>
          </w:tcPr>
          <w:p>
            <w:pPr>
              <w:spacing w:after="0"/>
              <w:rPr>
                <w:sz w:val="2"/>
                <w:szCs w:val="2"/>
                <w:color w:val="auto"/>
              </w:rPr>
            </w:pPr>
          </w:p>
        </w:tc>
        <w:tc>
          <w:tcPr>
            <w:tcW w:w="1460" w:type="dxa"/>
            <w:vAlign w:val="bottom"/>
            <w:tcBorders>
              <w:right w:val="single" w:sz="8" w:color="93A1D2"/>
            </w:tcBorders>
            <w:gridSpan w:val="2"/>
          </w:tcPr>
          <w:p>
            <w:pPr>
              <w:spacing w:after="0"/>
              <w:rPr>
                <w:sz w:val="2"/>
                <w:szCs w:val="2"/>
                <w:color w:val="auto"/>
              </w:rPr>
            </w:pPr>
          </w:p>
        </w:tc>
        <w:tc>
          <w:tcPr>
            <w:tcW w:w="1480" w:type="dxa"/>
            <w:vAlign w:val="bottom"/>
            <w:tcBorders>
              <w:right w:val="single" w:sz="8" w:color="93A1D2"/>
            </w:tcBorders>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6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40" w:type="dxa"/>
            <w:vAlign w:val="bottom"/>
            <w:tcBorders>
              <w:right w:val="single" w:sz="8" w:color="3465B0"/>
            </w:tcBorders>
          </w:tcPr>
          <w:p>
            <w:pPr>
              <w:spacing w:after="0"/>
              <w:rPr>
                <w:sz w:val="21"/>
                <w:szCs w:val="21"/>
                <w:color w:val="auto"/>
              </w:rPr>
            </w:pPr>
          </w:p>
        </w:tc>
        <w:tc>
          <w:tcPr>
            <w:tcW w:w="3520" w:type="dxa"/>
            <w:vAlign w:val="bottom"/>
            <w:tcBorders>
              <w:bottom w:val="single" w:sz="8" w:color="CCCCCC"/>
              <w:right w:val="single" w:sz="8" w:color="93A1D2"/>
            </w:tcBorders>
            <w:shd w:val="clear" w:color="auto" w:fill="CCCCCC"/>
          </w:tcPr>
          <w:p>
            <w:pPr>
              <w:ind w:left="80"/>
              <w:spacing w:after="0"/>
              <w:rPr>
                <w:sz w:val="20"/>
                <w:szCs w:val="20"/>
                <w:color w:val="auto"/>
              </w:rPr>
            </w:pPr>
            <w:r>
              <w:rPr>
                <w:rFonts w:ascii="Arial" w:cs="Arial" w:eastAsia="Arial" w:hAnsi="Arial"/>
                <w:sz w:val="18"/>
                <w:szCs w:val="18"/>
                <w:color w:val="auto"/>
              </w:rPr>
              <w:t>Bill Clark</w:t>
            </w:r>
          </w:p>
        </w:tc>
        <w:tc>
          <w:tcPr>
            <w:tcW w:w="1500" w:type="dxa"/>
            <w:vAlign w:val="bottom"/>
            <w:tcBorders>
              <w:bottom w:val="single" w:sz="8" w:color="CCCCCC"/>
              <w:right w:val="single" w:sz="8" w:color="93A1D2"/>
            </w:tcBorders>
            <w:gridSpan w:val="2"/>
            <w:shd w:val="clear" w:color="auto" w:fill="CCCCCC"/>
          </w:tcPr>
          <w:p>
            <w:pPr>
              <w:jc w:val="center"/>
              <w:spacing w:after="0"/>
              <w:rPr>
                <w:sz w:val="20"/>
                <w:szCs w:val="20"/>
                <w:color w:val="auto"/>
              </w:rPr>
            </w:pPr>
            <w:r>
              <w:rPr>
                <w:rFonts w:ascii="Arial" w:cs="Arial" w:eastAsia="Arial" w:hAnsi="Arial"/>
                <w:sz w:val="18"/>
                <w:szCs w:val="18"/>
                <w:color w:val="auto"/>
                <w:w w:val="98"/>
              </w:rPr>
              <w:t>$451,500</w:t>
            </w:r>
          </w:p>
        </w:tc>
        <w:tc>
          <w:tcPr>
            <w:tcW w:w="1460" w:type="dxa"/>
            <w:vAlign w:val="bottom"/>
            <w:tcBorders>
              <w:bottom w:val="single" w:sz="8" w:color="CCCCCC"/>
              <w:right w:val="single" w:sz="8" w:color="93A1D2"/>
            </w:tcBorders>
            <w:gridSpan w:val="2"/>
            <w:shd w:val="clear" w:color="auto" w:fill="CCCCCC"/>
          </w:tcPr>
          <w:p>
            <w:pPr>
              <w:jc w:val="right"/>
              <w:ind w:right="116"/>
              <w:spacing w:after="0"/>
              <w:rPr>
                <w:sz w:val="20"/>
                <w:szCs w:val="20"/>
                <w:color w:val="auto"/>
              </w:rPr>
            </w:pPr>
            <w:r>
              <w:rPr>
                <w:rFonts w:ascii="Arial" w:cs="Arial" w:eastAsia="Arial" w:hAnsi="Arial"/>
                <w:sz w:val="18"/>
                <w:szCs w:val="18"/>
                <w:color w:val="auto"/>
              </w:rPr>
              <w:t>60%</w:t>
            </w:r>
          </w:p>
        </w:tc>
        <w:tc>
          <w:tcPr>
            <w:tcW w:w="1480" w:type="dxa"/>
            <w:vAlign w:val="bottom"/>
            <w:tcBorders>
              <w:bottom w:val="single" w:sz="8" w:color="CCCCCC"/>
              <w:right w:val="single" w:sz="8" w:color="93A1D2"/>
            </w:tcBorders>
            <w:gridSpan w:val="2"/>
            <w:shd w:val="clear" w:color="auto" w:fill="CCCCCC"/>
          </w:tcPr>
          <w:p>
            <w:pPr>
              <w:jc w:val="right"/>
              <w:ind w:right="136"/>
              <w:spacing w:after="0"/>
              <w:rPr>
                <w:sz w:val="20"/>
                <w:szCs w:val="20"/>
                <w:color w:val="auto"/>
              </w:rPr>
            </w:pPr>
            <w:r>
              <w:rPr>
                <w:rFonts w:ascii="Arial" w:cs="Arial" w:eastAsia="Arial" w:hAnsi="Arial"/>
                <w:sz w:val="18"/>
                <w:szCs w:val="18"/>
                <w:color w:val="auto"/>
              </w:rPr>
              <w:t>196.6%</w:t>
            </w:r>
          </w:p>
        </w:tc>
        <w:tc>
          <w:tcPr>
            <w:tcW w:w="420" w:type="dxa"/>
            <w:vAlign w:val="bottom"/>
            <w:tcBorders>
              <w:bottom w:val="single" w:sz="8" w:color="CCCCCC"/>
            </w:tcBorders>
            <w:gridSpan w:val="2"/>
            <w:shd w:val="clear" w:color="auto" w:fill="CCCCCC"/>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CCCC"/>
              <w:right w:val="single" w:sz="8" w:color="3465B0"/>
            </w:tcBorders>
            <w:shd w:val="clear" w:color="auto" w:fill="CCCCCC"/>
          </w:tcPr>
          <w:p>
            <w:pPr>
              <w:jc w:val="right"/>
              <w:ind w:right="11"/>
              <w:spacing w:after="0"/>
              <w:rPr>
                <w:sz w:val="20"/>
                <w:szCs w:val="20"/>
                <w:color w:val="auto"/>
              </w:rPr>
            </w:pPr>
            <w:r>
              <w:rPr>
                <w:rFonts w:ascii="Arial" w:cs="Arial" w:eastAsia="Arial" w:hAnsi="Arial"/>
                <w:sz w:val="18"/>
                <w:szCs w:val="18"/>
                <w:color w:val="auto"/>
                <w:w w:val="98"/>
              </w:rPr>
              <w:t>532,589</w:t>
            </w:r>
          </w:p>
        </w:tc>
        <w:tc>
          <w:tcPr>
            <w:tcW w:w="940" w:type="dxa"/>
            <w:vAlign w:val="bottom"/>
          </w:tcPr>
          <w:p>
            <w:pPr>
              <w:spacing w:after="0"/>
              <w:rPr>
                <w:sz w:val="21"/>
                <w:szCs w:val="21"/>
                <w:color w:val="auto"/>
              </w:rPr>
            </w:pPr>
          </w:p>
        </w:tc>
      </w:tr>
      <w:tr>
        <w:trPr>
          <w:trHeight w:val="310"/>
        </w:trPr>
        <w:tc>
          <w:tcPr>
            <w:tcW w:w="940" w:type="dxa"/>
            <w:vAlign w:val="bottom"/>
            <w:tcBorders>
              <w:right w:val="single" w:sz="8" w:color="3465B0"/>
            </w:tcBorders>
          </w:tcPr>
          <w:p>
            <w:pPr>
              <w:spacing w:after="0"/>
              <w:rPr>
                <w:sz w:val="24"/>
                <w:szCs w:val="24"/>
                <w:color w:val="auto"/>
              </w:rPr>
            </w:pPr>
          </w:p>
        </w:tc>
        <w:tc>
          <w:tcPr>
            <w:tcW w:w="3520" w:type="dxa"/>
            <w:vAlign w:val="bottom"/>
            <w:tcBorders>
              <w:right w:val="single" w:sz="8" w:color="93A1D2"/>
            </w:tcBorders>
          </w:tcPr>
          <w:p>
            <w:pPr>
              <w:ind w:left="80"/>
              <w:spacing w:after="0" w:line="310" w:lineRule="exact"/>
              <w:rPr>
                <w:sz w:val="20"/>
                <w:szCs w:val="20"/>
                <w:color w:val="auto"/>
              </w:rPr>
            </w:pPr>
            <w:r>
              <w:rPr>
                <w:rFonts w:ascii="Arial" w:cs="Arial" w:eastAsia="Arial" w:hAnsi="Arial"/>
                <w:sz w:val="18"/>
                <w:szCs w:val="18"/>
                <w:color w:val="auto"/>
              </w:rPr>
              <w:t>Patrick R. Moore</w:t>
            </w:r>
            <w:r>
              <w:rPr>
                <w:rFonts w:ascii="Arial" w:cs="Arial" w:eastAsia="Arial" w:hAnsi="Arial"/>
                <w:sz w:val="29"/>
                <w:szCs w:val="29"/>
                <w:color w:val="auto"/>
                <w:vertAlign w:val="superscript"/>
              </w:rPr>
              <w:t>(4)</w:t>
            </w:r>
          </w:p>
        </w:tc>
        <w:tc>
          <w:tcPr>
            <w:tcW w:w="1500" w:type="dxa"/>
            <w:vAlign w:val="bottom"/>
            <w:tcBorders>
              <w:right w:val="single" w:sz="8" w:color="93A1D2"/>
            </w:tcBorders>
            <w:gridSpan w:val="2"/>
          </w:tcPr>
          <w:p>
            <w:pPr>
              <w:jc w:val="center"/>
              <w:spacing w:after="0"/>
              <w:rPr>
                <w:sz w:val="20"/>
                <w:szCs w:val="20"/>
                <w:color w:val="auto"/>
              </w:rPr>
            </w:pPr>
            <w:r>
              <w:rPr>
                <w:rFonts w:ascii="Arial" w:cs="Arial" w:eastAsia="Arial" w:hAnsi="Arial"/>
                <w:sz w:val="18"/>
                <w:szCs w:val="18"/>
                <w:color w:val="auto"/>
              </w:rPr>
              <w:t>$ 12,000</w:t>
            </w:r>
          </w:p>
        </w:tc>
        <w:tc>
          <w:tcPr>
            <w:tcW w:w="160" w:type="dxa"/>
            <w:vAlign w:val="bottom"/>
          </w:tcPr>
          <w:p>
            <w:pPr>
              <w:spacing w:after="0"/>
              <w:rPr>
                <w:sz w:val="24"/>
                <w:szCs w:val="24"/>
                <w:color w:val="auto"/>
              </w:rPr>
            </w:pPr>
          </w:p>
        </w:tc>
        <w:tc>
          <w:tcPr>
            <w:tcW w:w="1300" w:type="dxa"/>
            <w:vAlign w:val="bottom"/>
            <w:tcBorders>
              <w:right w:val="single" w:sz="8" w:color="93A1D2"/>
            </w:tcBorders>
          </w:tcPr>
          <w:p>
            <w:pPr>
              <w:jc w:val="right"/>
              <w:ind w:right="9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00" w:type="dxa"/>
            <w:vAlign w:val="bottom"/>
            <w:tcBorders>
              <w:right w:val="single" w:sz="8" w:color="93A1D2"/>
            </w:tcBorders>
          </w:tcPr>
          <w:p>
            <w:pPr>
              <w:jc w:val="right"/>
              <w:ind w:right="1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r>
      <w:tr>
        <w:trPr>
          <w:trHeight w:val="280"/>
        </w:trPr>
        <w:tc>
          <w:tcPr>
            <w:tcW w:w="940" w:type="dxa"/>
            <w:vAlign w:val="bottom"/>
            <w:tcBorders>
              <w:right w:val="single" w:sz="8" w:color="3465B0"/>
            </w:tcBorders>
          </w:tcPr>
          <w:p>
            <w:pPr>
              <w:spacing w:after="0"/>
              <w:rPr>
                <w:sz w:val="24"/>
                <w:szCs w:val="24"/>
                <w:color w:val="auto"/>
              </w:rPr>
            </w:pPr>
          </w:p>
        </w:tc>
        <w:tc>
          <w:tcPr>
            <w:tcW w:w="3520" w:type="dxa"/>
            <w:vAlign w:val="bottom"/>
            <w:tcBorders>
              <w:bottom w:val="single" w:sz="8" w:color="3465B0"/>
              <w:right w:val="single" w:sz="8" w:color="93A1D2"/>
            </w:tcBorders>
            <w:shd w:val="clear" w:color="auto" w:fill="CCCCCC"/>
          </w:tcPr>
          <w:p>
            <w:pPr>
              <w:ind w:left="80"/>
              <w:spacing w:after="0" w:line="270" w:lineRule="exact"/>
              <w:rPr>
                <w:sz w:val="20"/>
                <w:szCs w:val="20"/>
                <w:color w:val="auto"/>
              </w:rPr>
            </w:pPr>
            <w:r>
              <w:rPr>
                <w:rFonts w:ascii="Arial" w:cs="Arial" w:eastAsia="Arial" w:hAnsi="Arial"/>
                <w:sz w:val="18"/>
                <w:szCs w:val="18"/>
                <w:color w:val="auto"/>
              </w:rPr>
              <w:t>Melissa Rasmussen</w:t>
            </w:r>
            <w:r>
              <w:rPr>
                <w:rFonts w:ascii="Arial" w:cs="Arial" w:eastAsia="Arial" w:hAnsi="Arial"/>
                <w:sz w:val="29"/>
                <w:szCs w:val="29"/>
                <w:color w:val="auto"/>
                <w:vertAlign w:val="superscript"/>
              </w:rPr>
              <w:t>(5)</w:t>
            </w:r>
          </w:p>
        </w:tc>
        <w:tc>
          <w:tcPr>
            <w:tcW w:w="160" w:type="dxa"/>
            <w:vAlign w:val="bottom"/>
            <w:tcBorders>
              <w:bottom w:val="single" w:sz="8" w:color="3465B0"/>
            </w:tcBorders>
            <w:shd w:val="clear" w:color="auto" w:fill="CCCCCC"/>
          </w:tcPr>
          <w:p>
            <w:pPr>
              <w:spacing w:after="0"/>
              <w:rPr>
                <w:sz w:val="24"/>
                <w:szCs w:val="24"/>
                <w:color w:val="auto"/>
              </w:rPr>
            </w:pPr>
          </w:p>
        </w:tc>
        <w:tc>
          <w:tcPr>
            <w:tcW w:w="1340" w:type="dxa"/>
            <w:vAlign w:val="bottom"/>
            <w:tcBorders>
              <w:bottom w:val="single" w:sz="8" w:color="3465B0"/>
              <w:right w:val="single" w:sz="8" w:color="93A1D2"/>
            </w:tcBorders>
            <w:shd w:val="clear" w:color="auto" w:fill="CCCCCC"/>
          </w:tcPr>
          <w:p>
            <w:pPr>
              <w:jc w:val="center"/>
              <w:ind w:right="117"/>
              <w:spacing w:after="0"/>
              <w:rPr>
                <w:sz w:val="20"/>
                <w:szCs w:val="20"/>
                <w:color w:val="auto"/>
              </w:rPr>
            </w:pPr>
            <w:r>
              <w:rPr>
                <w:rFonts w:ascii="Arial" w:cs="Arial" w:eastAsia="Arial" w:hAnsi="Arial"/>
                <w:sz w:val="18"/>
                <w:szCs w:val="18"/>
                <w:color w:val="auto"/>
                <w:w w:val="98"/>
              </w:rPr>
              <w:t>$500,000</w:t>
            </w:r>
          </w:p>
        </w:tc>
        <w:tc>
          <w:tcPr>
            <w:tcW w:w="160" w:type="dxa"/>
            <w:vAlign w:val="bottom"/>
            <w:tcBorders>
              <w:bottom w:val="single" w:sz="8" w:color="3465B0"/>
            </w:tcBorders>
            <w:shd w:val="clear" w:color="auto" w:fill="CCCCCC"/>
          </w:tcPr>
          <w:p>
            <w:pPr>
              <w:spacing w:after="0"/>
              <w:rPr>
                <w:sz w:val="24"/>
                <w:szCs w:val="24"/>
                <w:color w:val="auto"/>
              </w:rPr>
            </w:pPr>
          </w:p>
        </w:tc>
        <w:tc>
          <w:tcPr>
            <w:tcW w:w="1300" w:type="dxa"/>
            <w:vAlign w:val="bottom"/>
            <w:tcBorders>
              <w:bottom w:val="single" w:sz="8" w:color="3465B0"/>
              <w:right w:val="single" w:sz="8" w:color="93A1D2"/>
            </w:tcBorders>
            <w:shd w:val="clear" w:color="auto" w:fill="CCCCCC"/>
          </w:tcPr>
          <w:p>
            <w:pPr>
              <w:jc w:val="right"/>
              <w:ind w:right="116"/>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3465B0"/>
            </w:tcBorders>
            <w:shd w:val="clear" w:color="auto" w:fill="CCCCCC"/>
          </w:tcPr>
          <w:p>
            <w:pPr>
              <w:spacing w:after="0"/>
              <w:rPr>
                <w:sz w:val="24"/>
                <w:szCs w:val="24"/>
                <w:color w:val="auto"/>
              </w:rPr>
            </w:pPr>
          </w:p>
        </w:tc>
        <w:tc>
          <w:tcPr>
            <w:tcW w:w="1300" w:type="dxa"/>
            <w:vAlign w:val="bottom"/>
            <w:tcBorders>
              <w:bottom w:val="single" w:sz="8" w:color="3465B0"/>
              <w:right w:val="single" w:sz="8" w:color="93A1D2"/>
            </w:tcBorders>
            <w:shd w:val="clear" w:color="auto" w:fill="CCCCCC"/>
          </w:tcPr>
          <w:p>
            <w:pPr>
              <w:jc w:val="right"/>
              <w:ind w:right="136"/>
              <w:spacing w:after="0"/>
              <w:rPr>
                <w:sz w:val="20"/>
                <w:szCs w:val="20"/>
                <w:color w:val="auto"/>
              </w:rPr>
            </w:pPr>
            <w:r>
              <w:rPr>
                <w:rFonts w:ascii="Arial" w:cs="Arial" w:eastAsia="Arial" w:hAnsi="Arial"/>
                <w:sz w:val="18"/>
                <w:szCs w:val="18"/>
                <w:color w:val="auto"/>
              </w:rPr>
              <w:t>196.6%</w:t>
            </w:r>
          </w:p>
        </w:tc>
        <w:tc>
          <w:tcPr>
            <w:tcW w:w="180" w:type="dxa"/>
            <w:vAlign w:val="bottom"/>
            <w:tcBorders>
              <w:bottom w:val="single" w:sz="8" w:color="3465B0"/>
            </w:tcBorders>
            <w:shd w:val="clear" w:color="auto" w:fill="CCCCCC"/>
          </w:tcPr>
          <w:p>
            <w:pPr>
              <w:spacing w:after="0"/>
              <w:rPr>
                <w:sz w:val="24"/>
                <w:szCs w:val="24"/>
                <w:color w:val="auto"/>
              </w:rPr>
            </w:pPr>
          </w:p>
        </w:tc>
        <w:tc>
          <w:tcPr>
            <w:tcW w:w="240" w:type="dxa"/>
            <w:vAlign w:val="bottom"/>
            <w:tcBorders>
              <w:bottom w:val="single" w:sz="8" w:color="3465B0"/>
            </w:tcBorders>
            <w:shd w:val="clear" w:color="auto" w:fill="CCCCC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3465B0"/>
              <w:right w:val="single" w:sz="8" w:color="3465B0"/>
            </w:tcBorders>
            <w:shd w:val="clear" w:color="auto" w:fill="CCCCCC"/>
          </w:tcPr>
          <w:p>
            <w:pPr>
              <w:jc w:val="right"/>
              <w:ind w:right="11"/>
              <w:spacing w:after="0"/>
              <w:rPr>
                <w:sz w:val="20"/>
                <w:szCs w:val="20"/>
                <w:color w:val="auto"/>
              </w:rPr>
            </w:pPr>
            <w:r>
              <w:rPr>
                <w:rFonts w:ascii="Arial" w:cs="Arial" w:eastAsia="Arial" w:hAnsi="Arial"/>
                <w:sz w:val="18"/>
                <w:szCs w:val="18"/>
                <w:color w:val="auto"/>
                <w:w w:val="98"/>
              </w:rPr>
              <w:t>106,769</w:t>
            </w:r>
          </w:p>
        </w:tc>
        <w:tc>
          <w:tcPr>
            <w:tcW w:w="940" w:type="dxa"/>
            <w:vAlign w:val="bottom"/>
          </w:tcPr>
          <w:p>
            <w:pPr>
              <w:spacing w:after="0"/>
              <w:rPr>
                <w:sz w:val="24"/>
                <w:szCs w:val="24"/>
                <w:color w:val="auto"/>
              </w:rPr>
            </w:pPr>
          </w:p>
        </w:tc>
      </w:tr>
      <w:tr>
        <w:trPr>
          <w:trHeight w:val="340"/>
        </w:trPr>
        <w:tc>
          <w:tcPr>
            <w:tcW w:w="94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(1)  Base salary as of August 2025.</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gridSpan w:val="4"/>
          </w:tcPr>
          <w:p>
            <w:pPr>
              <w:ind w:left="140"/>
              <w:spacing w:after="0"/>
              <w:rPr>
                <w:sz w:val="20"/>
                <w:szCs w:val="20"/>
                <w:color w:val="auto"/>
              </w:rPr>
            </w:pPr>
            <w:r>
              <w:rPr>
                <w:rFonts w:ascii="Arial" w:cs="Arial" w:eastAsia="Arial" w:hAnsi="Arial"/>
                <w:sz w:val="16"/>
                <w:szCs w:val="16"/>
                <w:color w:val="auto"/>
                <w:w w:val="97"/>
              </w:rPr>
              <w:t>2026 Proxy Statement  </w:t>
            </w:r>
          </w:p>
        </w:tc>
        <w:tc>
          <w:tcPr>
            <w:tcW w:w="170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41</w:t>
            </w:r>
          </w:p>
        </w:tc>
      </w:tr>
      <w:tr>
        <w:trPr>
          <w:trHeight w:val="244"/>
        </w:trPr>
        <w:tc>
          <w:tcPr>
            <w:tcW w:w="94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-368300</wp:posOffset>
            </wp:positionV>
            <wp:extent cx="205740" cy="2057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53" w:lineRule="exact"/>
        <w:rPr>
          <w:sz w:val="20"/>
          <w:szCs w:val="20"/>
          <w:color w:val="auto"/>
        </w:rPr>
      </w:pPr>
    </w:p>
    <w:p>
      <w:pPr>
        <w:ind w:left="360" w:hanging="348"/>
        <w:spacing w:after="0"/>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Expressed as a percentage of base salary.</w:t>
      </w:r>
    </w:p>
    <w:p>
      <w:pPr>
        <w:spacing w:after="0" w:line="109" w:lineRule="exact"/>
        <w:rPr>
          <w:rFonts w:ascii="Arial" w:cs="Arial" w:eastAsia="Arial" w:hAnsi="Arial"/>
          <w:sz w:val="14"/>
          <w:szCs w:val="14"/>
          <w:color w:val="auto"/>
        </w:rPr>
      </w:pPr>
    </w:p>
    <w:p>
      <w:pPr>
        <w:ind w:left="360" w:right="20" w:hanging="348"/>
        <w:spacing w:after="0" w:line="285"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Pursuant to the Executive Chair Agreement with Mr. Fahs, his target annual cash incentive opportunity for 2025 was 100% of his base salary as of July 2025, but was reduced to 80% for 2026, and he will not receive an annual cash incentive award for 2027.</w:t>
      </w:r>
    </w:p>
    <w:p>
      <w:pPr>
        <w:spacing w:after="0" w:line="49" w:lineRule="exact"/>
        <w:rPr>
          <w:rFonts w:ascii="Arial" w:cs="Arial" w:eastAsia="Arial" w:hAnsi="Arial"/>
          <w:sz w:val="14"/>
          <w:szCs w:val="14"/>
          <w:color w:val="auto"/>
        </w:rPr>
      </w:pPr>
    </w:p>
    <w:p>
      <w:pPr>
        <w:ind w:left="360" w:hanging="348"/>
        <w:spacing w:after="0"/>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Moore was not eligible to receive an award under the 2025 STIP.</w:t>
      </w:r>
    </w:p>
    <w:p>
      <w:pPr>
        <w:spacing w:after="0" w:line="109" w:lineRule="exact"/>
        <w:rPr>
          <w:rFonts w:ascii="Arial" w:cs="Arial" w:eastAsia="Arial" w:hAnsi="Arial"/>
          <w:sz w:val="14"/>
          <w:szCs w:val="14"/>
          <w:color w:val="auto"/>
        </w:rPr>
      </w:pPr>
    </w:p>
    <w:p>
      <w:pPr>
        <w:ind w:left="360" w:right="20" w:hanging="348"/>
        <w:spacing w:after="0" w:line="285"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Pursuant to the Transition and Separation Agreement with Ms. Rasmussen, she received a pro-rata payment under the 2025 STIP based on actual performance. as further described under “Potential Payments upon Termination or Change in Control.”</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Long-Term Incentive Awards</w:t>
      </w:r>
    </w:p>
    <w:p>
      <w:pPr>
        <w:spacing w:after="0" w:line="142"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Long-term incentive awards are granted under our 2017 Omnibus Incentive Plan (the “2017 Omnibus Plan”). We believe granting equity-based, long-term incentive awards strengthens the commitment of our executives to the Company’s long-term success and aligns their interests with those of our stockholders. We refer to these awards as “LTIP” awards.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3465B0"/>
        </w:rPr>
        <w:t>2025 LTIP Awards</w:t>
      </w:r>
    </w:p>
    <w:p>
      <w:pPr>
        <w:spacing w:after="0" w:line="144"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In February 2025, as part of our annual compensation cycle, the compensation committee granted equity awards to Messrs. Fahs, Wilkes, Banner, Brandman and Clark in the form of restricted stock units (“RSUs”) and performance stock units (“PSUs”), each representing 50% of the total target value of the 2025 LTIP awards for each NEO. This equity mix is consistent with our objective of emphasizing performance-based compensation and aligning the economic interests of our executive officers with those of our stockholders. The RSUs vest in equal installments on the first three anniversaries of the grant date, subject to continued employment on the vesting date. The PSUs may be earned based on our achievement measured against specified performance metrics over a three-year period as further described below under “Performance Stock Units.”</w:t>
      </w:r>
    </w:p>
    <w:p>
      <w:pPr>
        <w:spacing w:after="0" w:line="99"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Mr. Laden joined the Company after the regular annual compensation cycle. Upon joining the Company, the compensation committee approved a grant of RSUs to Mr. Laden to immediately and strongly align his interests with those of our stockholders, consistent with our compensation philosophy described above. The value of the award was determined in part based on the compensation of similarly situated executives, both within the Company and at the companies in our peer group. Mr. Moore and Ms. Rasmussen did not receive equity awards for 2025.</w:t>
      </w:r>
    </w:p>
    <w:p>
      <w:pPr>
        <w:spacing w:after="0" w:line="111"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following table reflects the target grant value approved by the compensation committee and the number of RSUs and PSUs granted to each NEO in March 2025 for Messrs. Fahs, Wilkes, Banner, Brandman and Clark, and March 2025 for Mr. Laden.</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308"/>
        </w:trPr>
        <w:tc>
          <w:tcPr>
            <w:tcW w:w="506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160" w:type="dxa"/>
            <w:vAlign w:val="bottom"/>
            <w:tcBorders>
              <w:top w:val="single" w:sz="8" w:color="3465B0"/>
            </w:tcBorders>
            <w:shd w:val="clear" w:color="auto" w:fill="3465B0"/>
          </w:tcPr>
          <w:p>
            <w:pPr>
              <w:spacing w:after="0"/>
              <w:rPr>
                <w:sz w:val="24"/>
                <w:szCs w:val="24"/>
                <w:color w:val="auto"/>
              </w:rPr>
            </w:pPr>
          </w:p>
        </w:tc>
        <w:tc>
          <w:tcPr>
            <w:tcW w:w="1180" w:type="dxa"/>
            <w:vAlign w:val="bottom"/>
            <w:tcBorders>
              <w:top w:val="single" w:sz="8" w:color="3465B0"/>
              <w:right w:val="single" w:sz="8" w:color="93A1D2"/>
            </w:tcBorders>
            <w:gridSpan w:val="2"/>
            <w:shd w:val="clear" w:color="auto" w:fill="3465B0"/>
          </w:tcPr>
          <w:p>
            <w:pPr>
              <w:spacing w:after="0"/>
              <w:rPr>
                <w:sz w:val="20"/>
                <w:szCs w:val="20"/>
                <w:color w:val="auto"/>
              </w:rPr>
            </w:pPr>
            <w:r>
              <w:rPr>
                <w:rFonts w:ascii="Arial" w:cs="Arial" w:eastAsia="Arial" w:hAnsi="Arial"/>
                <w:sz w:val="18"/>
                <w:szCs w:val="18"/>
                <w:b w:val="1"/>
                <w:bCs w:val="1"/>
                <w:color w:val="FFFFFF"/>
              </w:rPr>
              <w:t>Target</w:t>
            </w:r>
          </w:p>
        </w:tc>
        <w:tc>
          <w:tcPr>
            <w:tcW w:w="1480" w:type="dxa"/>
            <w:vAlign w:val="bottom"/>
            <w:tcBorders>
              <w:top w:val="single" w:sz="8" w:color="3465B0"/>
              <w:right w:val="single" w:sz="8" w:color="93A1D2"/>
            </w:tcBorders>
            <w:shd w:val="clear" w:color="auto" w:fill="3465B0"/>
          </w:tcPr>
          <w:p>
            <w:pPr>
              <w:spacing w:after="0"/>
              <w:rPr>
                <w:sz w:val="24"/>
                <w:szCs w:val="24"/>
                <w:color w:val="auto"/>
              </w:rPr>
            </w:pPr>
          </w:p>
        </w:tc>
        <w:tc>
          <w:tcPr>
            <w:tcW w:w="1280" w:type="dxa"/>
            <w:vAlign w:val="bottom"/>
            <w:tcBorders>
              <w:top w:val="single" w:sz="8" w:color="3465B0"/>
              <w:right w:val="single" w:sz="8" w:color="3465B0"/>
            </w:tcBorders>
            <w:shd w:val="clear" w:color="auto" w:fill="3465B0"/>
          </w:tcPr>
          <w:p>
            <w:pPr>
              <w:spacing w:after="0"/>
              <w:rPr>
                <w:sz w:val="24"/>
                <w:szCs w:val="24"/>
                <w:color w:val="auto"/>
              </w:rPr>
            </w:pPr>
          </w:p>
        </w:tc>
      </w:tr>
      <w:tr>
        <w:trPr>
          <w:trHeight w:val="203"/>
        </w:trPr>
        <w:tc>
          <w:tcPr>
            <w:tcW w:w="5060" w:type="dxa"/>
            <w:vAlign w:val="bottom"/>
            <w:tcBorders>
              <w:left w:val="single" w:sz="8" w:color="3465B0"/>
              <w:right w:val="single" w:sz="8" w:color="93A1D2"/>
            </w:tcBorders>
            <w:shd w:val="clear" w:color="auto" w:fill="3465B0"/>
          </w:tcPr>
          <w:p>
            <w:pPr>
              <w:spacing w:after="0"/>
              <w:rPr>
                <w:sz w:val="17"/>
                <w:szCs w:val="17"/>
                <w:color w:val="auto"/>
              </w:rPr>
            </w:pPr>
          </w:p>
        </w:tc>
        <w:tc>
          <w:tcPr>
            <w:tcW w:w="160" w:type="dxa"/>
            <w:vAlign w:val="bottom"/>
            <w:shd w:val="clear" w:color="auto" w:fill="3465B0"/>
          </w:tcPr>
          <w:p>
            <w:pPr>
              <w:spacing w:after="0"/>
              <w:rPr>
                <w:sz w:val="17"/>
                <w:szCs w:val="17"/>
                <w:color w:val="auto"/>
              </w:rPr>
            </w:pPr>
          </w:p>
        </w:tc>
        <w:tc>
          <w:tcPr>
            <w:tcW w:w="1180" w:type="dxa"/>
            <w:vAlign w:val="bottom"/>
            <w:tcBorders>
              <w:right w:val="single" w:sz="8" w:color="93A1D2"/>
            </w:tcBorders>
            <w:gridSpan w:val="2"/>
            <w:shd w:val="clear" w:color="auto" w:fill="3465B0"/>
          </w:tcPr>
          <w:p>
            <w:pPr>
              <w:spacing w:after="0" w:line="202" w:lineRule="exact"/>
              <w:rPr>
                <w:sz w:val="20"/>
                <w:szCs w:val="20"/>
                <w:color w:val="auto"/>
              </w:rPr>
            </w:pPr>
            <w:r>
              <w:rPr>
                <w:rFonts w:ascii="Arial" w:cs="Arial" w:eastAsia="Arial" w:hAnsi="Arial"/>
                <w:sz w:val="18"/>
                <w:szCs w:val="18"/>
                <w:b w:val="1"/>
                <w:bCs w:val="1"/>
                <w:color w:val="FFFFFF"/>
              </w:rPr>
              <w:t>Grant</w:t>
            </w:r>
          </w:p>
        </w:tc>
        <w:tc>
          <w:tcPr>
            <w:tcW w:w="1480" w:type="dxa"/>
            <w:vAlign w:val="bottom"/>
            <w:tcBorders>
              <w:right w:val="single" w:sz="8" w:color="93A1D2"/>
            </w:tcBorders>
            <w:shd w:val="clear" w:color="auto" w:fill="3465B0"/>
          </w:tcPr>
          <w:p>
            <w:pPr>
              <w:ind w:left="160"/>
              <w:spacing w:after="0" w:line="202" w:lineRule="exact"/>
              <w:rPr>
                <w:sz w:val="20"/>
                <w:szCs w:val="20"/>
                <w:color w:val="auto"/>
              </w:rPr>
            </w:pPr>
            <w:r>
              <w:rPr>
                <w:rFonts w:ascii="Arial" w:cs="Arial" w:eastAsia="Arial" w:hAnsi="Arial"/>
                <w:sz w:val="18"/>
                <w:szCs w:val="18"/>
                <w:b w:val="1"/>
                <w:bCs w:val="1"/>
                <w:color w:val="FFFFFF"/>
              </w:rPr>
              <w:t>Performance</w:t>
            </w:r>
          </w:p>
        </w:tc>
        <w:tc>
          <w:tcPr>
            <w:tcW w:w="1280" w:type="dxa"/>
            <w:vAlign w:val="bottom"/>
            <w:tcBorders>
              <w:right w:val="single" w:sz="8" w:color="3465B0"/>
            </w:tcBorders>
            <w:shd w:val="clear" w:color="auto" w:fill="3465B0"/>
          </w:tcPr>
          <w:p>
            <w:pPr>
              <w:ind w:left="160"/>
              <w:spacing w:after="0" w:line="202" w:lineRule="exact"/>
              <w:rPr>
                <w:sz w:val="20"/>
                <w:szCs w:val="20"/>
                <w:color w:val="auto"/>
              </w:rPr>
            </w:pPr>
            <w:r>
              <w:rPr>
                <w:rFonts w:ascii="Arial" w:cs="Arial" w:eastAsia="Arial" w:hAnsi="Arial"/>
                <w:sz w:val="18"/>
                <w:szCs w:val="18"/>
                <w:b w:val="1"/>
                <w:bCs w:val="1"/>
                <w:color w:val="FFFFFF"/>
              </w:rPr>
              <w:t>Restricted</w:t>
            </w:r>
          </w:p>
        </w:tc>
      </w:tr>
      <w:tr>
        <w:trPr>
          <w:trHeight w:val="203"/>
        </w:trPr>
        <w:tc>
          <w:tcPr>
            <w:tcW w:w="5060" w:type="dxa"/>
            <w:vAlign w:val="bottom"/>
            <w:tcBorders>
              <w:left w:val="single" w:sz="8" w:color="3465B0"/>
              <w:right w:val="single" w:sz="8" w:color="93A1D2"/>
            </w:tcBorders>
            <w:shd w:val="clear" w:color="auto" w:fill="3465B0"/>
          </w:tcPr>
          <w:p>
            <w:pPr>
              <w:spacing w:after="0"/>
              <w:rPr>
                <w:sz w:val="17"/>
                <w:szCs w:val="17"/>
                <w:color w:val="auto"/>
              </w:rPr>
            </w:pPr>
          </w:p>
        </w:tc>
        <w:tc>
          <w:tcPr>
            <w:tcW w:w="160" w:type="dxa"/>
            <w:vAlign w:val="bottom"/>
            <w:shd w:val="clear" w:color="auto" w:fill="3465B0"/>
          </w:tcPr>
          <w:p>
            <w:pPr>
              <w:spacing w:after="0"/>
              <w:rPr>
                <w:sz w:val="17"/>
                <w:szCs w:val="17"/>
                <w:color w:val="auto"/>
              </w:rPr>
            </w:pPr>
          </w:p>
        </w:tc>
        <w:tc>
          <w:tcPr>
            <w:tcW w:w="1180" w:type="dxa"/>
            <w:vAlign w:val="bottom"/>
            <w:tcBorders>
              <w:right w:val="single" w:sz="8" w:color="93A1D2"/>
            </w:tcBorders>
            <w:gridSpan w:val="2"/>
            <w:shd w:val="clear" w:color="auto" w:fill="3465B0"/>
          </w:tcPr>
          <w:p>
            <w:pPr>
              <w:spacing w:after="0" w:line="202" w:lineRule="exact"/>
              <w:rPr>
                <w:sz w:val="20"/>
                <w:szCs w:val="20"/>
                <w:color w:val="auto"/>
              </w:rPr>
            </w:pPr>
            <w:r>
              <w:rPr>
                <w:rFonts w:ascii="Arial" w:cs="Arial" w:eastAsia="Arial" w:hAnsi="Arial"/>
                <w:sz w:val="18"/>
                <w:szCs w:val="18"/>
                <w:b w:val="1"/>
                <w:bCs w:val="1"/>
                <w:color w:val="FFFFFF"/>
              </w:rPr>
              <w:t>Value</w:t>
            </w:r>
          </w:p>
        </w:tc>
        <w:tc>
          <w:tcPr>
            <w:tcW w:w="1480" w:type="dxa"/>
            <w:vAlign w:val="bottom"/>
            <w:tcBorders>
              <w:right w:val="single" w:sz="8" w:color="93A1D2"/>
            </w:tcBorders>
            <w:shd w:val="clear" w:color="auto" w:fill="3465B0"/>
          </w:tcPr>
          <w:p>
            <w:pPr>
              <w:ind w:left="160"/>
              <w:spacing w:after="0" w:line="202" w:lineRule="exact"/>
              <w:rPr>
                <w:sz w:val="20"/>
                <w:szCs w:val="20"/>
                <w:color w:val="auto"/>
              </w:rPr>
            </w:pPr>
            <w:r>
              <w:rPr>
                <w:rFonts w:ascii="Arial" w:cs="Arial" w:eastAsia="Arial" w:hAnsi="Arial"/>
                <w:sz w:val="18"/>
                <w:szCs w:val="18"/>
                <w:b w:val="1"/>
                <w:bCs w:val="1"/>
                <w:color w:val="FFFFFF"/>
              </w:rPr>
              <w:t>Stock Units</w:t>
            </w:r>
          </w:p>
        </w:tc>
        <w:tc>
          <w:tcPr>
            <w:tcW w:w="1280" w:type="dxa"/>
            <w:vAlign w:val="bottom"/>
            <w:tcBorders>
              <w:right w:val="single" w:sz="8" w:color="3465B0"/>
            </w:tcBorders>
            <w:shd w:val="clear" w:color="auto" w:fill="3465B0"/>
          </w:tcPr>
          <w:p>
            <w:pPr>
              <w:ind w:left="160"/>
              <w:spacing w:after="0" w:line="202" w:lineRule="exact"/>
              <w:rPr>
                <w:sz w:val="20"/>
                <w:szCs w:val="20"/>
                <w:color w:val="auto"/>
              </w:rPr>
            </w:pPr>
            <w:r>
              <w:rPr>
                <w:rFonts w:ascii="Arial" w:cs="Arial" w:eastAsia="Arial" w:hAnsi="Arial"/>
                <w:sz w:val="18"/>
                <w:szCs w:val="18"/>
                <w:b w:val="1"/>
                <w:bCs w:val="1"/>
                <w:color w:val="FFFFFF"/>
              </w:rPr>
              <w:t>Stock Units</w:t>
            </w:r>
          </w:p>
        </w:tc>
      </w:tr>
      <w:tr>
        <w:trPr>
          <w:trHeight w:val="248"/>
        </w:trPr>
        <w:tc>
          <w:tcPr>
            <w:tcW w:w="5060" w:type="dxa"/>
            <w:vAlign w:val="bottom"/>
            <w:tcBorders>
              <w:left w:val="single" w:sz="8" w:color="3465B0"/>
              <w:right w:val="single" w:sz="8" w:color="93A1D2"/>
            </w:tcBorders>
            <w:shd w:val="clear" w:color="auto" w:fill="3465B0"/>
          </w:tcPr>
          <w:p>
            <w:pPr>
              <w:ind w:left="100"/>
              <w:spacing w:after="0"/>
              <w:rPr>
                <w:sz w:val="20"/>
                <w:szCs w:val="20"/>
                <w:color w:val="auto"/>
              </w:rPr>
            </w:pPr>
            <w:r>
              <w:rPr>
                <w:rFonts w:ascii="Arial" w:cs="Arial" w:eastAsia="Arial" w:hAnsi="Arial"/>
                <w:sz w:val="18"/>
                <w:szCs w:val="18"/>
                <w:b w:val="1"/>
                <w:bCs w:val="1"/>
                <w:color w:val="FFFFFF"/>
              </w:rPr>
              <w:t>Named Executive Officer</w:t>
            </w:r>
          </w:p>
        </w:tc>
        <w:tc>
          <w:tcPr>
            <w:tcW w:w="160" w:type="dxa"/>
            <w:vAlign w:val="bottom"/>
            <w:shd w:val="clear" w:color="auto" w:fill="3465B0"/>
          </w:tcPr>
          <w:p>
            <w:pPr>
              <w:spacing w:after="0"/>
              <w:rPr>
                <w:sz w:val="21"/>
                <w:szCs w:val="21"/>
                <w:color w:val="auto"/>
              </w:rPr>
            </w:pPr>
          </w:p>
        </w:tc>
        <w:tc>
          <w:tcPr>
            <w:tcW w:w="260" w:type="dxa"/>
            <w:vAlign w:val="bottom"/>
            <w:shd w:val="clear" w:color="auto" w:fill="3465B0"/>
          </w:tcPr>
          <w:p>
            <w:pPr>
              <w:spacing w:after="0"/>
              <w:rPr>
                <w:sz w:val="20"/>
                <w:szCs w:val="20"/>
                <w:color w:val="auto"/>
              </w:rPr>
            </w:pPr>
            <w:r>
              <w:rPr>
                <w:rFonts w:ascii="Arial" w:cs="Arial" w:eastAsia="Arial" w:hAnsi="Arial"/>
                <w:sz w:val="18"/>
                <w:szCs w:val="18"/>
                <w:b w:val="1"/>
                <w:bCs w:val="1"/>
                <w:color w:val="FFFFFF"/>
              </w:rPr>
              <w:t>($)</w:t>
            </w:r>
          </w:p>
        </w:tc>
        <w:tc>
          <w:tcPr>
            <w:tcW w:w="920" w:type="dxa"/>
            <w:vAlign w:val="bottom"/>
            <w:tcBorders>
              <w:right w:val="single" w:sz="8" w:color="93A1D2"/>
            </w:tcBorders>
            <w:shd w:val="clear" w:color="auto" w:fill="3465B0"/>
          </w:tcPr>
          <w:p>
            <w:pPr>
              <w:spacing w:after="0"/>
              <w:rPr>
                <w:sz w:val="21"/>
                <w:szCs w:val="21"/>
                <w:color w:val="auto"/>
              </w:rPr>
            </w:pPr>
          </w:p>
        </w:tc>
        <w:tc>
          <w:tcPr>
            <w:tcW w:w="1480" w:type="dxa"/>
            <w:vAlign w:val="bottom"/>
            <w:tcBorders>
              <w:right w:val="single" w:sz="8" w:color="93A1D2"/>
            </w:tcBorders>
            <w:shd w:val="clear" w:color="auto" w:fill="3465B0"/>
          </w:tcPr>
          <w:p>
            <w:pPr>
              <w:ind w:left="160"/>
              <w:spacing w:after="0"/>
              <w:rPr>
                <w:sz w:val="20"/>
                <w:szCs w:val="20"/>
                <w:color w:val="auto"/>
              </w:rPr>
            </w:pPr>
            <w:r>
              <w:rPr>
                <w:rFonts w:ascii="Arial" w:cs="Arial" w:eastAsia="Arial" w:hAnsi="Arial"/>
                <w:sz w:val="18"/>
                <w:szCs w:val="18"/>
                <w:b w:val="1"/>
                <w:bCs w:val="1"/>
                <w:color w:val="FFFFFF"/>
              </w:rPr>
              <w:t>(#)</w:t>
            </w:r>
          </w:p>
        </w:tc>
        <w:tc>
          <w:tcPr>
            <w:tcW w:w="1280" w:type="dxa"/>
            <w:vAlign w:val="bottom"/>
            <w:tcBorders>
              <w:right w:val="single" w:sz="8" w:color="3465B0"/>
            </w:tcBorders>
            <w:shd w:val="clear" w:color="auto" w:fill="3465B0"/>
          </w:tcPr>
          <w:p>
            <w:pPr>
              <w:ind w:left="160"/>
              <w:spacing w:after="0"/>
              <w:rPr>
                <w:sz w:val="20"/>
                <w:szCs w:val="20"/>
                <w:color w:val="auto"/>
              </w:rPr>
            </w:pPr>
            <w:r>
              <w:rPr>
                <w:rFonts w:ascii="Arial" w:cs="Arial" w:eastAsia="Arial" w:hAnsi="Arial"/>
                <w:sz w:val="18"/>
                <w:szCs w:val="18"/>
                <w:b w:val="1"/>
                <w:bCs w:val="1"/>
                <w:color w:val="FFFFFF"/>
              </w:rPr>
              <w:t>(#)</w:t>
            </w:r>
          </w:p>
        </w:tc>
      </w:tr>
      <w:tr>
        <w:trPr>
          <w:trHeight w:val="257"/>
        </w:trPr>
        <w:tc>
          <w:tcPr>
            <w:tcW w:w="50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L. Reade Fahs</w:t>
            </w:r>
          </w:p>
        </w:tc>
        <w:tc>
          <w:tcPr>
            <w:tcW w:w="1340" w:type="dxa"/>
            <w:vAlign w:val="bottom"/>
            <w:tcBorders>
              <w:right w:val="single" w:sz="8" w:color="93A1D2"/>
            </w:tcBorders>
            <w:gridSpan w:val="3"/>
          </w:tcPr>
          <w:p>
            <w:pPr>
              <w:jc w:val="right"/>
              <w:ind w:right="150"/>
              <w:spacing w:after="0"/>
              <w:rPr>
                <w:sz w:val="20"/>
                <w:szCs w:val="20"/>
                <w:color w:val="auto"/>
              </w:rPr>
            </w:pPr>
            <w:r>
              <w:rPr>
                <w:rFonts w:ascii="Arial" w:cs="Arial" w:eastAsia="Arial" w:hAnsi="Arial"/>
                <w:sz w:val="18"/>
                <w:szCs w:val="18"/>
                <w:color w:val="auto"/>
              </w:rPr>
              <w:t>$4,000,000</w:t>
            </w:r>
          </w:p>
        </w:tc>
        <w:tc>
          <w:tcPr>
            <w:tcW w:w="148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164,474</w:t>
            </w:r>
          </w:p>
        </w:tc>
        <w:tc>
          <w:tcPr>
            <w:tcW w:w="128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164,474</w:t>
            </w:r>
          </w:p>
        </w:tc>
      </w:tr>
      <w:tr>
        <w:trPr>
          <w:trHeight w:val="297"/>
        </w:trPr>
        <w:tc>
          <w:tcPr>
            <w:tcW w:w="5060" w:type="dxa"/>
            <w:vAlign w:val="bottom"/>
            <w:tcBorders>
              <w:left w:val="single" w:sz="8" w:color="3465B0"/>
              <w:right w:val="single" w:sz="8" w:color="93A1D2"/>
            </w:tcBorders>
            <w:shd w:val="clear" w:color="auto" w:fill="CCCCCC"/>
          </w:tcPr>
          <w:p>
            <w:pPr>
              <w:ind w:left="100"/>
              <w:spacing w:after="0" w:line="296" w:lineRule="exact"/>
              <w:rPr>
                <w:sz w:val="20"/>
                <w:szCs w:val="20"/>
                <w:color w:val="auto"/>
              </w:rPr>
            </w:pPr>
            <w:r>
              <w:rPr>
                <w:rFonts w:ascii="Arial" w:cs="Arial" w:eastAsia="Arial" w:hAnsi="Arial"/>
                <w:sz w:val="18"/>
                <w:szCs w:val="18"/>
                <w:color w:val="auto"/>
              </w:rPr>
              <w:t>Alexander N. Wilkes</w:t>
            </w:r>
            <w:r>
              <w:rPr>
                <w:rFonts w:ascii="Arial" w:cs="Arial" w:eastAsia="Arial" w:hAnsi="Arial"/>
                <w:sz w:val="29"/>
                <w:szCs w:val="29"/>
                <w:color w:val="auto"/>
                <w:vertAlign w:val="superscript"/>
              </w:rPr>
              <w:t>(1)</w:t>
            </w:r>
          </w:p>
        </w:tc>
        <w:tc>
          <w:tcPr>
            <w:tcW w:w="1340" w:type="dxa"/>
            <w:vAlign w:val="bottom"/>
            <w:tcBorders>
              <w:right w:val="single" w:sz="8" w:color="93A1D2"/>
            </w:tcBorders>
            <w:gridSpan w:val="3"/>
            <w:shd w:val="clear" w:color="auto" w:fill="CCCCCC"/>
          </w:tcPr>
          <w:p>
            <w:pPr>
              <w:jc w:val="right"/>
              <w:ind w:right="150"/>
              <w:spacing w:after="0"/>
              <w:rPr>
                <w:sz w:val="20"/>
                <w:szCs w:val="20"/>
                <w:color w:val="auto"/>
              </w:rPr>
            </w:pPr>
            <w:r>
              <w:rPr>
                <w:rFonts w:ascii="Arial" w:cs="Arial" w:eastAsia="Arial" w:hAnsi="Arial"/>
                <w:sz w:val="18"/>
                <w:szCs w:val="18"/>
                <w:color w:val="auto"/>
              </w:rPr>
              <w:t>$2,000,000</w:t>
            </w:r>
          </w:p>
        </w:tc>
        <w:tc>
          <w:tcPr>
            <w:tcW w:w="148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82,237</w:t>
            </w:r>
          </w:p>
        </w:tc>
        <w:tc>
          <w:tcPr>
            <w:tcW w:w="128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82,237</w:t>
            </w:r>
          </w:p>
        </w:tc>
      </w:tr>
      <w:tr>
        <w:trPr>
          <w:trHeight w:val="256"/>
        </w:trPr>
        <w:tc>
          <w:tcPr>
            <w:tcW w:w="50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Christopher J. Laden</w:t>
            </w:r>
          </w:p>
        </w:tc>
        <w:tc>
          <w:tcPr>
            <w:tcW w:w="1340" w:type="dxa"/>
            <w:vAlign w:val="bottom"/>
            <w:tcBorders>
              <w:right w:val="single" w:sz="8" w:color="93A1D2"/>
            </w:tcBorders>
            <w:gridSpan w:val="3"/>
          </w:tcPr>
          <w:p>
            <w:pPr>
              <w:jc w:val="right"/>
              <w:ind w:right="150"/>
              <w:spacing w:after="0"/>
              <w:rPr>
                <w:sz w:val="20"/>
                <w:szCs w:val="20"/>
                <w:color w:val="auto"/>
              </w:rPr>
            </w:pPr>
            <w:r>
              <w:rPr>
                <w:rFonts w:ascii="Arial" w:cs="Arial" w:eastAsia="Arial" w:hAnsi="Arial"/>
                <w:sz w:val="18"/>
                <w:szCs w:val="18"/>
                <w:color w:val="auto"/>
              </w:rPr>
              <w:t>$1,000,000</w:t>
            </w:r>
          </w:p>
        </w:tc>
        <w:tc>
          <w:tcPr>
            <w:tcW w:w="148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78,248</w:t>
            </w:r>
          </w:p>
        </w:tc>
      </w:tr>
      <w:tr>
        <w:trPr>
          <w:trHeight w:val="257"/>
        </w:trPr>
        <w:tc>
          <w:tcPr>
            <w:tcW w:w="506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Mark S. Banner</w:t>
            </w:r>
          </w:p>
        </w:tc>
        <w:tc>
          <w:tcPr>
            <w:tcW w:w="1340" w:type="dxa"/>
            <w:vAlign w:val="bottom"/>
            <w:tcBorders>
              <w:right w:val="single" w:sz="8" w:color="93A1D2"/>
            </w:tcBorders>
            <w:gridSpan w:val="3"/>
            <w:shd w:val="clear" w:color="auto" w:fill="CCCCCC"/>
          </w:tcPr>
          <w:p>
            <w:pPr>
              <w:jc w:val="right"/>
              <w:ind w:right="150"/>
              <w:spacing w:after="0"/>
              <w:rPr>
                <w:sz w:val="20"/>
                <w:szCs w:val="20"/>
                <w:color w:val="auto"/>
              </w:rPr>
            </w:pPr>
            <w:r>
              <w:rPr>
                <w:rFonts w:ascii="Arial" w:cs="Arial" w:eastAsia="Arial" w:hAnsi="Arial"/>
                <w:sz w:val="18"/>
                <w:szCs w:val="18"/>
                <w:color w:val="auto"/>
              </w:rPr>
              <w:t>$1,000,000</w:t>
            </w:r>
          </w:p>
        </w:tc>
        <w:tc>
          <w:tcPr>
            <w:tcW w:w="148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35,184</w:t>
            </w:r>
          </w:p>
        </w:tc>
        <w:tc>
          <w:tcPr>
            <w:tcW w:w="128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35,184</w:t>
            </w:r>
          </w:p>
        </w:tc>
      </w:tr>
      <w:tr>
        <w:trPr>
          <w:trHeight w:val="256"/>
        </w:trPr>
        <w:tc>
          <w:tcPr>
            <w:tcW w:w="50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Jared Brandman</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750,000</w:t>
            </w:r>
          </w:p>
        </w:tc>
        <w:tc>
          <w:tcPr>
            <w:tcW w:w="148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30,839</w:t>
            </w:r>
          </w:p>
        </w:tc>
        <w:tc>
          <w:tcPr>
            <w:tcW w:w="128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30,839</w:t>
            </w:r>
          </w:p>
        </w:tc>
      </w:tr>
      <w:tr>
        <w:trPr>
          <w:trHeight w:val="257"/>
        </w:trPr>
        <w:tc>
          <w:tcPr>
            <w:tcW w:w="506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Bill Clark</w:t>
            </w:r>
          </w:p>
        </w:tc>
        <w:tc>
          <w:tcPr>
            <w:tcW w:w="420" w:type="dxa"/>
            <w:vAlign w:val="bottom"/>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600,000</w:t>
            </w:r>
          </w:p>
        </w:tc>
        <w:tc>
          <w:tcPr>
            <w:tcW w:w="148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24,672</w:t>
            </w:r>
          </w:p>
        </w:tc>
        <w:tc>
          <w:tcPr>
            <w:tcW w:w="128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24,672</w:t>
            </w:r>
          </w:p>
        </w:tc>
      </w:tr>
      <w:tr>
        <w:trPr>
          <w:trHeight w:val="257"/>
        </w:trPr>
        <w:tc>
          <w:tcPr>
            <w:tcW w:w="50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Patrick R. Moore</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Borders>
              <w:right w:val="single" w:sz="8" w:color="93A1D2"/>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w:t>
            </w:r>
          </w:p>
        </w:tc>
      </w:tr>
      <w:tr>
        <w:trPr>
          <w:trHeight w:val="240"/>
        </w:trPr>
        <w:tc>
          <w:tcPr>
            <w:tcW w:w="5060" w:type="dxa"/>
            <w:vAlign w:val="bottom"/>
            <w:tcBorders>
              <w:left w:val="single" w:sz="8" w:color="3465B0"/>
              <w:bottom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Melissa Rasmussen</w:t>
            </w:r>
          </w:p>
        </w:tc>
        <w:tc>
          <w:tcPr>
            <w:tcW w:w="160" w:type="dxa"/>
            <w:vAlign w:val="bottom"/>
            <w:tcBorders>
              <w:bottom w:val="single" w:sz="8" w:color="3465B0"/>
            </w:tcBorders>
            <w:shd w:val="clear" w:color="auto" w:fill="CCCCCC"/>
          </w:tcPr>
          <w:p>
            <w:pPr>
              <w:spacing w:after="0"/>
              <w:rPr>
                <w:sz w:val="20"/>
                <w:szCs w:val="20"/>
                <w:color w:val="auto"/>
              </w:rPr>
            </w:pPr>
          </w:p>
        </w:tc>
        <w:tc>
          <w:tcPr>
            <w:tcW w:w="260" w:type="dxa"/>
            <w:vAlign w:val="bottom"/>
            <w:tcBorders>
              <w:bottom w:val="single" w:sz="8" w:color="3465B0"/>
            </w:tcBorders>
            <w:shd w:val="clear" w:color="auto" w:fill="CCCCCC"/>
          </w:tcPr>
          <w:p>
            <w:pPr>
              <w:spacing w:after="0"/>
              <w:rPr>
                <w:sz w:val="20"/>
                <w:szCs w:val="20"/>
                <w:color w:val="auto"/>
              </w:rPr>
            </w:pPr>
          </w:p>
        </w:tc>
        <w:tc>
          <w:tcPr>
            <w:tcW w:w="920" w:type="dxa"/>
            <w:vAlign w:val="bottom"/>
            <w:tcBorders>
              <w:bottom w:val="single" w:sz="8" w:color="3465B0"/>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3465B0"/>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3465B0"/>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w:t>
            </w:r>
          </w:p>
        </w:tc>
      </w:tr>
    </w:tbl>
    <w:p>
      <w:pPr>
        <w:spacing w:after="0" w:line="150" w:lineRule="exact"/>
        <w:rPr>
          <w:sz w:val="20"/>
          <w:szCs w:val="20"/>
          <w:color w:val="auto"/>
        </w:rPr>
      </w:pPr>
    </w:p>
    <w:p>
      <w:pPr>
        <w:jc w:val="both"/>
        <w:ind w:left="360" w:hanging="348"/>
        <w:spacing w:after="0" w:line="271" w:lineRule="auto"/>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connection with his promotion to CEO on August 1, 2025, Mr. Wilkes received an additional one-time, promotional award of restricted stock units having a grant date value of $1,000,000, which will vest in three annual installments, conditioned upon his continued employment.</w:t>
      </w:r>
    </w:p>
    <w:p>
      <w:pPr>
        <w:spacing w:after="0" w:line="206" w:lineRule="exact"/>
        <w:rPr>
          <w:sz w:val="20"/>
          <w:szCs w:val="20"/>
          <w:color w:val="auto"/>
        </w:rPr>
      </w:pPr>
    </w:p>
    <w:p>
      <w:pPr>
        <w:ind w:left="360" w:hanging="346"/>
        <w:spacing w:after="0"/>
        <w:tabs>
          <w:tab w:leader="none" w:pos="360" w:val="left"/>
        </w:tabs>
        <w:numPr>
          <w:ilvl w:val="0"/>
          <w:numId w:val="55"/>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49" w:name="page50"/>
    <w:bookmarkEnd w:id="49"/>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ind w:left="940"/>
        <w:spacing w:after="0"/>
        <w:rPr>
          <w:sz w:val="20"/>
          <w:szCs w:val="20"/>
          <w:color w:val="auto"/>
        </w:rPr>
      </w:pPr>
      <w:r>
        <w:rPr>
          <w:rFonts w:ascii="Arial" w:cs="Arial" w:eastAsia="Arial" w:hAnsi="Arial"/>
          <w:sz w:val="18"/>
          <w:szCs w:val="18"/>
          <w:color w:val="3465B0"/>
        </w:rPr>
        <w:t>Performance Stock Units</w:t>
      </w:r>
    </w:p>
    <w:p>
      <w:pPr>
        <w:spacing w:after="0" w:line="131"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The performance stock units granted in each of 2023, 2024 and 2025 to our NEOs have a three-year performance period beginning on the first day of the 2023, 2024 and 2025 fiscal year, respectively, and ending on the last day of the fiscal year in 2025, 2026 and 2027, respectively. We refer to the performance stock units granted in 2023 as the “2023 PSUs,” those granted in 2024 as the “2024 PSUs,” and those granted in 2025 as the “2025 PSUs. PSU awards may be earned based on achievement of defined performance metrics. The payout opportunity is 0% to 200% of the target number of PSUs granted.</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Performance Metrics and Weighting</w:t>
      </w:r>
    </w:p>
    <w:p>
      <w:pPr>
        <w:spacing w:after="0" w:line="124" w:lineRule="exact"/>
        <w:rPr>
          <w:sz w:val="20"/>
          <w:szCs w:val="20"/>
          <w:color w:val="auto"/>
        </w:rPr>
      </w:pPr>
    </w:p>
    <w:tbl>
      <w:tblPr>
        <w:tblLayout w:type="fixed"/>
        <w:tblInd w:w="930" w:type="dxa"/>
        <w:tblCellMar>
          <w:top w:w="0" w:type="dxa"/>
          <w:left w:w="0" w:type="dxa"/>
          <w:bottom w:w="0" w:type="dxa"/>
          <w:right w:w="0" w:type="dxa"/>
        </w:tblCellMar>
      </w:tblPr>
      <w:tr>
        <w:trPr>
          <w:trHeight w:val="354"/>
        </w:trPr>
        <w:tc>
          <w:tcPr>
            <w:tcW w:w="60" w:type="dxa"/>
            <w:vAlign w:val="bottom"/>
            <w:tcBorders>
              <w:top w:val="single" w:sz="8" w:color="3465B0"/>
              <w:left w:val="single" w:sz="8" w:color="3465B0"/>
            </w:tcBorders>
            <w:shd w:val="clear" w:color="auto" w:fill="3465B0"/>
          </w:tcPr>
          <w:p>
            <w:pPr>
              <w:spacing w:after="0"/>
              <w:rPr>
                <w:sz w:val="24"/>
                <w:szCs w:val="24"/>
                <w:color w:val="auto"/>
              </w:rPr>
            </w:pPr>
          </w:p>
        </w:tc>
        <w:tc>
          <w:tcPr>
            <w:tcW w:w="8020" w:type="dxa"/>
            <w:vAlign w:val="bottom"/>
            <w:tcBorders>
              <w:top w:val="single" w:sz="8" w:color="3465B0"/>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Performance Metric – 2025 PSUs</w:t>
            </w:r>
          </w:p>
        </w:tc>
        <w:tc>
          <w:tcPr>
            <w:tcW w:w="100" w:type="dxa"/>
            <w:vAlign w:val="bottom"/>
            <w:tcBorders>
              <w:top w:val="single" w:sz="8" w:color="3465B0"/>
            </w:tcBorders>
            <w:shd w:val="clear" w:color="auto" w:fill="3465B0"/>
          </w:tcPr>
          <w:p>
            <w:pPr>
              <w:spacing w:after="0"/>
              <w:rPr>
                <w:sz w:val="24"/>
                <w:szCs w:val="24"/>
                <w:color w:val="auto"/>
              </w:rPr>
            </w:pPr>
          </w:p>
        </w:tc>
        <w:tc>
          <w:tcPr>
            <w:tcW w:w="980" w:type="dxa"/>
            <w:vAlign w:val="bottom"/>
            <w:tcBorders>
              <w:top w:val="single" w:sz="8" w:color="3465B0"/>
              <w:right w:val="single" w:sz="8" w:color="3465B0"/>
            </w:tcBorders>
            <w:shd w:val="clear" w:color="auto" w:fill="3465B0"/>
          </w:tcPr>
          <w:p>
            <w:pPr>
              <w:jc w:val="right"/>
              <w:ind w:right="10"/>
              <w:spacing w:after="0"/>
              <w:rPr>
                <w:sz w:val="20"/>
                <w:szCs w:val="20"/>
                <w:color w:val="auto"/>
              </w:rPr>
            </w:pPr>
            <w:r>
              <w:rPr>
                <w:rFonts w:ascii="Arial" w:cs="Arial" w:eastAsia="Arial" w:hAnsi="Arial"/>
                <w:sz w:val="18"/>
                <w:szCs w:val="18"/>
                <w:b w:val="1"/>
                <w:bCs w:val="1"/>
                <w:color w:val="FFFFFF"/>
                <w:w w:val="98"/>
                <w:shd w:val="clear" w:color="auto" w:fill="3465B0"/>
              </w:rPr>
              <w:t>Weighting</w:t>
            </w:r>
          </w:p>
        </w:tc>
      </w:tr>
      <w:tr>
        <w:trPr>
          <w:trHeight w:val="256"/>
        </w:trPr>
        <w:tc>
          <w:tcPr>
            <w:tcW w:w="60" w:type="dxa"/>
            <w:vAlign w:val="bottom"/>
            <w:tcBorders>
              <w:left w:val="single" w:sz="8" w:color="3465B0"/>
            </w:tcBorders>
          </w:tcPr>
          <w:p>
            <w:pPr>
              <w:spacing w:after="0"/>
              <w:rPr>
                <w:sz w:val="22"/>
                <w:szCs w:val="22"/>
                <w:color w:val="auto"/>
              </w:rPr>
            </w:pPr>
          </w:p>
        </w:tc>
        <w:tc>
          <w:tcPr>
            <w:tcW w:w="8020" w:type="dxa"/>
            <w:vAlign w:val="bottom"/>
            <w:tcBorders>
              <w:right w:val="single" w:sz="8" w:color="93A1D2"/>
            </w:tcBorders>
          </w:tcPr>
          <w:p>
            <w:pPr>
              <w:ind w:left="40"/>
              <w:spacing w:after="0"/>
              <w:rPr>
                <w:sz w:val="20"/>
                <w:szCs w:val="20"/>
                <w:color w:val="auto"/>
              </w:rPr>
            </w:pPr>
            <w:r>
              <w:rPr>
                <w:rFonts w:ascii="Arial" w:cs="Arial" w:eastAsia="Arial" w:hAnsi="Arial"/>
                <w:sz w:val="18"/>
                <w:szCs w:val="18"/>
                <w:color w:val="auto"/>
              </w:rPr>
              <w:t>Adjusted Operating Income</w:t>
            </w:r>
          </w:p>
        </w:tc>
        <w:tc>
          <w:tcPr>
            <w:tcW w:w="1080" w:type="dxa"/>
            <w:vAlign w:val="bottom"/>
            <w:tcBorders>
              <w:right w:val="single" w:sz="8" w:color="3465B0"/>
            </w:tcBorders>
            <w:gridSpan w:val="2"/>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60" w:type="dxa"/>
            <w:vAlign w:val="bottom"/>
            <w:tcBorders>
              <w:left w:val="single" w:sz="8" w:color="3465B0"/>
            </w:tcBorders>
            <w:shd w:val="clear" w:color="auto" w:fill="CCCCCC"/>
          </w:tcPr>
          <w:p>
            <w:pPr>
              <w:spacing w:after="0"/>
              <w:rPr>
                <w:sz w:val="22"/>
                <w:szCs w:val="22"/>
                <w:color w:val="auto"/>
              </w:rPr>
            </w:pPr>
          </w:p>
        </w:tc>
        <w:tc>
          <w:tcPr>
            <w:tcW w:w="802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8"/>
                <w:szCs w:val="18"/>
                <w:color w:val="auto"/>
              </w:rPr>
              <w:t>Return on Invested Capital</w:t>
            </w:r>
          </w:p>
        </w:tc>
        <w:tc>
          <w:tcPr>
            <w:tcW w:w="1080" w:type="dxa"/>
            <w:vAlign w:val="bottom"/>
            <w:tcBorders>
              <w:right w:val="single" w:sz="8" w:color="3465B0"/>
            </w:tcBorders>
            <w:gridSpan w:val="2"/>
            <w:shd w:val="clear" w:color="auto" w:fill="CCCCCC"/>
          </w:tcPr>
          <w:p>
            <w:pPr>
              <w:jc w:val="right"/>
              <w:spacing w:after="0"/>
              <w:rPr>
                <w:sz w:val="20"/>
                <w:szCs w:val="20"/>
                <w:color w:val="auto"/>
              </w:rPr>
            </w:pPr>
            <w:r>
              <w:rPr>
                <w:rFonts w:ascii="Arial" w:cs="Arial" w:eastAsia="Arial" w:hAnsi="Arial"/>
                <w:sz w:val="18"/>
                <w:szCs w:val="18"/>
                <w:color w:val="auto"/>
              </w:rPr>
              <w:t>25%</w:t>
            </w:r>
          </w:p>
        </w:tc>
      </w:tr>
      <w:tr>
        <w:trPr>
          <w:trHeight w:val="240"/>
        </w:trPr>
        <w:tc>
          <w:tcPr>
            <w:tcW w:w="60" w:type="dxa"/>
            <w:vAlign w:val="bottom"/>
            <w:tcBorders>
              <w:left w:val="single" w:sz="8" w:color="3465B0"/>
              <w:bottom w:val="single" w:sz="8" w:color="3465B0"/>
            </w:tcBorders>
          </w:tcPr>
          <w:p>
            <w:pPr>
              <w:spacing w:after="0"/>
              <w:rPr>
                <w:sz w:val="20"/>
                <w:szCs w:val="20"/>
                <w:color w:val="auto"/>
              </w:rPr>
            </w:pPr>
          </w:p>
        </w:tc>
        <w:tc>
          <w:tcPr>
            <w:tcW w:w="8020" w:type="dxa"/>
            <w:vAlign w:val="bottom"/>
            <w:tcBorders>
              <w:bottom w:val="single" w:sz="8" w:color="3465B0"/>
              <w:right w:val="single" w:sz="8" w:color="93A1D2"/>
            </w:tcBorders>
          </w:tcPr>
          <w:p>
            <w:pPr>
              <w:ind w:left="40"/>
              <w:spacing w:after="0"/>
              <w:rPr>
                <w:sz w:val="20"/>
                <w:szCs w:val="20"/>
                <w:color w:val="auto"/>
              </w:rPr>
            </w:pPr>
            <w:r>
              <w:rPr>
                <w:rFonts w:ascii="Arial" w:cs="Arial" w:eastAsia="Arial" w:hAnsi="Arial"/>
                <w:sz w:val="18"/>
                <w:szCs w:val="18"/>
                <w:color w:val="auto"/>
              </w:rPr>
              <w:t>Relative Total Shareholder Return</w:t>
            </w:r>
          </w:p>
        </w:tc>
        <w:tc>
          <w:tcPr>
            <w:tcW w:w="1080" w:type="dxa"/>
            <w:vAlign w:val="bottom"/>
            <w:tcBorders>
              <w:bottom w:val="single" w:sz="8" w:color="3465B0"/>
              <w:right w:val="single" w:sz="8" w:color="3465B0"/>
            </w:tcBorders>
            <w:gridSpan w:val="2"/>
          </w:tcPr>
          <w:p>
            <w:pPr>
              <w:jc w:val="right"/>
              <w:spacing w:after="0"/>
              <w:rPr>
                <w:sz w:val="20"/>
                <w:szCs w:val="20"/>
                <w:color w:val="auto"/>
              </w:rPr>
            </w:pPr>
            <w:r>
              <w:rPr>
                <w:rFonts w:ascii="Arial" w:cs="Arial" w:eastAsia="Arial" w:hAnsi="Arial"/>
                <w:sz w:val="18"/>
                <w:szCs w:val="18"/>
                <w:color w:val="auto"/>
              </w:rPr>
              <w:t>25%</w:t>
            </w:r>
          </w:p>
        </w:tc>
      </w:tr>
    </w:tbl>
    <w:p>
      <w:pPr>
        <w:spacing w:after="0" w:line="82" w:lineRule="exact"/>
        <w:rPr>
          <w:sz w:val="20"/>
          <w:szCs w:val="20"/>
          <w:color w:val="auto"/>
        </w:rPr>
      </w:pPr>
    </w:p>
    <w:tbl>
      <w:tblPr>
        <w:tblLayout w:type="fixed"/>
        <w:tblInd w:w="930" w:type="dxa"/>
        <w:tblCellMar>
          <w:top w:w="0" w:type="dxa"/>
          <w:left w:w="0" w:type="dxa"/>
          <w:bottom w:w="0" w:type="dxa"/>
          <w:right w:w="0" w:type="dxa"/>
        </w:tblCellMar>
      </w:tblPr>
      <w:tr>
        <w:trPr>
          <w:trHeight w:val="354"/>
        </w:trPr>
        <w:tc>
          <w:tcPr>
            <w:tcW w:w="60" w:type="dxa"/>
            <w:vAlign w:val="bottom"/>
            <w:tcBorders>
              <w:top w:val="single" w:sz="8" w:color="3465B0"/>
              <w:left w:val="single" w:sz="8" w:color="3465B0"/>
            </w:tcBorders>
            <w:shd w:val="clear" w:color="auto" w:fill="3465B0"/>
          </w:tcPr>
          <w:p>
            <w:pPr>
              <w:spacing w:after="0"/>
              <w:rPr>
                <w:sz w:val="24"/>
                <w:szCs w:val="24"/>
                <w:color w:val="auto"/>
              </w:rPr>
            </w:pPr>
          </w:p>
        </w:tc>
        <w:tc>
          <w:tcPr>
            <w:tcW w:w="8000" w:type="dxa"/>
            <w:vAlign w:val="bottom"/>
            <w:tcBorders>
              <w:top w:val="single" w:sz="8" w:color="3465B0"/>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Performance Metrics – 2023 PSUs / 2024 PSUs</w:t>
            </w:r>
          </w:p>
        </w:tc>
        <w:tc>
          <w:tcPr>
            <w:tcW w:w="120" w:type="dxa"/>
            <w:vAlign w:val="bottom"/>
            <w:tcBorders>
              <w:top w:val="single" w:sz="8" w:color="3465B0"/>
            </w:tcBorders>
            <w:shd w:val="clear" w:color="auto" w:fill="3465B0"/>
          </w:tcPr>
          <w:p>
            <w:pPr>
              <w:spacing w:after="0"/>
              <w:rPr>
                <w:sz w:val="24"/>
                <w:szCs w:val="24"/>
                <w:color w:val="auto"/>
              </w:rPr>
            </w:pPr>
          </w:p>
        </w:tc>
        <w:tc>
          <w:tcPr>
            <w:tcW w:w="980" w:type="dxa"/>
            <w:vAlign w:val="bottom"/>
            <w:tcBorders>
              <w:top w:val="single" w:sz="8" w:color="3465B0"/>
              <w:right w:val="single" w:sz="8" w:color="3465B0"/>
            </w:tcBorders>
            <w:shd w:val="clear" w:color="auto" w:fill="3465B0"/>
          </w:tcPr>
          <w:p>
            <w:pPr>
              <w:jc w:val="right"/>
              <w:ind w:right="30"/>
              <w:spacing w:after="0"/>
              <w:rPr>
                <w:sz w:val="20"/>
                <w:szCs w:val="20"/>
                <w:color w:val="auto"/>
              </w:rPr>
            </w:pPr>
            <w:r>
              <w:rPr>
                <w:rFonts w:ascii="Arial" w:cs="Arial" w:eastAsia="Arial" w:hAnsi="Arial"/>
                <w:sz w:val="18"/>
                <w:szCs w:val="18"/>
                <w:b w:val="1"/>
                <w:bCs w:val="1"/>
                <w:color w:val="FFFFFF"/>
                <w:w w:val="96"/>
              </w:rPr>
              <w:t>Weighting</w:t>
            </w:r>
          </w:p>
        </w:tc>
      </w:tr>
      <w:tr>
        <w:trPr>
          <w:trHeight w:val="256"/>
        </w:trPr>
        <w:tc>
          <w:tcPr>
            <w:tcW w:w="60" w:type="dxa"/>
            <w:vAlign w:val="bottom"/>
            <w:tcBorders>
              <w:left w:val="single" w:sz="8" w:color="3465B0"/>
            </w:tcBorders>
          </w:tcPr>
          <w:p>
            <w:pPr>
              <w:spacing w:after="0"/>
              <w:rPr>
                <w:sz w:val="22"/>
                <w:szCs w:val="22"/>
                <w:color w:val="auto"/>
              </w:rPr>
            </w:pPr>
          </w:p>
        </w:tc>
        <w:tc>
          <w:tcPr>
            <w:tcW w:w="8000" w:type="dxa"/>
            <w:vAlign w:val="bottom"/>
            <w:tcBorders>
              <w:right w:val="single" w:sz="8" w:color="93A1D2"/>
            </w:tcBorders>
          </w:tcPr>
          <w:p>
            <w:pPr>
              <w:ind w:left="40"/>
              <w:spacing w:after="0"/>
              <w:rPr>
                <w:sz w:val="20"/>
                <w:szCs w:val="20"/>
                <w:color w:val="auto"/>
              </w:rPr>
            </w:pPr>
            <w:r>
              <w:rPr>
                <w:rFonts w:ascii="Arial" w:cs="Arial" w:eastAsia="Arial" w:hAnsi="Arial"/>
                <w:sz w:val="18"/>
                <w:szCs w:val="18"/>
                <w:color w:val="auto"/>
              </w:rPr>
              <w:t>Adjusted Operating Income</w:t>
            </w:r>
          </w:p>
        </w:tc>
        <w:tc>
          <w:tcPr>
            <w:tcW w:w="1100" w:type="dxa"/>
            <w:vAlign w:val="bottom"/>
            <w:tcBorders>
              <w:right w:val="single" w:sz="8" w:color="3465B0"/>
            </w:tcBorders>
            <w:gridSpan w:val="2"/>
          </w:tcPr>
          <w:p>
            <w:pPr>
              <w:jc w:val="right"/>
              <w:spacing w:after="0"/>
              <w:rPr>
                <w:sz w:val="20"/>
                <w:szCs w:val="20"/>
                <w:color w:val="auto"/>
              </w:rPr>
            </w:pPr>
            <w:r>
              <w:rPr>
                <w:rFonts w:ascii="Arial" w:cs="Arial" w:eastAsia="Arial" w:hAnsi="Arial"/>
                <w:sz w:val="18"/>
                <w:szCs w:val="18"/>
                <w:color w:val="auto"/>
              </w:rPr>
              <w:t>75%</w:t>
            </w:r>
          </w:p>
        </w:tc>
      </w:tr>
      <w:tr>
        <w:trPr>
          <w:trHeight w:val="240"/>
        </w:trPr>
        <w:tc>
          <w:tcPr>
            <w:tcW w:w="60" w:type="dxa"/>
            <w:vAlign w:val="bottom"/>
            <w:tcBorders>
              <w:left w:val="single" w:sz="8" w:color="3465B0"/>
              <w:bottom w:val="single" w:sz="8" w:color="3465B0"/>
            </w:tcBorders>
            <w:shd w:val="clear" w:color="auto" w:fill="CCCCCC"/>
          </w:tcPr>
          <w:p>
            <w:pPr>
              <w:spacing w:after="0"/>
              <w:rPr>
                <w:sz w:val="20"/>
                <w:szCs w:val="20"/>
                <w:color w:val="auto"/>
              </w:rPr>
            </w:pPr>
          </w:p>
        </w:tc>
        <w:tc>
          <w:tcPr>
            <w:tcW w:w="8000" w:type="dxa"/>
            <w:vAlign w:val="bottom"/>
            <w:tcBorders>
              <w:bottom w:val="single" w:sz="8" w:color="3465B0"/>
              <w:right w:val="single" w:sz="8" w:color="93A1D2"/>
            </w:tcBorders>
            <w:shd w:val="clear" w:color="auto" w:fill="CCCCCC"/>
          </w:tcPr>
          <w:p>
            <w:pPr>
              <w:ind w:left="40"/>
              <w:spacing w:after="0"/>
              <w:rPr>
                <w:sz w:val="20"/>
                <w:szCs w:val="20"/>
                <w:color w:val="auto"/>
              </w:rPr>
            </w:pPr>
            <w:r>
              <w:rPr>
                <w:rFonts w:ascii="Arial" w:cs="Arial" w:eastAsia="Arial" w:hAnsi="Arial"/>
                <w:sz w:val="18"/>
                <w:szCs w:val="18"/>
                <w:color w:val="auto"/>
              </w:rPr>
              <w:t>Return on Invested Capital</w:t>
            </w:r>
          </w:p>
        </w:tc>
        <w:tc>
          <w:tcPr>
            <w:tcW w:w="120" w:type="dxa"/>
            <w:vAlign w:val="bottom"/>
            <w:tcBorders>
              <w:bottom w:val="single" w:sz="8" w:color="3465B0"/>
            </w:tcBorders>
            <w:shd w:val="clear" w:color="auto" w:fill="CCCCCC"/>
          </w:tcPr>
          <w:p>
            <w:pPr>
              <w:spacing w:after="0"/>
              <w:rPr>
                <w:sz w:val="20"/>
                <w:szCs w:val="20"/>
                <w:color w:val="auto"/>
              </w:rPr>
            </w:pPr>
          </w:p>
        </w:tc>
        <w:tc>
          <w:tcPr>
            <w:tcW w:w="980" w:type="dxa"/>
            <w:vAlign w:val="bottom"/>
            <w:tcBorders>
              <w:bottom w:val="single" w:sz="8" w:color="3465B0"/>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25%</w:t>
            </w:r>
          </w:p>
        </w:tc>
      </w:tr>
    </w:tbl>
    <w:p>
      <w:pPr>
        <w:spacing w:after="0" w:line="221" w:lineRule="exact"/>
        <w:rPr>
          <w:sz w:val="20"/>
          <w:szCs w:val="20"/>
          <w:color w:val="auto"/>
        </w:rPr>
      </w:pPr>
    </w:p>
    <w:p>
      <w:pPr>
        <w:jc w:val="both"/>
        <w:ind w:left="940" w:right="940"/>
        <w:spacing w:after="0" w:line="238" w:lineRule="auto"/>
        <w:rPr>
          <w:sz w:val="20"/>
          <w:szCs w:val="20"/>
          <w:color w:val="auto"/>
        </w:rPr>
      </w:pPr>
      <w:r>
        <w:rPr>
          <w:rFonts w:ascii="Arial" w:cs="Arial" w:eastAsia="Arial" w:hAnsi="Arial"/>
          <w:sz w:val="18"/>
          <w:szCs w:val="18"/>
          <w:color w:val="auto"/>
        </w:rPr>
        <w:t>Each of Adjusted Operating Income (AOI) and Return on Invested Capital (ROIC) is measured separately for each fiscal year in the three-year performance period and the compensation committee determines separate performance multipliers with respect to each metric for each such fiscal year. The average performance multiplier, calculated by taking the numeric average of the performance multipliers earned with respect to each fiscal year in the three -year performance period, will be used to calculate the number of units earned based on each metric. For the 2025 PSUs, Relative Total Shareholder Return (rTSR) will be assessed by the compensation committee based on the percentile rank of the company over the three-year performance period relative to the total shareholder return of the companies in the S&amp;P 1500 Retail and Healthcare Equipment &amp; Supplies Industry Subset as of the first day of the three-year performance period applicable to each award. rTSR will be measured on a relative basis versus the index constituent companies. Additionally, a 30-day trading average will be used for the beginning and ending price to reduce reliance on single closing price. Achievement is interpolated on a straight-line basis between points.</w:t>
      </w:r>
    </w:p>
    <w:p>
      <w:pPr>
        <w:spacing w:after="0" w:line="115"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The goals for each of these performance metrics were set by the compensation committee at the time of grant, with the performance conditions related to AOI and ROIC for the second and third years being based on achievement of goals relating to growth in AOI and ROIC. For each metric, the compensation committee believes that the goals set are appropriately challenging, yet reasonably attainable. Actual performance goals are not being disclosed before the end of the performance period because we believe such disclosure would be competitively harmful.</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Vesting and Payout of 2023 PSUs</w:t>
      </w:r>
    </w:p>
    <w:p>
      <w:pPr>
        <w:spacing w:after="0" w:line="142"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The 2023 PSUs, with a three-year performance period ended on January 3, 2026, vested and were payable in March 2026. The compensation committee certified the level of achievement for the 2023 PSUs based on the Company’s achievement of Adjusted Operating Income and ROIC objectives over the three-year performance period as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940" w:type="dxa"/>
            <w:vAlign w:val="bottom"/>
            <w:tcBorders>
              <w:right w:val="single" w:sz="8" w:color="3465B0"/>
            </w:tcBorders>
          </w:tcPr>
          <w:p>
            <w:pPr>
              <w:spacing w:after="0"/>
              <w:rPr>
                <w:sz w:val="10"/>
                <w:szCs w:val="10"/>
                <w:color w:val="auto"/>
              </w:rPr>
            </w:pPr>
          </w:p>
        </w:tc>
        <w:tc>
          <w:tcPr>
            <w:tcW w:w="1740" w:type="dxa"/>
            <w:vAlign w:val="bottom"/>
            <w:tcBorders>
              <w:top w:val="single" w:sz="8" w:color="3465B0"/>
              <w:right w:val="single" w:sz="8" w:color="93A1D2"/>
            </w:tcBorders>
            <w:shd w:val="clear" w:color="auto" w:fill="3465B0"/>
          </w:tcPr>
          <w:p>
            <w:pPr>
              <w:spacing w:after="0"/>
              <w:rPr>
                <w:sz w:val="10"/>
                <w:szCs w:val="10"/>
                <w:color w:val="auto"/>
              </w:rPr>
            </w:pPr>
          </w:p>
        </w:tc>
        <w:tc>
          <w:tcPr>
            <w:tcW w:w="880" w:type="dxa"/>
            <w:vAlign w:val="bottom"/>
            <w:tcBorders>
              <w:top w:val="single" w:sz="8" w:color="3465B0"/>
              <w:right w:val="single" w:sz="8" w:color="3465B0"/>
            </w:tcBorders>
            <w:shd w:val="clear" w:color="auto" w:fill="3465B0"/>
          </w:tcPr>
          <w:p>
            <w:pPr>
              <w:spacing w:after="0"/>
              <w:rPr>
                <w:sz w:val="10"/>
                <w:szCs w:val="10"/>
                <w:color w:val="auto"/>
              </w:rPr>
            </w:pPr>
          </w:p>
        </w:tc>
        <w:tc>
          <w:tcPr>
            <w:tcW w:w="1260" w:type="dxa"/>
            <w:vAlign w:val="bottom"/>
            <w:tcBorders>
              <w:top w:val="single" w:sz="8" w:color="3465B0"/>
            </w:tcBorders>
            <w:vMerge w:val="restart"/>
            <w:shd w:val="clear" w:color="auto" w:fill="3465B0"/>
          </w:tcPr>
          <w:p>
            <w:pPr>
              <w:jc w:val="right"/>
              <w:ind w:right="815"/>
              <w:spacing w:after="0"/>
              <w:rPr>
                <w:sz w:val="20"/>
                <w:szCs w:val="20"/>
                <w:color w:val="auto"/>
              </w:rPr>
            </w:pPr>
            <w:r>
              <w:rPr>
                <w:rFonts w:ascii="Arial" w:cs="Arial" w:eastAsia="Arial" w:hAnsi="Arial"/>
                <w:sz w:val="16"/>
                <w:szCs w:val="16"/>
                <w:b w:val="1"/>
                <w:bCs w:val="1"/>
                <w:color w:val="FFFFFF"/>
                <w:w w:val="95"/>
              </w:rPr>
              <w:t>2023</w:t>
            </w:r>
          </w:p>
        </w:tc>
        <w:tc>
          <w:tcPr>
            <w:tcW w:w="900" w:type="dxa"/>
            <w:vAlign w:val="bottom"/>
            <w:tcBorders>
              <w:top w:val="single" w:sz="8" w:color="3465B0"/>
              <w:left w:val="single" w:sz="8" w:color="93A1D2"/>
              <w:right w:val="single" w:sz="8" w:color="3465B0"/>
            </w:tcBorders>
            <w:shd w:val="clear" w:color="auto" w:fill="3465B0"/>
          </w:tcPr>
          <w:p>
            <w:pPr>
              <w:spacing w:after="0"/>
              <w:rPr>
                <w:sz w:val="10"/>
                <w:szCs w:val="10"/>
                <w:color w:val="auto"/>
              </w:rPr>
            </w:pPr>
          </w:p>
        </w:tc>
        <w:tc>
          <w:tcPr>
            <w:tcW w:w="1260" w:type="dxa"/>
            <w:vAlign w:val="bottom"/>
            <w:tcBorders>
              <w:top w:val="single" w:sz="8" w:color="3465B0"/>
            </w:tcBorders>
            <w:vMerge w:val="restart"/>
            <w:shd w:val="clear" w:color="auto" w:fill="3465B0"/>
          </w:tcPr>
          <w:p>
            <w:pPr>
              <w:jc w:val="right"/>
              <w:ind w:right="815"/>
              <w:spacing w:after="0"/>
              <w:rPr>
                <w:sz w:val="20"/>
                <w:szCs w:val="20"/>
                <w:color w:val="auto"/>
              </w:rPr>
            </w:pPr>
            <w:r>
              <w:rPr>
                <w:rFonts w:ascii="Arial" w:cs="Arial" w:eastAsia="Arial" w:hAnsi="Arial"/>
                <w:sz w:val="16"/>
                <w:szCs w:val="16"/>
                <w:b w:val="1"/>
                <w:bCs w:val="1"/>
                <w:color w:val="FFFFFF"/>
                <w:w w:val="95"/>
              </w:rPr>
              <w:t>2024</w:t>
            </w:r>
          </w:p>
        </w:tc>
        <w:tc>
          <w:tcPr>
            <w:tcW w:w="900" w:type="dxa"/>
            <w:vAlign w:val="bottom"/>
            <w:tcBorders>
              <w:top w:val="single" w:sz="8" w:color="3465B0"/>
              <w:left w:val="single" w:sz="8" w:color="93A1D2"/>
              <w:right w:val="single" w:sz="8" w:color="3465B0"/>
            </w:tcBorders>
            <w:shd w:val="clear" w:color="auto" w:fill="3465B0"/>
          </w:tcPr>
          <w:p>
            <w:pPr>
              <w:spacing w:after="0"/>
              <w:rPr>
                <w:sz w:val="10"/>
                <w:szCs w:val="10"/>
                <w:color w:val="auto"/>
              </w:rPr>
            </w:pPr>
          </w:p>
        </w:tc>
        <w:tc>
          <w:tcPr>
            <w:tcW w:w="1260" w:type="dxa"/>
            <w:vAlign w:val="bottom"/>
            <w:tcBorders>
              <w:top w:val="single" w:sz="8" w:color="3465B0"/>
            </w:tcBorders>
            <w:vMerge w:val="restart"/>
            <w:shd w:val="clear" w:color="auto" w:fill="3465B0"/>
          </w:tcPr>
          <w:p>
            <w:pPr>
              <w:jc w:val="right"/>
              <w:ind w:right="815"/>
              <w:spacing w:after="0"/>
              <w:rPr>
                <w:sz w:val="20"/>
                <w:szCs w:val="20"/>
                <w:color w:val="auto"/>
              </w:rPr>
            </w:pPr>
            <w:r>
              <w:rPr>
                <w:rFonts w:ascii="Arial" w:cs="Arial" w:eastAsia="Arial" w:hAnsi="Arial"/>
                <w:sz w:val="16"/>
                <w:szCs w:val="16"/>
                <w:b w:val="1"/>
                <w:bCs w:val="1"/>
                <w:color w:val="FFFFFF"/>
                <w:w w:val="95"/>
              </w:rPr>
              <w:t>2025</w:t>
            </w:r>
          </w:p>
        </w:tc>
        <w:tc>
          <w:tcPr>
            <w:tcW w:w="120" w:type="dxa"/>
            <w:vAlign w:val="bottom"/>
            <w:tcBorders>
              <w:top w:val="single" w:sz="8" w:color="3465B0"/>
              <w:left w:val="single" w:sz="8" w:color="93A1D2"/>
            </w:tcBorders>
            <w:shd w:val="clear" w:color="auto" w:fill="3465B0"/>
          </w:tcPr>
          <w:p>
            <w:pPr>
              <w:spacing w:after="0"/>
              <w:rPr>
                <w:sz w:val="10"/>
                <w:szCs w:val="10"/>
                <w:color w:val="auto"/>
              </w:rPr>
            </w:pPr>
          </w:p>
        </w:tc>
        <w:tc>
          <w:tcPr>
            <w:tcW w:w="820" w:type="dxa"/>
            <w:vAlign w:val="bottom"/>
            <w:tcBorders>
              <w:top w:val="single" w:sz="8" w:color="3465B0"/>
              <w:right w:val="single" w:sz="8" w:color="3465B0"/>
            </w:tcBorders>
            <w:vMerge w:val="restart"/>
            <w:shd w:val="clear" w:color="auto" w:fill="3465B0"/>
          </w:tcPr>
          <w:p>
            <w:pPr>
              <w:ind w:left="40"/>
              <w:spacing w:after="0"/>
              <w:rPr>
                <w:sz w:val="20"/>
                <w:szCs w:val="20"/>
                <w:color w:val="auto"/>
              </w:rPr>
            </w:pPr>
            <w:r>
              <w:rPr>
                <w:rFonts w:ascii="Arial" w:cs="Arial" w:eastAsia="Arial" w:hAnsi="Arial"/>
                <w:sz w:val="16"/>
                <w:szCs w:val="16"/>
                <w:b w:val="1"/>
                <w:bCs w:val="1"/>
                <w:color w:val="FFFFFF"/>
              </w:rPr>
              <w:t>Three-</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40" w:type="dxa"/>
            <w:vAlign w:val="bottom"/>
            <w:tcBorders>
              <w:right w:val="single" w:sz="8" w:color="3465B0"/>
            </w:tcBorders>
          </w:tcPr>
          <w:p>
            <w:pPr>
              <w:spacing w:after="0"/>
              <w:rPr>
                <w:sz w:val="19"/>
                <w:szCs w:val="19"/>
                <w:color w:val="auto"/>
              </w:rPr>
            </w:pPr>
          </w:p>
        </w:tc>
        <w:tc>
          <w:tcPr>
            <w:tcW w:w="1740" w:type="dxa"/>
            <w:vAlign w:val="bottom"/>
            <w:tcBorders>
              <w:right w:val="single" w:sz="8" w:color="93A1D2"/>
            </w:tcBorders>
            <w:shd w:val="clear" w:color="auto" w:fill="3465B0"/>
          </w:tcPr>
          <w:p>
            <w:pPr>
              <w:spacing w:after="0"/>
              <w:rPr>
                <w:sz w:val="19"/>
                <w:szCs w:val="19"/>
                <w:color w:val="auto"/>
              </w:rPr>
            </w:pPr>
          </w:p>
        </w:tc>
        <w:tc>
          <w:tcPr>
            <w:tcW w:w="880" w:type="dxa"/>
            <w:vAlign w:val="bottom"/>
            <w:tcBorders>
              <w:right w:val="single" w:sz="8" w:color="3465B0"/>
            </w:tcBorders>
            <w:shd w:val="clear" w:color="auto" w:fill="3465B0"/>
          </w:tcPr>
          <w:p>
            <w:pPr>
              <w:spacing w:after="0"/>
              <w:rPr>
                <w:sz w:val="19"/>
                <w:szCs w:val="19"/>
                <w:color w:val="auto"/>
              </w:rPr>
            </w:pPr>
          </w:p>
        </w:tc>
        <w:tc>
          <w:tcPr>
            <w:tcW w:w="1260" w:type="dxa"/>
            <w:vAlign w:val="bottom"/>
            <w:vMerge w:val="continue"/>
            <w:shd w:val="clear" w:color="auto" w:fill="3465B0"/>
          </w:tcPr>
          <w:p>
            <w:pPr>
              <w:spacing w:after="0"/>
              <w:rPr>
                <w:sz w:val="19"/>
                <w:szCs w:val="19"/>
                <w:color w:val="auto"/>
              </w:rPr>
            </w:pPr>
          </w:p>
        </w:tc>
        <w:tc>
          <w:tcPr>
            <w:tcW w:w="900" w:type="dxa"/>
            <w:vAlign w:val="bottom"/>
            <w:tcBorders>
              <w:left w:val="single" w:sz="8" w:color="3465B0"/>
              <w:right w:val="single" w:sz="8" w:color="3465B0"/>
            </w:tcBorders>
            <w:shd w:val="clear" w:color="auto" w:fill="3465B0"/>
          </w:tcPr>
          <w:p>
            <w:pPr>
              <w:spacing w:after="0"/>
              <w:rPr>
                <w:sz w:val="19"/>
                <w:szCs w:val="19"/>
                <w:color w:val="auto"/>
              </w:rPr>
            </w:pPr>
          </w:p>
        </w:tc>
        <w:tc>
          <w:tcPr>
            <w:tcW w:w="1260" w:type="dxa"/>
            <w:vAlign w:val="bottom"/>
            <w:vMerge w:val="continue"/>
            <w:shd w:val="clear" w:color="auto" w:fill="3465B0"/>
          </w:tcPr>
          <w:p>
            <w:pPr>
              <w:spacing w:after="0"/>
              <w:rPr>
                <w:sz w:val="19"/>
                <w:szCs w:val="19"/>
                <w:color w:val="auto"/>
              </w:rPr>
            </w:pPr>
          </w:p>
        </w:tc>
        <w:tc>
          <w:tcPr>
            <w:tcW w:w="900" w:type="dxa"/>
            <w:vAlign w:val="bottom"/>
            <w:tcBorders>
              <w:left w:val="single" w:sz="8" w:color="3465B0"/>
              <w:right w:val="single" w:sz="8" w:color="3465B0"/>
            </w:tcBorders>
            <w:shd w:val="clear" w:color="auto" w:fill="3465B0"/>
          </w:tcPr>
          <w:p>
            <w:pPr>
              <w:spacing w:after="0"/>
              <w:rPr>
                <w:sz w:val="19"/>
                <w:szCs w:val="19"/>
                <w:color w:val="auto"/>
              </w:rPr>
            </w:pPr>
          </w:p>
        </w:tc>
        <w:tc>
          <w:tcPr>
            <w:tcW w:w="1260" w:type="dxa"/>
            <w:vAlign w:val="bottom"/>
            <w:vMerge w:val="continue"/>
            <w:shd w:val="clear" w:color="auto" w:fill="3465B0"/>
          </w:tcPr>
          <w:p>
            <w:pPr>
              <w:spacing w:after="0"/>
              <w:rPr>
                <w:sz w:val="19"/>
                <w:szCs w:val="19"/>
                <w:color w:val="auto"/>
              </w:rPr>
            </w:pPr>
          </w:p>
        </w:tc>
        <w:tc>
          <w:tcPr>
            <w:tcW w:w="120" w:type="dxa"/>
            <w:vAlign w:val="bottom"/>
            <w:tcBorders>
              <w:left w:val="single" w:sz="8" w:color="3465B0"/>
            </w:tcBorders>
            <w:shd w:val="clear" w:color="auto" w:fill="3465B0"/>
          </w:tcPr>
          <w:p>
            <w:pPr>
              <w:spacing w:after="0"/>
              <w:rPr>
                <w:sz w:val="19"/>
                <w:szCs w:val="19"/>
                <w:color w:val="auto"/>
              </w:rPr>
            </w:pPr>
          </w:p>
        </w:tc>
        <w:tc>
          <w:tcPr>
            <w:tcW w:w="820" w:type="dxa"/>
            <w:vAlign w:val="bottom"/>
            <w:tcBorders>
              <w:right w:val="single" w:sz="8" w:color="3465B0"/>
            </w:tcBorders>
            <w:vMerge w:val="continue"/>
            <w:shd w:val="clear" w:color="auto" w:fill="3465B0"/>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40" w:type="dxa"/>
            <w:vAlign w:val="bottom"/>
            <w:tcBorders>
              <w:right w:val="single" w:sz="8" w:color="3465B0"/>
            </w:tcBorders>
          </w:tcPr>
          <w:p>
            <w:pPr>
              <w:spacing w:after="0"/>
              <w:rPr>
                <w:sz w:val="16"/>
                <w:szCs w:val="16"/>
                <w:color w:val="auto"/>
              </w:rPr>
            </w:pPr>
          </w:p>
        </w:tc>
        <w:tc>
          <w:tcPr>
            <w:tcW w:w="1740" w:type="dxa"/>
            <w:vAlign w:val="bottom"/>
            <w:tcBorders>
              <w:right w:val="single" w:sz="8" w:color="93A1D2"/>
            </w:tcBorders>
            <w:shd w:val="clear" w:color="auto" w:fill="3465B0"/>
          </w:tcPr>
          <w:p>
            <w:pPr>
              <w:spacing w:after="0"/>
              <w:rPr>
                <w:sz w:val="16"/>
                <w:szCs w:val="16"/>
                <w:color w:val="auto"/>
              </w:rPr>
            </w:pPr>
          </w:p>
        </w:tc>
        <w:tc>
          <w:tcPr>
            <w:tcW w:w="880" w:type="dxa"/>
            <w:vAlign w:val="bottom"/>
            <w:tcBorders>
              <w:right w:val="single" w:sz="8" w:color="93A1D2"/>
            </w:tcBorders>
            <w:shd w:val="clear" w:color="auto" w:fill="3465B0"/>
          </w:tcPr>
          <w:p>
            <w:pPr>
              <w:spacing w:after="0"/>
              <w:rPr>
                <w:sz w:val="16"/>
                <w:szCs w:val="16"/>
                <w:color w:val="auto"/>
              </w:rPr>
            </w:pPr>
          </w:p>
        </w:tc>
        <w:tc>
          <w:tcPr>
            <w:tcW w:w="1260" w:type="dxa"/>
            <w:vAlign w:val="bottom"/>
            <w:shd w:val="clear" w:color="auto" w:fill="3465B0"/>
          </w:tcPr>
          <w:p>
            <w:pPr>
              <w:ind w:left="120"/>
              <w:spacing w:after="0"/>
              <w:rPr>
                <w:sz w:val="20"/>
                <w:szCs w:val="20"/>
                <w:color w:val="auto"/>
              </w:rPr>
            </w:pPr>
            <w:r>
              <w:rPr>
                <w:rFonts w:ascii="Arial" w:cs="Arial" w:eastAsia="Arial" w:hAnsi="Arial"/>
                <w:sz w:val="16"/>
                <w:szCs w:val="16"/>
                <w:b w:val="1"/>
                <w:bCs w:val="1"/>
                <w:color w:val="FFFFFF"/>
              </w:rPr>
              <w:t>Performance</w:t>
            </w:r>
          </w:p>
        </w:tc>
        <w:tc>
          <w:tcPr>
            <w:tcW w:w="900" w:type="dxa"/>
            <w:vAlign w:val="bottom"/>
            <w:tcBorders>
              <w:left w:val="single" w:sz="8" w:color="93A1D2"/>
              <w:right w:val="single" w:sz="8" w:color="93A1D2"/>
            </w:tcBorders>
            <w:shd w:val="clear" w:color="auto" w:fill="3465B0"/>
          </w:tcPr>
          <w:p>
            <w:pPr>
              <w:spacing w:after="0"/>
              <w:rPr>
                <w:sz w:val="16"/>
                <w:szCs w:val="16"/>
                <w:color w:val="auto"/>
              </w:rPr>
            </w:pPr>
          </w:p>
        </w:tc>
        <w:tc>
          <w:tcPr>
            <w:tcW w:w="1260" w:type="dxa"/>
            <w:vAlign w:val="bottom"/>
            <w:shd w:val="clear" w:color="auto" w:fill="3465B0"/>
          </w:tcPr>
          <w:p>
            <w:pPr>
              <w:jc w:val="right"/>
              <w:ind w:right="55"/>
              <w:spacing w:after="0"/>
              <w:rPr>
                <w:sz w:val="20"/>
                <w:szCs w:val="20"/>
                <w:color w:val="auto"/>
              </w:rPr>
            </w:pPr>
            <w:r>
              <w:rPr>
                <w:rFonts w:ascii="Arial" w:cs="Arial" w:eastAsia="Arial" w:hAnsi="Arial"/>
                <w:sz w:val="16"/>
                <w:szCs w:val="16"/>
                <w:b w:val="1"/>
                <w:bCs w:val="1"/>
                <w:color w:val="FFFFFF"/>
              </w:rPr>
              <w:t>Performance</w:t>
            </w:r>
          </w:p>
        </w:tc>
        <w:tc>
          <w:tcPr>
            <w:tcW w:w="900" w:type="dxa"/>
            <w:vAlign w:val="bottom"/>
            <w:tcBorders>
              <w:left w:val="single" w:sz="8" w:color="93A1D2"/>
              <w:right w:val="single" w:sz="8" w:color="93A1D2"/>
            </w:tcBorders>
            <w:shd w:val="clear" w:color="auto" w:fill="3465B0"/>
          </w:tcPr>
          <w:p>
            <w:pPr>
              <w:spacing w:after="0"/>
              <w:rPr>
                <w:sz w:val="16"/>
                <w:szCs w:val="16"/>
                <w:color w:val="auto"/>
              </w:rPr>
            </w:pPr>
          </w:p>
        </w:tc>
        <w:tc>
          <w:tcPr>
            <w:tcW w:w="1260" w:type="dxa"/>
            <w:vAlign w:val="bottom"/>
            <w:shd w:val="clear" w:color="auto" w:fill="3465B0"/>
          </w:tcPr>
          <w:p>
            <w:pPr>
              <w:ind w:left="120"/>
              <w:spacing w:after="0"/>
              <w:rPr>
                <w:sz w:val="20"/>
                <w:szCs w:val="20"/>
                <w:color w:val="auto"/>
              </w:rPr>
            </w:pPr>
            <w:r>
              <w:rPr>
                <w:rFonts w:ascii="Arial" w:cs="Arial" w:eastAsia="Arial" w:hAnsi="Arial"/>
                <w:sz w:val="16"/>
                <w:szCs w:val="16"/>
                <w:b w:val="1"/>
                <w:bCs w:val="1"/>
                <w:color w:val="FFFFFF"/>
              </w:rPr>
              <w:t>Performance</w:t>
            </w:r>
          </w:p>
        </w:tc>
        <w:tc>
          <w:tcPr>
            <w:tcW w:w="120" w:type="dxa"/>
            <w:vAlign w:val="bottom"/>
            <w:tcBorders>
              <w:left w:val="single" w:sz="8" w:color="93A1D2"/>
            </w:tcBorders>
            <w:shd w:val="clear" w:color="auto" w:fill="3465B0"/>
          </w:tcPr>
          <w:p>
            <w:pPr>
              <w:spacing w:after="0"/>
              <w:rPr>
                <w:sz w:val="16"/>
                <w:szCs w:val="16"/>
                <w:color w:val="auto"/>
              </w:rPr>
            </w:pPr>
          </w:p>
        </w:tc>
        <w:tc>
          <w:tcPr>
            <w:tcW w:w="820" w:type="dxa"/>
            <w:vAlign w:val="bottom"/>
            <w:tcBorders>
              <w:right w:val="single" w:sz="8" w:color="3465B0"/>
            </w:tcBorders>
            <w:shd w:val="clear" w:color="auto" w:fill="3465B0"/>
          </w:tcPr>
          <w:p>
            <w:pPr>
              <w:ind w:left="40"/>
              <w:spacing w:after="0"/>
              <w:rPr>
                <w:sz w:val="20"/>
                <w:szCs w:val="20"/>
                <w:color w:val="auto"/>
              </w:rPr>
            </w:pPr>
            <w:r>
              <w:rPr>
                <w:rFonts w:ascii="Arial" w:cs="Arial" w:eastAsia="Arial" w:hAnsi="Arial"/>
                <w:sz w:val="16"/>
                <w:szCs w:val="16"/>
                <w:b w:val="1"/>
                <w:bCs w:val="1"/>
                <w:color w:val="FFFFFF"/>
              </w:rPr>
              <w:t>year</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40" w:type="dxa"/>
            <w:vAlign w:val="bottom"/>
            <w:tcBorders>
              <w:right w:val="single" w:sz="8" w:color="3465B0"/>
            </w:tcBorders>
          </w:tcPr>
          <w:p>
            <w:pPr>
              <w:spacing w:after="0"/>
              <w:rPr>
                <w:sz w:val="20"/>
                <w:szCs w:val="20"/>
                <w:color w:val="auto"/>
              </w:rPr>
            </w:pPr>
          </w:p>
        </w:tc>
        <w:tc>
          <w:tcPr>
            <w:tcW w:w="1740" w:type="dxa"/>
            <w:vAlign w:val="bottom"/>
            <w:tcBorders>
              <w:right w:val="single" w:sz="8" w:color="93A1D2"/>
            </w:tcBorders>
            <w:shd w:val="clear" w:color="auto" w:fill="3465B0"/>
          </w:tcPr>
          <w:p>
            <w:pPr>
              <w:ind w:left="80"/>
              <w:spacing w:after="0"/>
              <w:rPr>
                <w:sz w:val="20"/>
                <w:szCs w:val="20"/>
                <w:color w:val="auto"/>
              </w:rPr>
            </w:pPr>
            <w:r>
              <w:rPr>
                <w:rFonts w:ascii="Arial" w:cs="Arial" w:eastAsia="Arial" w:hAnsi="Arial"/>
                <w:sz w:val="16"/>
                <w:szCs w:val="16"/>
                <w:b w:val="1"/>
                <w:bCs w:val="1"/>
                <w:color w:val="FFFFFF"/>
              </w:rPr>
              <w:t>($ in millions)</w:t>
            </w:r>
          </w:p>
        </w:tc>
        <w:tc>
          <w:tcPr>
            <w:tcW w:w="880" w:type="dxa"/>
            <w:vAlign w:val="bottom"/>
            <w:tcBorders>
              <w:right w:val="single" w:sz="8" w:color="93A1D2"/>
            </w:tcBorders>
            <w:shd w:val="clear" w:color="auto" w:fill="3465B0"/>
          </w:tcPr>
          <w:p>
            <w:pPr>
              <w:jc w:val="right"/>
              <w:ind w:right="173"/>
              <w:spacing w:after="0"/>
              <w:rPr>
                <w:sz w:val="20"/>
                <w:szCs w:val="20"/>
                <w:color w:val="auto"/>
              </w:rPr>
            </w:pPr>
            <w:r>
              <w:rPr>
                <w:rFonts w:ascii="Arial" w:cs="Arial" w:eastAsia="Arial" w:hAnsi="Arial"/>
                <w:sz w:val="16"/>
                <w:szCs w:val="16"/>
                <w:b w:val="1"/>
                <w:bCs w:val="1"/>
                <w:color w:val="FFFFFF"/>
              </w:rPr>
              <w:t>Actual</w:t>
            </w:r>
          </w:p>
        </w:tc>
        <w:tc>
          <w:tcPr>
            <w:tcW w:w="1260" w:type="dxa"/>
            <w:vAlign w:val="bottom"/>
            <w:shd w:val="clear" w:color="auto" w:fill="3465B0"/>
          </w:tcPr>
          <w:p>
            <w:pPr>
              <w:ind w:left="120"/>
              <w:spacing w:after="0"/>
              <w:rPr>
                <w:sz w:val="20"/>
                <w:szCs w:val="20"/>
                <w:color w:val="auto"/>
              </w:rPr>
            </w:pPr>
            <w:r>
              <w:rPr>
                <w:rFonts w:ascii="Arial" w:cs="Arial" w:eastAsia="Arial" w:hAnsi="Arial"/>
                <w:sz w:val="16"/>
                <w:szCs w:val="16"/>
                <w:b w:val="1"/>
                <w:bCs w:val="1"/>
                <w:color w:val="FFFFFF"/>
              </w:rPr>
              <w:t>Multiplier</w:t>
            </w:r>
          </w:p>
        </w:tc>
        <w:tc>
          <w:tcPr>
            <w:tcW w:w="900" w:type="dxa"/>
            <w:vAlign w:val="bottom"/>
            <w:tcBorders>
              <w:left w:val="single" w:sz="8" w:color="93A1D2"/>
              <w:right w:val="single" w:sz="8" w:color="93A1D2"/>
            </w:tcBorders>
            <w:shd w:val="clear" w:color="auto" w:fill="3465B0"/>
          </w:tcPr>
          <w:p>
            <w:pPr>
              <w:jc w:val="right"/>
              <w:ind w:right="173"/>
              <w:spacing w:after="0"/>
              <w:rPr>
                <w:sz w:val="20"/>
                <w:szCs w:val="20"/>
                <w:color w:val="auto"/>
              </w:rPr>
            </w:pPr>
            <w:r>
              <w:rPr>
                <w:rFonts w:ascii="Arial" w:cs="Arial" w:eastAsia="Arial" w:hAnsi="Arial"/>
                <w:sz w:val="16"/>
                <w:szCs w:val="16"/>
                <w:b w:val="1"/>
                <w:bCs w:val="1"/>
                <w:color w:val="FFFFFF"/>
              </w:rPr>
              <w:t>Actual</w:t>
            </w:r>
          </w:p>
        </w:tc>
        <w:tc>
          <w:tcPr>
            <w:tcW w:w="1260" w:type="dxa"/>
            <w:vAlign w:val="bottom"/>
            <w:shd w:val="clear" w:color="auto" w:fill="3465B0"/>
          </w:tcPr>
          <w:p>
            <w:pPr>
              <w:jc w:val="right"/>
              <w:ind w:right="335"/>
              <w:spacing w:after="0"/>
              <w:rPr>
                <w:sz w:val="20"/>
                <w:szCs w:val="20"/>
                <w:color w:val="auto"/>
              </w:rPr>
            </w:pPr>
            <w:r>
              <w:rPr>
                <w:rFonts w:ascii="Arial" w:cs="Arial" w:eastAsia="Arial" w:hAnsi="Arial"/>
                <w:sz w:val="16"/>
                <w:szCs w:val="16"/>
                <w:b w:val="1"/>
                <w:bCs w:val="1"/>
                <w:color w:val="FFFFFF"/>
              </w:rPr>
              <w:t>Multiplier</w:t>
            </w:r>
          </w:p>
        </w:tc>
        <w:tc>
          <w:tcPr>
            <w:tcW w:w="900" w:type="dxa"/>
            <w:vAlign w:val="bottom"/>
            <w:tcBorders>
              <w:left w:val="single" w:sz="8" w:color="93A1D2"/>
              <w:right w:val="single" w:sz="8" w:color="93A1D2"/>
            </w:tcBorders>
            <w:shd w:val="clear" w:color="auto" w:fill="3465B0"/>
          </w:tcPr>
          <w:p>
            <w:pPr>
              <w:jc w:val="right"/>
              <w:ind w:right="175"/>
              <w:spacing w:after="0"/>
              <w:rPr>
                <w:sz w:val="20"/>
                <w:szCs w:val="20"/>
                <w:color w:val="auto"/>
              </w:rPr>
            </w:pPr>
            <w:r>
              <w:rPr>
                <w:rFonts w:ascii="Arial" w:cs="Arial" w:eastAsia="Arial" w:hAnsi="Arial"/>
                <w:sz w:val="16"/>
                <w:szCs w:val="16"/>
                <w:b w:val="1"/>
                <w:bCs w:val="1"/>
                <w:color w:val="FFFFFF"/>
              </w:rPr>
              <w:t>Actual</w:t>
            </w:r>
          </w:p>
        </w:tc>
        <w:tc>
          <w:tcPr>
            <w:tcW w:w="1260" w:type="dxa"/>
            <w:vAlign w:val="bottom"/>
            <w:shd w:val="clear" w:color="auto" w:fill="3465B0"/>
          </w:tcPr>
          <w:p>
            <w:pPr>
              <w:ind w:left="120"/>
              <w:spacing w:after="0"/>
              <w:rPr>
                <w:sz w:val="20"/>
                <w:szCs w:val="20"/>
                <w:color w:val="auto"/>
              </w:rPr>
            </w:pPr>
            <w:r>
              <w:rPr>
                <w:rFonts w:ascii="Arial" w:cs="Arial" w:eastAsia="Arial" w:hAnsi="Arial"/>
                <w:sz w:val="16"/>
                <w:szCs w:val="16"/>
                <w:b w:val="1"/>
                <w:bCs w:val="1"/>
                <w:color w:val="FFFFFF"/>
              </w:rPr>
              <w:t>Multiplier</w:t>
            </w:r>
          </w:p>
        </w:tc>
        <w:tc>
          <w:tcPr>
            <w:tcW w:w="120" w:type="dxa"/>
            <w:vAlign w:val="bottom"/>
            <w:tcBorders>
              <w:left w:val="single" w:sz="8" w:color="93A1D2"/>
            </w:tcBorders>
            <w:shd w:val="clear" w:color="auto" w:fill="3465B0"/>
          </w:tcPr>
          <w:p>
            <w:pPr>
              <w:spacing w:after="0"/>
              <w:rPr>
                <w:sz w:val="20"/>
                <w:szCs w:val="20"/>
                <w:color w:val="auto"/>
              </w:rPr>
            </w:pPr>
          </w:p>
        </w:tc>
        <w:tc>
          <w:tcPr>
            <w:tcW w:w="820" w:type="dxa"/>
            <w:vAlign w:val="bottom"/>
            <w:tcBorders>
              <w:right w:val="single" w:sz="8" w:color="3465B0"/>
            </w:tcBorders>
            <w:shd w:val="clear" w:color="auto" w:fill="3465B0"/>
          </w:tcPr>
          <w:p>
            <w:pPr>
              <w:ind w:left="40"/>
              <w:spacing w:after="0"/>
              <w:rPr>
                <w:sz w:val="20"/>
                <w:szCs w:val="20"/>
                <w:color w:val="auto"/>
              </w:rPr>
            </w:pPr>
            <w:r>
              <w:rPr>
                <w:rFonts w:ascii="Arial" w:cs="Arial" w:eastAsia="Arial" w:hAnsi="Arial"/>
                <w:sz w:val="16"/>
                <w:szCs w:val="16"/>
                <w:b w:val="1"/>
                <w:bCs w:val="1"/>
                <w:color w:val="FFFFFF"/>
              </w:rPr>
              <w:t>Average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40" w:type="dxa"/>
            <w:vAlign w:val="bottom"/>
            <w:tcBorders>
              <w:right w:val="single" w:sz="8" w:color="3465B0"/>
            </w:tcBorders>
          </w:tcPr>
          <w:p>
            <w:pPr>
              <w:spacing w:after="0"/>
              <w:rPr>
                <w:sz w:val="18"/>
                <w:szCs w:val="18"/>
                <w:color w:val="auto"/>
              </w:rPr>
            </w:pPr>
          </w:p>
        </w:tc>
        <w:tc>
          <w:tcPr>
            <w:tcW w:w="1740" w:type="dxa"/>
            <w:vAlign w:val="bottom"/>
            <w:tcBorders>
              <w:right w:val="single" w:sz="8" w:color="93A1D2"/>
            </w:tcBorders>
          </w:tcPr>
          <w:p>
            <w:pPr>
              <w:ind w:left="80"/>
              <w:spacing w:after="0"/>
              <w:rPr>
                <w:sz w:val="20"/>
                <w:szCs w:val="20"/>
                <w:color w:val="auto"/>
              </w:rPr>
            </w:pPr>
            <w:r>
              <w:rPr>
                <w:rFonts w:ascii="Arial" w:cs="Arial" w:eastAsia="Arial" w:hAnsi="Arial"/>
                <w:sz w:val="18"/>
                <w:szCs w:val="18"/>
                <w:color w:val="auto"/>
              </w:rPr>
              <w:t>Adjusted</w:t>
            </w:r>
          </w:p>
        </w:tc>
        <w:tc>
          <w:tcPr>
            <w:tcW w:w="880" w:type="dxa"/>
            <w:vAlign w:val="bottom"/>
            <w:tcBorders>
              <w:right w:val="single" w:sz="8" w:color="93A1D2"/>
            </w:tcBorders>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Borders>
              <w:left w:val="single" w:sz="8" w:color="93A1D2"/>
              <w:right w:val="single" w:sz="8" w:color="93A1D2"/>
            </w:tcBorders>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Borders>
              <w:left w:val="single" w:sz="8" w:color="93A1D2"/>
              <w:right w:val="single" w:sz="8" w:color="93A1D2"/>
            </w:tcBorders>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left w:val="single" w:sz="8" w:color="93A1D2"/>
            </w:tcBorders>
          </w:tcPr>
          <w:p>
            <w:pPr>
              <w:spacing w:after="0"/>
              <w:rPr>
                <w:sz w:val="18"/>
                <w:szCs w:val="18"/>
                <w:color w:val="auto"/>
              </w:rPr>
            </w:pPr>
          </w:p>
        </w:tc>
        <w:tc>
          <w:tcPr>
            <w:tcW w:w="82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40" w:type="dxa"/>
            <w:vAlign w:val="bottom"/>
            <w:tcBorders>
              <w:right w:val="single" w:sz="8" w:color="3465B0"/>
            </w:tcBorders>
          </w:tcPr>
          <w:p>
            <w:pPr>
              <w:spacing w:after="0"/>
              <w:rPr>
                <w:sz w:val="17"/>
                <w:szCs w:val="17"/>
                <w:color w:val="auto"/>
              </w:rPr>
            </w:pPr>
          </w:p>
        </w:tc>
        <w:tc>
          <w:tcPr>
            <w:tcW w:w="1740" w:type="dxa"/>
            <w:vAlign w:val="bottom"/>
            <w:tcBorders>
              <w:right w:val="single" w:sz="8" w:color="93A1D2"/>
            </w:tcBorders>
          </w:tcPr>
          <w:p>
            <w:pPr>
              <w:ind w:left="260"/>
              <w:spacing w:after="0" w:line="202" w:lineRule="exact"/>
              <w:rPr>
                <w:sz w:val="20"/>
                <w:szCs w:val="20"/>
                <w:color w:val="auto"/>
              </w:rPr>
            </w:pPr>
            <w:r>
              <w:rPr>
                <w:rFonts w:ascii="Arial" w:cs="Arial" w:eastAsia="Arial" w:hAnsi="Arial"/>
                <w:sz w:val="18"/>
                <w:szCs w:val="18"/>
                <w:color w:val="auto"/>
              </w:rPr>
              <w:t>Operating</w:t>
            </w:r>
          </w:p>
        </w:tc>
        <w:tc>
          <w:tcPr>
            <w:tcW w:w="880" w:type="dxa"/>
            <w:vAlign w:val="bottom"/>
            <w:tcBorders>
              <w:right w:val="single" w:sz="8" w:color="93A1D2"/>
            </w:tcBorders>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Borders>
              <w:left w:val="single" w:sz="8" w:color="93A1D2"/>
              <w:right w:val="single" w:sz="8" w:color="93A1D2"/>
            </w:tcBorders>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Borders>
              <w:left w:val="single" w:sz="8" w:color="93A1D2"/>
              <w:right w:val="single" w:sz="8" w:color="93A1D2"/>
            </w:tcBorders>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left w:val="single" w:sz="8" w:color="93A1D2"/>
            </w:tcBorders>
          </w:tcPr>
          <w:p>
            <w:pPr>
              <w:spacing w:after="0"/>
              <w:rPr>
                <w:sz w:val="17"/>
                <w:szCs w:val="17"/>
                <w:color w:val="auto"/>
              </w:rPr>
            </w:pPr>
          </w:p>
        </w:tc>
        <w:tc>
          <w:tcPr>
            <w:tcW w:w="82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Borders>
              <w:right w:val="single" w:sz="8" w:color="3465B0"/>
            </w:tcBorders>
          </w:tcPr>
          <w:p>
            <w:pPr>
              <w:spacing w:after="0"/>
              <w:rPr>
                <w:sz w:val="17"/>
                <w:szCs w:val="17"/>
                <w:color w:val="auto"/>
              </w:rPr>
            </w:pPr>
          </w:p>
        </w:tc>
        <w:tc>
          <w:tcPr>
            <w:tcW w:w="1740" w:type="dxa"/>
            <w:vAlign w:val="bottom"/>
            <w:tcBorders>
              <w:right w:val="single" w:sz="8" w:color="93A1D2"/>
            </w:tcBorders>
          </w:tcPr>
          <w:p>
            <w:pPr>
              <w:ind w:left="260"/>
              <w:spacing w:after="0" w:line="202" w:lineRule="exact"/>
              <w:rPr>
                <w:sz w:val="20"/>
                <w:szCs w:val="20"/>
                <w:color w:val="auto"/>
              </w:rPr>
            </w:pPr>
            <w:r>
              <w:rPr>
                <w:rFonts w:ascii="Arial" w:cs="Arial" w:eastAsia="Arial" w:hAnsi="Arial"/>
                <w:sz w:val="18"/>
                <w:szCs w:val="18"/>
                <w:color w:val="auto"/>
              </w:rPr>
              <w:t>Income (75%</w:t>
            </w:r>
          </w:p>
        </w:tc>
        <w:tc>
          <w:tcPr>
            <w:tcW w:w="880" w:type="dxa"/>
            <w:vAlign w:val="bottom"/>
            <w:tcBorders>
              <w:right w:val="single" w:sz="8" w:color="93A1D2"/>
            </w:tcBorders>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Borders>
              <w:left w:val="single" w:sz="8" w:color="93A1D2"/>
              <w:right w:val="single" w:sz="8" w:color="93A1D2"/>
            </w:tcBorders>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Borders>
              <w:left w:val="single" w:sz="8" w:color="93A1D2"/>
              <w:right w:val="single" w:sz="8" w:color="93A1D2"/>
            </w:tcBorders>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left w:val="single" w:sz="8" w:color="93A1D2"/>
            </w:tcBorders>
          </w:tcPr>
          <w:p>
            <w:pPr>
              <w:spacing w:after="0"/>
              <w:rPr>
                <w:sz w:val="17"/>
                <w:szCs w:val="17"/>
                <w:color w:val="auto"/>
              </w:rPr>
            </w:pPr>
          </w:p>
        </w:tc>
        <w:tc>
          <w:tcPr>
            <w:tcW w:w="82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40" w:type="dxa"/>
            <w:vAlign w:val="bottom"/>
            <w:tcBorders>
              <w:right w:val="single" w:sz="8" w:color="3465B0"/>
            </w:tcBorders>
          </w:tcPr>
          <w:p>
            <w:pPr>
              <w:spacing w:after="0"/>
              <w:rPr>
                <w:sz w:val="21"/>
                <w:szCs w:val="21"/>
                <w:color w:val="auto"/>
              </w:rPr>
            </w:pPr>
          </w:p>
        </w:tc>
        <w:tc>
          <w:tcPr>
            <w:tcW w:w="1740" w:type="dxa"/>
            <w:vAlign w:val="bottom"/>
            <w:tcBorders>
              <w:right w:val="single" w:sz="8" w:color="93A1D2"/>
            </w:tcBorders>
          </w:tcPr>
          <w:p>
            <w:pPr>
              <w:ind w:left="260"/>
              <w:spacing w:after="0"/>
              <w:rPr>
                <w:sz w:val="20"/>
                <w:szCs w:val="20"/>
                <w:color w:val="auto"/>
              </w:rPr>
            </w:pPr>
            <w:r>
              <w:rPr>
                <w:rFonts w:ascii="Arial" w:cs="Arial" w:eastAsia="Arial" w:hAnsi="Arial"/>
                <w:sz w:val="18"/>
                <w:szCs w:val="18"/>
                <w:color w:val="auto"/>
              </w:rPr>
              <w:t>Weighting)</w:t>
            </w:r>
          </w:p>
        </w:tc>
        <w:tc>
          <w:tcPr>
            <w:tcW w:w="880" w:type="dxa"/>
            <w:vAlign w:val="bottom"/>
            <w:tcBorders>
              <w:right w:val="single" w:sz="8" w:color="93A1D2"/>
            </w:tcBorders>
          </w:tcPr>
          <w:p>
            <w:pPr>
              <w:jc w:val="right"/>
              <w:ind w:right="73"/>
              <w:spacing w:after="0"/>
              <w:rPr>
                <w:sz w:val="20"/>
                <w:szCs w:val="20"/>
                <w:color w:val="auto"/>
              </w:rPr>
            </w:pPr>
            <w:r>
              <w:rPr>
                <w:rFonts w:ascii="Arial" w:cs="Arial" w:eastAsia="Arial" w:hAnsi="Arial"/>
                <w:sz w:val="18"/>
                <w:szCs w:val="18"/>
                <w:color w:val="auto"/>
              </w:rPr>
              <w:t>$  77.0</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200%</w:t>
            </w:r>
          </w:p>
        </w:tc>
        <w:tc>
          <w:tcPr>
            <w:tcW w:w="900" w:type="dxa"/>
            <w:vAlign w:val="bottom"/>
            <w:tcBorders>
              <w:left w:val="single" w:sz="8" w:color="93A1D2"/>
              <w:right w:val="single" w:sz="8" w:color="93A1D2"/>
            </w:tcBorders>
          </w:tcPr>
          <w:p>
            <w:pPr>
              <w:jc w:val="right"/>
              <w:ind w:right="73"/>
              <w:spacing w:after="0"/>
              <w:rPr>
                <w:sz w:val="20"/>
                <w:szCs w:val="20"/>
                <w:color w:val="auto"/>
              </w:rPr>
            </w:pPr>
            <w:r>
              <w:rPr>
                <w:rFonts w:ascii="Arial" w:cs="Arial" w:eastAsia="Arial" w:hAnsi="Arial"/>
                <w:sz w:val="18"/>
                <w:szCs w:val="18"/>
                <w:color w:val="auto"/>
              </w:rPr>
              <w:t>$  62.7</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900" w:type="dxa"/>
            <w:vAlign w:val="bottom"/>
            <w:tcBorders>
              <w:left w:val="single" w:sz="8" w:color="93A1D2"/>
              <w:right w:val="single" w:sz="8" w:color="93A1D2"/>
            </w:tcBorders>
          </w:tcPr>
          <w:p>
            <w:pPr>
              <w:jc w:val="right"/>
              <w:ind w:right="75"/>
              <w:spacing w:after="0"/>
              <w:rPr>
                <w:sz w:val="20"/>
                <w:szCs w:val="20"/>
                <w:color w:val="auto"/>
              </w:rPr>
            </w:pPr>
            <w:r>
              <w:rPr>
                <w:rFonts w:ascii="Arial" w:cs="Arial" w:eastAsia="Arial" w:hAnsi="Arial"/>
                <w:sz w:val="18"/>
                <w:szCs w:val="18"/>
                <w:color w:val="auto"/>
              </w:rPr>
              <w:t>$ 109.7</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200%</w:t>
            </w:r>
          </w:p>
        </w:tc>
        <w:tc>
          <w:tcPr>
            <w:tcW w:w="120" w:type="dxa"/>
            <w:vAlign w:val="bottom"/>
            <w:tcBorders>
              <w:left w:val="single" w:sz="8" w:color="93A1D2"/>
            </w:tcBorders>
          </w:tcPr>
          <w:p>
            <w:pPr>
              <w:spacing w:after="0"/>
              <w:rPr>
                <w:sz w:val="21"/>
                <w:szCs w:val="21"/>
                <w:color w:val="auto"/>
              </w:rPr>
            </w:pPr>
          </w:p>
        </w:tc>
        <w:tc>
          <w:tcPr>
            <w:tcW w:w="82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133.3%</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40" w:type="dxa"/>
            <w:vAlign w:val="bottom"/>
            <w:tcBorders>
              <w:right w:val="single" w:sz="8" w:color="3465B0"/>
            </w:tcBorders>
          </w:tcPr>
          <w:p>
            <w:pPr>
              <w:spacing w:after="0"/>
              <w:rPr>
                <w:sz w:val="18"/>
                <w:szCs w:val="18"/>
                <w:color w:val="auto"/>
              </w:rPr>
            </w:pPr>
          </w:p>
        </w:tc>
        <w:tc>
          <w:tcPr>
            <w:tcW w:w="174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8"/>
                <w:szCs w:val="18"/>
                <w:color w:val="auto"/>
              </w:rPr>
              <w:t>ROIC (25%</w:t>
            </w:r>
          </w:p>
        </w:tc>
        <w:tc>
          <w:tcPr>
            <w:tcW w:w="880" w:type="dxa"/>
            <w:vAlign w:val="bottom"/>
            <w:tcBorders>
              <w:right w:val="single" w:sz="8" w:color="93A1D2"/>
            </w:tcBorders>
            <w:shd w:val="clear" w:color="auto" w:fill="CCCCCC"/>
          </w:tcPr>
          <w:p>
            <w:pPr>
              <w:spacing w:after="0"/>
              <w:rPr>
                <w:sz w:val="18"/>
                <w:szCs w:val="18"/>
                <w:color w:val="auto"/>
              </w:rPr>
            </w:pPr>
          </w:p>
        </w:tc>
        <w:tc>
          <w:tcPr>
            <w:tcW w:w="1260" w:type="dxa"/>
            <w:vAlign w:val="bottom"/>
            <w:shd w:val="clear" w:color="auto" w:fill="CCCCCC"/>
          </w:tcPr>
          <w:p>
            <w:pPr>
              <w:spacing w:after="0"/>
              <w:rPr>
                <w:sz w:val="18"/>
                <w:szCs w:val="18"/>
                <w:color w:val="auto"/>
              </w:rPr>
            </w:pPr>
          </w:p>
        </w:tc>
        <w:tc>
          <w:tcPr>
            <w:tcW w:w="900" w:type="dxa"/>
            <w:vAlign w:val="bottom"/>
            <w:tcBorders>
              <w:left w:val="single" w:sz="8" w:color="93A1D2"/>
              <w:right w:val="single" w:sz="8" w:color="93A1D2"/>
            </w:tcBorders>
            <w:shd w:val="clear" w:color="auto" w:fill="CCCCCC"/>
          </w:tcPr>
          <w:p>
            <w:pPr>
              <w:spacing w:after="0"/>
              <w:rPr>
                <w:sz w:val="18"/>
                <w:szCs w:val="18"/>
                <w:color w:val="auto"/>
              </w:rPr>
            </w:pPr>
          </w:p>
        </w:tc>
        <w:tc>
          <w:tcPr>
            <w:tcW w:w="1260" w:type="dxa"/>
            <w:vAlign w:val="bottom"/>
            <w:shd w:val="clear" w:color="auto" w:fill="CCCCCC"/>
          </w:tcPr>
          <w:p>
            <w:pPr>
              <w:spacing w:after="0"/>
              <w:rPr>
                <w:sz w:val="18"/>
                <w:szCs w:val="18"/>
                <w:color w:val="auto"/>
              </w:rPr>
            </w:pPr>
          </w:p>
        </w:tc>
        <w:tc>
          <w:tcPr>
            <w:tcW w:w="900" w:type="dxa"/>
            <w:vAlign w:val="bottom"/>
            <w:tcBorders>
              <w:left w:val="single" w:sz="8" w:color="93A1D2"/>
              <w:right w:val="single" w:sz="8" w:color="93A1D2"/>
            </w:tcBorders>
            <w:shd w:val="clear" w:color="auto" w:fill="CCCCCC"/>
          </w:tcPr>
          <w:p>
            <w:pPr>
              <w:spacing w:after="0"/>
              <w:rPr>
                <w:sz w:val="18"/>
                <w:szCs w:val="18"/>
                <w:color w:val="auto"/>
              </w:rPr>
            </w:pPr>
          </w:p>
        </w:tc>
        <w:tc>
          <w:tcPr>
            <w:tcW w:w="1260" w:type="dxa"/>
            <w:vAlign w:val="bottom"/>
            <w:shd w:val="clear" w:color="auto" w:fill="CCCCCC"/>
          </w:tcPr>
          <w:p>
            <w:pPr>
              <w:spacing w:after="0"/>
              <w:rPr>
                <w:sz w:val="18"/>
                <w:szCs w:val="18"/>
                <w:color w:val="auto"/>
              </w:rPr>
            </w:pPr>
          </w:p>
        </w:tc>
        <w:tc>
          <w:tcPr>
            <w:tcW w:w="120" w:type="dxa"/>
            <w:vAlign w:val="bottom"/>
            <w:tcBorders>
              <w:left w:val="single" w:sz="8" w:color="93A1D2"/>
            </w:tcBorders>
            <w:shd w:val="clear" w:color="auto" w:fill="CCCCCC"/>
          </w:tcPr>
          <w:p>
            <w:pPr>
              <w:spacing w:after="0"/>
              <w:rPr>
                <w:sz w:val="18"/>
                <w:szCs w:val="18"/>
                <w:color w:val="auto"/>
              </w:rPr>
            </w:pPr>
          </w:p>
        </w:tc>
        <w:tc>
          <w:tcPr>
            <w:tcW w:w="820" w:type="dxa"/>
            <w:vAlign w:val="bottom"/>
            <w:tcBorders>
              <w:right w:val="single" w:sz="8" w:color="3465B0"/>
            </w:tcBorders>
            <w:shd w:val="clear" w:color="auto" w:fill="CCCCCC"/>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40" w:type="dxa"/>
            <w:vAlign w:val="bottom"/>
            <w:tcBorders>
              <w:right w:val="single" w:sz="8" w:color="3465B0"/>
            </w:tcBorders>
          </w:tcPr>
          <w:p>
            <w:pPr>
              <w:spacing w:after="0"/>
              <w:rPr>
                <w:sz w:val="21"/>
                <w:szCs w:val="21"/>
                <w:color w:val="auto"/>
              </w:rPr>
            </w:pPr>
          </w:p>
        </w:tc>
        <w:tc>
          <w:tcPr>
            <w:tcW w:w="1740" w:type="dxa"/>
            <w:vAlign w:val="bottom"/>
            <w:tcBorders>
              <w:right w:val="single" w:sz="8" w:color="93A1D2"/>
            </w:tcBorders>
            <w:shd w:val="clear" w:color="auto" w:fill="CCCCCC"/>
          </w:tcPr>
          <w:p>
            <w:pPr>
              <w:ind w:left="260"/>
              <w:spacing w:after="0"/>
              <w:rPr>
                <w:sz w:val="20"/>
                <w:szCs w:val="20"/>
                <w:color w:val="auto"/>
              </w:rPr>
            </w:pPr>
            <w:r>
              <w:rPr>
                <w:rFonts w:ascii="Arial" w:cs="Arial" w:eastAsia="Arial" w:hAnsi="Arial"/>
                <w:sz w:val="18"/>
                <w:szCs w:val="18"/>
                <w:color w:val="auto"/>
              </w:rPr>
              <w:t>Weighting)</w:t>
            </w:r>
          </w:p>
        </w:tc>
        <w:tc>
          <w:tcPr>
            <w:tcW w:w="880" w:type="dxa"/>
            <w:vAlign w:val="bottom"/>
            <w:tcBorders>
              <w:right w:val="single" w:sz="8" w:color="93A1D2"/>
            </w:tcBorders>
            <w:shd w:val="clear" w:color="auto" w:fill="CCCCCC"/>
          </w:tcPr>
          <w:p>
            <w:pPr>
              <w:jc w:val="right"/>
              <w:ind w:right="73"/>
              <w:spacing w:after="0"/>
              <w:rPr>
                <w:sz w:val="20"/>
                <w:szCs w:val="20"/>
                <w:color w:val="auto"/>
              </w:rPr>
            </w:pPr>
            <w:r>
              <w:rPr>
                <w:rFonts w:ascii="Arial" w:cs="Arial" w:eastAsia="Arial" w:hAnsi="Arial"/>
                <w:sz w:val="18"/>
                <w:szCs w:val="18"/>
                <w:color w:val="auto"/>
              </w:rPr>
              <w:t>13.2%</w:t>
            </w:r>
          </w:p>
        </w:tc>
        <w:tc>
          <w:tcPr>
            <w:tcW w:w="1260" w:type="dxa"/>
            <w:vAlign w:val="bottom"/>
            <w:shd w:val="clear" w:color="auto" w:fill="CCCCCC"/>
          </w:tcPr>
          <w:p>
            <w:pPr>
              <w:jc w:val="right"/>
              <w:ind w:right="75"/>
              <w:spacing w:after="0"/>
              <w:rPr>
                <w:sz w:val="20"/>
                <w:szCs w:val="20"/>
                <w:color w:val="auto"/>
              </w:rPr>
            </w:pPr>
            <w:r>
              <w:rPr>
                <w:rFonts w:ascii="Arial" w:cs="Arial" w:eastAsia="Arial" w:hAnsi="Arial"/>
                <w:sz w:val="18"/>
                <w:szCs w:val="18"/>
                <w:color w:val="auto"/>
              </w:rPr>
              <w:t>200%</w:t>
            </w:r>
          </w:p>
        </w:tc>
        <w:tc>
          <w:tcPr>
            <w:tcW w:w="900" w:type="dxa"/>
            <w:vAlign w:val="bottom"/>
            <w:tcBorders>
              <w:left w:val="single" w:sz="8" w:color="93A1D2"/>
              <w:right w:val="single" w:sz="8" w:color="93A1D2"/>
            </w:tcBorders>
            <w:shd w:val="clear" w:color="auto" w:fill="CCCCCC"/>
          </w:tcPr>
          <w:p>
            <w:pPr>
              <w:jc w:val="right"/>
              <w:ind w:right="73"/>
              <w:spacing w:after="0"/>
              <w:rPr>
                <w:sz w:val="20"/>
                <w:szCs w:val="20"/>
                <w:color w:val="auto"/>
              </w:rPr>
            </w:pPr>
            <w:r>
              <w:rPr>
                <w:rFonts w:ascii="Arial" w:cs="Arial" w:eastAsia="Arial" w:hAnsi="Arial"/>
                <w:sz w:val="18"/>
                <w:szCs w:val="18"/>
                <w:color w:val="auto"/>
              </w:rPr>
              <w:t>13.1%</w:t>
            </w:r>
          </w:p>
        </w:tc>
        <w:tc>
          <w:tcPr>
            <w:tcW w:w="1260" w:type="dxa"/>
            <w:vAlign w:val="bottom"/>
            <w:shd w:val="clear" w:color="auto" w:fill="CCCCCC"/>
          </w:tcPr>
          <w:p>
            <w:pPr>
              <w:jc w:val="right"/>
              <w:ind w:right="55"/>
              <w:spacing w:after="0"/>
              <w:rPr>
                <w:sz w:val="20"/>
                <w:szCs w:val="20"/>
                <w:color w:val="auto"/>
              </w:rPr>
            </w:pPr>
            <w:r>
              <w:rPr>
                <w:rFonts w:ascii="Arial" w:cs="Arial" w:eastAsia="Arial" w:hAnsi="Arial"/>
                <w:sz w:val="18"/>
                <w:szCs w:val="18"/>
                <w:color w:val="auto"/>
              </w:rPr>
              <w:t>0%</w:t>
            </w:r>
          </w:p>
        </w:tc>
        <w:tc>
          <w:tcPr>
            <w:tcW w:w="900" w:type="dxa"/>
            <w:vAlign w:val="bottom"/>
            <w:tcBorders>
              <w:left w:val="single" w:sz="8" w:color="93A1D2"/>
              <w:right w:val="single" w:sz="8" w:color="93A1D2"/>
            </w:tcBorders>
            <w:shd w:val="clear" w:color="auto" w:fill="CCCCCC"/>
          </w:tcPr>
          <w:p>
            <w:pPr>
              <w:jc w:val="right"/>
              <w:ind w:right="75"/>
              <w:spacing w:after="0"/>
              <w:rPr>
                <w:sz w:val="20"/>
                <w:szCs w:val="20"/>
                <w:color w:val="auto"/>
              </w:rPr>
            </w:pPr>
            <w:r>
              <w:rPr>
                <w:rFonts w:ascii="Arial" w:cs="Arial" w:eastAsia="Arial" w:hAnsi="Arial"/>
                <w:sz w:val="18"/>
                <w:szCs w:val="18"/>
                <w:color w:val="auto"/>
              </w:rPr>
              <w:t>16.7%</w:t>
            </w:r>
          </w:p>
        </w:tc>
        <w:tc>
          <w:tcPr>
            <w:tcW w:w="1260" w:type="dxa"/>
            <w:vAlign w:val="bottom"/>
            <w:shd w:val="clear" w:color="auto" w:fill="CCCCCC"/>
          </w:tcPr>
          <w:p>
            <w:pPr>
              <w:jc w:val="right"/>
              <w:ind w:right="75"/>
              <w:spacing w:after="0"/>
              <w:rPr>
                <w:sz w:val="20"/>
                <w:szCs w:val="20"/>
                <w:color w:val="auto"/>
              </w:rPr>
            </w:pPr>
            <w:r>
              <w:rPr>
                <w:rFonts w:ascii="Arial" w:cs="Arial" w:eastAsia="Arial" w:hAnsi="Arial"/>
                <w:sz w:val="18"/>
                <w:szCs w:val="18"/>
                <w:color w:val="auto"/>
              </w:rPr>
              <w:t>200%</w:t>
            </w:r>
          </w:p>
        </w:tc>
        <w:tc>
          <w:tcPr>
            <w:tcW w:w="120" w:type="dxa"/>
            <w:vAlign w:val="bottom"/>
            <w:tcBorders>
              <w:left w:val="single" w:sz="8" w:color="93A1D2"/>
            </w:tcBorders>
            <w:shd w:val="clear" w:color="auto" w:fill="CCCCCC"/>
          </w:tcPr>
          <w:p>
            <w:pPr>
              <w:spacing w:after="0"/>
              <w:rPr>
                <w:sz w:val="21"/>
                <w:szCs w:val="21"/>
                <w:color w:val="auto"/>
              </w:rPr>
            </w:pPr>
          </w:p>
        </w:tc>
        <w:tc>
          <w:tcPr>
            <w:tcW w:w="82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133.3%</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40" w:type="dxa"/>
            <w:vAlign w:val="bottom"/>
            <w:tcBorders>
              <w:right w:val="single" w:sz="8" w:color="3465B0"/>
            </w:tcBorders>
          </w:tcPr>
          <w:p>
            <w:pPr>
              <w:spacing w:after="0"/>
              <w:rPr>
                <w:sz w:val="20"/>
                <w:szCs w:val="20"/>
                <w:color w:val="auto"/>
              </w:rPr>
            </w:pPr>
          </w:p>
        </w:tc>
        <w:tc>
          <w:tcPr>
            <w:tcW w:w="1740" w:type="dxa"/>
            <w:vAlign w:val="bottom"/>
            <w:tcBorders>
              <w:bottom w:val="single" w:sz="8" w:color="3465B0"/>
              <w:right w:val="single" w:sz="8" w:color="93A1D2"/>
            </w:tcBorders>
          </w:tcPr>
          <w:p>
            <w:pPr>
              <w:ind w:left="80"/>
              <w:spacing w:after="0"/>
              <w:rPr>
                <w:sz w:val="20"/>
                <w:szCs w:val="20"/>
                <w:color w:val="auto"/>
              </w:rPr>
            </w:pPr>
            <w:r>
              <w:rPr>
                <w:rFonts w:ascii="Arial" w:cs="Arial" w:eastAsia="Arial" w:hAnsi="Arial"/>
                <w:sz w:val="18"/>
                <w:szCs w:val="18"/>
                <w:b w:val="1"/>
                <w:bCs w:val="1"/>
                <w:color w:val="auto"/>
              </w:rPr>
              <w:t>Payout Level</w:t>
            </w:r>
          </w:p>
        </w:tc>
        <w:tc>
          <w:tcPr>
            <w:tcW w:w="880" w:type="dxa"/>
            <w:vAlign w:val="bottom"/>
            <w:tcBorders>
              <w:bottom w:val="single" w:sz="8" w:color="3465B0"/>
              <w:right w:val="single" w:sz="8" w:color="93A1D2"/>
            </w:tcBorders>
          </w:tcPr>
          <w:p>
            <w:pPr>
              <w:spacing w:after="0"/>
              <w:rPr>
                <w:sz w:val="20"/>
                <w:szCs w:val="20"/>
                <w:color w:val="auto"/>
              </w:rPr>
            </w:pPr>
          </w:p>
        </w:tc>
        <w:tc>
          <w:tcPr>
            <w:tcW w:w="1260" w:type="dxa"/>
            <w:vAlign w:val="bottom"/>
            <w:tcBorders>
              <w:bottom w:val="single" w:sz="8" w:color="3465B0"/>
            </w:tcBorders>
          </w:tcPr>
          <w:p>
            <w:pPr>
              <w:spacing w:after="0"/>
              <w:rPr>
                <w:sz w:val="20"/>
                <w:szCs w:val="20"/>
                <w:color w:val="auto"/>
              </w:rPr>
            </w:pPr>
          </w:p>
        </w:tc>
        <w:tc>
          <w:tcPr>
            <w:tcW w:w="900" w:type="dxa"/>
            <w:vAlign w:val="bottom"/>
            <w:tcBorders>
              <w:left w:val="single" w:sz="8" w:color="93A1D2"/>
              <w:bottom w:val="single" w:sz="8" w:color="3465B0"/>
              <w:right w:val="single" w:sz="8" w:color="93A1D2"/>
            </w:tcBorders>
          </w:tcPr>
          <w:p>
            <w:pPr>
              <w:spacing w:after="0"/>
              <w:rPr>
                <w:sz w:val="20"/>
                <w:szCs w:val="20"/>
                <w:color w:val="auto"/>
              </w:rPr>
            </w:pPr>
          </w:p>
        </w:tc>
        <w:tc>
          <w:tcPr>
            <w:tcW w:w="1260" w:type="dxa"/>
            <w:vAlign w:val="bottom"/>
            <w:tcBorders>
              <w:bottom w:val="single" w:sz="8" w:color="3465B0"/>
            </w:tcBorders>
          </w:tcPr>
          <w:p>
            <w:pPr>
              <w:spacing w:after="0"/>
              <w:rPr>
                <w:sz w:val="20"/>
                <w:szCs w:val="20"/>
                <w:color w:val="auto"/>
              </w:rPr>
            </w:pPr>
          </w:p>
        </w:tc>
        <w:tc>
          <w:tcPr>
            <w:tcW w:w="900" w:type="dxa"/>
            <w:vAlign w:val="bottom"/>
            <w:tcBorders>
              <w:left w:val="single" w:sz="8" w:color="93A1D2"/>
              <w:bottom w:val="single" w:sz="8" w:color="3465B0"/>
              <w:right w:val="single" w:sz="8" w:color="93A1D2"/>
            </w:tcBorders>
          </w:tcPr>
          <w:p>
            <w:pPr>
              <w:spacing w:after="0"/>
              <w:rPr>
                <w:sz w:val="20"/>
                <w:szCs w:val="20"/>
                <w:color w:val="auto"/>
              </w:rPr>
            </w:pPr>
          </w:p>
        </w:tc>
        <w:tc>
          <w:tcPr>
            <w:tcW w:w="1260" w:type="dxa"/>
            <w:vAlign w:val="bottom"/>
            <w:tcBorders>
              <w:bottom w:val="single" w:sz="8" w:color="3465B0"/>
            </w:tcBorders>
          </w:tcPr>
          <w:p>
            <w:pPr>
              <w:spacing w:after="0"/>
              <w:rPr>
                <w:sz w:val="20"/>
                <w:szCs w:val="20"/>
                <w:color w:val="auto"/>
              </w:rPr>
            </w:pPr>
          </w:p>
        </w:tc>
        <w:tc>
          <w:tcPr>
            <w:tcW w:w="120" w:type="dxa"/>
            <w:vAlign w:val="bottom"/>
            <w:tcBorders>
              <w:left w:val="single" w:sz="8" w:color="93A1D2"/>
              <w:bottom w:val="single" w:sz="8" w:color="3465B0"/>
            </w:tcBorders>
          </w:tcPr>
          <w:p>
            <w:pPr>
              <w:spacing w:after="0"/>
              <w:rPr>
                <w:sz w:val="20"/>
                <w:szCs w:val="20"/>
                <w:color w:val="auto"/>
              </w:rPr>
            </w:pPr>
          </w:p>
        </w:tc>
        <w:tc>
          <w:tcPr>
            <w:tcW w:w="820" w:type="dxa"/>
            <w:vAlign w:val="bottom"/>
            <w:tcBorders>
              <w:bottom w:val="single" w:sz="8" w:color="3465B0"/>
              <w:right w:val="single" w:sz="8" w:color="3465B0"/>
            </w:tcBorders>
          </w:tcPr>
          <w:p>
            <w:pPr>
              <w:jc w:val="right"/>
              <w:spacing w:after="0"/>
              <w:rPr>
                <w:sz w:val="20"/>
                <w:szCs w:val="20"/>
                <w:color w:val="auto"/>
              </w:rPr>
            </w:pPr>
            <w:r>
              <w:rPr>
                <w:rFonts w:ascii="Arial" w:cs="Arial" w:eastAsia="Arial" w:hAnsi="Arial"/>
                <w:sz w:val="18"/>
                <w:szCs w:val="18"/>
                <w:b w:val="1"/>
                <w:bCs w:val="1"/>
                <w:color w:val="auto"/>
              </w:rPr>
              <w:t>133.3%</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gridSpan w:val="3"/>
          </w:tcPr>
          <w:p>
            <w:pPr>
              <w:ind w:left="580"/>
              <w:spacing w:after="0"/>
              <w:rPr>
                <w:sz w:val="20"/>
                <w:szCs w:val="20"/>
                <w:color w:val="auto"/>
              </w:rPr>
            </w:pPr>
            <w:r>
              <w:rPr>
                <w:rFonts w:ascii="Arial" w:cs="Arial" w:eastAsia="Arial" w:hAnsi="Arial"/>
                <w:sz w:val="16"/>
                <w:szCs w:val="16"/>
                <w:color w:val="auto"/>
                <w:w w:val="94"/>
              </w:rPr>
              <w:t>2026 Proxy Statement  </w:t>
            </w:r>
          </w:p>
        </w:tc>
        <w:tc>
          <w:tcPr>
            <w:tcW w:w="17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44"/>
        </w:trPr>
        <w:tc>
          <w:tcPr>
            <w:tcW w:w="9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-1863725</wp:posOffset>
            </wp:positionV>
            <wp:extent cx="4127500" cy="1708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127500" cy="17081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-368300</wp:posOffset>
            </wp:positionV>
            <wp:extent cx="205740" cy="2057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Upon vesting based on a level of achievement over the three-year performance period of 133.3% of the target award level, and subject to required tax withholding, our NEOs received shares of our common stock as follows:</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60" w:type="dxa"/>
            <w:vAlign w:val="bottom"/>
            <w:tcBorders>
              <w:top w:val="single" w:sz="8" w:color="3465B0"/>
              <w:left w:val="single" w:sz="8" w:color="3465B0"/>
            </w:tcBorders>
            <w:shd w:val="clear" w:color="auto" w:fill="3465B0"/>
          </w:tcPr>
          <w:p>
            <w:pPr>
              <w:spacing w:after="0"/>
              <w:rPr>
                <w:sz w:val="24"/>
                <w:szCs w:val="24"/>
                <w:color w:val="auto"/>
              </w:rPr>
            </w:pPr>
          </w:p>
        </w:tc>
        <w:tc>
          <w:tcPr>
            <w:tcW w:w="6680" w:type="dxa"/>
            <w:vAlign w:val="bottom"/>
            <w:tcBorders>
              <w:top w:val="single" w:sz="8" w:color="3465B0"/>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1080" w:type="dxa"/>
            <w:vAlign w:val="bottom"/>
            <w:tcBorders>
              <w:top w:val="single" w:sz="8" w:color="3465B0"/>
            </w:tcBorders>
            <w:shd w:val="clear" w:color="auto" w:fill="3465B0"/>
          </w:tcPr>
          <w:p>
            <w:pPr>
              <w:spacing w:after="0"/>
              <w:rPr>
                <w:sz w:val="24"/>
                <w:szCs w:val="24"/>
                <w:color w:val="auto"/>
              </w:rPr>
            </w:pPr>
          </w:p>
        </w:tc>
        <w:tc>
          <w:tcPr>
            <w:tcW w:w="1340" w:type="dxa"/>
            <w:vAlign w:val="bottom"/>
            <w:tcBorders>
              <w:top w:val="single" w:sz="8" w:color="3465B0"/>
              <w:right w:val="single" w:sz="8" w:color="3465B0"/>
            </w:tcBorders>
            <w:shd w:val="clear" w:color="auto" w:fill="3465B0"/>
          </w:tcPr>
          <w:p>
            <w:pPr>
              <w:jc w:val="right"/>
              <w:ind w:right="30"/>
              <w:spacing w:after="0"/>
              <w:rPr>
                <w:sz w:val="20"/>
                <w:szCs w:val="20"/>
                <w:color w:val="auto"/>
              </w:rPr>
            </w:pPr>
            <w:r>
              <w:rPr>
                <w:rFonts w:ascii="Arial" w:cs="Arial" w:eastAsia="Arial" w:hAnsi="Arial"/>
                <w:sz w:val="18"/>
                <w:szCs w:val="18"/>
                <w:b w:val="1"/>
                <w:bCs w:val="1"/>
                <w:color w:val="FFFFFF"/>
                <w:w w:val="96"/>
              </w:rPr>
              <w:t>Shares Vested</w:t>
            </w:r>
          </w:p>
        </w:tc>
      </w:tr>
      <w:tr>
        <w:trPr>
          <w:trHeight w:val="247"/>
        </w:trPr>
        <w:tc>
          <w:tcPr>
            <w:tcW w:w="60" w:type="dxa"/>
            <w:vAlign w:val="bottom"/>
            <w:tcBorders>
              <w:left w:val="single" w:sz="8" w:color="3465B0"/>
            </w:tcBorders>
          </w:tcPr>
          <w:p>
            <w:pPr>
              <w:spacing w:after="0"/>
              <w:rPr>
                <w:sz w:val="21"/>
                <w:szCs w:val="21"/>
                <w:color w:val="auto"/>
              </w:rPr>
            </w:pPr>
          </w:p>
        </w:tc>
        <w:tc>
          <w:tcPr>
            <w:tcW w:w="6680" w:type="dxa"/>
            <w:vAlign w:val="bottom"/>
            <w:tcBorders>
              <w:right w:val="single" w:sz="8" w:color="93A1D2"/>
            </w:tcBorders>
          </w:tcPr>
          <w:p>
            <w:pPr>
              <w:ind w:left="40"/>
              <w:spacing w:after="0"/>
              <w:rPr>
                <w:sz w:val="20"/>
                <w:szCs w:val="20"/>
                <w:color w:val="auto"/>
              </w:rPr>
            </w:pPr>
            <w:r>
              <w:rPr>
                <w:rFonts w:ascii="Arial" w:cs="Arial" w:eastAsia="Arial" w:hAnsi="Arial"/>
                <w:sz w:val="18"/>
                <w:szCs w:val="18"/>
                <w:color w:val="auto"/>
              </w:rPr>
              <w:t>L. Reade Fahs</w:t>
            </w:r>
          </w:p>
        </w:tc>
        <w:tc>
          <w:tcPr>
            <w:tcW w:w="2420" w:type="dxa"/>
            <w:vAlign w:val="bottom"/>
            <w:tcBorders>
              <w:right w:val="single" w:sz="8" w:color="3465B0"/>
            </w:tcBorders>
            <w:gridSpan w:val="2"/>
          </w:tcPr>
          <w:p>
            <w:pPr>
              <w:jc w:val="right"/>
              <w:spacing w:after="0"/>
              <w:rPr>
                <w:sz w:val="20"/>
                <w:szCs w:val="20"/>
                <w:color w:val="auto"/>
              </w:rPr>
            </w:pPr>
            <w:r>
              <w:rPr>
                <w:rFonts w:ascii="Arial" w:cs="Arial" w:eastAsia="Arial" w:hAnsi="Arial"/>
                <w:sz w:val="18"/>
                <w:szCs w:val="18"/>
                <w:color w:val="auto"/>
              </w:rPr>
              <w:t>179,248</w:t>
            </w:r>
          </w:p>
        </w:tc>
      </w:tr>
      <w:tr>
        <w:trPr>
          <w:trHeight w:val="23"/>
        </w:trPr>
        <w:tc>
          <w:tcPr>
            <w:tcW w:w="60" w:type="dxa"/>
            <w:vAlign w:val="bottom"/>
            <w:tcBorders>
              <w:left w:val="single" w:sz="8" w:color="3465B0"/>
            </w:tcBorders>
          </w:tcPr>
          <w:p>
            <w:pPr>
              <w:spacing w:after="0"/>
              <w:rPr>
                <w:sz w:val="2"/>
                <w:szCs w:val="2"/>
                <w:color w:val="auto"/>
              </w:rPr>
            </w:pPr>
          </w:p>
        </w:tc>
        <w:tc>
          <w:tcPr>
            <w:tcW w:w="6680" w:type="dxa"/>
            <w:vAlign w:val="bottom"/>
            <w:tcBorders>
              <w:right w:val="single" w:sz="8" w:color="93A1D2"/>
            </w:tcBorders>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Borders>
              <w:right w:val="single" w:sz="8" w:color="3465B0"/>
            </w:tcBorders>
          </w:tcPr>
          <w:p>
            <w:pPr>
              <w:spacing w:after="0"/>
              <w:rPr>
                <w:sz w:val="2"/>
                <w:szCs w:val="2"/>
                <w:color w:val="auto"/>
              </w:rPr>
            </w:pPr>
          </w:p>
        </w:tc>
      </w:tr>
      <w:tr>
        <w:trPr>
          <w:trHeight w:val="311"/>
        </w:trPr>
        <w:tc>
          <w:tcPr>
            <w:tcW w:w="60" w:type="dxa"/>
            <w:vAlign w:val="bottom"/>
            <w:tcBorders>
              <w:left w:val="single" w:sz="8" w:color="3465B0"/>
            </w:tcBorders>
            <w:shd w:val="clear" w:color="auto" w:fill="CCCCCC"/>
          </w:tcPr>
          <w:p>
            <w:pPr>
              <w:spacing w:after="0"/>
              <w:rPr>
                <w:sz w:val="24"/>
                <w:szCs w:val="24"/>
                <w:color w:val="auto"/>
              </w:rPr>
            </w:pPr>
          </w:p>
        </w:tc>
        <w:tc>
          <w:tcPr>
            <w:tcW w:w="6680" w:type="dxa"/>
            <w:vAlign w:val="bottom"/>
            <w:tcBorders>
              <w:right w:val="single" w:sz="8" w:color="93A1D2"/>
            </w:tcBorders>
            <w:shd w:val="clear" w:color="auto" w:fill="CCCCCC"/>
          </w:tcPr>
          <w:p>
            <w:pPr>
              <w:ind w:left="40"/>
              <w:spacing w:after="0" w:line="310" w:lineRule="exact"/>
              <w:rPr>
                <w:sz w:val="20"/>
                <w:szCs w:val="20"/>
                <w:color w:val="auto"/>
              </w:rPr>
            </w:pPr>
            <w:r>
              <w:rPr>
                <w:rFonts w:ascii="Arial" w:cs="Arial" w:eastAsia="Arial" w:hAnsi="Arial"/>
                <w:sz w:val="18"/>
                <w:szCs w:val="18"/>
                <w:color w:val="auto"/>
              </w:rPr>
              <w:t>Alexander N. Wilkes</w:t>
            </w:r>
            <w:r>
              <w:rPr>
                <w:rFonts w:ascii="Arial" w:cs="Arial" w:eastAsia="Arial" w:hAnsi="Arial"/>
                <w:sz w:val="29"/>
                <w:szCs w:val="29"/>
                <w:color w:val="auto"/>
                <w:vertAlign w:val="superscript"/>
              </w:rPr>
              <w:t>(1)</w:t>
            </w:r>
          </w:p>
        </w:tc>
        <w:tc>
          <w:tcPr>
            <w:tcW w:w="1080" w:type="dxa"/>
            <w:vAlign w:val="bottom"/>
            <w:shd w:val="clear" w:color="auto" w:fill="CCCCCC"/>
          </w:tcPr>
          <w:p>
            <w:pPr>
              <w:spacing w:after="0"/>
              <w:rPr>
                <w:sz w:val="24"/>
                <w:szCs w:val="24"/>
                <w:color w:val="auto"/>
              </w:rPr>
            </w:pPr>
          </w:p>
        </w:tc>
        <w:tc>
          <w:tcPr>
            <w:tcW w:w="134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60" w:type="dxa"/>
            <w:vAlign w:val="bottom"/>
            <w:tcBorders>
              <w:left w:val="single" w:sz="8" w:color="3465B0"/>
            </w:tcBorders>
          </w:tcPr>
          <w:p>
            <w:pPr>
              <w:spacing w:after="0"/>
              <w:rPr>
                <w:sz w:val="24"/>
                <w:szCs w:val="24"/>
                <w:color w:val="auto"/>
              </w:rPr>
            </w:pPr>
          </w:p>
        </w:tc>
        <w:tc>
          <w:tcPr>
            <w:tcW w:w="6680" w:type="dxa"/>
            <w:vAlign w:val="bottom"/>
            <w:tcBorders>
              <w:right w:val="single" w:sz="8" w:color="93A1D2"/>
            </w:tcBorders>
          </w:tcPr>
          <w:p>
            <w:pPr>
              <w:ind w:left="40"/>
              <w:spacing w:after="0" w:line="310" w:lineRule="exact"/>
              <w:rPr>
                <w:sz w:val="20"/>
                <w:szCs w:val="20"/>
                <w:color w:val="auto"/>
              </w:rPr>
            </w:pPr>
            <w:r>
              <w:rPr>
                <w:rFonts w:ascii="Arial" w:cs="Arial" w:eastAsia="Arial" w:hAnsi="Arial"/>
                <w:sz w:val="18"/>
                <w:szCs w:val="18"/>
                <w:color w:val="auto"/>
              </w:rPr>
              <w:t>Christopher J. Laden</w:t>
            </w:r>
            <w:r>
              <w:rPr>
                <w:rFonts w:ascii="Arial" w:cs="Arial" w:eastAsia="Arial" w:hAnsi="Arial"/>
                <w:sz w:val="29"/>
                <w:szCs w:val="29"/>
                <w:color w:val="auto"/>
                <w:vertAlign w:val="superscript"/>
              </w:rPr>
              <w:t>(1)</w:t>
            </w:r>
          </w:p>
        </w:tc>
        <w:tc>
          <w:tcPr>
            <w:tcW w:w="1080" w:type="dxa"/>
            <w:vAlign w:val="bottom"/>
          </w:tcPr>
          <w:p>
            <w:pPr>
              <w:spacing w:after="0"/>
              <w:rPr>
                <w:sz w:val="24"/>
                <w:szCs w:val="24"/>
                <w:color w:val="auto"/>
              </w:rPr>
            </w:pPr>
          </w:p>
        </w:tc>
        <w:tc>
          <w:tcPr>
            <w:tcW w:w="134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60" w:type="dxa"/>
            <w:vAlign w:val="bottom"/>
            <w:tcBorders>
              <w:left w:val="single" w:sz="8" w:color="3465B0"/>
            </w:tcBorders>
            <w:shd w:val="clear" w:color="auto" w:fill="CCCCCC"/>
          </w:tcPr>
          <w:p>
            <w:pPr>
              <w:spacing w:after="0"/>
              <w:rPr>
                <w:sz w:val="24"/>
                <w:szCs w:val="24"/>
                <w:color w:val="auto"/>
              </w:rPr>
            </w:pPr>
          </w:p>
        </w:tc>
        <w:tc>
          <w:tcPr>
            <w:tcW w:w="6680" w:type="dxa"/>
            <w:vAlign w:val="bottom"/>
            <w:tcBorders>
              <w:right w:val="single" w:sz="8" w:color="93A1D2"/>
            </w:tcBorders>
            <w:shd w:val="clear" w:color="auto" w:fill="CCCCCC"/>
          </w:tcPr>
          <w:p>
            <w:pPr>
              <w:ind w:left="40"/>
              <w:spacing w:after="0" w:line="310" w:lineRule="exact"/>
              <w:rPr>
                <w:sz w:val="20"/>
                <w:szCs w:val="20"/>
                <w:color w:val="auto"/>
              </w:rPr>
            </w:pPr>
            <w:r>
              <w:rPr>
                <w:rFonts w:ascii="Arial" w:cs="Arial" w:eastAsia="Arial" w:hAnsi="Arial"/>
                <w:sz w:val="18"/>
                <w:szCs w:val="18"/>
                <w:color w:val="auto"/>
              </w:rPr>
              <w:t>Mark S. Banner</w:t>
            </w:r>
            <w:r>
              <w:rPr>
                <w:rFonts w:ascii="Arial" w:cs="Arial" w:eastAsia="Arial" w:hAnsi="Arial"/>
                <w:sz w:val="29"/>
                <w:szCs w:val="29"/>
                <w:color w:val="auto"/>
                <w:vertAlign w:val="superscript"/>
              </w:rPr>
              <w:t>(1)</w:t>
            </w:r>
          </w:p>
        </w:tc>
        <w:tc>
          <w:tcPr>
            <w:tcW w:w="1080" w:type="dxa"/>
            <w:vAlign w:val="bottom"/>
            <w:shd w:val="clear" w:color="auto" w:fill="CCCCCC"/>
          </w:tcPr>
          <w:p>
            <w:pPr>
              <w:spacing w:after="0"/>
              <w:rPr>
                <w:sz w:val="24"/>
                <w:szCs w:val="24"/>
                <w:color w:val="auto"/>
              </w:rPr>
            </w:pPr>
          </w:p>
        </w:tc>
        <w:tc>
          <w:tcPr>
            <w:tcW w:w="134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0" w:type="dxa"/>
            <w:vAlign w:val="bottom"/>
            <w:tcBorders>
              <w:left w:val="single" w:sz="8" w:color="3465B0"/>
            </w:tcBorders>
          </w:tcPr>
          <w:p>
            <w:pPr>
              <w:spacing w:after="0"/>
              <w:rPr>
                <w:sz w:val="21"/>
                <w:szCs w:val="21"/>
                <w:color w:val="auto"/>
              </w:rPr>
            </w:pPr>
          </w:p>
        </w:tc>
        <w:tc>
          <w:tcPr>
            <w:tcW w:w="6680" w:type="dxa"/>
            <w:vAlign w:val="bottom"/>
            <w:tcBorders>
              <w:right w:val="single" w:sz="8" w:color="93A1D2"/>
            </w:tcBorders>
          </w:tcPr>
          <w:p>
            <w:pPr>
              <w:ind w:left="40"/>
              <w:spacing w:after="0"/>
              <w:rPr>
                <w:sz w:val="20"/>
                <w:szCs w:val="20"/>
                <w:color w:val="auto"/>
              </w:rPr>
            </w:pPr>
            <w:r>
              <w:rPr>
                <w:rFonts w:ascii="Arial" w:cs="Arial" w:eastAsia="Arial" w:hAnsi="Arial"/>
                <w:sz w:val="18"/>
                <w:szCs w:val="18"/>
                <w:color w:val="auto"/>
              </w:rPr>
              <w:t>Jared Brandman</w:t>
            </w:r>
          </w:p>
        </w:tc>
        <w:tc>
          <w:tcPr>
            <w:tcW w:w="24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8"/>
                <w:szCs w:val="18"/>
                <w:color w:val="auto"/>
              </w:rPr>
              <w:t>25,394</w:t>
            </w:r>
          </w:p>
        </w:tc>
      </w:tr>
      <w:tr>
        <w:trPr>
          <w:trHeight w:val="23"/>
        </w:trPr>
        <w:tc>
          <w:tcPr>
            <w:tcW w:w="60" w:type="dxa"/>
            <w:vAlign w:val="bottom"/>
            <w:tcBorders>
              <w:left w:val="single" w:sz="8" w:color="3465B0"/>
            </w:tcBorders>
          </w:tcPr>
          <w:p>
            <w:pPr>
              <w:spacing w:after="0"/>
              <w:rPr>
                <w:sz w:val="2"/>
                <w:szCs w:val="2"/>
                <w:color w:val="auto"/>
              </w:rPr>
            </w:pPr>
          </w:p>
        </w:tc>
        <w:tc>
          <w:tcPr>
            <w:tcW w:w="6680" w:type="dxa"/>
            <w:vAlign w:val="bottom"/>
            <w:tcBorders>
              <w:right w:val="single" w:sz="8" w:color="93A1D2"/>
            </w:tcBorders>
          </w:tcPr>
          <w:p>
            <w:pPr>
              <w:spacing w:after="0"/>
              <w:rPr>
                <w:sz w:val="2"/>
                <w:szCs w:val="2"/>
                <w:color w:val="auto"/>
              </w:rPr>
            </w:pPr>
          </w:p>
        </w:tc>
        <w:tc>
          <w:tcPr>
            <w:tcW w:w="2420" w:type="dxa"/>
            <w:vAlign w:val="bottom"/>
            <w:tcBorders>
              <w:right w:val="single" w:sz="8" w:color="3465B0"/>
            </w:tcBorders>
            <w:gridSpan w:val="2"/>
          </w:tcPr>
          <w:p>
            <w:pPr>
              <w:spacing w:after="0"/>
              <w:rPr>
                <w:sz w:val="2"/>
                <w:szCs w:val="2"/>
                <w:color w:val="auto"/>
              </w:rPr>
            </w:pPr>
          </w:p>
        </w:tc>
      </w:tr>
      <w:tr>
        <w:trPr>
          <w:trHeight w:val="250"/>
        </w:trPr>
        <w:tc>
          <w:tcPr>
            <w:tcW w:w="60" w:type="dxa"/>
            <w:vAlign w:val="bottom"/>
            <w:tcBorders>
              <w:left w:val="single" w:sz="8" w:color="3465B0"/>
              <w:bottom w:val="single" w:sz="8" w:color="CCCCCC"/>
            </w:tcBorders>
            <w:shd w:val="clear" w:color="auto" w:fill="CCCCCC"/>
          </w:tcPr>
          <w:p>
            <w:pPr>
              <w:spacing w:after="0"/>
              <w:rPr>
                <w:sz w:val="21"/>
                <w:szCs w:val="21"/>
                <w:color w:val="auto"/>
              </w:rPr>
            </w:pPr>
          </w:p>
        </w:tc>
        <w:tc>
          <w:tcPr>
            <w:tcW w:w="6680" w:type="dxa"/>
            <w:vAlign w:val="bottom"/>
            <w:tcBorders>
              <w:bottom w:val="single" w:sz="8" w:color="CCCCCC"/>
              <w:right w:val="single" w:sz="8" w:color="93A1D2"/>
            </w:tcBorders>
            <w:shd w:val="clear" w:color="auto" w:fill="CCCCCC"/>
          </w:tcPr>
          <w:p>
            <w:pPr>
              <w:ind w:left="40"/>
              <w:spacing w:after="0"/>
              <w:rPr>
                <w:sz w:val="20"/>
                <w:szCs w:val="20"/>
                <w:color w:val="auto"/>
              </w:rPr>
            </w:pPr>
            <w:r>
              <w:rPr>
                <w:rFonts w:ascii="Arial" w:cs="Arial" w:eastAsia="Arial" w:hAnsi="Arial"/>
                <w:sz w:val="18"/>
                <w:szCs w:val="18"/>
                <w:color w:val="auto"/>
              </w:rPr>
              <w:t>Bill Clark</w:t>
            </w:r>
          </w:p>
        </w:tc>
        <w:tc>
          <w:tcPr>
            <w:tcW w:w="2420" w:type="dxa"/>
            <w:vAlign w:val="bottom"/>
            <w:tcBorders>
              <w:bottom w:val="single" w:sz="8" w:color="CCCCCC"/>
              <w:right w:val="single" w:sz="8" w:color="3465B0"/>
            </w:tcBorders>
            <w:gridSpan w:val="2"/>
            <w:shd w:val="clear" w:color="auto" w:fill="CCCCCC"/>
          </w:tcPr>
          <w:p>
            <w:pPr>
              <w:jc w:val="right"/>
              <w:ind w:right="10"/>
              <w:spacing w:after="0"/>
              <w:rPr>
                <w:sz w:val="20"/>
                <w:szCs w:val="20"/>
                <w:color w:val="auto"/>
              </w:rPr>
            </w:pPr>
            <w:r>
              <w:rPr>
                <w:rFonts w:ascii="Arial" w:cs="Arial" w:eastAsia="Arial" w:hAnsi="Arial"/>
                <w:sz w:val="18"/>
                <w:szCs w:val="18"/>
                <w:color w:val="auto"/>
              </w:rPr>
              <w:t>25,394</w:t>
            </w:r>
          </w:p>
        </w:tc>
      </w:tr>
      <w:tr>
        <w:trPr>
          <w:trHeight w:val="247"/>
        </w:trPr>
        <w:tc>
          <w:tcPr>
            <w:tcW w:w="60" w:type="dxa"/>
            <w:vAlign w:val="bottom"/>
            <w:tcBorders>
              <w:left w:val="single" w:sz="8" w:color="3465B0"/>
            </w:tcBorders>
          </w:tcPr>
          <w:p>
            <w:pPr>
              <w:spacing w:after="0"/>
              <w:rPr>
                <w:sz w:val="21"/>
                <w:szCs w:val="21"/>
                <w:color w:val="auto"/>
              </w:rPr>
            </w:pPr>
          </w:p>
        </w:tc>
        <w:tc>
          <w:tcPr>
            <w:tcW w:w="6680" w:type="dxa"/>
            <w:vAlign w:val="bottom"/>
            <w:tcBorders>
              <w:right w:val="single" w:sz="8" w:color="93A1D2"/>
            </w:tcBorders>
          </w:tcPr>
          <w:p>
            <w:pPr>
              <w:ind w:left="40"/>
              <w:spacing w:after="0"/>
              <w:rPr>
                <w:sz w:val="20"/>
                <w:szCs w:val="20"/>
                <w:color w:val="auto"/>
              </w:rPr>
            </w:pPr>
            <w:r>
              <w:rPr>
                <w:rFonts w:ascii="Arial" w:cs="Arial" w:eastAsia="Arial" w:hAnsi="Arial"/>
                <w:sz w:val="18"/>
                <w:szCs w:val="18"/>
                <w:color w:val="auto"/>
              </w:rPr>
              <w:t>Patrick R. Moore</w:t>
            </w:r>
          </w:p>
        </w:tc>
        <w:tc>
          <w:tcPr>
            <w:tcW w:w="24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8"/>
                <w:szCs w:val="18"/>
                <w:color w:val="auto"/>
              </w:rPr>
              <w:t>44,813</w:t>
            </w:r>
          </w:p>
        </w:tc>
      </w:tr>
      <w:tr>
        <w:trPr>
          <w:trHeight w:val="23"/>
        </w:trPr>
        <w:tc>
          <w:tcPr>
            <w:tcW w:w="60" w:type="dxa"/>
            <w:vAlign w:val="bottom"/>
            <w:tcBorders>
              <w:left w:val="single" w:sz="8" w:color="3465B0"/>
            </w:tcBorders>
          </w:tcPr>
          <w:p>
            <w:pPr>
              <w:spacing w:after="0"/>
              <w:rPr>
                <w:sz w:val="2"/>
                <w:szCs w:val="2"/>
                <w:color w:val="auto"/>
              </w:rPr>
            </w:pPr>
          </w:p>
        </w:tc>
        <w:tc>
          <w:tcPr>
            <w:tcW w:w="6680" w:type="dxa"/>
            <w:vAlign w:val="bottom"/>
            <w:tcBorders>
              <w:right w:val="single" w:sz="8" w:color="93A1D2"/>
            </w:tcBorders>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Borders>
              <w:right w:val="single" w:sz="8" w:color="3465B0"/>
            </w:tcBorders>
          </w:tcPr>
          <w:p>
            <w:pPr>
              <w:spacing w:after="0"/>
              <w:rPr>
                <w:sz w:val="2"/>
                <w:szCs w:val="2"/>
                <w:color w:val="auto"/>
              </w:rPr>
            </w:pPr>
          </w:p>
        </w:tc>
      </w:tr>
      <w:tr>
        <w:trPr>
          <w:trHeight w:val="280"/>
        </w:trPr>
        <w:tc>
          <w:tcPr>
            <w:tcW w:w="60" w:type="dxa"/>
            <w:vAlign w:val="bottom"/>
            <w:tcBorders>
              <w:left w:val="single" w:sz="8" w:color="3465B0"/>
              <w:bottom w:val="single" w:sz="8" w:color="3465B0"/>
            </w:tcBorders>
            <w:shd w:val="clear" w:color="auto" w:fill="CCCCCC"/>
          </w:tcPr>
          <w:p>
            <w:pPr>
              <w:spacing w:after="0"/>
              <w:rPr>
                <w:sz w:val="24"/>
                <w:szCs w:val="24"/>
                <w:color w:val="auto"/>
              </w:rPr>
            </w:pPr>
          </w:p>
        </w:tc>
        <w:tc>
          <w:tcPr>
            <w:tcW w:w="6680" w:type="dxa"/>
            <w:vAlign w:val="bottom"/>
            <w:tcBorders>
              <w:bottom w:val="single" w:sz="8" w:color="3465B0"/>
              <w:right w:val="single" w:sz="8" w:color="93A1D2"/>
            </w:tcBorders>
            <w:shd w:val="clear" w:color="auto" w:fill="CCCCCC"/>
          </w:tcPr>
          <w:p>
            <w:pPr>
              <w:ind w:left="40"/>
              <w:spacing w:after="0" w:line="270" w:lineRule="exact"/>
              <w:rPr>
                <w:sz w:val="20"/>
                <w:szCs w:val="20"/>
                <w:color w:val="auto"/>
              </w:rPr>
            </w:pPr>
            <w:r>
              <w:rPr>
                <w:rFonts w:ascii="Arial" w:cs="Arial" w:eastAsia="Arial" w:hAnsi="Arial"/>
                <w:sz w:val="18"/>
                <w:szCs w:val="18"/>
                <w:color w:val="auto"/>
              </w:rPr>
              <w:t>Melissa Rasmussen</w:t>
            </w:r>
            <w:r>
              <w:rPr>
                <w:rFonts w:ascii="Arial" w:cs="Arial" w:eastAsia="Arial" w:hAnsi="Arial"/>
                <w:sz w:val="29"/>
                <w:szCs w:val="29"/>
                <w:color w:val="auto"/>
                <w:vertAlign w:val="superscript"/>
              </w:rPr>
              <w:t>(2)</w:t>
            </w:r>
          </w:p>
        </w:tc>
        <w:tc>
          <w:tcPr>
            <w:tcW w:w="1080" w:type="dxa"/>
            <w:vAlign w:val="bottom"/>
            <w:tcBorders>
              <w:bottom w:val="single" w:sz="8" w:color="3465B0"/>
            </w:tcBorders>
            <w:shd w:val="clear" w:color="auto" w:fill="CCCCCC"/>
          </w:tcPr>
          <w:p>
            <w:pPr>
              <w:spacing w:after="0"/>
              <w:rPr>
                <w:sz w:val="24"/>
                <w:szCs w:val="24"/>
                <w:color w:val="auto"/>
              </w:rPr>
            </w:pPr>
          </w:p>
        </w:tc>
        <w:tc>
          <w:tcPr>
            <w:tcW w:w="1340" w:type="dxa"/>
            <w:vAlign w:val="bottom"/>
            <w:tcBorders>
              <w:bottom w:val="single" w:sz="8" w:color="3465B0"/>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bl>
    <w:p>
      <w:pPr>
        <w:spacing w:after="0" w:line="150" w:lineRule="exact"/>
        <w:rPr>
          <w:sz w:val="20"/>
          <w:szCs w:val="20"/>
          <w:color w:val="auto"/>
        </w:rPr>
      </w:pPr>
    </w:p>
    <w:p>
      <w:pPr>
        <w:ind w:left="360" w:hanging="348"/>
        <w:spacing w:after="0"/>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Messrs. Wilkes, Laden and Banner did not receive PSU awards in 2023.</w:t>
      </w:r>
    </w:p>
    <w:p>
      <w:pPr>
        <w:spacing w:after="0" w:line="109" w:lineRule="exact"/>
        <w:rPr>
          <w:rFonts w:ascii="Arial" w:cs="Arial" w:eastAsia="Arial" w:hAnsi="Arial"/>
          <w:sz w:val="14"/>
          <w:szCs w:val="14"/>
          <w:color w:val="auto"/>
        </w:rPr>
      </w:pPr>
    </w:p>
    <w:p>
      <w:pPr>
        <w:ind w:left="360" w:right="20" w:hanging="348"/>
        <w:spacing w:after="0" w:line="285" w:lineRule="auto"/>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PSUs granted to Ms. Rasmussen in 2023 were forfeited following the termination of her employment in accordance with the terms of the award agreement.</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Other Elements of Compensation</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42"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benefits and perquisites provided to our NEOs are not a material part of executive compensation and are largely limited to those offered to our employees generally, or that we have otherwise determined are necessary or appropriate to attract and retain talented executives.</w:t>
      </w:r>
    </w:p>
    <w:p>
      <w:pPr>
        <w:spacing w:after="0" w:line="101"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We also provide executives, including our NEOs, with additional basic life insurance coverage and supplemental long-term disability and accidental death insurance. In addition, Mr. Fahs receives assistance with tax accounting services and a Young Presidents’ Organization membership. In 2025, Mr. Wilkes received reimbursement for temporary housing under our executive level relocation package. The value of these perquisites and other personal benefits are reflected in the “All Other Compensation” column to the “Summary Compensation Table” and the accompanying footnotes.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Employee Benefit Programs</w:t>
      </w:r>
    </w:p>
    <w:p>
      <w:pPr>
        <w:spacing w:after="0" w:line="129"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We provide health and welfare benefits to our NEOs, which include medical, dental, life insurance, disability insurance and paid time off, on the same terms generally available to all salaried employees, subject to limitations under applicable law.</w:t>
      </w:r>
    </w:p>
    <w:p>
      <w:pPr>
        <w:spacing w:after="0" w:line="101"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i w:val="1"/>
          <w:iCs w:val="1"/>
          <w:color w:val="auto"/>
        </w:rPr>
        <w:t xml:space="preserve">401(k) Savings Plan. </w:t>
      </w:r>
      <w:r>
        <w:rPr>
          <w:rFonts w:ascii="Arial" w:cs="Arial" w:eastAsia="Arial" w:hAnsi="Arial"/>
          <w:sz w:val="18"/>
          <w:szCs w:val="18"/>
          <w:color w:val="auto"/>
        </w:rPr>
        <w:t>Our eligible U.S. employees, including our NEOs, participate in the National Vision, Inc.</w:t>
      </w:r>
      <w:r>
        <w:rPr>
          <w:rFonts w:ascii="Arial" w:cs="Arial" w:eastAsia="Arial" w:hAnsi="Arial"/>
          <w:sz w:val="18"/>
          <w:szCs w:val="18"/>
          <w:i w:val="1"/>
          <w:iCs w:val="1"/>
          <w:color w:val="auto"/>
        </w:rPr>
        <w:t xml:space="preserve"> </w:t>
      </w:r>
      <w:r>
        <w:rPr>
          <w:rFonts w:ascii="Arial" w:cs="Arial" w:eastAsia="Arial" w:hAnsi="Arial"/>
          <w:sz w:val="18"/>
          <w:szCs w:val="18"/>
          <w:color w:val="auto"/>
        </w:rPr>
        <w:t>401(k) Retirement Savings Plan (the “401(k) Plan”). Eligible employees may enroll in the 401(k) Plan during the first month following three months of service with the Company. Under the 401(k) Plan, we match 50% of the first 4% of a participant’s contributions. The Company’s matching contributions vest pro rata over each of the following four years of employment with the Company.</w:t>
      </w:r>
    </w:p>
    <w:p>
      <w:pPr>
        <w:spacing w:after="0" w:line="109"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i w:val="1"/>
          <w:iCs w:val="1"/>
          <w:color w:val="auto"/>
        </w:rPr>
        <w:t>Associate Stock Purchase Plan</w:t>
      </w:r>
      <w:r>
        <w:rPr>
          <w:rFonts w:ascii="Arial" w:cs="Arial" w:eastAsia="Arial" w:hAnsi="Arial"/>
          <w:sz w:val="18"/>
          <w:szCs w:val="18"/>
          <w:color w:val="auto"/>
        </w:rPr>
        <w:t>. We have maintained an Associate Stock Purchase Plan (the “ASPP”) since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ASPP provides all our eligible U.S. employees, including our NEOs, the opportunity to purchase up to $25,000 in our common stock annually at a 10% discount to the market price of our stock.</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29" w:lineRule="exact"/>
        <w:rPr>
          <w:sz w:val="20"/>
          <w:szCs w:val="20"/>
          <w:color w:val="auto"/>
        </w:rPr>
      </w:pPr>
    </w:p>
    <w:p>
      <w:pPr>
        <w:jc w:val="both"/>
        <w:ind w:left="20"/>
        <w:spacing w:after="0" w:line="259" w:lineRule="auto"/>
        <w:rPr>
          <w:sz w:val="20"/>
          <w:szCs w:val="20"/>
          <w:color w:val="auto"/>
        </w:rPr>
      </w:pPr>
      <w:r>
        <w:rPr>
          <w:rFonts w:ascii="Arial" w:cs="Arial" w:eastAsia="Arial" w:hAnsi="Arial"/>
          <w:sz w:val="17"/>
          <w:szCs w:val="17"/>
          <w:color w:val="auto"/>
        </w:rPr>
        <w:t>The Company provides severance protections to our NEOs under the National Vision Holdings, Inc. Executive Severance Plan (the “Executive Severance Plan”) in order to offer competitive total compensation packages and to be competitive in the Company’s executive attraction and retention efforts. The Executive Severance Plan provides for severance payments and benefits to our NEOs, upon a termination of employment by the Company without cause or by the executive for good reason (each as defined in the Executive Severance Plan), in each case, subject to (i) the executive’s execution and non-revocation of a release of claims in favor of the Company and</w:t>
      </w:r>
    </w:p>
    <w:p>
      <w:pPr>
        <w:spacing w:after="0" w:line="42" w:lineRule="exact"/>
        <w:rPr>
          <w:sz w:val="20"/>
          <w:szCs w:val="20"/>
          <w:color w:val="auto"/>
        </w:rPr>
      </w:pPr>
    </w:p>
    <w:p>
      <w:pPr>
        <w:ind w:left="360" w:hanging="346"/>
        <w:spacing w:after="0"/>
        <w:tabs>
          <w:tab w:leader="none" w:pos="360" w:val="left"/>
        </w:tabs>
        <w:numPr>
          <w:ilvl w:val="0"/>
          <w:numId w:val="57"/>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1" w:name="page52"/>
    <w:bookmarkEnd w:id="51"/>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jc w:val="both"/>
        <w:ind w:left="940" w:right="940" w:hanging="8"/>
        <w:spacing w:after="0" w:line="247" w:lineRule="auto"/>
        <w:tabs>
          <w:tab w:leader="none" w:pos="12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executive’s continued compliance with the covenants in the executive’s agreements with the Company pertaining to confidentiality, non-interference and invention assignment. The payments to which each NEO may be entitled under the Executive Severance Plan are further described under “Potential Payments upon Termination or Change in Control.”</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465B0"/>
        </w:rPr>
        <w:t>Additional Compensation Policies</w:t>
      </w:r>
    </w:p>
    <w:p>
      <w:pPr>
        <w:spacing w:after="0" w:line="160"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42"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Our NEOs are subject to specified restrictive covenants, including confidentiality and non-disparagement covenants and covenants related to non-competition and non-solicitation of our employees, consultants and independent contractors at all times during the NEO’s employment, and for specific periods following the termination of employment for any reason. The post-employment restricted time periods are as follows: Mr. Fahs for twenty-four months after termination; Ms. Rasmussen and Messrs. Wilkes, Laden, Brandman and Moore for eighteen months after termination; and Messrs. Banner and Clark for twelve months after termination.</w:t>
      </w:r>
    </w:p>
    <w:p>
      <w:pPr>
        <w:spacing w:after="0" w:line="140"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42"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Our Board of Directors has adopted stock ownership guidelines (the “Guidelines”) applicable to our executive officers and directors. These Guidelines align the interests of our management and directors with those of our stockholders. Executive officers are required to hold shares having a market value equal to at least:</w:t>
      </w:r>
    </w:p>
    <w:p>
      <w:pPr>
        <w:sectPr>
          <w:pgSz w:w="11900" w:h="16838" w:orient="portrait"/>
          <w:cols w:equalWidth="0" w:num="1">
            <w:col w:w="11020"/>
          </w:cols>
          <w:pgMar w:left="440" w:top="114" w:right="439" w:bottom="1440" w:gutter="0" w:footer="0" w:header="0"/>
        </w:sectPr>
      </w:pPr>
    </w:p>
    <w:p>
      <w:pPr>
        <w:spacing w:after="0" w:line="67"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6x annual base salary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Other Executive Officers: 3x annual base salary</w:t>
      </w:r>
    </w:p>
    <w:p>
      <w:pPr>
        <w:spacing w:after="0" w:line="156" w:lineRule="exact"/>
        <w:rPr>
          <w:sz w:val="20"/>
          <w:szCs w:val="20"/>
          <w:color w:val="auto"/>
        </w:rPr>
      </w:pPr>
    </w:p>
    <w:p>
      <w:pPr>
        <w:sectPr>
          <w:pgSz w:w="11900" w:h="16838" w:orient="portrait"/>
          <w:cols w:equalWidth="0" w:num="2">
            <w:col w:w="1320" w:space="140"/>
            <w:col w:w="9560"/>
          </w:cols>
          <w:pgMar w:left="440" w:top="114" w:right="439" w:bottom="1440" w:gutter="0" w:footer="0" w:header="0"/>
          <w:type w:val="continuous"/>
        </w:sectPr>
      </w:pPr>
    </w:p>
    <w:p>
      <w:pPr>
        <w:jc w:val="both"/>
        <w:ind w:left="940" w:right="940"/>
        <w:spacing w:after="0" w:line="253" w:lineRule="auto"/>
        <w:rPr>
          <w:sz w:val="20"/>
          <w:szCs w:val="20"/>
          <w:color w:val="auto"/>
        </w:rPr>
      </w:pPr>
      <w:r>
        <w:rPr>
          <w:rFonts w:ascii="Arial" w:cs="Arial" w:eastAsia="Arial" w:hAnsi="Arial"/>
          <w:sz w:val="18"/>
          <w:szCs w:val="18"/>
          <w:color w:val="auto"/>
        </w:rPr>
        <w:t>There is no required time period within which an executive officer must attain the applicable stock ownership level under the Guidelines. However, until the applicable ownership level is achieved, executive officers must retain 50% of vested shares net of stock option exercise and tax withholding.</w:t>
      </w:r>
    </w:p>
    <w:p>
      <w:pPr>
        <w:spacing w:after="0" w:line="88"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Shares that count toward these ownership requirements include shares owned outright, shares held in the Company’s 401(k) Plan or other retirement plan and RSUs (whether vested or unvested). As of January 3, 2026, all NEOs who remained subject to the Guidelines have met or exceeded their current ownership requirements. The retention requirement for shares applies to all prior and future grants.</w:t>
      </w:r>
    </w:p>
    <w:p>
      <w:pPr>
        <w:spacing w:after="0" w:line="149"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Securities Trading Policy; Hedging and Pledging</w:t>
      </w:r>
    </w:p>
    <w:p>
      <w:pPr>
        <w:spacing w:after="0" w:line="129" w:lineRule="exact"/>
        <w:rPr>
          <w:sz w:val="20"/>
          <w:szCs w:val="20"/>
          <w:color w:val="auto"/>
        </w:rPr>
      </w:pPr>
    </w:p>
    <w:p>
      <w:pPr>
        <w:jc w:val="both"/>
        <w:ind w:left="940" w:right="960"/>
        <w:spacing w:after="0" w:line="253" w:lineRule="auto"/>
        <w:rPr>
          <w:sz w:val="20"/>
          <w:szCs w:val="20"/>
          <w:color w:val="auto"/>
        </w:rPr>
      </w:pPr>
      <w:r>
        <w:rPr>
          <w:rFonts w:ascii="Arial" w:cs="Arial" w:eastAsia="Arial" w:hAnsi="Arial"/>
          <w:sz w:val="18"/>
          <w:szCs w:val="18"/>
          <w:color w:val="auto"/>
        </w:rPr>
        <w:t>Our Securities Trading Policy governs the purchase, sale and/or other dispositions of our securities by our officers, directors, employees or us. We believe our Securities Trading Policy is reasonably designed to promote compliance with insider trading laws, rules and regulations and the Nasdaq listing standards.</w:t>
      </w:r>
    </w:p>
    <w:p>
      <w:pPr>
        <w:spacing w:after="0" w:line="101"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Company securities. Our Securities Trading Policy discourages employees from purchasing Company securities on margin or borrowing against any account in which Company securities are held, or pledging Company securities as collateral for a loan. For directors and officers, the pledging of Company securities is limited to those situations approved by the Company’s General Counsel.</w:t>
      </w:r>
    </w:p>
    <w:p>
      <w:pPr>
        <w:spacing w:after="0" w:line="14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 copy of our Securities Trading Policy is filed as Exhibit 19.1 to the Company’s Annual Report on Form 10-K.</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29"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In October 2023, the compensation committee adopted the Incentive Compensation Recovery Policy (the “Clawback Policy”), which is compliant with SEC and Nasdaq requirements. Pursuant to the Clawback Policy, if the Company is required to prepare an accounting restatement due to material noncompliance with financial reporting requirements under the U.S. securities laws, then we will seek to recover reasonably promptly from any current or former executive officer any erroneously paid incentive-based compensation (including equity compensation) received during the three-year period preceding the date on which the accounting restatement was required to be made, regardless of whether the executive officer engaged in misconduct or otherwise caused or contributed to the requirement for the restatement. The amount to be recovered is the excess of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57785</wp:posOffset>
            </wp:positionV>
            <wp:extent cx="205740" cy="2057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45</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type w:val="continuous"/>
        </w:sectPr>
      </w:pPr>
    </w:p>
    <w:bookmarkStart w:id="52" w:name="page53"/>
    <w:bookmarkEnd w:id="5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paid calculated by reference to the erroneous data, over the amount that would have been paid to the executive officer calculated using the corrected accounting statement data. This mandatory recoupment provision is subject to certain limited exceptions, as provided in the Clawback Policy and permitted under SEC and Nasdaq requirements.</w:t>
      </w:r>
    </w:p>
    <w:p>
      <w:pPr>
        <w:spacing w:after="0" w:line="93"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In addition to the mandatory recoupment provision described above, the Clawback Policy also includes a discretionary recoupment provision, which allows the compensation committee to apply the Clawback Policy to additional employees and to recover additional amounts from an executive officer, former executive officer, or other covered employee if the compensation committee determines that incentive compensation was based on financial results or operating metrics that were satisfied as a result of such person’s fraud, willful misconduct or gross negligence, or such person engaged in any intentional misconduct that caused the Company financial or reputational harm. For purposes of these discretionary provisions, the term “intentional misconduct” means an intentional violation of law, an intentional violation of the Company’s Code of Conduct, or an intentional violation of a written ethics or compliance policy of the Company. The Clawback Policy is filed as an exhibit to the Company’s Annual Report on Form 10-K.</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Compensation Risk Assessment</w:t>
      </w:r>
    </w:p>
    <w:p>
      <w:pPr>
        <w:spacing w:after="0" w:line="142"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compensation committee, with the assistance of Meridian, reviewed our incentive programs to assess whether the programs encourage inappropriate risk-taking. Based on its review, the compensation committee concluded that any risks arising from the Company’s compensation plans, programs and policies, considered as a whole, including applicable risk-mitigation features, are not reasonably likely to have a material adverse effect on the company.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42"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intent of our programs.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12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While we do not have a formal equity grant policy, equity awards granted as part of our annual compensation cycle are granted no earlier than the day immediately following the second trading day following our release of quarterly earnings results, which the compensation committee believes is a sufficient amount of time for the public markets to absorb our quarterly earnings results. The Company has not timed the disclosure of material nonpublic information for the purpose of affecting the value of executive compensation.</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Agreements with Named Executive Officers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Agreement with Mr. Fahs</w:t>
      </w:r>
    </w:p>
    <w:p>
      <w:pPr>
        <w:spacing w:after="0" w:line="129"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On April 28, 2025, in connection with the Succession Plan, we entered into an Executive Chair Agreement with Mr. Fahs which provides for the terms of his service as Executive Chairman. In accordance with his new position and responsibilities, Mr. Fahs’ salary was reduced to $ 700,000 effective August 1, 2025. His target annual cash incentive opportunity remained unchanged for 2025 but was reduced to $560,000 for 2026, and he will not receive an annual cash incentive award for 2027. In 2026, Mr. Fahs received an award of RSUs having a grant date value equal to $2,000,000, which will vest in three annual installments, conditioned upon his continued employment through the date of our annual meeting in 2027, which is when the initial term of the Executive Chair Agreement ends. If we terminate the Executive Chair Agreement without “cause” or Mr. Fahs resigns for “good reason” (as such terms are defined in the Executive Chair Agreement) before the end of the initial term, then, conditioned upon his execution and non-revocation of a general release of claims, Mr. Fahs will receive severance equal to the remaining salary that he would have earned through the end of the term, payable in installments in accordance with our normal payroll practices, plus his target cash bonus for the year of termination (if any), and continued vesting of his then-outstanding equity awards. A copy of the Executive Chair Agreement is filed as an exhibit to the Company’s Annual Report on Form 10-K for the fiscal year ended January 3, 2026.</w:t>
      </w:r>
    </w:p>
    <w:p>
      <w:pPr>
        <w:spacing w:after="0" w:line="66" w:lineRule="exact"/>
        <w:rPr>
          <w:sz w:val="20"/>
          <w:szCs w:val="20"/>
          <w:color w:val="auto"/>
        </w:rPr>
      </w:pPr>
    </w:p>
    <w:p>
      <w:pPr>
        <w:ind w:left="360" w:hanging="346"/>
        <w:spacing w:after="0"/>
        <w:tabs>
          <w:tab w:leader="none" w:pos="360" w:val="left"/>
        </w:tabs>
        <w:numPr>
          <w:ilvl w:val="0"/>
          <w:numId w:val="59"/>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3" w:name="page54"/>
    <w:bookmarkEnd w:id="53"/>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3"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Transition and Separation Agreement with Ms. Rasmussen</w:t>
      </w:r>
    </w:p>
    <w:p>
      <w:pPr>
        <w:spacing w:after="0" w:line="129" w:lineRule="exact"/>
        <w:rPr>
          <w:sz w:val="20"/>
          <w:szCs w:val="20"/>
          <w:color w:val="auto"/>
        </w:rPr>
      </w:pPr>
    </w:p>
    <w:p>
      <w:pPr>
        <w:jc w:val="both"/>
        <w:ind w:left="940" w:right="940"/>
        <w:spacing w:after="0" w:line="238" w:lineRule="auto"/>
        <w:rPr>
          <w:sz w:val="20"/>
          <w:szCs w:val="20"/>
          <w:color w:val="auto"/>
        </w:rPr>
      </w:pPr>
      <w:r>
        <w:rPr>
          <w:rFonts w:ascii="Arial" w:cs="Arial" w:eastAsia="Arial" w:hAnsi="Arial"/>
          <w:sz w:val="18"/>
          <w:szCs w:val="18"/>
          <w:color w:val="auto"/>
        </w:rPr>
        <w:t>In January, 2025, the Company announced that Ms. Rasmussen would be leaving the Company to pursue another opportunity. In February 2025, after concluding negotiations concerning her departure, the Company and Ms. Rasmussen entered into a transition and separation agreement under which Ms. Rasmussen agreed to remain with the Company through close of business on March 3, 2025, to continue to carry out the duties and responsibilities of the role of Chief Financial Officer during such time, including participating in the Company’s earnings calls and assisting in the preparation and filing of the Company’s annual report for the 2024 fiscal year; to actively transfer her duties and responsibilities to such persons as the Company may designate, including to her successor; and to provide such additional assistance as may be requested by the Company’s Chief Executive Officer or Board of Directors. At the end of the transition period, Ms. Rasmussen’s employment with the Company was terminated as a “covered termination” under the Company’s Executive Severance Plan, and Ms. Rasmussen received the associated severance and termination benefits thereunder, the terms of which are further described under “Potential Payments upon Termination or Change in Control.” A copy of the transition and separation agreement is filed as an exhibit to the Company’s Annual Report on Form 10-K.</w:t>
      </w:r>
    </w:p>
    <w:p>
      <w:pPr>
        <w:spacing w:after="0" w:line="155"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29"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In connection with the commencement of their employment, and as is customary for our executive officers, the compensation committee approved an offer letter with respect to each of Mr. Wilkes, Mr. Laden and Mr. Banner, outlining, among other matters, their compensation arrangements. These offers and accompanying compensation arrangements resulted from arm’s-length negotiations and considering the compensation of similarly situated executives, both within the Company and at the companies in our peer group. As a result, we believe they reflect market terms for an executive of a company of our size in our industry.</w:t>
      </w:r>
    </w:p>
    <w:p>
      <w:pPr>
        <w:sectPr>
          <w:pgSz w:w="11900" w:h="16838" w:orient="portrait"/>
          <w:cols w:equalWidth="0" w:num="1">
            <w:col w:w="11020"/>
          </w:cols>
          <w:pgMar w:left="440" w:top="114" w:right="439" w:bottom="1440" w:gutter="0" w:footer="0" w:header="0"/>
        </w:sectPr>
      </w:pPr>
    </w:p>
    <w:p>
      <w:pPr>
        <w:spacing w:after="0" w:line="76"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both"/>
        <w:ind w:right="960"/>
        <w:spacing w:after="0" w:line="244" w:lineRule="auto"/>
        <w:rPr>
          <w:sz w:val="20"/>
          <w:szCs w:val="20"/>
          <w:color w:val="auto"/>
        </w:rPr>
      </w:pPr>
      <w:r>
        <w:rPr>
          <w:rFonts w:ascii="Arial" w:cs="Arial" w:eastAsia="Arial" w:hAnsi="Arial"/>
          <w:sz w:val="18"/>
          <w:szCs w:val="18"/>
          <w:color w:val="auto"/>
        </w:rPr>
        <w:t>Pursuant to his offer letter, upon joining the Company in 2024, Mr. Wilkes received a cash sign-on bonus in the amount of $232,000 and a long-term incentive award with a value of $2,000,000 in the form of RSUs, which vest one-third on each of the first three anniversaries of the grant date. Additionally, Mr. Wilkes’ offer letter provides for (i) a base salary of $ 600,000, (ii) a target annual cash incentive opportunity of 75% of his base salary beginning in 2025, and (iii) reimbursement of relocation expenses.</w:t>
      </w:r>
    </w:p>
    <w:p>
      <w:pPr>
        <w:spacing w:after="0" w:line="68" w:lineRule="exact"/>
        <w:rPr>
          <w:sz w:val="20"/>
          <w:szCs w:val="20"/>
          <w:color w:val="auto"/>
        </w:rPr>
      </w:pPr>
    </w:p>
    <w:p>
      <w:pPr>
        <w:jc w:val="both"/>
        <w:ind w:right="960"/>
        <w:spacing w:after="0" w:line="244" w:lineRule="auto"/>
        <w:rPr>
          <w:sz w:val="20"/>
          <w:szCs w:val="20"/>
          <w:color w:val="auto"/>
        </w:rPr>
      </w:pPr>
      <w:r>
        <w:rPr>
          <w:rFonts w:ascii="Arial" w:cs="Arial" w:eastAsia="Arial" w:hAnsi="Arial"/>
          <w:sz w:val="18"/>
          <w:szCs w:val="18"/>
          <w:color w:val="auto"/>
        </w:rPr>
        <w:t>Pursuant to his offer letter, upon joining the Company in 2025, Mr. Laden received a cash sign-on bonus in the amount of $200,000 and a long-term incentive award with a value of $1,000,000 in the form of RSUs, which vest one-third on each of the first three anniversaries of the grant date. Additional, Mr. Laden’s offer letter provides for (i) a base salary of $500,000, (ii) a target annual cash incentive opportunity of 65% of his base salary, and (iii) reimbursement of relocation expenses.</w:t>
      </w:r>
    </w:p>
    <w:p>
      <w:pPr>
        <w:spacing w:after="0" w:line="68" w:lineRule="exact"/>
        <w:rPr>
          <w:sz w:val="20"/>
          <w:szCs w:val="20"/>
          <w:color w:val="auto"/>
        </w:rPr>
      </w:pPr>
    </w:p>
    <w:p>
      <w:pPr>
        <w:jc w:val="both"/>
        <w:ind w:right="960"/>
        <w:spacing w:after="0"/>
        <w:rPr>
          <w:sz w:val="20"/>
          <w:szCs w:val="20"/>
          <w:color w:val="auto"/>
        </w:rPr>
      </w:pPr>
      <w:r>
        <w:rPr>
          <w:rFonts w:ascii="Arial" w:cs="Arial" w:eastAsia="Arial" w:hAnsi="Arial"/>
          <w:sz w:val="18"/>
          <w:szCs w:val="18"/>
          <w:color w:val="auto"/>
        </w:rPr>
        <w:t>Pursuant to his offer letter, upon joining the Company in 2024, Mr. Banner received a cash sign-on bonus in the amount of $120,000, net of tax, and a long-term incentive award with a value of $900,000 half in the form of RSUs, which vest one-third on each of the first three anniversaries of the grant date, and half in the form of PSUs with a three-year performance period. Additionally, Mr. Banner’s offer letter provides for (i) a guaranteed STIP payout for fiscal year 2024 at the threshold level, (ii) a base salary of $500,000, (ii) a target annual cash incentive opportunity of 60% of his base salary, and (iii) a target equity award value of $900,000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60325</wp:posOffset>
            </wp:positionV>
            <wp:extent cx="205740" cy="2057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1320" w:space="140"/>
            <w:col w:w="9560"/>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47</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type w:val="continuous"/>
        </w:sectPr>
      </w:pPr>
    </w:p>
    <w:bookmarkStart w:id="54" w:name="page55"/>
    <w:bookmarkEnd w:id="5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incorporated by reference in the Annual Report on Form 10-K for the fiscal year ended January 3, 2026, filed with the Securities and Exchange Commission.</w:t>
      </w:r>
    </w:p>
    <w:p>
      <w:pPr>
        <w:spacing w:after="0" w:line="20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Compensation Committee</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Susan Somersille Johnson, Chair</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Naomi Kelman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James M. McGrann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Caitlin Zulla</w:t>
      </w:r>
    </w:p>
    <w:p>
      <w:pPr>
        <w:spacing w:after="0" w:line="133" w:lineRule="exact"/>
        <w:rPr>
          <w:sz w:val="20"/>
          <w:szCs w:val="20"/>
          <w:color w:val="auto"/>
        </w:rPr>
      </w:pPr>
    </w:p>
    <w:p>
      <w:pPr>
        <w:ind w:left="360" w:hanging="346"/>
        <w:spacing w:after="0"/>
        <w:tabs>
          <w:tab w:leader="none" w:pos="360" w:val="left"/>
        </w:tabs>
        <w:numPr>
          <w:ilvl w:val="0"/>
          <w:numId w:val="60"/>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5" w:name="page56"/>
    <w:bookmarkEnd w:id="55"/>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Executive Compensation Tables</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465B0"/>
        </w:rPr>
        <w:t>Summary Compensation Table</w:t>
      </w:r>
    </w:p>
    <w:p>
      <w:pPr>
        <w:spacing w:after="0" w:line="144" w:lineRule="exact"/>
        <w:rPr>
          <w:sz w:val="20"/>
          <w:szCs w:val="20"/>
          <w:color w:val="auto"/>
        </w:rPr>
      </w:pPr>
    </w:p>
    <w:p>
      <w:pPr>
        <w:ind w:left="940" w:right="960"/>
        <w:spacing w:after="0" w:line="271" w:lineRule="auto"/>
        <w:rPr>
          <w:sz w:val="20"/>
          <w:szCs w:val="20"/>
          <w:color w:val="auto"/>
        </w:rPr>
      </w:pPr>
      <w:r>
        <w:rPr>
          <w:rFonts w:ascii="Arial" w:cs="Arial" w:eastAsia="Arial" w:hAnsi="Arial"/>
          <w:sz w:val="18"/>
          <w:szCs w:val="18"/>
          <w:color w:val="auto"/>
        </w:rPr>
        <w:t>The following table presents summary information about the total compensation earned by or paid to our NEOs for the fiscal years ended January 3, 2026, December 28, 2024, and December 30, 2023.</w:t>
      </w:r>
    </w:p>
    <w:p>
      <w:pPr>
        <w:spacing w:after="0" w:line="82" w:lineRule="exact"/>
        <w:rPr>
          <w:sz w:val="20"/>
          <w:szCs w:val="20"/>
          <w:color w:val="auto"/>
        </w:rPr>
      </w:pPr>
    </w:p>
    <w:tbl>
      <w:tblPr>
        <w:tblLayout w:type="fixed"/>
        <w:tblInd w:w="930" w:type="dxa"/>
        <w:tblCellMar>
          <w:top w:w="0" w:type="dxa"/>
          <w:left w:w="0" w:type="dxa"/>
          <w:bottom w:w="0" w:type="dxa"/>
          <w:right w:w="0" w:type="dxa"/>
        </w:tblCellMar>
      </w:tblPr>
      <w:tr>
        <w:trPr>
          <w:trHeight w:val="242"/>
        </w:trPr>
        <w:tc>
          <w:tcPr>
            <w:tcW w:w="60" w:type="dxa"/>
            <w:vAlign w:val="bottom"/>
            <w:tcBorders>
              <w:top w:val="single" w:sz="8" w:color="3465B0"/>
              <w:left w:val="single" w:sz="8" w:color="3465B0"/>
            </w:tcBorders>
            <w:shd w:val="clear" w:color="auto" w:fill="3465B0"/>
          </w:tcPr>
          <w:p>
            <w:pPr>
              <w:spacing w:after="0"/>
              <w:rPr>
                <w:sz w:val="21"/>
                <w:szCs w:val="21"/>
                <w:color w:val="auto"/>
              </w:rPr>
            </w:pPr>
          </w:p>
        </w:tc>
        <w:tc>
          <w:tcPr>
            <w:tcW w:w="2060" w:type="dxa"/>
            <w:vAlign w:val="bottom"/>
            <w:tcBorders>
              <w:top w:val="single" w:sz="8" w:color="3465B0"/>
              <w:right w:val="single" w:sz="8" w:color="93A1D2"/>
            </w:tcBorders>
            <w:shd w:val="clear" w:color="auto" w:fill="3465B0"/>
          </w:tcPr>
          <w:p>
            <w:pPr>
              <w:spacing w:after="0"/>
              <w:rPr>
                <w:sz w:val="21"/>
                <w:szCs w:val="21"/>
                <w:color w:val="auto"/>
              </w:rPr>
            </w:pPr>
          </w:p>
        </w:tc>
        <w:tc>
          <w:tcPr>
            <w:tcW w:w="80" w:type="dxa"/>
            <w:vAlign w:val="bottom"/>
            <w:tcBorders>
              <w:top w:val="single" w:sz="8" w:color="3465B0"/>
            </w:tcBorders>
            <w:shd w:val="clear" w:color="auto" w:fill="3465B0"/>
          </w:tcPr>
          <w:p>
            <w:pPr>
              <w:spacing w:after="0"/>
              <w:rPr>
                <w:sz w:val="21"/>
                <w:szCs w:val="21"/>
                <w:color w:val="auto"/>
              </w:rPr>
            </w:pPr>
          </w:p>
        </w:tc>
        <w:tc>
          <w:tcPr>
            <w:tcW w:w="340" w:type="dxa"/>
            <w:vAlign w:val="bottom"/>
            <w:tcBorders>
              <w:top w:val="single" w:sz="8" w:color="3465B0"/>
            </w:tcBorders>
            <w:shd w:val="clear" w:color="auto" w:fill="3465B0"/>
          </w:tcPr>
          <w:p>
            <w:pPr>
              <w:spacing w:after="0"/>
              <w:rPr>
                <w:sz w:val="21"/>
                <w:szCs w:val="21"/>
                <w:color w:val="auto"/>
              </w:rPr>
            </w:pPr>
          </w:p>
        </w:tc>
        <w:tc>
          <w:tcPr>
            <w:tcW w:w="100" w:type="dxa"/>
            <w:vAlign w:val="bottom"/>
            <w:tcBorders>
              <w:top w:val="single" w:sz="8" w:color="3465B0"/>
              <w:right w:val="single" w:sz="8" w:color="93A1D2"/>
            </w:tcBorders>
            <w:shd w:val="clear" w:color="auto" w:fill="3465B0"/>
          </w:tcPr>
          <w:p>
            <w:pPr>
              <w:spacing w:after="0"/>
              <w:rPr>
                <w:sz w:val="21"/>
                <w:szCs w:val="21"/>
                <w:color w:val="auto"/>
              </w:rPr>
            </w:pPr>
          </w:p>
        </w:tc>
        <w:tc>
          <w:tcPr>
            <w:tcW w:w="100" w:type="dxa"/>
            <w:vAlign w:val="bottom"/>
            <w:tcBorders>
              <w:top w:val="single" w:sz="8" w:color="3465B0"/>
            </w:tcBorders>
            <w:shd w:val="clear" w:color="auto" w:fill="3465B0"/>
          </w:tcPr>
          <w:p>
            <w:pPr>
              <w:spacing w:after="0"/>
              <w:rPr>
                <w:sz w:val="21"/>
                <w:szCs w:val="21"/>
                <w:color w:val="auto"/>
              </w:rPr>
            </w:pPr>
          </w:p>
        </w:tc>
        <w:tc>
          <w:tcPr>
            <w:tcW w:w="660" w:type="dxa"/>
            <w:vAlign w:val="bottom"/>
            <w:tcBorders>
              <w:top w:val="single" w:sz="8" w:color="3465B0"/>
            </w:tcBorders>
            <w:shd w:val="clear" w:color="auto" w:fill="3465B0"/>
          </w:tcPr>
          <w:p>
            <w:pPr>
              <w:spacing w:after="0"/>
              <w:rPr>
                <w:sz w:val="21"/>
                <w:szCs w:val="21"/>
                <w:color w:val="auto"/>
              </w:rPr>
            </w:pPr>
          </w:p>
        </w:tc>
        <w:tc>
          <w:tcPr>
            <w:tcW w:w="120" w:type="dxa"/>
            <w:vAlign w:val="bottom"/>
            <w:tcBorders>
              <w:top w:val="single" w:sz="8" w:color="3465B0"/>
              <w:right w:val="single" w:sz="8" w:color="93A1D2"/>
            </w:tcBorders>
            <w:shd w:val="clear" w:color="auto" w:fill="3465B0"/>
          </w:tcPr>
          <w:p>
            <w:pPr>
              <w:spacing w:after="0"/>
              <w:rPr>
                <w:sz w:val="21"/>
                <w:szCs w:val="21"/>
                <w:color w:val="auto"/>
              </w:rPr>
            </w:pPr>
          </w:p>
        </w:tc>
        <w:tc>
          <w:tcPr>
            <w:tcW w:w="80" w:type="dxa"/>
            <w:vAlign w:val="bottom"/>
            <w:tcBorders>
              <w:top w:val="single" w:sz="8" w:color="3465B0"/>
            </w:tcBorders>
            <w:shd w:val="clear" w:color="auto" w:fill="3465B0"/>
          </w:tcPr>
          <w:p>
            <w:pPr>
              <w:spacing w:after="0"/>
              <w:rPr>
                <w:sz w:val="21"/>
                <w:szCs w:val="21"/>
                <w:color w:val="auto"/>
              </w:rPr>
            </w:pPr>
          </w:p>
        </w:tc>
        <w:tc>
          <w:tcPr>
            <w:tcW w:w="560" w:type="dxa"/>
            <w:vAlign w:val="bottom"/>
            <w:tcBorders>
              <w:top w:val="single" w:sz="8" w:color="3465B0"/>
            </w:tcBorders>
            <w:shd w:val="clear" w:color="auto" w:fill="3465B0"/>
          </w:tcPr>
          <w:p>
            <w:pPr>
              <w:spacing w:after="0"/>
              <w:rPr>
                <w:sz w:val="21"/>
                <w:szCs w:val="21"/>
                <w:color w:val="auto"/>
              </w:rPr>
            </w:pPr>
          </w:p>
        </w:tc>
        <w:tc>
          <w:tcPr>
            <w:tcW w:w="100" w:type="dxa"/>
            <w:vAlign w:val="bottom"/>
            <w:tcBorders>
              <w:top w:val="single" w:sz="8" w:color="3465B0"/>
              <w:right w:val="single" w:sz="8" w:color="93A1D2"/>
            </w:tcBorders>
            <w:shd w:val="clear" w:color="auto" w:fill="3465B0"/>
          </w:tcPr>
          <w:p>
            <w:pPr>
              <w:spacing w:after="0"/>
              <w:rPr>
                <w:sz w:val="21"/>
                <w:szCs w:val="21"/>
                <w:color w:val="auto"/>
              </w:rPr>
            </w:pPr>
          </w:p>
        </w:tc>
        <w:tc>
          <w:tcPr>
            <w:tcW w:w="100" w:type="dxa"/>
            <w:vAlign w:val="bottom"/>
            <w:tcBorders>
              <w:top w:val="single" w:sz="8" w:color="3465B0"/>
            </w:tcBorders>
            <w:shd w:val="clear" w:color="auto" w:fill="3465B0"/>
          </w:tcPr>
          <w:p>
            <w:pPr>
              <w:spacing w:after="0"/>
              <w:rPr>
                <w:sz w:val="21"/>
                <w:szCs w:val="21"/>
                <w:color w:val="auto"/>
              </w:rPr>
            </w:pPr>
          </w:p>
        </w:tc>
        <w:tc>
          <w:tcPr>
            <w:tcW w:w="760" w:type="dxa"/>
            <w:vAlign w:val="bottom"/>
            <w:tcBorders>
              <w:top w:val="single" w:sz="8" w:color="3465B0"/>
            </w:tcBorders>
            <w:shd w:val="clear" w:color="auto" w:fill="3465B0"/>
          </w:tcPr>
          <w:p>
            <w:pPr>
              <w:spacing w:after="0"/>
              <w:rPr>
                <w:sz w:val="21"/>
                <w:szCs w:val="21"/>
                <w:color w:val="auto"/>
              </w:rPr>
            </w:pPr>
          </w:p>
        </w:tc>
        <w:tc>
          <w:tcPr>
            <w:tcW w:w="100" w:type="dxa"/>
            <w:vAlign w:val="bottom"/>
            <w:tcBorders>
              <w:top w:val="single" w:sz="8" w:color="3465B0"/>
              <w:right w:val="single" w:sz="8" w:color="93A1D2"/>
            </w:tcBorders>
            <w:shd w:val="clear" w:color="auto" w:fill="3465B0"/>
          </w:tcPr>
          <w:p>
            <w:pPr>
              <w:spacing w:after="0"/>
              <w:rPr>
                <w:sz w:val="21"/>
                <w:szCs w:val="21"/>
                <w:color w:val="auto"/>
              </w:rPr>
            </w:pPr>
          </w:p>
        </w:tc>
        <w:tc>
          <w:tcPr>
            <w:tcW w:w="100" w:type="dxa"/>
            <w:vAlign w:val="bottom"/>
            <w:tcBorders>
              <w:top w:val="single" w:sz="8" w:color="3465B0"/>
            </w:tcBorders>
            <w:shd w:val="clear" w:color="auto" w:fill="3465B0"/>
          </w:tcPr>
          <w:p>
            <w:pPr>
              <w:spacing w:after="0"/>
              <w:rPr>
                <w:sz w:val="21"/>
                <w:szCs w:val="21"/>
                <w:color w:val="auto"/>
              </w:rPr>
            </w:pPr>
          </w:p>
        </w:tc>
        <w:tc>
          <w:tcPr>
            <w:tcW w:w="460" w:type="dxa"/>
            <w:vAlign w:val="bottom"/>
            <w:tcBorders>
              <w:top w:val="single" w:sz="8" w:color="3465B0"/>
            </w:tcBorders>
            <w:shd w:val="clear" w:color="auto" w:fill="3465B0"/>
          </w:tcPr>
          <w:p>
            <w:pPr>
              <w:spacing w:after="0"/>
              <w:rPr>
                <w:sz w:val="21"/>
                <w:szCs w:val="21"/>
                <w:color w:val="auto"/>
              </w:rPr>
            </w:pPr>
          </w:p>
        </w:tc>
        <w:tc>
          <w:tcPr>
            <w:tcW w:w="120" w:type="dxa"/>
            <w:vAlign w:val="bottom"/>
            <w:tcBorders>
              <w:top w:val="single" w:sz="8" w:color="3465B0"/>
              <w:right w:val="single" w:sz="8" w:color="93A1D2"/>
            </w:tcBorders>
            <w:shd w:val="clear" w:color="auto" w:fill="3465B0"/>
          </w:tcPr>
          <w:p>
            <w:pPr>
              <w:spacing w:after="0"/>
              <w:rPr>
                <w:sz w:val="21"/>
                <w:szCs w:val="21"/>
                <w:color w:val="auto"/>
              </w:rPr>
            </w:pPr>
          </w:p>
        </w:tc>
        <w:tc>
          <w:tcPr>
            <w:tcW w:w="80" w:type="dxa"/>
            <w:vAlign w:val="bottom"/>
            <w:tcBorders>
              <w:top w:val="single" w:sz="8" w:color="3465B0"/>
            </w:tcBorders>
            <w:shd w:val="clear" w:color="auto" w:fill="3465B0"/>
          </w:tcPr>
          <w:p>
            <w:pPr>
              <w:spacing w:after="0"/>
              <w:rPr>
                <w:sz w:val="21"/>
                <w:szCs w:val="21"/>
                <w:color w:val="auto"/>
              </w:rPr>
            </w:pPr>
          </w:p>
        </w:tc>
        <w:tc>
          <w:tcPr>
            <w:tcW w:w="1140" w:type="dxa"/>
            <w:vAlign w:val="bottom"/>
            <w:tcBorders>
              <w:top w:val="single" w:sz="8" w:color="3465B0"/>
              <w:right w:val="single" w:sz="8" w:color="93A1D2"/>
            </w:tcBorders>
            <w:gridSpan w:val="2"/>
            <w:shd w:val="clear" w:color="auto" w:fill="3465B0"/>
          </w:tcPr>
          <w:p>
            <w:pPr>
              <w:ind w:left="20"/>
              <w:spacing w:after="0"/>
              <w:rPr>
                <w:sz w:val="20"/>
                <w:szCs w:val="20"/>
                <w:color w:val="auto"/>
              </w:rPr>
            </w:pPr>
            <w:r>
              <w:rPr>
                <w:rFonts w:ascii="Arial" w:cs="Arial" w:eastAsia="Arial" w:hAnsi="Arial"/>
                <w:sz w:val="13"/>
                <w:szCs w:val="13"/>
                <w:b w:val="1"/>
                <w:bCs w:val="1"/>
                <w:color w:val="FFFFFF"/>
              </w:rPr>
              <w:t>Non-Equity</w:t>
            </w:r>
          </w:p>
        </w:tc>
        <w:tc>
          <w:tcPr>
            <w:tcW w:w="80" w:type="dxa"/>
            <w:vAlign w:val="bottom"/>
            <w:tcBorders>
              <w:top w:val="single" w:sz="8" w:color="3465B0"/>
            </w:tcBorders>
            <w:shd w:val="clear" w:color="auto" w:fill="3465B0"/>
          </w:tcPr>
          <w:p>
            <w:pPr>
              <w:spacing w:after="0"/>
              <w:rPr>
                <w:sz w:val="21"/>
                <w:szCs w:val="21"/>
                <w:color w:val="auto"/>
              </w:rPr>
            </w:pPr>
          </w:p>
        </w:tc>
        <w:tc>
          <w:tcPr>
            <w:tcW w:w="1020" w:type="dxa"/>
            <w:vAlign w:val="bottom"/>
            <w:tcBorders>
              <w:top w:val="single" w:sz="8" w:color="3465B0"/>
            </w:tcBorders>
            <w:shd w:val="clear" w:color="auto" w:fill="3465B0"/>
          </w:tcPr>
          <w:p>
            <w:pPr>
              <w:spacing w:after="0"/>
              <w:rPr>
                <w:sz w:val="21"/>
                <w:szCs w:val="21"/>
                <w:color w:val="auto"/>
              </w:rPr>
            </w:pPr>
          </w:p>
        </w:tc>
        <w:tc>
          <w:tcPr>
            <w:tcW w:w="120" w:type="dxa"/>
            <w:vAlign w:val="bottom"/>
            <w:tcBorders>
              <w:top w:val="single" w:sz="8" w:color="3465B0"/>
              <w:right w:val="single" w:sz="8" w:color="93A1D2"/>
            </w:tcBorders>
            <w:shd w:val="clear" w:color="auto" w:fill="3465B0"/>
          </w:tcPr>
          <w:p>
            <w:pPr>
              <w:spacing w:after="0"/>
              <w:rPr>
                <w:sz w:val="21"/>
                <w:szCs w:val="21"/>
                <w:color w:val="auto"/>
              </w:rPr>
            </w:pPr>
          </w:p>
        </w:tc>
        <w:tc>
          <w:tcPr>
            <w:tcW w:w="100" w:type="dxa"/>
            <w:vAlign w:val="bottom"/>
            <w:tcBorders>
              <w:top w:val="single" w:sz="8" w:color="3465B0"/>
            </w:tcBorders>
            <w:shd w:val="clear" w:color="auto" w:fill="3465B0"/>
          </w:tcPr>
          <w:p>
            <w:pPr>
              <w:spacing w:after="0"/>
              <w:rPr>
                <w:sz w:val="21"/>
                <w:szCs w:val="21"/>
                <w:color w:val="auto"/>
              </w:rPr>
            </w:pPr>
          </w:p>
        </w:tc>
        <w:tc>
          <w:tcPr>
            <w:tcW w:w="720" w:type="dxa"/>
            <w:vAlign w:val="bottom"/>
            <w:tcBorders>
              <w:top w:val="single" w:sz="8" w:color="3465B0"/>
              <w:right w:val="single" w:sz="8" w:color="3465B0"/>
            </w:tcBorders>
            <w:shd w:val="clear" w:color="auto" w:fill="3465B0"/>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0" w:type="dxa"/>
            <w:vAlign w:val="bottom"/>
            <w:tcBorders>
              <w:left w:val="single" w:sz="8" w:color="3465B0"/>
            </w:tcBorders>
            <w:shd w:val="clear" w:color="auto" w:fill="3465B0"/>
          </w:tcPr>
          <w:p>
            <w:pPr>
              <w:spacing w:after="0"/>
              <w:rPr>
                <w:sz w:val="14"/>
                <w:szCs w:val="14"/>
                <w:color w:val="auto"/>
              </w:rPr>
            </w:pPr>
          </w:p>
        </w:tc>
        <w:tc>
          <w:tcPr>
            <w:tcW w:w="2060" w:type="dxa"/>
            <w:vAlign w:val="bottom"/>
            <w:tcBorders>
              <w:right w:val="single" w:sz="8" w:color="93A1D2"/>
            </w:tcBorders>
            <w:shd w:val="clear" w:color="auto" w:fill="3465B0"/>
          </w:tcPr>
          <w:p>
            <w:pPr>
              <w:spacing w:after="0"/>
              <w:rPr>
                <w:sz w:val="14"/>
                <w:szCs w:val="14"/>
                <w:color w:val="auto"/>
              </w:rPr>
            </w:pPr>
          </w:p>
        </w:tc>
        <w:tc>
          <w:tcPr>
            <w:tcW w:w="80" w:type="dxa"/>
            <w:vAlign w:val="bottom"/>
            <w:shd w:val="clear" w:color="auto" w:fill="3465B0"/>
          </w:tcPr>
          <w:p>
            <w:pPr>
              <w:spacing w:after="0"/>
              <w:rPr>
                <w:sz w:val="14"/>
                <w:szCs w:val="14"/>
                <w:color w:val="auto"/>
              </w:rPr>
            </w:pPr>
          </w:p>
        </w:tc>
        <w:tc>
          <w:tcPr>
            <w:tcW w:w="340" w:type="dxa"/>
            <w:vAlign w:val="bottom"/>
            <w:shd w:val="clear" w:color="auto" w:fill="3465B0"/>
          </w:tcPr>
          <w:p>
            <w:pPr>
              <w:spacing w:after="0"/>
              <w:rPr>
                <w:sz w:val="14"/>
                <w:szCs w:val="14"/>
                <w:color w:val="auto"/>
              </w:rPr>
            </w:pPr>
          </w:p>
        </w:tc>
        <w:tc>
          <w:tcPr>
            <w:tcW w:w="100" w:type="dxa"/>
            <w:vAlign w:val="bottom"/>
            <w:tcBorders>
              <w:right w:val="single" w:sz="8" w:color="93A1D2"/>
            </w:tcBorders>
            <w:shd w:val="clear" w:color="auto" w:fill="3465B0"/>
          </w:tcPr>
          <w:p>
            <w:pPr>
              <w:spacing w:after="0"/>
              <w:rPr>
                <w:sz w:val="14"/>
                <w:szCs w:val="14"/>
                <w:color w:val="auto"/>
              </w:rPr>
            </w:pPr>
          </w:p>
        </w:tc>
        <w:tc>
          <w:tcPr>
            <w:tcW w:w="100" w:type="dxa"/>
            <w:vAlign w:val="bottom"/>
            <w:shd w:val="clear" w:color="auto" w:fill="3465B0"/>
          </w:tcPr>
          <w:p>
            <w:pPr>
              <w:spacing w:after="0"/>
              <w:rPr>
                <w:sz w:val="14"/>
                <w:szCs w:val="14"/>
                <w:color w:val="auto"/>
              </w:rPr>
            </w:pPr>
          </w:p>
        </w:tc>
        <w:tc>
          <w:tcPr>
            <w:tcW w:w="780" w:type="dxa"/>
            <w:vAlign w:val="bottom"/>
            <w:tcBorders>
              <w:right w:val="single" w:sz="8" w:color="93A1D2"/>
            </w:tcBorders>
            <w:gridSpan w:val="2"/>
            <w:vMerge w:val="restart"/>
            <w:shd w:val="clear" w:color="auto" w:fill="3465B0"/>
          </w:tcPr>
          <w:p>
            <w:pPr>
              <w:spacing w:after="0"/>
              <w:rPr>
                <w:sz w:val="20"/>
                <w:szCs w:val="20"/>
                <w:color w:val="auto"/>
              </w:rPr>
            </w:pPr>
            <w:r>
              <w:rPr>
                <w:rFonts w:ascii="Arial" w:cs="Arial" w:eastAsia="Arial" w:hAnsi="Arial"/>
                <w:sz w:val="13"/>
                <w:szCs w:val="13"/>
                <w:b w:val="1"/>
                <w:bCs w:val="1"/>
                <w:color w:val="FFFFFF"/>
              </w:rPr>
              <w:t>Salary</w:t>
            </w:r>
          </w:p>
        </w:tc>
        <w:tc>
          <w:tcPr>
            <w:tcW w:w="80" w:type="dxa"/>
            <w:vAlign w:val="bottom"/>
            <w:shd w:val="clear" w:color="auto" w:fill="3465B0"/>
          </w:tcPr>
          <w:p>
            <w:pPr>
              <w:spacing w:after="0"/>
              <w:rPr>
                <w:sz w:val="14"/>
                <w:szCs w:val="14"/>
                <w:color w:val="auto"/>
              </w:rPr>
            </w:pPr>
          </w:p>
        </w:tc>
        <w:tc>
          <w:tcPr>
            <w:tcW w:w="660" w:type="dxa"/>
            <w:vAlign w:val="bottom"/>
            <w:tcBorders>
              <w:right w:val="single" w:sz="8" w:color="93A1D2"/>
            </w:tcBorders>
            <w:gridSpan w:val="2"/>
            <w:vMerge w:val="restart"/>
            <w:shd w:val="clear" w:color="auto" w:fill="3465B0"/>
          </w:tcPr>
          <w:p>
            <w:pPr>
              <w:spacing w:after="0"/>
              <w:rPr>
                <w:sz w:val="20"/>
                <w:szCs w:val="20"/>
                <w:color w:val="auto"/>
              </w:rPr>
            </w:pPr>
            <w:r>
              <w:rPr>
                <w:rFonts w:ascii="Arial" w:cs="Arial" w:eastAsia="Arial" w:hAnsi="Arial"/>
                <w:sz w:val="13"/>
                <w:szCs w:val="13"/>
                <w:b w:val="1"/>
                <w:bCs w:val="1"/>
                <w:color w:val="FFFFFF"/>
              </w:rPr>
              <w:t>Bonus</w:t>
            </w:r>
            <w:r>
              <w:rPr>
                <w:rFonts w:ascii="Arial" w:cs="Arial" w:eastAsia="Arial" w:hAnsi="Arial"/>
                <w:sz w:val="20"/>
                <w:szCs w:val="20"/>
                <w:b w:val="1"/>
                <w:bCs w:val="1"/>
                <w:color w:val="FFFFFF"/>
                <w:vertAlign w:val="superscript"/>
              </w:rPr>
              <w:t>(1)</w:t>
            </w:r>
          </w:p>
        </w:tc>
        <w:tc>
          <w:tcPr>
            <w:tcW w:w="100" w:type="dxa"/>
            <w:vAlign w:val="bottom"/>
            <w:shd w:val="clear" w:color="auto" w:fill="3465B0"/>
          </w:tcPr>
          <w:p>
            <w:pPr>
              <w:spacing w:after="0"/>
              <w:rPr>
                <w:sz w:val="14"/>
                <w:szCs w:val="14"/>
                <w:color w:val="auto"/>
              </w:rPr>
            </w:pPr>
          </w:p>
        </w:tc>
        <w:tc>
          <w:tcPr>
            <w:tcW w:w="860" w:type="dxa"/>
            <w:vAlign w:val="bottom"/>
            <w:tcBorders>
              <w:right w:val="single" w:sz="8" w:color="93A1D2"/>
            </w:tcBorders>
            <w:gridSpan w:val="2"/>
            <w:shd w:val="clear" w:color="auto" w:fill="3465B0"/>
          </w:tcPr>
          <w:p>
            <w:pPr>
              <w:spacing w:after="0"/>
              <w:rPr>
                <w:sz w:val="20"/>
                <w:szCs w:val="20"/>
                <w:color w:val="auto"/>
              </w:rPr>
            </w:pPr>
            <w:r>
              <w:rPr>
                <w:rFonts w:ascii="Arial" w:cs="Arial" w:eastAsia="Arial" w:hAnsi="Arial"/>
                <w:sz w:val="13"/>
                <w:szCs w:val="13"/>
                <w:b w:val="1"/>
                <w:bCs w:val="1"/>
                <w:color w:val="FFFFFF"/>
              </w:rPr>
              <w:t>Stock</w:t>
            </w:r>
          </w:p>
        </w:tc>
        <w:tc>
          <w:tcPr>
            <w:tcW w:w="100" w:type="dxa"/>
            <w:vAlign w:val="bottom"/>
            <w:shd w:val="clear" w:color="auto" w:fill="3465B0"/>
          </w:tcPr>
          <w:p>
            <w:pPr>
              <w:spacing w:after="0"/>
              <w:rPr>
                <w:sz w:val="14"/>
                <w:szCs w:val="14"/>
                <w:color w:val="auto"/>
              </w:rPr>
            </w:pPr>
          </w:p>
        </w:tc>
        <w:tc>
          <w:tcPr>
            <w:tcW w:w="580" w:type="dxa"/>
            <w:vAlign w:val="bottom"/>
            <w:tcBorders>
              <w:right w:val="single" w:sz="8" w:color="93A1D2"/>
            </w:tcBorders>
            <w:gridSpan w:val="2"/>
            <w:shd w:val="clear" w:color="auto" w:fill="3465B0"/>
          </w:tcPr>
          <w:p>
            <w:pPr>
              <w:spacing w:after="0"/>
              <w:rPr>
                <w:sz w:val="20"/>
                <w:szCs w:val="20"/>
                <w:color w:val="auto"/>
              </w:rPr>
            </w:pPr>
            <w:r>
              <w:rPr>
                <w:rFonts w:ascii="Arial" w:cs="Arial" w:eastAsia="Arial" w:hAnsi="Arial"/>
                <w:sz w:val="13"/>
                <w:szCs w:val="13"/>
                <w:b w:val="1"/>
                <w:bCs w:val="1"/>
                <w:color w:val="FFFFFF"/>
              </w:rPr>
              <w:t>Option</w:t>
            </w:r>
          </w:p>
        </w:tc>
        <w:tc>
          <w:tcPr>
            <w:tcW w:w="80" w:type="dxa"/>
            <w:vAlign w:val="bottom"/>
            <w:shd w:val="clear" w:color="auto" w:fill="3465B0"/>
          </w:tcPr>
          <w:p>
            <w:pPr>
              <w:spacing w:after="0"/>
              <w:rPr>
                <w:sz w:val="14"/>
                <w:szCs w:val="14"/>
                <w:color w:val="auto"/>
              </w:rPr>
            </w:pPr>
          </w:p>
        </w:tc>
        <w:tc>
          <w:tcPr>
            <w:tcW w:w="1140" w:type="dxa"/>
            <w:vAlign w:val="bottom"/>
            <w:tcBorders>
              <w:right w:val="single" w:sz="8" w:color="93A1D2"/>
            </w:tcBorders>
            <w:gridSpan w:val="2"/>
            <w:shd w:val="clear" w:color="auto" w:fill="3465B0"/>
          </w:tcPr>
          <w:p>
            <w:pPr>
              <w:ind w:left="20"/>
              <w:spacing w:after="0"/>
              <w:rPr>
                <w:sz w:val="20"/>
                <w:szCs w:val="20"/>
                <w:color w:val="auto"/>
              </w:rPr>
            </w:pPr>
            <w:r>
              <w:rPr>
                <w:rFonts w:ascii="Arial" w:cs="Arial" w:eastAsia="Arial" w:hAnsi="Arial"/>
                <w:sz w:val="13"/>
                <w:szCs w:val="13"/>
                <w:b w:val="1"/>
                <w:bCs w:val="1"/>
                <w:color w:val="FFFFFF"/>
              </w:rPr>
              <w:t>Incentive Plan</w:t>
            </w:r>
          </w:p>
        </w:tc>
        <w:tc>
          <w:tcPr>
            <w:tcW w:w="80" w:type="dxa"/>
            <w:vAlign w:val="bottom"/>
            <w:shd w:val="clear" w:color="auto" w:fill="3465B0"/>
          </w:tcPr>
          <w:p>
            <w:pPr>
              <w:spacing w:after="0"/>
              <w:rPr>
                <w:sz w:val="14"/>
                <w:szCs w:val="14"/>
                <w:color w:val="auto"/>
              </w:rPr>
            </w:pPr>
          </w:p>
        </w:tc>
        <w:tc>
          <w:tcPr>
            <w:tcW w:w="1140" w:type="dxa"/>
            <w:vAlign w:val="bottom"/>
            <w:tcBorders>
              <w:right w:val="single" w:sz="8" w:color="93A1D2"/>
            </w:tcBorders>
            <w:gridSpan w:val="2"/>
            <w:shd w:val="clear" w:color="auto" w:fill="3465B0"/>
          </w:tcPr>
          <w:p>
            <w:pPr>
              <w:spacing w:after="0"/>
              <w:rPr>
                <w:sz w:val="20"/>
                <w:szCs w:val="20"/>
                <w:color w:val="auto"/>
              </w:rPr>
            </w:pPr>
            <w:r>
              <w:rPr>
                <w:rFonts w:ascii="Arial" w:cs="Arial" w:eastAsia="Arial" w:hAnsi="Arial"/>
                <w:sz w:val="13"/>
                <w:szCs w:val="13"/>
                <w:b w:val="1"/>
                <w:bCs w:val="1"/>
                <w:color w:val="FFFFFF"/>
              </w:rPr>
              <w:t>All Other</w:t>
            </w:r>
          </w:p>
        </w:tc>
        <w:tc>
          <w:tcPr>
            <w:tcW w:w="100" w:type="dxa"/>
            <w:vAlign w:val="bottom"/>
            <w:shd w:val="clear" w:color="auto" w:fill="3465B0"/>
          </w:tcPr>
          <w:p>
            <w:pPr>
              <w:spacing w:after="0"/>
              <w:rPr>
                <w:sz w:val="14"/>
                <w:szCs w:val="14"/>
                <w:color w:val="auto"/>
              </w:rPr>
            </w:pPr>
          </w:p>
        </w:tc>
        <w:tc>
          <w:tcPr>
            <w:tcW w:w="720" w:type="dxa"/>
            <w:vAlign w:val="bottom"/>
            <w:tcBorders>
              <w:right w:val="single" w:sz="8" w:color="3465B0"/>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4"/>
        </w:trPr>
        <w:tc>
          <w:tcPr>
            <w:tcW w:w="60" w:type="dxa"/>
            <w:vAlign w:val="bottom"/>
            <w:tcBorders>
              <w:left w:val="single" w:sz="8" w:color="3465B0"/>
            </w:tcBorders>
            <w:shd w:val="clear" w:color="auto" w:fill="3465B0"/>
          </w:tcPr>
          <w:p>
            <w:pPr>
              <w:spacing w:after="0"/>
              <w:rPr>
                <w:sz w:val="12"/>
                <w:szCs w:val="12"/>
                <w:color w:val="auto"/>
              </w:rPr>
            </w:pPr>
          </w:p>
        </w:tc>
        <w:tc>
          <w:tcPr>
            <w:tcW w:w="2060" w:type="dxa"/>
            <w:vAlign w:val="bottom"/>
            <w:tcBorders>
              <w:right w:val="single" w:sz="8" w:color="93A1D2"/>
            </w:tcBorders>
            <w:vMerge w:val="restart"/>
            <w:shd w:val="clear" w:color="auto" w:fill="3465B0"/>
          </w:tcPr>
          <w:p>
            <w:pPr>
              <w:ind w:left="40"/>
              <w:spacing w:after="0"/>
              <w:rPr>
                <w:sz w:val="20"/>
                <w:szCs w:val="20"/>
                <w:color w:val="auto"/>
              </w:rPr>
            </w:pPr>
            <w:r>
              <w:rPr>
                <w:rFonts w:ascii="Arial" w:cs="Arial" w:eastAsia="Arial" w:hAnsi="Arial"/>
                <w:sz w:val="13"/>
                <w:szCs w:val="13"/>
                <w:b w:val="1"/>
                <w:bCs w:val="1"/>
                <w:color w:val="FFFFFF"/>
              </w:rPr>
              <w:t>Name and Principal Position</w:t>
            </w:r>
          </w:p>
        </w:tc>
        <w:tc>
          <w:tcPr>
            <w:tcW w:w="80" w:type="dxa"/>
            <w:vAlign w:val="bottom"/>
            <w:shd w:val="clear" w:color="auto" w:fill="3465B0"/>
          </w:tcPr>
          <w:p>
            <w:pPr>
              <w:spacing w:after="0"/>
              <w:rPr>
                <w:sz w:val="12"/>
                <w:szCs w:val="12"/>
                <w:color w:val="auto"/>
              </w:rPr>
            </w:pPr>
          </w:p>
        </w:tc>
        <w:tc>
          <w:tcPr>
            <w:tcW w:w="440" w:type="dxa"/>
            <w:vAlign w:val="bottom"/>
            <w:tcBorders>
              <w:right w:val="single" w:sz="8" w:color="93A1D2"/>
            </w:tcBorders>
            <w:gridSpan w:val="2"/>
            <w:vMerge w:val="restart"/>
            <w:shd w:val="clear" w:color="auto" w:fill="3465B0"/>
          </w:tcPr>
          <w:p>
            <w:pPr>
              <w:ind w:left="20"/>
              <w:spacing w:after="0"/>
              <w:rPr>
                <w:sz w:val="20"/>
                <w:szCs w:val="20"/>
                <w:color w:val="auto"/>
              </w:rPr>
            </w:pPr>
            <w:r>
              <w:rPr>
                <w:rFonts w:ascii="Arial" w:cs="Arial" w:eastAsia="Arial" w:hAnsi="Arial"/>
                <w:sz w:val="13"/>
                <w:szCs w:val="13"/>
                <w:b w:val="1"/>
                <w:bCs w:val="1"/>
                <w:color w:val="FFFFFF"/>
              </w:rPr>
              <w:t>Year</w:t>
            </w:r>
          </w:p>
        </w:tc>
        <w:tc>
          <w:tcPr>
            <w:tcW w:w="100" w:type="dxa"/>
            <w:vAlign w:val="bottom"/>
            <w:shd w:val="clear" w:color="auto" w:fill="3465B0"/>
          </w:tcPr>
          <w:p>
            <w:pPr>
              <w:spacing w:after="0"/>
              <w:rPr>
                <w:sz w:val="12"/>
                <w:szCs w:val="12"/>
                <w:color w:val="auto"/>
              </w:rPr>
            </w:pPr>
          </w:p>
        </w:tc>
        <w:tc>
          <w:tcPr>
            <w:tcW w:w="780" w:type="dxa"/>
            <w:vAlign w:val="bottom"/>
            <w:tcBorders>
              <w:right w:val="single" w:sz="8" w:color="93A1D2"/>
            </w:tcBorders>
            <w:gridSpan w:val="2"/>
            <w:vMerge w:val="continue"/>
            <w:shd w:val="clear" w:color="auto" w:fill="3465B0"/>
          </w:tcPr>
          <w:p>
            <w:pPr>
              <w:spacing w:after="0"/>
              <w:rPr>
                <w:sz w:val="12"/>
                <w:szCs w:val="12"/>
                <w:color w:val="auto"/>
              </w:rPr>
            </w:pPr>
          </w:p>
        </w:tc>
        <w:tc>
          <w:tcPr>
            <w:tcW w:w="80" w:type="dxa"/>
            <w:vAlign w:val="bottom"/>
            <w:shd w:val="clear" w:color="auto" w:fill="3465B0"/>
          </w:tcPr>
          <w:p>
            <w:pPr>
              <w:spacing w:after="0"/>
              <w:rPr>
                <w:sz w:val="12"/>
                <w:szCs w:val="12"/>
                <w:color w:val="auto"/>
              </w:rPr>
            </w:pPr>
          </w:p>
        </w:tc>
        <w:tc>
          <w:tcPr>
            <w:tcW w:w="660" w:type="dxa"/>
            <w:vAlign w:val="bottom"/>
            <w:tcBorders>
              <w:right w:val="single" w:sz="8" w:color="93A1D2"/>
            </w:tcBorders>
            <w:gridSpan w:val="2"/>
            <w:vMerge w:val="continue"/>
            <w:shd w:val="clear" w:color="auto" w:fill="3465B0"/>
          </w:tcPr>
          <w:p>
            <w:pPr>
              <w:spacing w:after="0"/>
              <w:rPr>
                <w:sz w:val="12"/>
                <w:szCs w:val="12"/>
                <w:color w:val="auto"/>
              </w:rPr>
            </w:pPr>
          </w:p>
        </w:tc>
        <w:tc>
          <w:tcPr>
            <w:tcW w:w="100" w:type="dxa"/>
            <w:vAlign w:val="bottom"/>
            <w:shd w:val="clear" w:color="auto" w:fill="3465B0"/>
          </w:tcPr>
          <w:p>
            <w:pPr>
              <w:spacing w:after="0"/>
              <w:rPr>
                <w:sz w:val="12"/>
                <w:szCs w:val="12"/>
                <w:color w:val="auto"/>
              </w:rPr>
            </w:pPr>
          </w:p>
        </w:tc>
        <w:tc>
          <w:tcPr>
            <w:tcW w:w="860" w:type="dxa"/>
            <w:vAlign w:val="bottom"/>
            <w:tcBorders>
              <w:right w:val="single" w:sz="8" w:color="93A1D2"/>
            </w:tcBorders>
            <w:gridSpan w:val="2"/>
            <w:shd w:val="clear" w:color="auto" w:fill="3465B0"/>
          </w:tcPr>
          <w:p>
            <w:pPr>
              <w:spacing w:after="0" w:line="144"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(2)(3)</w:t>
            </w:r>
          </w:p>
        </w:tc>
        <w:tc>
          <w:tcPr>
            <w:tcW w:w="100" w:type="dxa"/>
            <w:vAlign w:val="bottom"/>
            <w:shd w:val="clear" w:color="auto" w:fill="3465B0"/>
          </w:tcPr>
          <w:p>
            <w:pPr>
              <w:spacing w:after="0"/>
              <w:rPr>
                <w:sz w:val="12"/>
                <w:szCs w:val="12"/>
                <w:color w:val="auto"/>
              </w:rPr>
            </w:pPr>
          </w:p>
        </w:tc>
        <w:tc>
          <w:tcPr>
            <w:tcW w:w="580" w:type="dxa"/>
            <w:vAlign w:val="bottom"/>
            <w:tcBorders>
              <w:right w:val="single" w:sz="8" w:color="93A1D2"/>
            </w:tcBorders>
            <w:gridSpan w:val="2"/>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Awards</w:t>
            </w:r>
          </w:p>
        </w:tc>
        <w:tc>
          <w:tcPr>
            <w:tcW w:w="80" w:type="dxa"/>
            <w:vAlign w:val="bottom"/>
            <w:shd w:val="clear" w:color="auto" w:fill="3465B0"/>
          </w:tcPr>
          <w:p>
            <w:pPr>
              <w:spacing w:after="0"/>
              <w:rPr>
                <w:sz w:val="12"/>
                <w:szCs w:val="12"/>
                <w:color w:val="auto"/>
              </w:rPr>
            </w:pPr>
          </w:p>
        </w:tc>
        <w:tc>
          <w:tcPr>
            <w:tcW w:w="1140" w:type="dxa"/>
            <w:vAlign w:val="bottom"/>
            <w:tcBorders>
              <w:right w:val="single" w:sz="8" w:color="93A1D2"/>
            </w:tcBorders>
            <w:gridSpan w:val="2"/>
            <w:shd w:val="clear" w:color="auto" w:fill="3465B0"/>
          </w:tcPr>
          <w:p>
            <w:pPr>
              <w:ind w:left="20"/>
              <w:spacing w:after="0" w:line="144"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80" w:type="dxa"/>
            <w:vAlign w:val="bottom"/>
            <w:shd w:val="clear" w:color="auto" w:fill="3465B0"/>
          </w:tcPr>
          <w:p>
            <w:pPr>
              <w:spacing w:after="0"/>
              <w:rPr>
                <w:sz w:val="12"/>
                <w:szCs w:val="12"/>
                <w:color w:val="auto"/>
              </w:rPr>
            </w:pPr>
          </w:p>
        </w:tc>
        <w:tc>
          <w:tcPr>
            <w:tcW w:w="1140" w:type="dxa"/>
            <w:vAlign w:val="bottom"/>
            <w:tcBorders>
              <w:right w:val="single" w:sz="8" w:color="93A1D2"/>
            </w:tcBorders>
            <w:gridSpan w:val="2"/>
            <w:shd w:val="clear" w:color="auto" w:fill="3465B0"/>
          </w:tcPr>
          <w:p>
            <w:pPr>
              <w:spacing w:after="0" w:line="144"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(5)</w:t>
            </w:r>
          </w:p>
        </w:tc>
        <w:tc>
          <w:tcPr>
            <w:tcW w:w="100" w:type="dxa"/>
            <w:vAlign w:val="bottom"/>
            <w:shd w:val="clear" w:color="auto" w:fill="3465B0"/>
          </w:tcPr>
          <w:p>
            <w:pPr>
              <w:spacing w:after="0"/>
              <w:rPr>
                <w:sz w:val="12"/>
                <w:szCs w:val="12"/>
                <w:color w:val="auto"/>
              </w:rPr>
            </w:pPr>
          </w:p>
        </w:tc>
        <w:tc>
          <w:tcPr>
            <w:tcW w:w="720" w:type="dxa"/>
            <w:vAlign w:val="bottom"/>
            <w:tcBorders>
              <w:right w:val="single" w:sz="8" w:color="3465B0"/>
            </w:tcBorders>
            <w:vMerge w:val="continue"/>
            <w:shd w:val="clear" w:color="auto" w:fill="3465B0"/>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 w:type="dxa"/>
            <w:vAlign w:val="bottom"/>
            <w:tcBorders>
              <w:left w:val="single" w:sz="8" w:color="3465B0"/>
              <w:bottom w:val="single" w:sz="8" w:color="3465B0"/>
            </w:tcBorders>
            <w:shd w:val="clear" w:color="auto" w:fill="3465B0"/>
          </w:tcPr>
          <w:p>
            <w:pPr>
              <w:spacing w:after="0"/>
              <w:rPr>
                <w:sz w:val="15"/>
                <w:szCs w:val="15"/>
                <w:color w:val="auto"/>
              </w:rPr>
            </w:pPr>
          </w:p>
        </w:tc>
        <w:tc>
          <w:tcPr>
            <w:tcW w:w="2060" w:type="dxa"/>
            <w:vAlign w:val="bottom"/>
            <w:tcBorders>
              <w:bottom w:val="single" w:sz="8" w:color="3465B0"/>
              <w:right w:val="single" w:sz="8" w:color="93A1D2"/>
            </w:tcBorders>
            <w:vMerge w:val="continue"/>
            <w:shd w:val="clear" w:color="auto" w:fill="3465B0"/>
          </w:tcPr>
          <w:p>
            <w:pPr>
              <w:spacing w:after="0"/>
              <w:rPr>
                <w:sz w:val="15"/>
                <w:szCs w:val="15"/>
                <w:color w:val="auto"/>
              </w:rPr>
            </w:pPr>
          </w:p>
        </w:tc>
        <w:tc>
          <w:tcPr>
            <w:tcW w:w="80" w:type="dxa"/>
            <w:vAlign w:val="bottom"/>
            <w:tcBorders>
              <w:bottom w:val="single" w:sz="8" w:color="3465B0"/>
            </w:tcBorders>
            <w:shd w:val="clear" w:color="auto" w:fill="3465B0"/>
          </w:tcPr>
          <w:p>
            <w:pPr>
              <w:spacing w:after="0"/>
              <w:rPr>
                <w:sz w:val="15"/>
                <w:szCs w:val="15"/>
                <w:color w:val="auto"/>
              </w:rPr>
            </w:pPr>
          </w:p>
        </w:tc>
        <w:tc>
          <w:tcPr>
            <w:tcW w:w="440" w:type="dxa"/>
            <w:vAlign w:val="bottom"/>
            <w:tcBorders>
              <w:bottom w:val="single" w:sz="8" w:color="3465B0"/>
              <w:right w:val="single" w:sz="8" w:color="93A1D2"/>
            </w:tcBorders>
            <w:gridSpan w:val="2"/>
            <w:vMerge w:val="continue"/>
            <w:shd w:val="clear" w:color="auto" w:fill="3465B0"/>
          </w:tcPr>
          <w:p>
            <w:pPr>
              <w:spacing w:after="0"/>
              <w:rPr>
                <w:sz w:val="15"/>
                <w:szCs w:val="15"/>
                <w:color w:val="auto"/>
              </w:rPr>
            </w:pPr>
          </w:p>
        </w:tc>
        <w:tc>
          <w:tcPr>
            <w:tcW w:w="100" w:type="dxa"/>
            <w:vAlign w:val="bottom"/>
            <w:tcBorders>
              <w:bottom w:val="single" w:sz="8" w:color="3465B0"/>
            </w:tcBorders>
            <w:shd w:val="clear" w:color="auto" w:fill="3465B0"/>
          </w:tcPr>
          <w:p>
            <w:pPr>
              <w:spacing w:after="0"/>
              <w:rPr>
                <w:sz w:val="15"/>
                <w:szCs w:val="15"/>
                <w:color w:val="auto"/>
              </w:rPr>
            </w:pPr>
          </w:p>
        </w:tc>
        <w:tc>
          <w:tcPr>
            <w:tcW w:w="660" w:type="dxa"/>
            <w:vAlign w:val="bottom"/>
            <w:tcBorders>
              <w:bottom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3465B0"/>
              <w:right w:val="single" w:sz="8" w:color="93A1D2"/>
            </w:tcBorders>
            <w:shd w:val="clear" w:color="auto" w:fill="3465B0"/>
          </w:tcPr>
          <w:p>
            <w:pPr>
              <w:spacing w:after="0"/>
              <w:rPr>
                <w:sz w:val="15"/>
                <w:szCs w:val="15"/>
                <w:color w:val="auto"/>
              </w:rPr>
            </w:pPr>
          </w:p>
        </w:tc>
        <w:tc>
          <w:tcPr>
            <w:tcW w:w="80" w:type="dxa"/>
            <w:vAlign w:val="bottom"/>
            <w:tcBorders>
              <w:bottom w:val="single" w:sz="8" w:color="3465B0"/>
            </w:tcBorders>
            <w:shd w:val="clear" w:color="auto" w:fill="3465B0"/>
          </w:tcPr>
          <w:p>
            <w:pPr>
              <w:spacing w:after="0"/>
              <w:rPr>
                <w:sz w:val="15"/>
                <w:szCs w:val="15"/>
                <w:color w:val="auto"/>
              </w:rPr>
            </w:pPr>
          </w:p>
        </w:tc>
        <w:tc>
          <w:tcPr>
            <w:tcW w:w="560" w:type="dxa"/>
            <w:vAlign w:val="bottom"/>
            <w:tcBorders>
              <w:bottom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bottom w:val="single" w:sz="8" w:color="3465B0"/>
              <w:right w:val="single" w:sz="8" w:color="93A1D2"/>
            </w:tcBorders>
            <w:shd w:val="clear" w:color="auto" w:fill="3465B0"/>
          </w:tcPr>
          <w:p>
            <w:pPr>
              <w:spacing w:after="0"/>
              <w:rPr>
                <w:sz w:val="15"/>
                <w:szCs w:val="15"/>
                <w:color w:val="auto"/>
              </w:rPr>
            </w:pPr>
          </w:p>
        </w:tc>
        <w:tc>
          <w:tcPr>
            <w:tcW w:w="100" w:type="dxa"/>
            <w:vAlign w:val="bottom"/>
            <w:tcBorders>
              <w:bottom w:val="single" w:sz="8" w:color="3465B0"/>
            </w:tcBorders>
            <w:shd w:val="clear" w:color="auto" w:fill="3465B0"/>
          </w:tcPr>
          <w:p>
            <w:pPr>
              <w:spacing w:after="0"/>
              <w:rPr>
                <w:sz w:val="15"/>
                <w:szCs w:val="15"/>
                <w:color w:val="auto"/>
              </w:rPr>
            </w:pPr>
          </w:p>
        </w:tc>
        <w:tc>
          <w:tcPr>
            <w:tcW w:w="760" w:type="dxa"/>
            <w:vAlign w:val="bottom"/>
            <w:tcBorders>
              <w:bottom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bottom w:val="single" w:sz="8" w:color="3465B0"/>
              <w:right w:val="single" w:sz="8" w:color="93A1D2"/>
            </w:tcBorders>
            <w:shd w:val="clear" w:color="auto" w:fill="3465B0"/>
          </w:tcPr>
          <w:p>
            <w:pPr>
              <w:spacing w:after="0"/>
              <w:rPr>
                <w:sz w:val="15"/>
                <w:szCs w:val="15"/>
                <w:color w:val="auto"/>
              </w:rPr>
            </w:pPr>
          </w:p>
        </w:tc>
        <w:tc>
          <w:tcPr>
            <w:tcW w:w="100" w:type="dxa"/>
            <w:vAlign w:val="bottom"/>
            <w:tcBorders>
              <w:bottom w:val="single" w:sz="8" w:color="3465B0"/>
            </w:tcBorders>
            <w:shd w:val="clear" w:color="auto" w:fill="3465B0"/>
          </w:tcPr>
          <w:p>
            <w:pPr>
              <w:spacing w:after="0"/>
              <w:rPr>
                <w:sz w:val="15"/>
                <w:szCs w:val="15"/>
                <w:color w:val="auto"/>
              </w:rPr>
            </w:pPr>
          </w:p>
        </w:tc>
        <w:tc>
          <w:tcPr>
            <w:tcW w:w="460" w:type="dxa"/>
            <w:vAlign w:val="bottom"/>
            <w:tcBorders>
              <w:bottom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3465B0"/>
              <w:right w:val="single" w:sz="8" w:color="93A1D2"/>
            </w:tcBorders>
            <w:shd w:val="clear" w:color="auto" w:fill="3465B0"/>
          </w:tcPr>
          <w:p>
            <w:pPr>
              <w:spacing w:after="0"/>
              <w:rPr>
                <w:sz w:val="15"/>
                <w:szCs w:val="15"/>
                <w:color w:val="auto"/>
              </w:rPr>
            </w:pPr>
          </w:p>
        </w:tc>
        <w:tc>
          <w:tcPr>
            <w:tcW w:w="80" w:type="dxa"/>
            <w:vAlign w:val="bottom"/>
            <w:tcBorders>
              <w:bottom w:val="single" w:sz="8" w:color="3465B0"/>
            </w:tcBorders>
            <w:shd w:val="clear" w:color="auto" w:fill="3465B0"/>
          </w:tcPr>
          <w:p>
            <w:pPr>
              <w:spacing w:after="0"/>
              <w:rPr>
                <w:sz w:val="15"/>
                <w:szCs w:val="15"/>
                <w:color w:val="auto"/>
              </w:rPr>
            </w:pPr>
          </w:p>
        </w:tc>
        <w:tc>
          <w:tcPr>
            <w:tcW w:w="1020" w:type="dxa"/>
            <w:vAlign w:val="bottom"/>
            <w:tcBorders>
              <w:bottom w:val="single" w:sz="8" w:color="3465B0"/>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3465B0"/>
              <w:right w:val="single" w:sz="8" w:color="93A1D2"/>
            </w:tcBorders>
            <w:shd w:val="clear" w:color="auto" w:fill="3465B0"/>
          </w:tcPr>
          <w:p>
            <w:pPr>
              <w:spacing w:after="0"/>
              <w:rPr>
                <w:sz w:val="15"/>
                <w:szCs w:val="15"/>
                <w:color w:val="auto"/>
              </w:rPr>
            </w:pPr>
          </w:p>
        </w:tc>
        <w:tc>
          <w:tcPr>
            <w:tcW w:w="80" w:type="dxa"/>
            <w:vAlign w:val="bottom"/>
            <w:tcBorders>
              <w:bottom w:val="single" w:sz="8" w:color="3465B0"/>
            </w:tcBorders>
            <w:shd w:val="clear" w:color="auto" w:fill="3465B0"/>
          </w:tcPr>
          <w:p>
            <w:pPr>
              <w:spacing w:after="0"/>
              <w:rPr>
                <w:sz w:val="15"/>
                <w:szCs w:val="15"/>
                <w:color w:val="auto"/>
              </w:rPr>
            </w:pPr>
          </w:p>
        </w:tc>
        <w:tc>
          <w:tcPr>
            <w:tcW w:w="1020" w:type="dxa"/>
            <w:vAlign w:val="bottom"/>
            <w:tcBorders>
              <w:bottom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120" w:type="dxa"/>
            <w:vAlign w:val="bottom"/>
            <w:tcBorders>
              <w:bottom w:val="single" w:sz="8" w:color="3465B0"/>
              <w:right w:val="single" w:sz="8" w:color="93A1D2"/>
            </w:tcBorders>
            <w:shd w:val="clear" w:color="auto" w:fill="3465B0"/>
          </w:tcPr>
          <w:p>
            <w:pPr>
              <w:spacing w:after="0"/>
              <w:rPr>
                <w:sz w:val="15"/>
                <w:szCs w:val="15"/>
                <w:color w:val="auto"/>
              </w:rPr>
            </w:pPr>
          </w:p>
        </w:tc>
        <w:tc>
          <w:tcPr>
            <w:tcW w:w="100" w:type="dxa"/>
            <w:vAlign w:val="bottom"/>
            <w:tcBorders>
              <w:bottom w:val="single" w:sz="8" w:color="3465B0"/>
            </w:tcBorders>
            <w:shd w:val="clear" w:color="auto" w:fill="3465B0"/>
          </w:tcPr>
          <w:p>
            <w:pPr>
              <w:spacing w:after="0"/>
              <w:rPr>
                <w:sz w:val="15"/>
                <w:szCs w:val="15"/>
                <w:color w:val="auto"/>
              </w:rPr>
            </w:pPr>
          </w:p>
        </w:tc>
        <w:tc>
          <w:tcPr>
            <w:tcW w:w="720" w:type="dxa"/>
            <w:vAlign w:val="bottom"/>
            <w:tcBorders>
              <w:bottom w:val="single" w:sz="8" w:color="3465B0"/>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93"/>
        </w:trPr>
        <w:tc>
          <w:tcPr>
            <w:tcW w:w="60" w:type="dxa"/>
            <w:vAlign w:val="bottom"/>
            <w:tcBorders>
              <w:left w:val="single" w:sz="8" w:color="3465B0"/>
            </w:tcBorders>
          </w:tcPr>
          <w:p>
            <w:pPr>
              <w:spacing w:after="0"/>
              <w:rPr>
                <w:sz w:val="16"/>
                <w:szCs w:val="16"/>
                <w:color w:val="auto"/>
              </w:rPr>
            </w:pPr>
          </w:p>
        </w:tc>
        <w:tc>
          <w:tcPr>
            <w:tcW w:w="2060" w:type="dxa"/>
            <w:vAlign w:val="bottom"/>
            <w:tcBorders>
              <w:right w:val="single" w:sz="8" w:color="93A1D2"/>
            </w:tcBorders>
          </w:tcPr>
          <w:p>
            <w:pPr>
              <w:ind w:left="40"/>
              <w:spacing w:after="0"/>
              <w:rPr>
                <w:sz w:val="20"/>
                <w:szCs w:val="20"/>
                <w:color w:val="auto"/>
              </w:rPr>
            </w:pPr>
            <w:r>
              <w:rPr>
                <w:rFonts w:ascii="Arial" w:cs="Arial" w:eastAsia="Arial" w:hAnsi="Arial"/>
                <w:sz w:val="14"/>
                <w:szCs w:val="14"/>
                <w:color w:val="auto"/>
              </w:rPr>
              <w:t>L. Reade Fahs</w:t>
            </w:r>
          </w:p>
        </w:tc>
        <w:tc>
          <w:tcPr>
            <w:tcW w:w="520" w:type="dxa"/>
            <w:vAlign w:val="bottom"/>
            <w:tcBorders>
              <w:right w:val="single" w:sz="8" w:color="93A1D2"/>
            </w:tcBorders>
            <w:gridSpan w:val="3"/>
          </w:tcPr>
          <w:p>
            <w:pPr>
              <w:ind w:left="100"/>
              <w:spacing w:after="0"/>
              <w:rPr>
                <w:sz w:val="20"/>
                <w:szCs w:val="20"/>
                <w:color w:val="auto"/>
              </w:rPr>
            </w:pPr>
            <w:r>
              <w:rPr>
                <w:rFonts w:ascii="Arial" w:cs="Arial" w:eastAsia="Arial" w:hAnsi="Arial"/>
                <w:sz w:val="14"/>
                <w:szCs w:val="14"/>
                <w:color w:val="auto"/>
              </w:rPr>
              <w:t>2025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908,154</w:t>
            </w:r>
          </w:p>
        </w:tc>
        <w:tc>
          <w:tcPr>
            <w:tcW w:w="12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right w:val="single" w:sz="8" w:color="93A1D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1"/>
              <w:spacing w:after="0"/>
              <w:rPr>
                <w:sz w:val="20"/>
                <w:szCs w:val="20"/>
                <w:color w:val="auto"/>
              </w:rPr>
            </w:pPr>
            <w:r>
              <w:rPr>
                <w:rFonts w:ascii="Arial" w:cs="Arial" w:eastAsia="Arial" w:hAnsi="Arial"/>
                <w:sz w:val="14"/>
                <w:szCs w:val="14"/>
                <w:color w:val="auto"/>
              </w:rPr>
              <w:t>4,313,738</w:t>
            </w:r>
          </w:p>
        </w:tc>
        <w:tc>
          <w:tcPr>
            <w:tcW w:w="100" w:type="dxa"/>
            <w:vAlign w:val="bottom"/>
            <w:tcBorders>
              <w:right w:val="single" w:sz="8" w:color="93A1D2"/>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right w:val="single" w:sz="8" w:color="93A1D2"/>
            </w:tcBorders>
            <w:gridSpan w:val="2"/>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2,024,980</w:t>
            </w:r>
          </w:p>
        </w:tc>
        <w:tc>
          <w:tcPr>
            <w:tcW w:w="120" w:type="dxa"/>
            <w:vAlign w:val="bottom"/>
            <w:tcBorders>
              <w:right w:val="single" w:sz="8" w:color="93A1D2"/>
            </w:tcBorders>
          </w:tcPr>
          <w:p>
            <w:pPr>
              <w:spacing w:after="0"/>
              <w:rPr>
                <w:sz w:val="16"/>
                <w:szCs w:val="16"/>
                <w:color w:val="auto"/>
              </w:rPr>
            </w:pPr>
          </w:p>
        </w:tc>
        <w:tc>
          <w:tcPr>
            <w:tcW w:w="1220" w:type="dxa"/>
            <w:vAlign w:val="bottom"/>
            <w:tcBorders>
              <w:right w:val="single" w:sz="8" w:color="93A1D2"/>
            </w:tcBorders>
            <w:gridSpan w:val="3"/>
          </w:tcPr>
          <w:p>
            <w:pPr>
              <w:jc w:val="right"/>
              <w:ind w:right="100"/>
              <w:spacing w:after="0"/>
              <w:rPr>
                <w:sz w:val="20"/>
                <w:szCs w:val="20"/>
                <w:color w:val="auto"/>
              </w:rPr>
            </w:pPr>
            <w:r>
              <w:rPr>
                <w:rFonts w:ascii="Arial" w:cs="Arial" w:eastAsia="Arial" w:hAnsi="Arial"/>
                <w:sz w:val="14"/>
                <w:szCs w:val="14"/>
                <w:color w:val="auto"/>
              </w:rPr>
              <w:t>43,824</w:t>
            </w:r>
          </w:p>
        </w:tc>
        <w:tc>
          <w:tcPr>
            <w:tcW w:w="8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4"/>
                <w:szCs w:val="14"/>
                <w:color w:val="auto"/>
              </w:rPr>
              <w:t>7,290,696</w:t>
            </w:r>
          </w:p>
        </w:tc>
        <w:tc>
          <w:tcPr>
            <w:tcW w:w="0" w:type="dxa"/>
            <w:vAlign w:val="bottom"/>
          </w:tcPr>
          <w:p>
            <w:pPr>
              <w:spacing w:after="0"/>
              <w:rPr>
                <w:sz w:val="1"/>
                <w:szCs w:val="1"/>
                <w:color w:val="auto"/>
              </w:rPr>
            </w:pPr>
          </w:p>
        </w:tc>
      </w:tr>
      <w:tr>
        <w:trPr>
          <w:trHeight w:val="190"/>
        </w:trPr>
        <w:tc>
          <w:tcPr>
            <w:tcW w:w="60" w:type="dxa"/>
            <w:vAlign w:val="bottom"/>
            <w:tcBorders>
              <w:left w:val="single" w:sz="8" w:color="3465B0"/>
            </w:tcBorders>
          </w:tcPr>
          <w:p>
            <w:pPr>
              <w:spacing w:after="0"/>
              <w:rPr>
                <w:sz w:val="16"/>
                <w:szCs w:val="16"/>
                <w:color w:val="auto"/>
              </w:rPr>
            </w:pPr>
          </w:p>
        </w:tc>
        <w:tc>
          <w:tcPr>
            <w:tcW w:w="2060" w:type="dxa"/>
            <w:vAlign w:val="bottom"/>
            <w:tcBorders>
              <w:right w:val="single" w:sz="8" w:color="93A1D2"/>
            </w:tcBorders>
          </w:tcPr>
          <w:p>
            <w:pPr>
              <w:ind w:left="220"/>
              <w:spacing w:after="0"/>
              <w:rPr>
                <w:sz w:val="20"/>
                <w:szCs w:val="20"/>
                <w:color w:val="auto"/>
              </w:rPr>
            </w:pPr>
            <w:r>
              <w:rPr>
                <w:rFonts w:ascii="Arial" w:cs="Arial" w:eastAsia="Arial" w:hAnsi="Arial"/>
                <w:sz w:val="14"/>
                <w:szCs w:val="14"/>
                <w:color w:val="auto"/>
              </w:rPr>
              <w:t>Executive Chairman</w:t>
            </w:r>
          </w:p>
        </w:tc>
        <w:tc>
          <w:tcPr>
            <w:tcW w:w="520" w:type="dxa"/>
            <w:vAlign w:val="bottom"/>
            <w:tcBorders>
              <w:right w:val="single" w:sz="8" w:color="93A1D2"/>
            </w:tcBorders>
            <w:gridSpan w:val="3"/>
            <w:vMerge w:val="restart"/>
          </w:tcPr>
          <w:p>
            <w:pPr>
              <w:ind w:left="100"/>
              <w:spacing w:after="0"/>
              <w:rPr>
                <w:sz w:val="20"/>
                <w:szCs w:val="20"/>
                <w:color w:val="auto"/>
              </w:rPr>
            </w:pPr>
            <w:r>
              <w:rPr>
                <w:rFonts w:ascii="Arial" w:cs="Arial" w:eastAsia="Arial" w:hAnsi="Arial"/>
                <w:sz w:val="14"/>
                <w:szCs w:val="14"/>
                <w:color w:val="auto"/>
              </w:rPr>
              <w:t>2024</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1,013,846</w:t>
            </w:r>
          </w:p>
        </w:tc>
        <w:tc>
          <w:tcPr>
            <w:tcW w:w="12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right w:val="single" w:sz="8" w:color="93A1D2"/>
            </w:tcBorders>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4,000,011</w:t>
            </w:r>
          </w:p>
        </w:tc>
        <w:tc>
          <w:tcPr>
            <w:tcW w:w="100" w:type="dxa"/>
            <w:vAlign w:val="bottom"/>
            <w:tcBorders>
              <w:right w:val="single" w:sz="8" w:color="93A1D2"/>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right w:val="single" w:sz="8" w:color="93A1D2"/>
            </w:tcBorders>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tcBorders>
              <w:right w:val="single" w:sz="8" w:color="93A1D2"/>
            </w:tcBorders>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38,806</w:t>
            </w:r>
          </w:p>
        </w:tc>
        <w:tc>
          <w:tcPr>
            <w:tcW w:w="820" w:type="dxa"/>
            <w:vAlign w:val="bottom"/>
            <w:tcBorders>
              <w:right w:val="single" w:sz="8" w:color="3465B0"/>
            </w:tcBorders>
            <w:gridSpan w:val="2"/>
            <w:vMerge w:val="restart"/>
          </w:tcPr>
          <w:p>
            <w:pPr>
              <w:jc w:val="right"/>
              <w:ind w:right="10"/>
              <w:spacing w:after="0"/>
              <w:rPr>
                <w:sz w:val="20"/>
                <w:szCs w:val="20"/>
                <w:color w:val="auto"/>
              </w:rPr>
            </w:pPr>
            <w:r>
              <w:rPr>
                <w:rFonts w:ascii="Arial" w:cs="Arial" w:eastAsia="Arial" w:hAnsi="Arial"/>
                <w:sz w:val="14"/>
                <w:szCs w:val="14"/>
                <w:color w:val="auto"/>
              </w:rPr>
              <w:t>5,052,663</w:t>
            </w:r>
          </w:p>
        </w:tc>
        <w:tc>
          <w:tcPr>
            <w:tcW w:w="0" w:type="dxa"/>
            <w:vAlign w:val="bottom"/>
          </w:tcPr>
          <w:p>
            <w:pPr>
              <w:spacing w:after="0"/>
              <w:rPr>
                <w:sz w:val="1"/>
                <w:szCs w:val="1"/>
                <w:color w:val="auto"/>
              </w:rPr>
            </w:pPr>
          </w:p>
        </w:tc>
      </w:tr>
      <w:tr>
        <w:trPr>
          <w:trHeight w:val="95"/>
        </w:trPr>
        <w:tc>
          <w:tcPr>
            <w:tcW w:w="60" w:type="dxa"/>
            <w:vAlign w:val="bottom"/>
            <w:tcBorders>
              <w:left w:val="single" w:sz="8" w:color="3465B0"/>
            </w:tcBorders>
          </w:tcPr>
          <w:p>
            <w:pPr>
              <w:spacing w:after="0"/>
              <w:rPr>
                <w:sz w:val="8"/>
                <w:szCs w:val="8"/>
                <w:color w:val="auto"/>
              </w:rPr>
            </w:pPr>
          </w:p>
        </w:tc>
        <w:tc>
          <w:tcPr>
            <w:tcW w:w="2060" w:type="dxa"/>
            <w:vAlign w:val="bottom"/>
            <w:tcBorders>
              <w:right w:val="single" w:sz="8" w:color="93A1D2"/>
            </w:tcBorders>
          </w:tcPr>
          <w:p>
            <w:pPr>
              <w:spacing w:after="0"/>
              <w:rPr>
                <w:sz w:val="8"/>
                <w:szCs w:val="8"/>
                <w:color w:val="auto"/>
              </w:rPr>
            </w:pPr>
          </w:p>
        </w:tc>
        <w:tc>
          <w:tcPr>
            <w:tcW w:w="520" w:type="dxa"/>
            <w:vAlign w:val="bottom"/>
            <w:tcBorders>
              <w:right w:val="single" w:sz="8" w:color="93A1D2"/>
            </w:tcBorders>
            <w:gridSpan w:val="3"/>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Borders>
              <w:right w:val="single" w:sz="8" w:color="93A1D2"/>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right w:val="single" w:sz="8" w:color="93A1D2"/>
            </w:tcBorders>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 w:type="dxa"/>
            <w:vAlign w:val="bottom"/>
            <w:tcBorders>
              <w:right w:val="single" w:sz="8" w:color="93A1D2"/>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right w:val="single" w:sz="8" w:color="93A1D2"/>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93A1D2"/>
            </w:tcBorders>
            <w:gridSpan w:val="2"/>
            <w:vMerge w:val="continue"/>
          </w:tcPr>
          <w:p>
            <w:pPr>
              <w:spacing w:after="0"/>
              <w:rPr>
                <w:sz w:val="8"/>
                <w:szCs w:val="8"/>
                <w:color w:val="auto"/>
              </w:rPr>
            </w:pPr>
          </w:p>
        </w:tc>
        <w:tc>
          <w:tcPr>
            <w:tcW w:w="1220" w:type="dxa"/>
            <w:vAlign w:val="bottom"/>
            <w:tcBorders>
              <w:right w:val="single" w:sz="8" w:color="93A1D2"/>
            </w:tcBorders>
            <w:gridSpan w:val="3"/>
            <w:vMerge w:val="continue"/>
          </w:tcPr>
          <w:p>
            <w:pPr>
              <w:spacing w:after="0"/>
              <w:rPr>
                <w:sz w:val="8"/>
                <w:szCs w:val="8"/>
                <w:color w:val="auto"/>
              </w:rPr>
            </w:pPr>
          </w:p>
        </w:tc>
        <w:tc>
          <w:tcPr>
            <w:tcW w:w="820" w:type="dxa"/>
            <w:vAlign w:val="bottom"/>
            <w:tcBorders>
              <w:right w:val="single" w:sz="8" w:color="3465B0"/>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465B0"/>
            </w:tcBorders>
          </w:tcPr>
          <w:p>
            <w:pPr>
              <w:spacing w:after="0"/>
              <w:rPr>
                <w:sz w:val="23"/>
                <w:szCs w:val="23"/>
                <w:color w:val="auto"/>
              </w:rPr>
            </w:pPr>
          </w:p>
        </w:tc>
        <w:tc>
          <w:tcPr>
            <w:tcW w:w="2060" w:type="dxa"/>
            <w:vAlign w:val="bottom"/>
            <w:tcBorders>
              <w:right w:val="single" w:sz="8" w:color="93A1D2"/>
            </w:tcBorders>
          </w:tcPr>
          <w:p>
            <w:pPr>
              <w:spacing w:after="0"/>
              <w:rPr>
                <w:sz w:val="23"/>
                <w:szCs w:val="23"/>
                <w:color w:val="auto"/>
              </w:rPr>
            </w:pPr>
          </w:p>
        </w:tc>
        <w:tc>
          <w:tcPr>
            <w:tcW w:w="520" w:type="dxa"/>
            <w:vAlign w:val="bottom"/>
            <w:tcBorders>
              <w:right w:val="single" w:sz="8" w:color="93A1D2"/>
            </w:tcBorders>
            <w:gridSpan w:val="3"/>
          </w:tcPr>
          <w:p>
            <w:pPr>
              <w:ind w:left="100"/>
              <w:spacing w:after="0"/>
              <w:rPr>
                <w:sz w:val="20"/>
                <w:szCs w:val="20"/>
                <w:color w:val="auto"/>
              </w:rPr>
            </w:pPr>
            <w:r>
              <w:rPr>
                <w:rFonts w:ascii="Arial" w:cs="Arial" w:eastAsia="Arial" w:hAnsi="Arial"/>
                <w:sz w:val="14"/>
                <w:szCs w:val="14"/>
                <w:color w:val="auto"/>
              </w:rPr>
              <w:t>2023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Borders>
              <w:right w:val="single" w:sz="8" w:color="93A1D2"/>
            </w:tcBorders>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Borders>
              <w:right w:val="single" w:sz="8" w:color="93A1D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1"/>
              <w:spacing w:after="0"/>
              <w:rPr>
                <w:sz w:val="20"/>
                <w:szCs w:val="20"/>
                <w:color w:val="auto"/>
              </w:rPr>
            </w:pPr>
            <w:r>
              <w:rPr>
                <w:rFonts w:ascii="Arial" w:cs="Arial" w:eastAsia="Arial" w:hAnsi="Arial"/>
                <w:sz w:val="14"/>
                <w:szCs w:val="14"/>
                <w:color w:val="auto"/>
              </w:rPr>
              <w:t>6,000,007</w:t>
            </w:r>
          </w:p>
        </w:tc>
        <w:tc>
          <w:tcPr>
            <w:tcW w:w="100" w:type="dxa"/>
            <w:vAlign w:val="bottom"/>
            <w:tcBorders>
              <w:right w:val="single" w:sz="8" w:color="93A1D2"/>
            </w:tcBorders>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right w:val="single" w:sz="8" w:color="93A1D2"/>
            </w:tcBorders>
            <w:gridSpan w:val="2"/>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1,578,900</w:t>
            </w:r>
          </w:p>
        </w:tc>
        <w:tc>
          <w:tcPr>
            <w:tcW w:w="120" w:type="dxa"/>
            <w:vAlign w:val="bottom"/>
            <w:tcBorders>
              <w:right w:val="single" w:sz="8" w:color="93A1D2"/>
            </w:tcBorders>
          </w:tcPr>
          <w:p>
            <w:pPr>
              <w:spacing w:after="0"/>
              <w:rPr>
                <w:sz w:val="23"/>
                <w:szCs w:val="23"/>
                <w:color w:val="auto"/>
              </w:rPr>
            </w:pPr>
          </w:p>
        </w:tc>
        <w:tc>
          <w:tcPr>
            <w:tcW w:w="1220" w:type="dxa"/>
            <w:vAlign w:val="bottom"/>
            <w:tcBorders>
              <w:right w:val="single" w:sz="8" w:color="93A1D2"/>
            </w:tcBorders>
            <w:gridSpan w:val="3"/>
          </w:tcPr>
          <w:p>
            <w:pPr>
              <w:jc w:val="right"/>
              <w:ind w:right="100"/>
              <w:spacing w:after="0"/>
              <w:rPr>
                <w:sz w:val="20"/>
                <w:szCs w:val="20"/>
                <w:color w:val="auto"/>
              </w:rPr>
            </w:pPr>
            <w:r>
              <w:rPr>
                <w:rFonts w:ascii="Arial" w:cs="Arial" w:eastAsia="Arial" w:hAnsi="Arial"/>
                <w:sz w:val="14"/>
                <w:szCs w:val="14"/>
                <w:color w:val="auto"/>
              </w:rPr>
              <w:t>38,531</w:t>
            </w:r>
          </w:p>
        </w:tc>
        <w:tc>
          <w:tcPr>
            <w:tcW w:w="8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4"/>
                <w:szCs w:val="14"/>
                <w:color w:val="auto"/>
              </w:rPr>
              <w:t>8,617,438</w:t>
            </w:r>
          </w:p>
        </w:tc>
        <w:tc>
          <w:tcPr>
            <w:tcW w:w="0" w:type="dxa"/>
            <w:vAlign w:val="bottom"/>
          </w:tcPr>
          <w:p>
            <w:pPr>
              <w:spacing w:after="0"/>
              <w:rPr>
                <w:sz w:val="1"/>
                <w:szCs w:val="1"/>
                <w:color w:val="auto"/>
              </w:rPr>
            </w:pPr>
          </w:p>
        </w:tc>
      </w:tr>
      <w:tr>
        <w:trPr>
          <w:trHeight w:val="22"/>
        </w:trPr>
        <w:tc>
          <w:tcPr>
            <w:tcW w:w="60" w:type="dxa"/>
            <w:vAlign w:val="bottom"/>
            <w:tcBorders>
              <w:left w:val="single" w:sz="8" w:color="3465B0"/>
            </w:tcBorders>
          </w:tcPr>
          <w:p>
            <w:pPr>
              <w:spacing w:after="0" w:line="20" w:lineRule="exact"/>
              <w:rPr>
                <w:sz w:val="1"/>
                <w:szCs w:val="1"/>
                <w:color w:val="auto"/>
              </w:rPr>
            </w:pPr>
          </w:p>
        </w:tc>
        <w:tc>
          <w:tcPr>
            <w:tcW w:w="2060" w:type="dxa"/>
            <w:vAlign w:val="bottom"/>
            <w:tcBorders>
              <w:right w:val="single" w:sz="8" w:color="93A1D2"/>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820" w:type="dxa"/>
            <w:vAlign w:val="bottom"/>
            <w:tcBorders>
              <w:right w:val="single" w:sz="8" w:color="3465B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Borders>
              <w:left w:val="single" w:sz="8" w:color="3465B0"/>
            </w:tcBorders>
            <w:shd w:val="clear" w:color="auto" w:fill="CCCCCC"/>
          </w:tcPr>
          <w:p>
            <w:pPr>
              <w:spacing w:after="0"/>
              <w:rPr>
                <w:sz w:val="17"/>
                <w:szCs w:val="17"/>
                <w:color w:val="auto"/>
              </w:rPr>
            </w:pPr>
          </w:p>
        </w:tc>
        <w:tc>
          <w:tcPr>
            <w:tcW w:w="2060" w:type="dxa"/>
            <w:vAlign w:val="bottom"/>
            <w:tcBorders>
              <w:right w:val="single" w:sz="8" w:color="93A1D2"/>
            </w:tcBorders>
            <w:shd w:val="clear" w:color="auto" w:fill="CCCCCC"/>
          </w:tcPr>
          <w:p>
            <w:pPr>
              <w:ind w:left="40"/>
              <w:spacing w:after="0" w:line="207" w:lineRule="exact"/>
              <w:rPr>
                <w:sz w:val="20"/>
                <w:szCs w:val="20"/>
                <w:color w:val="auto"/>
              </w:rPr>
            </w:pPr>
            <w:r>
              <w:rPr>
                <w:rFonts w:ascii="Arial" w:cs="Arial" w:eastAsia="Arial" w:hAnsi="Arial"/>
                <w:sz w:val="14"/>
                <w:szCs w:val="14"/>
                <w:color w:val="auto"/>
              </w:rPr>
              <w:t>Alexander N. Wilkes</w:t>
            </w:r>
            <w:r>
              <w:rPr>
                <w:rFonts w:ascii="Arial" w:cs="Arial" w:eastAsia="Arial" w:hAnsi="Arial"/>
                <w:sz w:val="23"/>
                <w:szCs w:val="23"/>
                <w:color w:val="auto"/>
                <w:vertAlign w:val="superscript"/>
              </w:rPr>
              <w:t>(6)</w:t>
            </w:r>
          </w:p>
        </w:tc>
        <w:tc>
          <w:tcPr>
            <w:tcW w:w="80" w:type="dxa"/>
            <w:vAlign w:val="bottom"/>
            <w:shd w:val="clear" w:color="auto" w:fill="CCCCCC"/>
          </w:tcPr>
          <w:p>
            <w:pPr>
              <w:spacing w:after="0"/>
              <w:rPr>
                <w:sz w:val="17"/>
                <w:szCs w:val="17"/>
                <w:color w:val="auto"/>
              </w:rPr>
            </w:pPr>
          </w:p>
        </w:tc>
        <w:tc>
          <w:tcPr>
            <w:tcW w:w="440" w:type="dxa"/>
            <w:vAlign w:val="bottom"/>
            <w:tcBorders>
              <w:right w:val="single" w:sz="8" w:color="93A1D2"/>
            </w:tcBorders>
            <w:gridSpan w:val="2"/>
            <w:shd w:val="clear" w:color="auto" w:fill="CCCCCC"/>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CCCC"/>
          </w:tcPr>
          <w:p>
            <w:pPr>
              <w:spacing w:after="0"/>
              <w:rPr>
                <w:sz w:val="17"/>
                <w:szCs w:val="17"/>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734,616</w:t>
            </w:r>
          </w:p>
        </w:tc>
        <w:tc>
          <w:tcPr>
            <w:tcW w:w="120" w:type="dxa"/>
            <w:vAlign w:val="bottom"/>
            <w:tcBorders>
              <w:right w:val="single" w:sz="8" w:color="93A1D2"/>
            </w:tcBorders>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660" w:type="dxa"/>
            <w:vAlign w:val="bottom"/>
            <w:tcBorders>
              <w:right w:val="single" w:sz="8" w:color="93A1D2"/>
            </w:tcBorders>
            <w:gridSpan w:val="2"/>
            <w:shd w:val="clear" w:color="auto" w:fill="CCCCC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7"/>
                <w:szCs w:val="17"/>
                <w:color w:val="auto"/>
              </w:rPr>
            </w:pPr>
          </w:p>
        </w:tc>
        <w:tc>
          <w:tcPr>
            <w:tcW w:w="760" w:type="dxa"/>
            <w:vAlign w:val="bottom"/>
            <w:shd w:val="clear" w:color="auto" w:fill="CCCCCC"/>
          </w:tcPr>
          <w:p>
            <w:pPr>
              <w:jc w:val="right"/>
              <w:ind w:right="51"/>
              <w:spacing w:after="0"/>
              <w:rPr>
                <w:sz w:val="20"/>
                <w:szCs w:val="20"/>
                <w:color w:val="auto"/>
              </w:rPr>
            </w:pPr>
            <w:r>
              <w:rPr>
                <w:rFonts w:ascii="Arial" w:cs="Arial" w:eastAsia="Arial" w:hAnsi="Arial"/>
                <w:sz w:val="14"/>
                <w:szCs w:val="14"/>
                <w:color w:val="auto"/>
                <w:w w:val="99"/>
              </w:rPr>
              <w:t>3,156,887</w:t>
            </w:r>
          </w:p>
        </w:tc>
        <w:tc>
          <w:tcPr>
            <w:tcW w:w="100" w:type="dxa"/>
            <w:vAlign w:val="bottom"/>
            <w:tcBorders>
              <w:right w:val="single" w:sz="8" w:color="93A1D2"/>
            </w:tcBorders>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80" w:type="dxa"/>
            <w:vAlign w:val="bottom"/>
            <w:tcBorders>
              <w:right w:val="single" w:sz="8" w:color="93A1D2"/>
            </w:tcBorders>
            <w:gridSpan w:val="2"/>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1,259,468</w:t>
            </w:r>
          </w:p>
        </w:tc>
        <w:tc>
          <w:tcPr>
            <w:tcW w:w="120" w:type="dxa"/>
            <w:vAlign w:val="bottom"/>
            <w:tcBorders>
              <w:right w:val="single" w:sz="8" w:color="93A1D2"/>
            </w:tcBorders>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1140" w:type="dxa"/>
            <w:vAlign w:val="bottom"/>
            <w:tcBorders>
              <w:right w:val="single" w:sz="8" w:color="93A1D2"/>
            </w:tcBorders>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47,891</w:t>
            </w:r>
          </w:p>
        </w:tc>
        <w:tc>
          <w:tcPr>
            <w:tcW w:w="100" w:type="dxa"/>
            <w:vAlign w:val="bottom"/>
            <w:shd w:val="clear" w:color="auto" w:fill="CCCCCC"/>
          </w:tcPr>
          <w:p>
            <w:pPr>
              <w:spacing w:after="0"/>
              <w:rPr>
                <w:sz w:val="17"/>
                <w:szCs w:val="17"/>
                <w:color w:val="auto"/>
              </w:rPr>
            </w:pPr>
          </w:p>
        </w:tc>
        <w:tc>
          <w:tcPr>
            <w:tcW w:w="720" w:type="dxa"/>
            <w:vAlign w:val="bottom"/>
            <w:tcBorders>
              <w:right w:val="single" w:sz="8" w:color="3465B0"/>
            </w:tcBorders>
            <w:shd w:val="clear" w:color="auto" w:fill="CCCCCC"/>
          </w:tcPr>
          <w:p>
            <w:pPr>
              <w:jc w:val="right"/>
              <w:ind w:right="10"/>
              <w:spacing w:after="0"/>
              <w:rPr>
                <w:sz w:val="20"/>
                <w:szCs w:val="20"/>
                <w:color w:val="auto"/>
              </w:rPr>
            </w:pPr>
            <w:r>
              <w:rPr>
                <w:rFonts w:ascii="Arial" w:cs="Arial" w:eastAsia="Arial" w:hAnsi="Arial"/>
                <w:sz w:val="14"/>
                <w:szCs w:val="14"/>
                <w:color w:val="auto"/>
                <w:w w:val="99"/>
              </w:rPr>
              <w:t>5,198,862</w:t>
            </w:r>
          </w:p>
        </w:tc>
        <w:tc>
          <w:tcPr>
            <w:tcW w:w="0" w:type="dxa"/>
            <w:vAlign w:val="bottom"/>
          </w:tcPr>
          <w:p>
            <w:pPr>
              <w:spacing w:after="0"/>
              <w:rPr>
                <w:sz w:val="1"/>
                <w:szCs w:val="1"/>
                <w:color w:val="auto"/>
              </w:rPr>
            </w:pPr>
          </w:p>
        </w:tc>
      </w:tr>
      <w:tr>
        <w:trPr>
          <w:trHeight w:val="190"/>
        </w:trPr>
        <w:tc>
          <w:tcPr>
            <w:tcW w:w="60" w:type="dxa"/>
            <w:vAlign w:val="bottom"/>
            <w:tcBorders>
              <w:left w:val="single" w:sz="8" w:color="3465B0"/>
            </w:tcBorders>
            <w:shd w:val="clear" w:color="auto" w:fill="CCCCCC"/>
          </w:tcPr>
          <w:p>
            <w:pPr>
              <w:spacing w:after="0"/>
              <w:rPr>
                <w:sz w:val="16"/>
                <w:szCs w:val="16"/>
                <w:color w:val="auto"/>
              </w:rPr>
            </w:pPr>
          </w:p>
        </w:tc>
        <w:tc>
          <w:tcPr>
            <w:tcW w:w="206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4"/>
                <w:szCs w:val="14"/>
                <w:color w:val="auto"/>
              </w:rPr>
              <w:t>Chief Executive Officer</w:t>
            </w:r>
          </w:p>
        </w:tc>
        <w:tc>
          <w:tcPr>
            <w:tcW w:w="80" w:type="dxa"/>
            <w:vAlign w:val="bottom"/>
            <w:shd w:val="clear" w:color="auto" w:fill="CCCCCC"/>
          </w:tcPr>
          <w:p>
            <w:pPr>
              <w:spacing w:after="0"/>
              <w:rPr>
                <w:sz w:val="16"/>
                <w:szCs w:val="16"/>
                <w:color w:val="auto"/>
              </w:rPr>
            </w:pPr>
          </w:p>
        </w:tc>
        <w:tc>
          <w:tcPr>
            <w:tcW w:w="440" w:type="dxa"/>
            <w:vAlign w:val="bottom"/>
            <w:tcBorders>
              <w:right w:val="single" w:sz="8" w:color="93A1D2"/>
            </w:tcBorders>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CCCC"/>
          </w:tcPr>
          <w:p>
            <w:pPr>
              <w:spacing w:after="0"/>
              <w:rPr>
                <w:sz w:val="16"/>
                <w:szCs w:val="16"/>
                <w:color w:val="auto"/>
              </w:rPr>
            </w:pPr>
          </w:p>
        </w:tc>
        <w:tc>
          <w:tcPr>
            <w:tcW w:w="6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196,154</w:t>
            </w:r>
          </w:p>
        </w:tc>
        <w:tc>
          <w:tcPr>
            <w:tcW w:w="120" w:type="dxa"/>
            <w:vAlign w:val="bottom"/>
            <w:tcBorders>
              <w:right w:val="single" w:sz="8" w:color="93A1D2"/>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5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w w:val="98"/>
              </w:rPr>
              <w:t>232,000</w:t>
            </w:r>
          </w:p>
        </w:tc>
        <w:tc>
          <w:tcPr>
            <w:tcW w:w="100" w:type="dxa"/>
            <w:vAlign w:val="bottom"/>
            <w:tcBorders>
              <w:right w:val="single" w:sz="8" w:color="93A1D2"/>
            </w:tcBorders>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760" w:type="dxa"/>
            <w:vAlign w:val="bottom"/>
            <w:vMerge w:val="restart"/>
            <w:shd w:val="clear" w:color="auto" w:fill="CCCCCC"/>
          </w:tcPr>
          <w:p>
            <w:pPr>
              <w:jc w:val="right"/>
              <w:ind w:right="51"/>
              <w:spacing w:after="0"/>
              <w:rPr>
                <w:sz w:val="20"/>
                <w:szCs w:val="20"/>
                <w:color w:val="auto"/>
              </w:rPr>
            </w:pPr>
            <w:r>
              <w:rPr>
                <w:rFonts w:ascii="Arial" w:cs="Arial" w:eastAsia="Arial" w:hAnsi="Arial"/>
                <w:sz w:val="14"/>
                <w:szCs w:val="14"/>
                <w:color w:val="auto"/>
                <w:w w:val="99"/>
              </w:rPr>
              <w:t>2,000,002</w:t>
            </w:r>
          </w:p>
        </w:tc>
        <w:tc>
          <w:tcPr>
            <w:tcW w:w="100" w:type="dxa"/>
            <w:vAlign w:val="bottom"/>
            <w:tcBorders>
              <w:right w:val="single" w:sz="8" w:color="93A1D2"/>
            </w:tcBorders>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580" w:type="dxa"/>
            <w:vAlign w:val="bottom"/>
            <w:tcBorders>
              <w:right w:val="single" w:sz="8" w:color="93A1D2"/>
            </w:tcBorders>
            <w:gridSpan w:val="2"/>
            <w:vMerge w:val="restart"/>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6"/>
                <w:szCs w:val="16"/>
                <w:color w:val="auto"/>
              </w:rPr>
            </w:pPr>
          </w:p>
        </w:tc>
        <w:tc>
          <w:tcPr>
            <w:tcW w:w="1140" w:type="dxa"/>
            <w:vAlign w:val="bottom"/>
            <w:tcBorders>
              <w:right w:val="single" w:sz="8" w:color="93A1D2"/>
            </w:tcBorders>
            <w:gridSpan w:val="2"/>
            <w:vMerge w:val="restart"/>
            <w:shd w:val="clear" w:color="auto" w:fill="CCCC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6"/>
                <w:szCs w:val="16"/>
                <w:color w:val="auto"/>
              </w:rPr>
            </w:pPr>
          </w:p>
        </w:tc>
        <w:tc>
          <w:tcPr>
            <w:tcW w:w="1140" w:type="dxa"/>
            <w:vAlign w:val="bottom"/>
            <w:tcBorders>
              <w:right w:val="single" w:sz="8" w:color="93A1D2"/>
            </w:tcBorders>
            <w:gridSpan w:val="2"/>
            <w:vMerge w:val="restart"/>
            <w:shd w:val="clear" w:color="auto" w:fill="CCCCCC"/>
          </w:tcPr>
          <w:p>
            <w:pPr>
              <w:jc w:val="right"/>
              <w:ind w:right="100"/>
              <w:spacing w:after="0"/>
              <w:rPr>
                <w:sz w:val="20"/>
                <w:szCs w:val="20"/>
                <w:color w:val="auto"/>
              </w:rPr>
            </w:pPr>
            <w:r>
              <w:rPr>
                <w:rFonts w:ascii="Arial" w:cs="Arial" w:eastAsia="Arial" w:hAnsi="Arial"/>
                <w:sz w:val="14"/>
                <w:szCs w:val="14"/>
                <w:color w:val="auto"/>
              </w:rPr>
              <w:t>39,310</w:t>
            </w:r>
          </w:p>
        </w:tc>
        <w:tc>
          <w:tcPr>
            <w:tcW w:w="100" w:type="dxa"/>
            <w:vAlign w:val="bottom"/>
            <w:shd w:val="clear" w:color="auto" w:fill="CCCCCC"/>
          </w:tcPr>
          <w:p>
            <w:pPr>
              <w:spacing w:after="0"/>
              <w:rPr>
                <w:sz w:val="16"/>
                <w:szCs w:val="16"/>
                <w:color w:val="auto"/>
              </w:rPr>
            </w:pPr>
          </w:p>
        </w:tc>
        <w:tc>
          <w:tcPr>
            <w:tcW w:w="720" w:type="dxa"/>
            <w:vAlign w:val="bottom"/>
            <w:tcBorders>
              <w:right w:val="single" w:sz="8" w:color="3465B0"/>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w w:val="99"/>
              </w:rPr>
              <w:t>2,467,466</w:t>
            </w:r>
          </w:p>
        </w:tc>
        <w:tc>
          <w:tcPr>
            <w:tcW w:w="0" w:type="dxa"/>
            <w:vAlign w:val="bottom"/>
          </w:tcPr>
          <w:p>
            <w:pPr>
              <w:spacing w:after="0"/>
              <w:rPr>
                <w:sz w:val="1"/>
                <w:szCs w:val="1"/>
                <w:color w:val="auto"/>
              </w:rPr>
            </w:pPr>
          </w:p>
        </w:tc>
      </w:tr>
      <w:tr>
        <w:trPr>
          <w:trHeight w:val="83"/>
        </w:trPr>
        <w:tc>
          <w:tcPr>
            <w:tcW w:w="60" w:type="dxa"/>
            <w:vAlign w:val="bottom"/>
            <w:tcBorders>
              <w:left w:val="single" w:sz="8" w:color="3465B0"/>
              <w:bottom w:val="single" w:sz="8" w:color="CCCCCC"/>
            </w:tcBorders>
            <w:shd w:val="clear" w:color="auto" w:fill="CCCCCC"/>
          </w:tcPr>
          <w:p>
            <w:pPr>
              <w:spacing w:after="0"/>
              <w:rPr>
                <w:sz w:val="7"/>
                <w:szCs w:val="7"/>
                <w:color w:val="auto"/>
              </w:rPr>
            </w:pPr>
          </w:p>
        </w:tc>
        <w:tc>
          <w:tcPr>
            <w:tcW w:w="2060" w:type="dxa"/>
            <w:vAlign w:val="bottom"/>
            <w:tcBorders>
              <w:bottom w:val="single" w:sz="8" w:color="CCCCCC"/>
              <w:right w:val="single" w:sz="8" w:color="93A1D2"/>
            </w:tcBorders>
            <w:shd w:val="clear" w:color="auto" w:fill="CCCCCC"/>
          </w:tcPr>
          <w:p>
            <w:pPr>
              <w:spacing w:after="0"/>
              <w:rPr>
                <w:sz w:val="7"/>
                <w:szCs w:val="7"/>
                <w:color w:val="auto"/>
              </w:rPr>
            </w:pPr>
          </w:p>
        </w:tc>
        <w:tc>
          <w:tcPr>
            <w:tcW w:w="80" w:type="dxa"/>
            <w:vAlign w:val="bottom"/>
            <w:tcBorders>
              <w:bottom w:val="single" w:sz="8" w:color="CCCCCC"/>
            </w:tcBorders>
            <w:shd w:val="clear" w:color="auto" w:fill="CCCCCC"/>
          </w:tcPr>
          <w:p>
            <w:pPr>
              <w:spacing w:after="0"/>
              <w:rPr>
                <w:sz w:val="7"/>
                <w:szCs w:val="7"/>
                <w:color w:val="auto"/>
              </w:rPr>
            </w:pPr>
          </w:p>
        </w:tc>
        <w:tc>
          <w:tcPr>
            <w:tcW w:w="440" w:type="dxa"/>
            <w:vAlign w:val="bottom"/>
            <w:tcBorders>
              <w:bottom w:val="single" w:sz="8" w:color="CCCCCC"/>
              <w:right w:val="single" w:sz="8" w:color="93A1D2"/>
            </w:tcBorders>
            <w:gridSpan w:val="2"/>
            <w:vMerge w:val="continue"/>
            <w:shd w:val="clear" w:color="auto" w:fill="CCCCCC"/>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660" w:type="dxa"/>
            <w:vAlign w:val="bottom"/>
            <w:tcBorders>
              <w:bottom w:val="single" w:sz="8" w:color="CCCCCC"/>
            </w:tcBorders>
            <w:vMerge w:val="continue"/>
            <w:shd w:val="clear" w:color="auto" w:fill="CCCCCC"/>
          </w:tcPr>
          <w:p>
            <w:pPr>
              <w:spacing w:after="0"/>
              <w:rPr>
                <w:sz w:val="7"/>
                <w:szCs w:val="7"/>
                <w:color w:val="auto"/>
              </w:rPr>
            </w:pPr>
          </w:p>
        </w:tc>
        <w:tc>
          <w:tcPr>
            <w:tcW w:w="120" w:type="dxa"/>
            <w:vAlign w:val="bottom"/>
            <w:tcBorders>
              <w:bottom w:val="single" w:sz="8" w:color="CCCCCC"/>
              <w:right w:val="single" w:sz="8" w:color="93A1D2"/>
            </w:tcBorders>
            <w:shd w:val="clear" w:color="auto" w:fill="CCCCCC"/>
          </w:tcPr>
          <w:p>
            <w:pPr>
              <w:spacing w:after="0"/>
              <w:rPr>
                <w:sz w:val="7"/>
                <w:szCs w:val="7"/>
                <w:color w:val="auto"/>
              </w:rPr>
            </w:pPr>
          </w:p>
        </w:tc>
        <w:tc>
          <w:tcPr>
            <w:tcW w:w="80" w:type="dxa"/>
            <w:vAlign w:val="bottom"/>
            <w:tcBorders>
              <w:bottom w:val="single" w:sz="8" w:color="CCCCCC"/>
            </w:tcBorders>
            <w:shd w:val="clear" w:color="auto" w:fill="CCCCCC"/>
          </w:tcPr>
          <w:p>
            <w:pPr>
              <w:spacing w:after="0"/>
              <w:rPr>
                <w:sz w:val="7"/>
                <w:szCs w:val="7"/>
                <w:color w:val="auto"/>
              </w:rPr>
            </w:pPr>
          </w:p>
        </w:tc>
        <w:tc>
          <w:tcPr>
            <w:tcW w:w="560" w:type="dxa"/>
            <w:vAlign w:val="bottom"/>
            <w:tcBorders>
              <w:bottom w:val="single" w:sz="8" w:color="CCCCCC"/>
            </w:tcBorders>
            <w:vMerge w:val="continue"/>
            <w:shd w:val="clear" w:color="auto" w:fill="CCCCCC"/>
          </w:tcPr>
          <w:p>
            <w:pPr>
              <w:spacing w:after="0"/>
              <w:rPr>
                <w:sz w:val="7"/>
                <w:szCs w:val="7"/>
                <w:color w:val="auto"/>
              </w:rPr>
            </w:pPr>
          </w:p>
        </w:tc>
        <w:tc>
          <w:tcPr>
            <w:tcW w:w="100" w:type="dxa"/>
            <w:vAlign w:val="bottom"/>
            <w:tcBorders>
              <w:bottom w:val="single" w:sz="8" w:color="CCCCCC"/>
              <w:right w:val="single" w:sz="8" w:color="93A1D2"/>
            </w:tcBorders>
            <w:shd w:val="clear" w:color="auto" w:fill="CCCCCC"/>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760" w:type="dxa"/>
            <w:vAlign w:val="bottom"/>
            <w:tcBorders>
              <w:bottom w:val="single" w:sz="8" w:color="CCCCCC"/>
            </w:tcBorders>
            <w:vMerge w:val="continue"/>
            <w:shd w:val="clear" w:color="auto" w:fill="CCCCCC"/>
          </w:tcPr>
          <w:p>
            <w:pPr>
              <w:spacing w:after="0"/>
              <w:rPr>
                <w:sz w:val="7"/>
                <w:szCs w:val="7"/>
                <w:color w:val="auto"/>
              </w:rPr>
            </w:pPr>
          </w:p>
        </w:tc>
        <w:tc>
          <w:tcPr>
            <w:tcW w:w="100" w:type="dxa"/>
            <w:vAlign w:val="bottom"/>
            <w:tcBorders>
              <w:bottom w:val="single" w:sz="8" w:color="CCCCCC"/>
              <w:right w:val="single" w:sz="8" w:color="93A1D2"/>
            </w:tcBorders>
            <w:shd w:val="clear" w:color="auto" w:fill="CCCCCC"/>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580" w:type="dxa"/>
            <w:vAlign w:val="bottom"/>
            <w:tcBorders>
              <w:bottom w:val="single" w:sz="8" w:color="CCCCCC"/>
              <w:right w:val="single" w:sz="8" w:color="93A1D2"/>
            </w:tcBorders>
            <w:gridSpan w:val="2"/>
            <w:vMerge w:val="continue"/>
            <w:shd w:val="clear" w:color="auto" w:fill="CCCCCC"/>
          </w:tcPr>
          <w:p>
            <w:pPr>
              <w:spacing w:after="0"/>
              <w:rPr>
                <w:sz w:val="7"/>
                <w:szCs w:val="7"/>
                <w:color w:val="auto"/>
              </w:rPr>
            </w:pPr>
          </w:p>
        </w:tc>
        <w:tc>
          <w:tcPr>
            <w:tcW w:w="80" w:type="dxa"/>
            <w:vAlign w:val="bottom"/>
            <w:tcBorders>
              <w:bottom w:val="single" w:sz="8" w:color="CCCCCC"/>
            </w:tcBorders>
            <w:shd w:val="clear" w:color="auto" w:fill="CCCCCC"/>
          </w:tcPr>
          <w:p>
            <w:pPr>
              <w:spacing w:after="0"/>
              <w:rPr>
                <w:sz w:val="7"/>
                <w:szCs w:val="7"/>
                <w:color w:val="auto"/>
              </w:rPr>
            </w:pPr>
          </w:p>
        </w:tc>
        <w:tc>
          <w:tcPr>
            <w:tcW w:w="1140" w:type="dxa"/>
            <w:vAlign w:val="bottom"/>
            <w:tcBorders>
              <w:bottom w:val="single" w:sz="8" w:color="CCCCCC"/>
              <w:right w:val="single" w:sz="8" w:color="93A1D2"/>
            </w:tcBorders>
            <w:gridSpan w:val="2"/>
            <w:vMerge w:val="continue"/>
            <w:shd w:val="clear" w:color="auto" w:fill="CCCCCC"/>
          </w:tcPr>
          <w:p>
            <w:pPr>
              <w:spacing w:after="0"/>
              <w:rPr>
                <w:sz w:val="7"/>
                <w:szCs w:val="7"/>
                <w:color w:val="auto"/>
              </w:rPr>
            </w:pPr>
          </w:p>
        </w:tc>
        <w:tc>
          <w:tcPr>
            <w:tcW w:w="80" w:type="dxa"/>
            <w:vAlign w:val="bottom"/>
            <w:tcBorders>
              <w:bottom w:val="single" w:sz="8" w:color="CCCCCC"/>
            </w:tcBorders>
            <w:shd w:val="clear" w:color="auto" w:fill="CCCCCC"/>
          </w:tcPr>
          <w:p>
            <w:pPr>
              <w:spacing w:after="0"/>
              <w:rPr>
                <w:sz w:val="7"/>
                <w:szCs w:val="7"/>
                <w:color w:val="auto"/>
              </w:rPr>
            </w:pPr>
          </w:p>
        </w:tc>
        <w:tc>
          <w:tcPr>
            <w:tcW w:w="1140" w:type="dxa"/>
            <w:vAlign w:val="bottom"/>
            <w:tcBorders>
              <w:bottom w:val="single" w:sz="8" w:color="CCCCCC"/>
              <w:right w:val="single" w:sz="8" w:color="93A1D2"/>
            </w:tcBorders>
            <w:gridSpan w:val="2"/>
            <w:vMerge w:val="continue"/>
            <w:shd w:val="clear" w:color="auto" w:fill="CCCCCC"/>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720" w:type="dxa"/>
            <w:vAlign w:val="bottom"/>
            <w:tcBorders>
              <w:bottom w:val="single" w:sz="8" w:color="CCCCCC"/>
              <w:right w:val="single" w:sz="8" w:color="3465B0"/>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60" w:type="dxa"/>
            <w:vAlign w:val="bottom"/>
            <w:tcBorders>
              <w:left w:val="single" w:sz="8" w:color="3465B0"/>
            </w:tcBorders>
          </w:tcPr>
          <w:p>
            <w:pPr>
              <w:spacing w:after="0"/>
              <w:rPr>
                <w:sz w:val="17"/>
                <w:szCs w:val="17"/>
                <w:color w:val="auto"/>
              </w:rPr>
            </w:pPr>
          </w:p>
        </w:tc>
        <w:tc>
          <w:tcPr>
            <w:tcW w:w="2060" w:type="dxa"/>
            <w:vAlign w:val="bottom"/>
            <w:tcBorders>
              <w:right w:val="single" w:sz="8" w:color="93A1D2"/>
            </w:tcBorders>
          </w:tcPr>
          <w:p>
            <w:pPr>
              <w:ind w:left="40"/>
              <w:spacing w:after="0" w:line="207" w:lineRule="exact"/>
              <w:rPr>
                <w:sz w:val="20"/>
                <w:szCs w:val="20"/>
                <w:color w:val="auto"/>
              </w:rPr>
            </w:pPr>
            <w:r>
              <w:rPr>
                <w:rFonts w:ascii="Arial" w:cs="Arial" w:eastAsia="Arial" w:hAnsi="Arial"/>
                <w:sz w:val="14"/>
                <w:szCs w:val="14"/>
                <w:color w:val="auto"/>
              </w:rPr>
              <w:t>Christopher J. Laden</w:t>
            </w:r>
            <w:r>
              <w:rPr>
                <w:rFonts w:ascii="Arial" w:cs="Arial" w:eastAsia="Arial" w:hAnsi="Arial"/>
                <w:sz w:val="23"/>
                <w:szCs w:val="23"/>
                <w:color w:val="auto"/>
                <w:vertAlign w:val="superscript"/>
              </w:rPr>
              <w:t>(6)</w:t>
            </w:r>
          </w:p>
        </w:tc>
        <w:tc>
          <w:tcPr>
            <w:tcW w:w="520" w:type="dxa"/>
            <w:vAlign w:val="bottom"/>
            <w:tcBorders>
              <w:right w:val="single" w:sz="8" w:color="93A1D2"/>
            </w:tcBorders>
            <w:gridSpan w:val="3"/>
          </w:tcPr>
          <w:p>
            <w:pPr>
              <w:ind w:left="100"/>
              <w:spacing w:after="0"/>
              <w:rPr>
                <w:sz w:val="20"/>
                <w:szCs w:val="20"/>
                <w:color w:val="auto"/>
              </w:rPr>
            </w:pPr>
            <w:r>
              <w:rPr>
                <w:rFonts w:ascii="Arial" w:cs="Arial" w:eastAsia="Arial" w:hAnsi="Arial"/>
                <w:sz w:val="14"/>
                <w:szCs w:val="14"/>
                <w:color w:val="auto"/>
              </w:rPr>
              <w:t>2025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355,769</w:t>
            </w:r>
          </w:p>
        </w:tc>
        <w:tc>
          <w:tcPr>
            <w:tcW w:w="120" w:type="dxa"/>
            <w:vAlign w:val="bottom"/>
            <w:tcBorders>
              <w:right w:val="single" w:sz="8" w:color="93A1D2"/>
            </w:tcBorders>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right w:val="single" w:sz="8" w:color="93A1D2"/>
            </w:tcBorders>
          </w:tcPr>
          <w:p>
            <w:pPr>
              <w:spacing w:after="0"/>
              <w:rPr>
                <w:sz w:val="17"/>
                <w:szCs w:val="17"/>
                <w:color w:val="auto"/>
              </w:rPr>
            </w:pPr>
          </w:p>
        </w:tc>
        <w:tc>
          <w:tcPr>
            <w:tcW w:w="860" w:type="dxa"/>
            <w:vAlign w:val="bottom"/>
            <w:gridSpan w:val="2"/>
          </w:tcPr>
          <w:p>
            <w:pPr>
              <w:jc w:val="right"/>
              <w:ind w:right="51"/>
              <w:spacing w:after="0"/>
              <w:rPr>
                <w:sz w:val="20"/>
                <w:szCs w:val="20"/>
                <w:color w:val="auto"/>
              </w:rPr>
            </w:pPr>
            <w:r>
              <w:rPr>
                <w:rFonts w:ascii="Arial" w:cs="Arial" w:eastAsia="Arial" w:hAnsi="Arial"/>
                <w:sz w:val="14"/>
                <w:szCs w:val="14"/>
                <w:color w:val="auto"/>
              </w:rPr>
              <w:t>1,000,009</w:t>
            </w:r>
          </w:p>
        </w:tc>
        <w:tc>
          <w:tcPr>
            <w:tcW w:w="100" w:type="dxa"/>
            <w:vAlign w:val="bottom"/>
            <w:tcBorders>
              <w:right w:val="single" w:sz="8" w:color="93A1D2"/>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right w:val="single" w:sz="8" w:color="93A1D2"/>
            </w:tcBorders>
            <w:gridSpan w:val="2"/>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638,950</w:t>
            </w:r>
          </w:p>
        </w:tc>
        <w:tc>
          <w:tcPr>
            <w:tcW w:w="120" w:type="dxa"/>
            <w:vAlign w:val="bottom"/>
            <w:tcBorders>
              <w:right w:val="single" w:sz="8" w:color="93A1D2"/>
            </w:tcBorders>
          </w:tcPr>
          <w:p>
            <w:pPr>
              <w:spacing w:after="0"/>
              <w:rPr>
                <w:sz w:val="17"/>
                <w:szCs w:val="17"/>
                <w:color w:val="auto"/>
              </w:rPr>
            </w:pPr>
          </w:p>
        </w:tc>
        <w:tc>
          <w:tcPr>
            <w:tcW w:w="1220" w:type="dxa"/>
            <w:vAlign w:val="bottom"/>
            <w:tcBorders>
              <w:right w:val="single" w:sz="8" w:color="93A1D2"/>
            </w:tcBorders>
            <w:gridSpan w:val="3"/>
          </w:tcPr>
          <w:p>
            <w:pPr>
              <w:jc w:val="right"/>
              <w:ind w:right="100"/>
              <w:spacing w:after="0"/>
              <w:rPr>
                <w:sz w:val="20"/>
                <w:szCs w:val="20"/>
                <w:color w:val="auto"/>
              </w:rPr>
            </w:pPr>
            <w:r>
              <w:rPr>
                <w:rFonts w:ascii="Arial" w:cs="Arial" w:eastAsia="Arial" w:hAnsi="Arial"/>
                <w:sz w:val="14"/>
                <w:szCs w:val="14"/>
                <w:color w:val="auto"/>
              </w:rPr>
              <w:t>3,931</w:t>
            </w:r>
          </w:p>
        </w:tc>
        <w:tc>
          <w:tcPr>
            <w:tcW w:w="8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4"/>
                <w:szCs w:val="14"/>
                <w:color w:val="auto"/>
              </w:rPr>
              <w:t>2,198,659</w:t>
            </w:r>
          </w:p>
        </w:tc>
        <w:tc>
          <w:tcPr>
            <w:tcW w:w="0" w:type="dxa"/>
            <w:vAlign w:val="bottom"/>
          </w:tcPr>
          <w:p>
            <w:pPr>
              <w:spacing w:after="0"/>
              <w:rPr>
                <w:sz w:val="1"/>
                <w:szCs w:val="1"/>
                <w:color w:val="auto"/>
              </w:rPr>
            </w:pPr>
          </w:p>
        </w:tc>
      </w:tr>
      <w:tr>
        <w:trPr>
          <w:trHeight w:val="190"/>
        </w:trPr>
        <w:tc>
          <w:tcPr>
            <w:tcW w:w="60" w:type="dxa"/>
            <w:vAlign w:val="bottom"/>
            <w:tcBorders>
              <w:left w:val="single" w:sz="8" w:color="3465B0"/>
            </w:tcBorders>
          </w:tcPr>
          <w:p>
            <w:pPr>
              <w:spacing w:after="0"/>
              <w:rPr>
                <w:sz w:val="16"/>
                <w:szCs w:val="16"/>
                <w:color w:val="auto"/>
              </w:rPr>
            </w:pPr>
          </w:p>
        </w:tc>
        <w:tc>
          <w:tcPr>
            <w:tcW w:w="2060" w:type="dxa"/>
            <w:vAlign w:val="bottom"/>
            <w:tcBorders>
              <w:right w:val="single" w:sz="8" w:color="93A1D2"/>
            </w:tcBorders>
          </w:tcPr>
          <w:p>
            <w:pPr>
              <w:ind w:left="220"/>
              <w:spacing w:after="0"/>
              <w:rPr>
                <w:sz w:val="20"/>
                <w:szCs w:val="20"/>
                <w:color w:val="auto"/>
              </w:rPr>
            </w:pPr>
            <w:r>
              <w:rPr>
                <w:rFonts w:ascii="Arial" w:cs="Arial" w:eastAsia="Arial" w:hAnsi="Arial"/>
                <w:sz w:val="14"/>
                <w:szCs w:val="14"/>
                <w:color w:val="auto"/>
              </w:rPr>
              <w:t>Chief Financial Officer</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right w:val="single" w:sz="8" w:color="93A1D2"/>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93A1D2"/>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93A1D2"/>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Borders>
              <w:right w:val="single" w:sz="8" w:color="93A1D2"/>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Borders>
              <w:right w:val="single" w:sz="8" w:color="93A1D2"/>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Borders>
              <w:left w:val="single" w:sz="8" w:color="3465B0"/>
            </w:tcBorders>
          </w:tcPr>
          <w:p>
            <w:pPr>
              <w:spacing w:after="0" w:line="20" w:lineRule="exact"/>
              <w:rPr>
                <w:sz w:val="1"/>
                <w:szCs w:val="1"/>
                <w:color w:val="auto"/>
              </w:rPr>
            </w:pPr>
          </w:p>
        </w:tc>
        <w:tc>
          <w:tcPr>
            <w:tcW w:w="2060" w:type="dxa"/>
            <w:vAlign w:val="bottom"/>
            <w:tcBorders>
              <w:right w:val="single" w:sz="8" w:color="93A1D2"/>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820" w:type="dxa"/>
            <w:vAlign w:val="bottom"/>
            <w:tcBorders>
              <w:right w:val="single" w:sz="8" w:color="3465B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Borders>
              <w:left w:val="single" w:sz="8" w:color="3465B0"/>
            </w:tcBorders>
            <w:shd w:val="clear" w:color="auto" w:fill="CCCCCC"/>
          </w:tcPr>
          <w:p>
            <w:pPr>
              <w:spacing w:after="0"/>
              <w:rPr>
                <w:sz w:val="17"/>
                <w:szCs w:val="17"/>
                <w:color w:val="auto"/>
              </w:rPr>
            </w:pPr>
          </w:p>
        </w:tc>
        <w:tc>
          <w:tcPr>
            <w:tcW w:w="2060" w:type="dxa"/>
            <w:vAlign w:val="bottom"/>
            <w:tcBorders>
              <w:right w:val="single" w:sz="8" w:color="93A1D2"/>
            </w:tcBorders>
            <w:shd w:val="clear" w:color="auto" w:fill="CCCCCC"/>
          </w:tcPr>
          <w:p>
            <w:pPr>
              <w:ind w:left="40"/>
              <w:spacing w:after="0" w:line="207" w:lineRule="exact"/>
              <w:rPr>
                <w:sz w:val="20"/>
                <w:szCs w:val="20"/>
                <w:color w:val="auto"/>
              </w:rPr>
            </w:pPr>
            <w:r>
              <w:rPr>
                <w:rFonts w:ascii="Arial" w:cs="Arial" w:eastAsia="Arial" w:hAnsi="Arial"/>
                <w:sz w:val="14"/>
                <w:szCs w:val="14"/>
                <w:color w:val="auto"/>
              </w:rPr>
              <w:t>Mark S. Banner</w:t>
            </w:r>
            <w:r>
              <w:rPr>
                <w:rFonts w:ascii="Arial" w:cs="Arial" w:eastAsia="Arial" w:hAnsi="Arial"/>
                <w:sz w:val="23"/>
                <w:szCs w:val="23"/>
                <w:color w:val="auto"/>
                <w:vertAlign w:val="superscript"/>
              </w:rPr>
              <w:t>(6)</w:t>
            </w:r>
          </w:p>
        </w:tc>
        <w:tc>
          <w:tcPr>
            <w:tcW w:w="80" w:type="dxa"/>
            <w:vAlign w:val="bottom"/>
            <w:shd w:val="clear" w:color="auto" w:fill="CCCCCC"/>
          </w:tcPr>
          <w:p>
            <w:pPr>
              <w:spacing w:after="0"/>
              <w:rPr>
                <w:sz w:val="17"/>
                <w:szCs w:val="17"/>
                <w:color w:val="auto"/>
              </w:rPr>
            </w:pPr>
          </w:p>
        </w:tc>
        <w:tc>
          <w:tcPr>
            <w:tcW w:w="440" w:type="dxa"/>
            <w:vAlign w:val="bottom"/>
            <w:tcBorders>
              <w:right w:val="single" w:sz="8" w:color="93A1D2"/>
            </w:tcBorders>
            <w:gridSpan w:val="2"/>
            <w:shd w:val="clear" w:color="auto" w:fill="CCCCCC"/>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CCCC"/>
          </w:tcPr>
          <w:p>
            <w:pPr>
              <w:spacing w:after="0"/>
              <w:rPr>
                <w:sz w:val="17"/>
                <w:szCs w:val="17"/>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536,538</w:t>
            </w:r>
          </w:p>
        </w:tc>
        <w:tc>
          <w:tcPr>
            <w:tcW w:w="120" w:type="dxa"/>
            <w:vAlign w:val="bottom"/>
            <w:tcBorders>
              <w:right w:val="single" w:sz="8" w:color="93A1D2"/>
            </w:tcBorders>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660" w:type="dxa"/>
            <w:vAlign w:val="bottom"/>
            <w:tcBorders>
              <w:right w:val="single" w:sz="8" w:color="93A1D2"/>
            </w:tcBorders>
            <w:gridSpan w:val="2"/>
            <w:shd w:val="clear" w:color="auto" w:fill="CCCCC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7"/>
                <w:szCs w:val="17"/>
                <w:color w:val="auto"/>
              </w:rPr>
            </w:pPr>
          </w:p>
        </w:tc>
        <w:tc>
          <w:tcPr>
            <w:tcW w:w="760" w:type="dxa"/>
            <w:vAlign w:val="bottom"/>
            <w:shd w:val="clear" w:color="auto" w:fill="CCCCCC"/>
          </w:tcPr>
          <w:p>
            <w:pPr>
              <w:jc w:val="right"/>
              <w:ind w:right="51"/>
              <w:spacing w:after="0"/>
              <w:rPr>
                <w:sz w:val="20"/>
                <w:szCs w:val="20"/>
                <w:color w:val="auto"/>
              </w:rPr>
            </w:pPr>
            <w:r>
              <w:rPr>
                <w:rFonts w:ascii="Arial" w:cs="Arial" w:eastAsia="Arial" w:hAnsi="Arial"/>
                <w:sz w:val="14"/>
                <w:szCs w:val="14"/>
                <w:color w:val="auto"/>
                <w:w w:val="99"/>
              </w:rPr>
              <w:t>1,078,450</w:t>
            </w:r>
          </w:p>
        </w:tc>
        <w:tc>
          <w:tcPr>
            <w:tcW w:w="100" w:type="dxa"/>
            <w:vAlign w:val="bottom"/>
            <w:tcBorders>
              <w:right w:val="single" w:sz="8" w:color="93A1D2"/>
            </w:tcBorders>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80" w:type="dxa"/>
            <w:vAlign w:val="bottom"/>
            <w:tcBorders>
              <w:right w:val="single" w:sz="8" w:color="93A1D2"/>
            </w:tcBorders>
            <w:gridSpan w:val="2"/>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648,780</w:t>
            </w:r>
          </w:p>
        </w:tc>
        <w:tc>
          <w:tcPr>
            <w:tcW w:w="120" w:type="dxa"/>
            <w:vAlign w:val="bottom"/>
            <w:tcBorders>
              <w:right w:val="single" w:sz="8" w:color="93A1D2"/>
            </w:tcBorders>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1140" w:type="dxa"/>
            <w:vAlign w:val="bottom"/>
            <w:tcBorders>
              <w:right w:val="single" w:sz="8" w:color="93A1D2"/>
            </w:tcBorders>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13,513</w:t>
            </w:r>
          </w:p>
        </w:tc>
        <w:tc>
          <w:tcPr>
            <w:tcW w:w="100" w:type="dxa"/>
            <w:vAlign w:val="bottom"/>
            <w:shd w:val="clear" w:color="auto" w:fill="CCCCCC"/>
          </w:tcPr>
          <w:p>
            <w:pPr>
              <w:spacing w:after="0"/>
              <w:rPr>
                <w:sz w:val="17"/>
                <w:szCs w:val="17"/>
                <w:color w:val="auto"/>
              </w:rPr>
            </w:pPr>
          </w:p>
        </w:tc>
        <w:tc>
          <w:tcPr>
            <w:tcW w:w="720" w:type="dxa"/>
            <w:vAlign w:val="bottom"/>
            <w:tcBorders>
              <w:right w:val="single" w:sz="8" w:color="3465B0"/>
            </w:tcBorders>
            <w:shd w:val="clear" w:color="auto" w:fill="CCCCCC"/>
          </w:tcPr>
          <w:p>
            <w:pPr>
              <w:jc w:val="right"/>
              <w:ind w:right="10"/>
              <w:spacing w:after="0"/>
              <w:rPr>
                <w:sz w:val="20"/>
                <w:szCs w:val="20"/>
                <w:color w:val="auto"/>
              </w:rPr>
            </w:pPr>
            <w:r>
              <w:rPr>
                <w:rFonts w:ascii="Arial" w:cs="Arial" w:eastAsia="Arial" w:hAnsi="Arial"/>
                <w:sz w:val="14"/>
                <w:szCs w:val="14"/>
                <w:color w:val="auto"/>
                <w:w w:val="99"/>
              </w:rPr>
              <w:t>2,277,281</w:t>
            </w:r>
          </w:p>
        </w:tc>
        <w:tc>
          <w:tcPr>
            <w:tcW w:w="0" w:type="dxa"/>
            <w:vAlign w:val="bottom"/>
          </w:tcPr>
          <w:p>
            <w:pPr>
              <w:spacing w:after="0"/>
              <w:rPr>
                <w:sz w:val="1"/>
                <w:szCs w:val="1"/>
                <w:color w:val="auto"/>
              </w:rPr>
            </w:pPr>
          </w:p>
        </w:tc>
      </w:tr>
      <w:tr>
        <w:trPr>
          <w:trHeight w:val="162"/>
        </w:trPr>
        <w:tc>
          <w:tcPr>
            <w:tcW w:w="60" w:type="dxa"/>
            <w:vAlign w:val="bottom"/>
            <w:tcBorders>
              <w:left w:val="single" w:sz="8" w:color="3465B0"/>
            </w:tcBorders>
            <w:shd w:val="clear" w:color="auto" w:fill="CCCCCC"/>
          </w:tcPr>
          <w:p>
            <w:pPr>
              <w:spacing w:after="0"/>
              <w:rPr>
                <w:sz w:val="14"/>
                <w:szCs w:val="14"/>
                <w:color w:val="auto"/>
              </w:rPr>
            </w:pPr>
          </w:p>
        </w:tc>
        <w:tc>
          <w:tcPr>
            <w:tcW w:w="206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4"/>
                <w:szCs w:val="14"/>
                <w:color w:val="auto"/>
              </w:rPr>
              <w:t>President of America’s</w:t>
            </w:r>
          </w:p>
        </w:tc>
        <w:tc>
          <w:tcPr>
            <w:tcW w:w="80" w:type="dxa"/>
            <w:vAlign w:val="bottom"/>
            <w:shd w:val="clear" w:color="auto" w:fill="CCCCCC"/>
          </w:tcPr>
          <w:p>
            <w:pPr>
              <w:spacing w:after="0"/>
              <w:rPr>
                <w:sz w:val="14"/>
                <w:szCs w:val="14"/>
                <w:color w:val="auto"/>
              </w:rPr>
            </w:pPr>
          </w:p>
        </w:tc>
        <w:tc>
          <w:tcPr>
            <w:tcW w:w="440" w:type="dxa"/>
            <w:vAlign w:val="bottom"/>
            <w:tcBorders>
              <w:right w:val="single" w:sz="8" w:color="93A1D2"/>
            </w:tcBorders>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CCCC"/>
          </w:tcPr>
          <w:p>
            <w:pPr>
              <w:spacing w:after="0"/>
              <w:rPr>
                <w:sz w:val="14"/>
                <w:szCs w:val="14"/>
                <w:color w:val="auto"/>
              </w:rPr>
            </w:pPr>
          </w:p>
        </w:tc>
        <w:tc>
          <w:tcPr>
            <w:tcW w:w="6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221,154</w:t>
            </w:r>
          </w:p>
        </w:tc>
        <w:tc>
          <w:tcPr>
            <w:tcW w:w="120" w:type="dxa"/>
            <w:vAlign w:val="bottom"/>
            <w:tcBorders>
              <w:right w:val="single" w:sz="8" w:color="93A1D2"/>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5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w w:val="98"/>
              </w:rPr>
              <w:t>333,414</w:t>
            </w:r>
          </w:p>
        </w:tc>
        <w:tc>
          <w:tcPr>
            <w:tcW w:w="100" w:type="dxa"/>
            <w:vAlign w:val="bottom"/>
            <w:tcBorders>
              <w:right w:val="single" w:sz="8" w:color="93A1D2"/>
            </w:tcBorders>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760" w:type="dxa"/>
            <w:vAlign w:val="bottom"/>
            <w:vMerge w:val="restart"/>
            <w:shd w:val="clear" w:color="auto" w:fill="CCCCCC"/>
          </w:tcPr>
          <w:p>
            <w:pPr>
              <w:jc w:val="right"/>
              <w:ind w:right="51"/>
              <w:spacing w:after="0"/>
              <w:rPr>
                <w:sz w:val="20"/>
                <w:szCs w:val="20"/>
                <w:color w:val="auto"/>
              </w:rPr>
            </w:pPr>
            <w:r>
              <w:rPr>
                <w:rFonts w:ascii="Arial" w:cs="Arial" w:eastAsia="Arial" w:hAnsi="Arial"/>
                <w:sz w:val="14"/>
                <w:szCs w:val="14"/>
                <w:color w:val="auto"/>
              </w:rPr>
              <w:t>900,007</w:t>
            </w:r>
          </w:p>
        </w:tc>
        <w:tc>
          <w:tcPr>
            <w:tcW w:w="100" w:type="dxa"/>
            <w:vAlign w:val="bottom"/>
            <w:tcBorders>
              <w:right w:val="single" w:sz="8" w:color="93A1D2"/>
            </w:tcBorders>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580" w:type="dxa"/>
            <w:vAlign w:val="bottom"/>
            <w:tcBorders>
              <w:right w:val="single" w:sz="8" w:color="93A1D2"/>
            </w:tcBorders>
            <w:gridSpan w:val="2"/>
            <w:vMerge w:val="restart"/>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4"/>
                <w:szCs w:val="14"/>
                <w:color w:val="auto"/>
              </w:rPr>
            </w:pPr>
          </w:p>
        </w:tc>
        <w:tc>
          <w:tcPr>
            <w:tcW w:w="1140" w:type="dxa"/>
            <w:vAlign w:val="bottom"/>
            <w:tcBorders>
              <w:right w:val="single" w:sz="8" w:color="93A1D2"/>
            </w:tcBorders>
            <w:gridSpan w:val="2"/>
            <w:vMerge w:val="restart"/>
            <w:shd w:val="clear" w:color="auto" w:fill="CCCC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4"/>
                <w:szCs w:val="14"/>
                <w:color w:val="auto"/>
              </w:rPr>
            </w:pPr>
          </w:p>
        </w:tc>
        <w:tc>
          <w:tcPr>
            <w:tcW w:w="1140" w:type="dxa"/>
            <w:vAlign w:val="bottom"/>
            <w:tcBorders>
              <w:right w:val="single" w:sz="8" w:color="93A1D2"/>
            </w:tcBorders>
            <w:gridSpan w:val="2"/>
            <w:vMerge w:val="restart"/>
            <w:shd w:val="clear" w:color="auto" w:fill="CCCCCC"/>
          </w:tcPr>
          <w:p>
            <w:pPr>
              <w:jc w:val="right"/>
              <w:ind w:right="100"/>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CCCCC"/>
          </w:tcPr>
          <w:p>
            <w:pPr>
              <w:spacing w:after="0"/>
              <w:rPr>
                <w:sz w:val="14"/>
                <w:szCs w:val="14"/>
                <w:color w:val="auto"/>
              </w:rPr>
            </w:pPr>
          </w:p>
        </w:tc>
        <w:tc>
          <w:tcPr>
            <w:tcW w:w="720" w:type="dxa"/>
            <w:vAlign w:val="bottom"/>
            <w:tcBorders>
              <w:right w:val="single" w:sz="8" w:color="3465B0"/>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w w:val="99"/>
              </w:rPr>
              <w:t>1,456,101</w:t>
            </w:r>
          </w:p>
        </w:tc>
        <w:tc>
          <w:tcPr>
            <w:tcW w:w="0" w:type="dxa"/>
            <w:vAlign w:val="bottom"/>
          </w:tcPr>
          <w:p>
            <w:pPr>
              <w:spacing w:after="0"/>
              <w:rPr>
                <w:sz w:val="1"/>
                <w:szCs w:val="1"/>
                <w:color w:val="auto"/>
              </w:rPr>
            </w:pPr>
          </w:p>
        </w:tc>
      </w:tr>
      <w:tr>
        <w:trPr>
          <w:trHeight w:val="109"/>
        </w:trPr>
        <w:tc>
          <w:tcPr>
            <w:tcW w:w="60" w:type="dxa"/>
            <w:vAlign w:val="bottom"/>
            <w:tcBorders>
              <w:left w:val="single" w:sz="8" w:color="3465B0"/>
            </w:tcBorders>
            <w:shd w:val="clear" w:color="auto" w:fill="CCCCCC"/>
          </w:tcPr>
          <w:p>
            <w:pPr>
              <w:spacing w:after="0"/>
              <w:rPr>
                <w:sz w:val="9"/>
                <w:szCs w:val="9"/>
                <w:color w:val="auto"/>
              </w:rPr>
            </w:pPr>
          </w:p>
        </w:tc>
        <w:tc>
          <w:tcPr>
            <w:tcW w:w="2060" w:type="dxa"/>
            <w:vAlign w:val="bottom"/>
            <w:tcBorders>
              <w:right w:val="single" w:sz="8" w:color="93A1D2"/>
            </w:tcBorders>
            <w:vMerge w:val="restart"/>
            <w:shd w:val="clear" w:color="auto" w:fill="CCCCCC"/>
          </w:tcPr>
          <w:p>
            <w:pPr>
              <w:ind w:left="220"/>
              <w:spacing w:after="0"/>
              <w:rPr>
                <w:sz w:val="20"/>
                <w:szCs w:val="20"/>
                <w:color w:val="auto"/>
              </w:rPr>
            </w:pPr>
            <w:r>
              <w:rPr>
                <w:rFonts w:ascii="Arial" w:cs="Arial" w:eastAsia="Arial" w:hAnsi="Arial"/>
                <w:sz w:val="14"/>
                <w:szCs w:val="14"/>
                <w:color w:val="auto"/>
              </w:rPr>
              <w:t>Best</w:t>
            </w:r>
          </w:p>
        </w:tc>
        <w:tc>
          <w:tcPr>
            <w:tcW w:w="80" w:type="dxa"/>
            <w:vAlign w:val="bottom"/>
            <w:shd w:val="clear" w:color="auto" w:fill="CCCCCC"/>
          </w:tcPr>
          <w:p>
            <w:pPr>
              <w:spacing w:after="0"/>
              <w:rPr>
                <w:sz w:val="9"/>
                <w:szCs w:val="9"/>
                <w:color w:val="auto"/>
              </w:rPr>
            </w:pPr>
          </w:p>
        </w:tc>
        <w:tc>
          <w:tcPr>
            <w:tcW w:w="440" w:type="dxa"/>
            <w:vAlign w:val="bottom"/>
            <w:tcBorders>
              <w:right w:val="single" w:sz="8" w:color="93A1D2"/>
            </w:tcBorders>
            <w:gridSpan w:val="2"/>
            <w:vMerge w:val="continue"/>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660" w:type="dxa"/>
            <w:vAlign w:val="bottom"/>
            <w:vMerge w:val="continue"/>
            <w:shd w:val="clear" w:color="auto" w:fill="CCCCCC"/>
          </w:tcPr>
          <w:p>
            <w:pPr>
              <w:spacing w:after="0"/>
              <w:rPr>
                <w:sz w:val="9"/>
                <w:szCs w:val="9"/>
                <w:color w:val="auto"/>
              </w:rPr>
            </w:pPr>
          </w:p>
        </w:tc>
        <w:tc>
          <w:tcPr>
            <w:tcW w:w="120" w:type="dxa"/>
            <w:vAlign w:val="bottom"/>
            <w:tcBorders>
              <w:right w:val="single" w:sz="8" w:color="93A1D2"/>
            </w:tcBorders>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560" w:type="dxa"/>
            <w:vAlign w:val="bottom"/>
            <w:vMerge w:val="continue"/>
            <w:shd w:val="clear" w:color="auto" w:fill="CCCCCC"/>
          </w:tcPr>
          <w:p>
            <w:pPr>
              <w:spacing w:after="0"/>
              <w:rPr>
                <w:sz w:val="9"/>
                <w:szCs w:val="9"/>
                <w:color w:val="auto"/>
              </w:rPr>
            </w:pPr>
          </w:p>
        </w:tc>
        <w:tc>
          <w:tcPr>
            <w:tcW w:w="100" w:type="dxa"/>
            <w:vAlign w:val="bottom"/>
            <w:tcBorders>
              <w:right w:val="single" w:sz="8" w:color="93A1D2"/>
            </w:tcBorders>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760" w:type="dxa"/>
            <w:vAlign w:val="bottom"/>
            <w:vMerge w:val="continue"/>
            <w:shd w:val="clear" w:color="auto" w:fill="CCCCCC"/>
          </w:tcPr>
          <w:p>
            <w:pPr>
              <w:spacing w:after="0"/>
              <w:rPr>
                <w:sz w:val="9"/>
                <w:szCs w:val="9"/>
                <w:color w:val="auto"/>
              </w:rPr>
            </w:pPr>
          </w:p>
        </w:tc>
        <w:tc>
          <w:tcPr>
            <w:tcW w:w="100" w:type="dxa"/>
            <w:vAlign w:val="bottom"/>
            <w:tcBorders>
              <w:right w:val="single" w:sz="8" w:color="93A1D2"/>
            </w:tcBorders>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580" w:type="dxa"/>
            <w:vAlign w:val="bottom"/>
            <w:tcBorders>
              <w:right w:val="single" w:sz="8" w:color="93A1D2"/>
            </w:tcBorders>
            <w:gridSpan w:val="2"/>
            <w:vMerge w:val="continue"/>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1140" w:type="dxa"/>
            <w:vAlign w:val="bottom"/>
            <w:tcBorders>
              <w:right w:val="single" w:sz="8" w:color="93A1D2"/>
            </w:tcBorders>
            <w:gridSpan w:val="2"/>
            <w:vMerge w:val="continue"/>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1140" w:type="dxa"/>
            <w:vAlign w:val="bottom"/>
            <w:tcBorders>
              <w:right w:val="single" w:sz="8" w:color="93A1D2"/>
            </w:tcBorders>
            <w:gridSpan w:val="2"/>
            <w:vMerge w:val="continue"/>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720" w:type="dxa"/>
            <w:vAlign w:val="bottom"/>
            <w:tcBorders>
              <w:right w:val="single" w:sz="8" w:color="3465B0"/>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0" w:type="dxa"/>
            <w:vAlign w:val="bottom"/>
            <w:tcBorders>
              <w:left w:val="single" w:sz="8" w:color="3465B0"/>
              <w:bottom w:val="single" w:sz="8" w:color="CCCCCC"/>
            </w:tcBorders>
            <w:shd w:val="clear" w:color="auto" w:fill="CCCCCC"/>
          </w:tcPr>
          <w:p>
            <w:pPr>
              <w:spacing w:after="0"/>
              <w:rPr>
                <w:sz w:val="7"/>
                <w:szCs w:val="7"/>
                <w:color w:val="auto"/>
              </w:rPr>
            </w:pPr>
          </w:p>
        </w:tc>
        <w:tc>
          <w:tcPr>
            <w:tcW w:w="2060" w:type="dxa"/>
            <w:vAlign w:val="bottom"/>
            <w:tcBorders>
              <w:bottom w:val="single" w:sz="8" w:color="CCCCCC"/>
              <w:right w:val="single" w:sz="8" w:color="93A1D2"/>
            </w:tcBorders>
            <w:vMerge w:val="continue"/>
            <w:shd w:val="clear" w:color="auto" w:fill="CCCCCC"/>
          </w:tcPr>
          <w:p>
            <w:pPr>
              <w:spacing w:after="0"/>
              <w:rPr>
                <w:sz w:val="7"/>
                <w:szCs w:val="7"/>
                <w:color w:val="auto"/>
              </w:rPr>
            </w:pPr>
          </w:p>
        </w:tc>
        <w:tc>
          <w:tcPr>
            <w:tcW w:w="80" w:type="dxa"/>
            <w:vAlign w:val="bottom"/>
            <w:tcBorders>
              <w:bottom w:val="single" w:sz="8" w:color="CCCCCC"/>
            </w:tcBorders>
            <w:shd w:val="clear" w:color="auto" w:fill="CCCCCC"/>
          </w:tcPr>
          <w:p>
            <w:pPr>
              <w:spacing w:after="0"/>
              <w:rPr>
                <w:sz w:val="7"/>
                <w:szCs w:val="7"/>
                <w:color w:val="auto"/>
              </w:rPr>
            </w:pPr>
          </w:p>
        </w:tc>
        <w:tc>
          <w:tcPr>
            <w:tcW w:w="340" w:type="dxa"/>
            <w:vAlign w:val="bottom"/>
            <w:tcBorders>
              <w:bottom w:val="single" w:sz="8" w:color="CCCCCC"/>
            </w:tcBorders>
            <w:shd w:val="clear" w:color="auto" w:fill="CCCCCC"/>
          </w:tcPr>
          <w:p>
            <w:pPr>
              <w:spacing w:after="0"/>
              <w:rPr>
                <w:sz w:val="7"/>
                <w:szCs w:val="7"/>
                <w:color w:val="auto"/>
              </w:rPr>
            </w:pPr>
          </w:p>
        </w:tc>
        <w:tc>
          <w:tcPr>
            <w:tcW w:w="100" w:type="dxa"/>
            <w:vAlign w:val="bottom"/>
            <w:tcBorders>
              <w:bottom w:val="single" w:sz="8" w:color="CCCCCC"/>
              <w:right w:val="single" w:sz="8" w:color="93A1D2"/>
            </w:tcBorders>
            <w:shd w:val="clear" w:color="auto" w:fill="CCCCCC"/>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660" w:type="dxa"/>
            <w:vAlign w:val="bottom"/>
            <w:tcBorders>
              <w:bottom w:val="single" w:sz="8" w:color="CCCCCC"/>
            </w:tcBorders>
            <w:shd w:val="clear" w:color="auto" w:fill="CCCCCC"/>
          </w:tcPr>
          <w:p>
            <w:pPr>
              <w:spacing w:after="0"/>
              <w:rPr>
                <w:sz w:val="7"/>
                <w:szCs w:val="7"/>
                <w:color w:val="auto"/>
              </w:rPr>
            </w:pPr>
          </w:p>
        </w:tc>
        <w:tc>
          <w:tcPr>
            <w:tcW w:w="120" w:type="dxa"/>
            <w:vAlign w:val="bottom"/>
            <w:tcBorders>
              <w:bottom w:val="single" w:sz="8" w:color="CCCCCC"/>
              <w:right w:val="single" w:sz="8" w:color="93A1D2"/>
            </w:tcBorders>
            <w:shd w:val="clear" w:color="auto" w:fill="CCCCCC"/>
          </w:tcPr>
          <w:p>
            <w:pPr>
              <w:spacing w:after="0"/>
              <w:rPr>
                <w:sz w:val="7"/>
                <w:szCs w:val="7"/>
                <w:color w:val="auto"/>
              </w:rPr>
            </w:pPr>
          </w:p>
        </w:tc>
        <w:tc>
          <w:tcPr>
            <w:tcW w:w="80" w:type="dxa"/>
            <w:vAlign w:val="bottom"/>
            <w:tcBorders>
              <w:bottom w:val="single" w:sz="8" w:color="CCCCCC"/>
            </w:tcBorders>
            <w:shd w:val="clear" w:color="auto" w:fill="CCCCCC"/>
          </w:tcPr>
          <w:p>
            <w:pPr>
              <w:spacing w:after="0"/>
              <w:rPr>
                <w:sz w:val="7"/>
                <w:szCs w:val="7"/>
                <w:color w:val="auto"/>
              </w:rPr>
            </w:pPr>
          </w:p>
        </w:tc>
        <w:tc>
          <w:tcPr>
            <w:tcW w:w="560" w:type="dxa"/>
            <w:vAlign w:val="bottom"/>
            <w:tcBorders>
              <w:bottom w:val="single" w:sz="8" w:color="CCCCCC"/>
            </w:tcBorders>
            <w:shd w:val="clear" w:color="auto" w:fill="CCCCCC"/>
          </w:tcPr>
          <w:p>
            <w:pPr>
              <w:spacing w:after="0"/>
              <w:rPr>
                <w:sz w:val="7"/>
                <w:szCs w:val="7"/>
                <w:color w:val="auto"/>
              </w:rPr>
            </w:pPr>
          </w:p>
        </w:tc>
        <w:tc>
          <w:tcPr>
            <w:tcW w:w="100" w:type="dxa"/>
            <w:vAlign w:val="bottom"/>
            <w:tcBorders>
              <w:bottom w:val="single" w:sz="8" w:color="CCCCCC"/>
              <w:right w:val="single" w:sz="8" w:color="93A1D2"/>
            </w:tcBorders>
            <w:shd w:val="clear" w:color="auto" w:fill="CCCCCC"/>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760" w:type="dxa"/>
            <w:vAlign w:val="bottom"/>
            <w:tcBorders>
              <w:bottom w:val="single" w:sz="8" w:color="CCCCCC"/>
            </w:tcBorders>
            <w:shd w:val="clear" w:color="auto" w:fill="CCCCCC"/>
          </w:tcPr>
          <w:p>
            <w:pPr>
              <w:spacing w:after="0"/>
              <w:rPr>
                <w:sz w:val="7"/>
                <w:szCs w:val="7"/>
                <w:color w:val="auto"/>
              </w:rPr>
            </w:pPr>
          </w:p>
        </w:tc>
        <w:tc>
          <w:tcPr>
            <w:tcW w:w="100" w:type="dxa"/>
            <w:vAlign w:val="bottom"/>
            <w:tcBorders>
              <w:bottom w:val="single" w:sz="8" w:color="CCCCCC"/>
              <w:right w:val="single" w:sz="8" w:color="93A1D2"/>
            </w:tcBorders>
            <w:shd w:val="clear" w:color="auto" w:fill="CCCCCC"/>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460" w:type="dxa"/>
            <w:vAlign w:val="bottom"/>
            <w:tcBorders>
              <w:bottom w:val="single" w:sz="8" w:color="CCCCCC"/>
            </w:tcBorders>
            <w:shd w:val="clear" w:color="auto" w:fill="CCCCCC"/>
          </w:tcPr>
          <w:p>
            <w:pPr>
              <w:spacing w:after="0"/>
              <w:rPr>
                <w:sz w:val="7"/>
                <w:szCs w:val="7"/>
                <w:color w:val="auto"/>
              </w:rPr>
            </w:pPr>
          </w:p>
        </w:tc>
        <w:tc>
          <w:tcPr>
            <w:tcW w:w="120" w:type="dxa"/>
            <w:vAlign w:val="bottom"/>
            <w:tcBorders>
              <w:bottom w:val="single" w:sz="8" w:color="CCCCCC"/>
              <w:right w:val="single" w:sz="8" w:color="93A1D2"/>
            </w:tcBorders>
            <w:shd w:val="clear" w:color="auto" w:fill="CCCCCC"/>
          </w:tcPr>
          <w:p>
            <w:pPr>
              <w:spacing w:after="0"/>
              <w:rPr>
                <w:sz w:val="7"/>
                <w:szCs w:val="7"/>
                <w:color w:val="auto"/>
              </w:rPr>
            </w:pPr>
          </w:p>
        </w:tc>
        <w:tc>
          <w:tcPr>
            <w:tcW w:w="80" w:type="dxa"/>
            <w:vAlign w:val="bottom"/>
            <w:tcBorders>
              <w:bottom w:val="single" w:sz="8" w:color="CCCCCC"/>
            </w:tcBorders>
            <w:shd w:val="clear" w:color="auto" w:fill="CCCCCC"/>
          </w:tcPr>
          <w:p>
            <w:pPr>
              <w:spacing w:after="0"/>
              <w:rPr>
                <w:sz w:val="7"/>
                <w:szCs w:val="7"/>
                <w:color w:val="auto"/>
              </w:rPr>
            </w:pPr>
          </w:p>
        </w:tc>
        <w:tc>
          <w:tcPr>
            <w:tcW w:w="1020" w:type="dxa"/>
            <w:vAlign w:val="bottom"/>
            <w:tcBorders>
              <w:bottom w:val="single" w:sz="8" w:color="CCCCCC"/>
            </w:tcBorders>
            <w:shd w:val="clear" w:color="auto" w:fill="CCCCCC"/>
          </w:tcPr>
          <w:p>
            <w:pPr>
              <w:spacing w:after="0"/>
              <w:rPr>
                <w:sz w:val="7"/>
                <w:szCs w:val="7"/>
                <w:color w:val="auto"/>
              </w:rPr>
            </w:pPr>
          </w:p>
        </w:tc>
        <w:tc>
          <w:tcPr>
            <w:tcW w:w="120" w:type="dxa"/>
            <w:vAlign w:val="bottom"/>
            <w:tcBorders>
              <w:bottom w:val="single" w:sz="8" w:color="CCCCCC"/>
              <w:right w:val="single" w:sz="8" w:color="93A1D2"/>
            </w:tcBorders>
            <w:shd w:val="clear" w:color="auto" w:fill="CCCCCC"/>
          </w:tcPr>
          <w:p>
            <w:pPr>
              <w:spacing w:after="0"/>
              <w:rPr>
                <w:sz w:val="7"/>
                <w:szCs w:val="7"/>
                <w:color w:val="auto"/>
              </w:rPr>
            </w:pPr>
          </w:p>
        </w:tc>
        <w:tc>
          <w:tcPr>
            <w:tcW w:w="80" w:type="dxa"/>
            <w:vAlign w:val="bottom"/>
            <w:tcBorders>
              <w:bottom w:val="single" w:sz="8" w:color="CCCCCC"/>
            </w:tcBorders>
            <w:shd w:val="clear" w:color="auto" w:fill="CCCCCC"/>
          </w:tcPr>
          <w:p>
            <w:pPr>
              <w:spacing w:after="0"/>
              <w:rPr>
                <w:sz w:val="7"/>
                <w:szCs w:val="7"/>
                <w:color w:val="auto"/>
              </w:rPr>
            </w:pPr>
          </w:p>
        </w:tc>
        <w:tc>
          <w:tcPr>
            <w:tcW w:w="1020" w:type="dxa"/>
            <w:vAlign w:val="bottom"/>
            <w:tcBorders>
              <w:bottom w:val="single" w:sz="8" w:color="CCCCCC"/>
            </w:tcBorders>
            <w:shd w:val="clear" w:color="auto" w:fill="CCCCCC"/>
          </w:tcPr>
          <w:p>
            <w:pPr>
              <w:spacing w:after="0"/>
              <w:rPr>
                <w:sz w:val="7"/>
                <w:szCs w:val="7"/>
                <w:color w:val="auto"/>
              </w:rPr>
            </w:pPr>
          </w:p>
        </w:tc>
        <w:tc>
          <w:tcPr>
            <w:tcW w:w="120" w:type="dxa"/>
            <w:vAlign w:val="bottom"/>
            <w:tcBorders>
              <w:bottom w:val="single" w:sz="8" w:color="CCCCCC"/>
              <w:right w:val="single" w:sz="8" w:color="93A1D2"/>
            </w:tcBorders>
            <w:shd w:val="clear" w:color="auto" w:fill="CCCCCC"/>
          </w:tcPr>
          <w:p>
            <w:pPr>
              <w:spacing w:after="0"/>
              <w:rPr>
                <w:sz w:val="7"/>
                <w:szCs w:val="7"/>
                <w:color w:val="auto"/>
              </w:rPr>
            </w:pPr>
          </w:p>
        </w:tc>
        <w:tc>
          <w:tcPr>
            <w:tcW w:w="100" w:type="dxa"/>
            <w:vAlign w:val="bottom"/>
            <w:tcBorders>
              <w:bottom w:val="single" w:sz="8" w:color="CCCCCC"/>
            </w:tcBorders>
            <w:shd w:val="clear" w:color="auto" w:fill="CCCCCC"/>
          </w:tcPr>
          <w:p>
            <w:pPr>
              <w:spacing w:after="0"/>
              <w:rPr>
                <w:sz w:val="7"/>
                <w:szCs w:val="7"/>
                <w:color w:val="auto"/>
              </w:rPr>
            </w:pPr>
          </w:p>
        </w:tc>
        <w:tc>
          <w:tcPr>
            <w:tcW w:w="720" w:type="dxa"/>
            <w:vAlign w:val="bottom"/>
            <w:tcBorders>
              <w:bottom w:val="single" w:sz="8" w:color="CCCCCC"/>
              <w:right w:val="single" w:sz="8" w:color="3465B0"/>
            </w:tcBorders>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60" w:type="dxa"/>
            <w:vAlign w:val="bottom"/>
            <w:tcBorders>
              <w:left w:val="single" w:sz="8" w:color="3465B0"/>
            </w:tcBorders>
          </w:tcPr>
          <w:p>
            <w:pPr>
              <w:spacing w:after="0"/>
              <w:rPr>
                <w:sz w:val="17"/>
                <w:szCs w:val="17"/>
                <w:color w:val="auto"/>
              </w:rPr>
            </w:pPr>
          </w:p>
        </w:tc>
        <w:tc>
          <w:tcPr>
            <w:tcW w:w="2060" w:type="dxa"/>
            <w:vAlign w:val="bottom"/>
            <w:tcBorders>
              <w:right w:val="single" w:sz="8" w:color="93A1D2"/>
            </w:tcBorders>
          </w:tcPr>
          <w:p>
            <w:pPr>
              <w:ind w:left="40"/>
              <w:spacing w:after="0" w:line="207" w:lineRule="exact"/>
              <w:rPr>
                <w:sz w:val="20"/>
                <w:szCs w:val="20"/>
                <w:color w:val="auto"/>
              </w:rPr>
            </w:pPr>
            <w:r>
              <w:rPr>
                <w:rFonts w:ascii="Arial" w:cs="Arial" w:eastAsia="Arial" w:hAnsi="Arial"/>
                <w:sz w:val="14"/>
                <w:szCs w:val="14"/>
                <w:color w:val="auto"/>
              </w:rPr>
              <w:t>Jared Brandman</w:t>
            </w:r>
            <w:r>
              <w:rPr>
                <w:rFonts w:ascii="Arial" w:cs="Arial" w:eastAsia="Arial" w:hAnsi="Arial"/>
                <w:sz w:val="23"/>
                <w:szCs w:val="23"/>
                <w:color w:val="auto"/>
                <w:vertAlign w:val="superscript"/>
              </w:rPr>
              <w:t>(7)</w:t>
            </w:r>
          </w:p>
        </w:tc>
        <w:tc>
          <w:tcPr>
            <w:tcW w:w="520" w:type="dxa"/>
            <w:vAlign w:val="bottom"/>
            <w:tcBorders>
              <w:right w:val="single" w:sz="8" w:color="93A1D2"/>
            </w:tcBorders>
            <w:gridSpan w:val="3"/>
          </w:tcPr>
          <w:p>
            <w:pPr>
              <w:ind w:left="100"/>
              <w:spacing w:after="0"/>
              <w:rPr>
                <w:sz w:val="20"/>
                <w:szCs w:val="20"/>
                <w:color w:val="auto"/>
              </w:rPr>
            </w:pPr>
            <w:r>
              <w:rPr>
                <w:rFonts w:ascii="Arial" w:cs="Arial" w:eastAsia="Arial" w:hAnsi="Arial"/>
                <w:sz w:val="14"/>
                <w:szCs w:val="14"/>
                <w:color w:val="auto"/>
              </w:rPr>
              <w:t>2025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542,308</w:t>
            </w:r>
          </w:p>
        </w:tc>
        <w:tc>
          <w:tcPr>
            <w:tcW w:w="120" w:type="dxa"/>
            <w:vAlign w:val="bottom"/>
            <w:tcBorders>
              <w:right w:val="single" w:sz="8" w:color="93A1D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93A1D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1"/>
              <w:spacing w:after="0"/>
              <w:rPr>
                <w:sz w:val="20"/>
                <w:szCs w:val="20"/>
                <w:color w:val="auto"/>
              </w:rPr>
            </w:pPr>
            <w:r>
              <w:rPr>
                <w:rFonts w:ascii="Arial" w:cs="Arial" w:eastAsia="Arial" w:hAnsi="Arial"/>
                <w:sz w:val="14"/>
                <w:szCs w:val="14"/>
                <w:color w:val="auto"/>
              </w:rPr>
              <w:t>808,832</w:t>
            </w:r>
          </w:p>
        </w:tc>
        <w:tc>
          <w:tcPr>
            <w:tcW w:w="100" w:type="dxa"/>
            <w:vAlign w:val="bottom"/>
            <w:tcBorders>
              <w:right w:val="single" w:sz="8" w:color="93A1D2"/>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right w:val="single" w:sz="8" w:color="93A1D2"/>
            </w:tcBorders>
            <w:gridSpan w:val="2"/>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702,845</w:t>
            </w:r>
          </w:p>
        </w:tc>
        <w:tc>
          <w:tcPr>
            <w:tcW w:w="120" w:type="dxa"/>
            <w:vAlign w:val="bottom"/>
            <w:tcBorders>
              <w:right w:val="single" w:sz="8" w:color="93A1D2"/>
            </w:tcBorders>
          </w:tcPr>
          <w:p>
            <w:pPr>
              <w:spacing w:after="0"/>
              <w:rPr>
                <w:sz w:val="17"/>
                <w:szCs w:val="17"/>
                <w:color w:val="auto"/>
              </w:rPr>
            </w:pPr>
          </w:p>
        </w:tc>
        <w:tc>
          <w:tcPr>
            <w:tcW w:w="1220" w:type="dxa"/>
            <w:vAlign w:val="bottom"/>
            <w:tcBorders>
              <w:right w:val="single" w:sz="8" w:color="93A1D2"/>
            </w:tcBorders>
            <w:gridSpan w:val="3"/>
          </w:tcPr>
          <w:p>
            <w:pPr>
              <w:jc w:val="right"/>
              <w:ind w:right="100"/>
              <w:spacing w:after="0"/>
              <w:rPr>
                <w:sz w:val="20"/>
                <w:szCs w:val="20"/>
                <w:color w:val="auto"/>
              </w:rPr>
            </w:pPr>
            <w:r>
              <w:rPr>
                <w:rFonts w:ascii="Arial" w:cs="Arial" w:eastAsia="Arial" w:hAnsi="Arial"/>
                <w:sz w:val="14"/>
                <w:szCs w:val="14"/>
                <w:color w:val="auto"/>
              </w:rPr>
              <w:t>6,931</w:t>
            </w:r>
          </w:p>
        </w:tc>
        <w:tc>
          <w:tcPr>
            <w:tcW w:w="8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4"/>
                <w:szCs w:val="14"/>
                <w:color w:val="auto"/>
              </w:rPr>
              <w:t>2,060,916</w:t>
            </w:r>
          </w:p>
        </w:tc>
        <w:tc>
          <w:tcPr>
            <w:tcW w:w="0" w:type="dxa"/>
            <w:vAlign w:val="bottom"/>
          </w:tcPr>
          <w:p>
            <w:pPr>
              <w:spacing w:after="0"/>
              <w:rPr>
                <w:sz w:val="1"/>
                <w:szCs w:val="1"/>
                <w:color w:val="auto"/>
              </w:rPr>
            </w:pPr>
          </w:p>
        </w:tc>
      </w:tr>
      <w:tr>
        <w:trPr>
          <w:trHeight w:val="162"/>
        </w:trPr>
        <w:tc>
          <w:tcPr>
            <w:tcW w:w="60" w:type="dxa"/>
            <w:vAlign w:val="bottom"/>
            <w:tcBorders>
              <w:left w:val="single" w:sz="8" w:color="3465B0"/>
            </w:tcBorders>
          </w:tcPr>
          <w:p>
            <w:pPr>
              <w:spacing w:after="0"/>
              <w:rPr>
                <w:sz w:val="14"/>
                <w:szCs w:val="14"/>
                <w:color w:val="auto"/>
              </w:rPr>
            </w:pPr>
          </w:p>
        </w:tc>
        <w:tc>
          <w:tcPr>
            <w:tcW w:w="2060" w:type="dxa"/>
            <w:vAlign w:val="bottom"/>
            <w:tcBorders>
              <w:right w:val="single" w:sz="8" w:color="93A1D2"/>
            </w:tcBorders>
          </w:tcPr>
          <w:p>
            <w:pPr>
              <w:ind w:left="220"/>
              <w:spacing w:after="0"/>
              <w:rPr>
                <w:sz w:val="20"/>
                <w:szCs w:val="20"/>
                <w:color w:val="auto"/>
              </w:rPr>
            </w:pPr>
            <w:r>
              <w:rPr>
                <w:rFonts w:ascii="Arial" w:cs="Arial" w:eastAsia="Arial" w:hAnsi="Arial"/>
                <w:sz w:val="14"/>
                <w:szCs w:val="14"/>
                <w:color w:val="auto"/>
              </w:rPr>
              <w:t>Chief Legal &amp; Strategy</w:t>
            </w:r>
          </w:p>
        </w:tc>
        <w:tc>
          <w:tcPr>
            <w:tcW w:w="520" w:type="dxa"/>
            <w:vAlign w:val="bottom"/>
            <w:tcBorders>
              <w:right w:val="single" w:sz="8" w:color="93A1D2"/>
            </w:tcBorders>
            <w:gridSpan w:val="3"/>
            <w:vMerge w:val="restart"/>
          </w:tcPr>
          <w:p>
            <w:pPr>
              <w:ind w:left="100"/>
              <w:spacing w:after="0"/>
              <w:rPr>
                <w:sz w:val="20"/>
                <w:szCs w:val="20"/>
                <w:color w:val="auto"/>
              </w:rPr>
            </w:pPr>
            <w:r>
              <w:rPr>
                <w:rFonts w:ascii="Arial" w:cs="Arial" w:eastAsia="Arial" w:hAnsi="Arial"/>
                <w:sz w:val="14"/>
                <w:szCs w:val="14"/>
                <w:color w:val="auto"/>
              </w:rPr>
              <w:t>2024</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473,077</w:t>
            </w:r>
          </w:p>
        </w:tc>
        <w:tc>
          <w:tcPr>
            <w:tcW w:w="120" w:type="dxa"/>
            <w:vAlign w:val="bottom"/>
            <w:tcBorders>
              <w:right w:val="single" w:sz="8" w:color="93A1D2"/>
            </w:tcBorders>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120,000</w:t>
            </w:r>
          </w:p>
        </w:tc>
        <w:tc>
          <w:tcPr>
            <w:tcW w:w="100" w:type="dxa"/>
            <w:vAlign w:val="bottom"/>
            <w:tcBorders>
              <w:right w:val="single" w:sz="8" w:color="93A1D2"/>
            </w:tcBorders>
          </w:tcPr>
          <w:p>
            <w:pPr>
              <w:spacing w:after="0"/>
              <w:rPr>
                <w:sz w:val="14"/>
                <w:szCs w:val="14"/>
                <w:color w:val="auto"/>
              </w:rPr>
            </w:pPr>
          </w:p>
        </w:tc>
        <w:tc>
          <w:tcPr>
            <w:tcW w:w="86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700,038</w:t>
            </w:r>
          </w:p>
        </w:tc>
        <w:tc>
          <w:tcPr>
            <w:tcW w:w="100" w:type="dxa"/>
            <w:vAlign w:val="bottom"/>
            <w:tcBorders>
              <w:right w:val="single" w:sz="8" w:color="93A1D2"/>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93A1D2"/>
            </w:tcBorders>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tcBorders>
              <w:right w:val="single" w:sz="8" w:color="93A1D2"/>
            </w:tcBorders>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12,354</w:t>
            </w:r>
          </w:p>
        </w:tc>
        <w:tc>
          <w:tcPr>
            <w:tcW w:w="820" w:type="dxa"/>
            <w:vAlign w:val="bottom"/>
            <w:tcBorders>
              <w:right w:val="single" w:sz="8" w:color="3465B0"/>
            </w:tcBorders>
            <w:gridSpan w:val="2"/>
            <w:vMerge w:val="restart"/>
          </w:tcPr>
          <w:p>
            <w:pPr>
              <w:jc w:val="right"/>
              <w:ind w:right="10"/>
              <w:spacing w:after="0"/>
              <w:rPr>
                <w:sz w:val="20"/>
                <w:szCs w:val="20"/>
                <w:color w:val="auto"/>
              </w:rPr>
            </w:pPr>
            <w:r>
              <w:rPr>
                <w:rFonts w:ascii="Arial" w:cs="Arial" w:eastAsia="Arial" w:hAnsi="Arial"/>
                <w:sz w:val="14"/>
                <w:szCs w:val="14"/>
                <w:color w:val="auto"/>
              </w:rPr>
              <w:t>1,305,469</w:t>
            </w:r>
          </w:p>
        </w:tc>
        <w:tc>
          <w:tcPr>
            <w:tcW w:w="0" w:type="dxa"/>
            <w:vAlign w:val="bottom"/>
          </w:tcPr>
          <w:p>
            <w:pPr>
              <w:spacing w:after="0"/>
              <w:rPr>
                <w:sz w:val="1"/>
                <w:szCs w:val="1"/>
                <w:color w:val="auto"/>
              </w:rPr>
            </w:pPr>
          </w:p>
        </w:tc>
      </w:tr>
      <w:tr>
        <w:trPr>
          <w:trHeight w:val="109"/>
        </w:trPr>
        <w:tc>
          <w:tcPr>
            <w:tcW w:w="60" w:type="dxa"/>
            <w:vAlign w:val="bottom"/>
            <w:tcBorders>
              <w:left w:val="single" w:sz="8" w:color="3465B0"/>
            </w:tcBorders>
          </w:tcPr>
          <w:p>
            <w:pPr>
              <w:spacing w:after="0"/>
              <w:rPr>
                <w:sz w:val="9"/>
                <w:szCs w:val="9"/>
                <w:color w:val="auto"/>
              </w:rPr>
            </w:pPr>
          </w:p>
        </w:tc>
        <w:tc>
          <w:tcPr>
            <w:tcW w:w="2060" w:type="dxa"/>
            <w:vAlign w:val="bottom"/>
            <w:tcBorders>
              <w:right w:val="single" w:sz="8" w:color="93A1D2"/>
            </w:tcBorders>
            <w:vMerge w:val="restart"/>
          </w:tcPr>
          <w:p>
            <w:pPr>
              <w:ind w:left="220"/>
              <w:spacing w:after="0"/>
              <w:rPr>
                <w:sz w:val="20"/>
                <w:szCs w:val="20"/>
                <w:color w:val="auto"/>
              </w:rPr>
            </w:pPr>
            <w:r>
              <w:rPr>
                <w:rFonts w:ascii="Arial" w:cs="Arial" w:eastAsia="Arial" w:hAnsi="Arial"/>
                <w:sz w:val="14"/>
                <w:szCs w:val="14"/>
                <w:color w:val="auto"/>
              </w:rPr>
              <w:t>Officer, Corporate</w:t>
            </w:r>
          </w:p>
        </w:tc>
        <w:tc>
          <w:tcPr>
            <w:tcW w:w="520" w:type="dxa"/>
            <w:vAlign w:val="bottom"/>
            <w:tcBorders>
              <w:right w:val="single" w:sz="8" w:color="93A1D2"/>
            </w:tcBorders>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Borders>
              <w:right w:val="single" w:sz="8" w:color="93A1D2"/>
            </w:tcBorders>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Borders>
              <w:right w:val="single" w:sz="8" w:color="93A1D2"/>
            </w:tcBorders>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Borders>
              <w:right w:val="single" w:sz="8" w:color="93A1D2"/>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right w:val="single" w:sz="8" w:color="93A1D2"/>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right w:val="single" w:sz="8" w:color="93A1D2"/>
            </w:tcBorders>
            <w:gridSpan w:val="2"/>
            <w:vMerge w:val="continue"/>
          </w:tcPr>
          <w:p>
            <w:pPr>
              <w:spacing w:after="0"/>
              <w:rPr>
                <w:sz w:val="9"/>
                <w:szCs w:val="9"/>
                <w:color w:val="auto"/>
              </w:rPr>
            </w:pPr>
          </w:p>
        </w:tc>
        <w:tc>
          <w:tcPr>
            <w:tcW w:w="1220" w:type="dxa"/>
            <w:vAlign w:val="bottom"/>
            <w:tcBorders>
              <w:right w:val="single" w:sz="8" w:color="93A1D2"/>
            </w:tcBorders>
            <w:gridSpan w:val="3"/>
            <w:vMerge w:val="continue"/>
          </w:tcPr>
          <w:p>
            <w:pPr>
              <w:spacing w:after="0"/>
              <w:rPr>
                <w:sz w:val="9"/>
                <w:szCs w:val="9"/>
                <w:color w:val="auto"/>
              </w:rPr>
            </w:pPr>
          </w:p>
        </w:tc>
        <w:tc>
          <w:tcPr>
            <w:tcW w:w="820" w:type="dxa"/>
            <w:vAlign w:val="bottom"/>
            <w:tcBorders>
              <w:right w:val="single" w:sz="8" w:color="3465B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60" w:type="dxa"/>
            <w:vAlign w:val="bottom"/>
            <w:tcBorders>
              <w:left w:val="single" w:sz="8" w:color="3465B0"/>
            </w:tcBorders>
          </w:tcPr>
          <w:p>
            <w:pPr>
              <w:spacing w:after="0"/>
              <w:rPr>
                <w:sz w:val="4"/>
                <w:szCs w:val="4"/>
                <w:color w:val="auto"/>
              </w:rPr>
            </w:pPr>
          </w:p>
        </w:tc>
        <w:tc>
          <w:tcPr>
            <w:tcW w:w="2060" w:type="dxa"/>
            <w:vAlign w:val="bottom"/>
            <w:tcBorders>
              <w:right w:val="single" w:sz="8" w:color="93A1D2"/>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right w:val="single" w:sz="8" w:color="93A1D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Borders>
              <w:right w:val="single" w:sz="8" w:color="93A1D2"/>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right w:val="single" w:sz="8" w:color="93A1D2"/>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Borders>
              <w:right w:val="single" w:sz="8" w:color="93A1D2"/>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right w:val="single" w:sz="8" w:color="93A1D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Borders>
              <w:right w:val="single" w:sz="8" w:color="93A1D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Borders>
              <w:right w:val="single" w:sz="8" w:color="93A1D2"/>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right w:val="single" w:sz="8" w:color="3465B0"/>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 w:type="dxa"/>
            <w:vAlign w:val="bottom"/>
            <w:tcBorders>
              <w:left w:val="single" w:sz="8" w:color="3465B0"/>
            </w:tcBorders>
          </w:tcPr>
          <w:p>
            <w:pPr>
              <w:spacing w:after="0"/>
              <w:rPr>
                <w:sz w:val="18"/>
                <w:szCs w:val="18"/>
                <w:color w:val="auto"/>
              </w:rPr>
            </w:pPr>
          </w:p>
        </w:tc>
        <w:tc>
          <w:tcPr>
            <w:tcW w:w="2060" w:type="dxa"/>
            <w:vAlign w:val="bottom"/>
            <w:tcBorders>
              <w:right w:val="single" w:sz="8" w:color="93A1D2"/>
            </w:tcBorders>
          </w:tcPr>
          <w:p>
            <w:pPr>
              <w:ind w:left="220"/>
              <w:spacing w:after="0"/>
              <w:rPr>
                <w:sz w:val="20"/>
                <w:szCs w:val="20"/>
                <w:color w:val="auto"/>
              </w:rPr>
            </w:pPr>
            <w:r>
              <w:rPr>
                <w:rFonts w:ascii="Arial" w:cs="Arial" w:eastAsia="Arial" w:hAnsi="Arial"/>
                <w:sz w:val="14"/>
                <w:szCs w:val="14"/>
                <w:color w:val="auto"/>
              </w:rPr>
              <w:t>Secretary</w:t>
            </w:r>
          </w:p>
        </w:tc>
        <w:tc>
          <w:tcPr>
            <w:tcW w:w="520" w:type="dxa"/>
            <w:vAlign w:val="bottom"/>
            <w:tcBorders>
              <w:right w:val="single" w:sz="8" w:color="93A1D2"/>
            </w:tcBorders>
            <w:gridSpan w:val="3"/>
          </w:tcPr>
          <w:p>
            <w:pPr>
              <w:ind w:left="100"/>
              <w:spacing w:after="0"/>
              <w:rPr>
                <w:sz w:val="20"/>
                <w:szCs w:val="20"/>
                <w:color w:val="auto"/>
              </w:rPr>
            </w:pPr>
            <w:r>
              <w:rPr>
                <w:rFonts w:ascii="Arial" w:cs="Arial" w:eastAsia="Arial" w:hAnsi="Arial"/>
                <w:sz w:val="14"/>
                <w:szCs w:val="14"/>
                <w:color w:val="auto"/>
              </w:rPr>
              <w:t>2023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423,077</w:t>
            </w:r>
          </w:p>
        </w:tc>
        <w:tc>
          <w:tcPr>
            <w:tcW w:w="120" w:type="dxa"/>
            <w:vAlign w:val="bottom"/>
            <w:tcBorders>
              <w:right w:val="single" w:sz="8" w:color="93A1D2"/>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93A1D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1"/>
              <w:spacing w:after="0"/>
              <w:rPr>
                <w:sz w:val="20"/>
                <w:szCs w:val="20"/>
                <w:color w:val="auto"/>
              </w:rPr>
            </w:pPr>
            <w:r>
              <w:rPr>
                <w:rFonts w:ascii="Arial" w:cs="Arial" w:eastAsia="Arial" w:hAnsi="Arial"/>
                <w:sz w:val="14"/>
                <w:szCs w:val="14"/>
                <w:color w:val="auto"/>
              </w:rPr>
              <w:t>850,011</w:t>
            </w:r>
          </w:p>
        </w:tc>
        <w:tc>
          <w:tcPr>
            <w:tcW w:w="100" w:type="dxa"/>
            <w:vAlign w:val="bottom"/>
            <w:tcBorders>
              <w:right w:val="single" w:sz="8" w:color="93A1D2"/>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right w:val="single" w:sz="8" w:color="93A1D2"/>
            </w:tcBorders>
            <w:gridSpan w:val="2"/>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426,303</w:t>
            </w:r>
          </w:p>
        </w:tc>
        <w:tc>
          <w:tcPr>
            <w:tcW w:w="120" w:type="dxa"/>
            <w:vAlign w:val="bottom"/>
            <w:tcBorders>
              <w:right w:val="single" w:sz="8" w:color="93A1D2"/>
            </w:tcBorders>
          </w:tcPr>
          <w:p>
            <w:pPr>
              <w:spacing w:after="0"/>
              <w:rPr>
                <w:sz w:val="18"/>
                <w:szCs w:val="18"/>
                <w:color w:val="auto"/>
              </w:rPr>
            </w:pPr>
          </w:p>
        </w:tc>
        <w:tc>
          <w:tcPr>
            <w:tcW w:w="1220" w:type="dxa"/>
            <w:vAlign w:val="bottom"/>
            <w:tcBorders>
              <w:right w:val="single" w:sz="8" w:color="93A1D2"/>
            </w:tcBorders>
            <w:gridSpan w:val="3"/>
          </w:tcPr>
          <w:p>
            <w:pPr>
              <w:jc w:val="right"/>
              <w:ind w:right="100"/>
              <w:spacing w:after="0"/>
              <w:rPr>
                <w:sz w:val="20"/>
                <w:szCs w:val="20"/>
                <w:color w:val="auto"/>
              </w:rPr>
            </w:pPr>
            <w:r>
              <w:rPr>
                <w:rFonts w:ascii="Arial" w:cs="Arial" w:eastAsia="Arial" w:hAnsi="Arial"/>
                <w:sz w:val="14"/>
                <w:szCs w:val="14"/>
                <w:color w:val="auto"/>
              </w:rPr>
              <w:t>5,417</w:t>
            </w:r>
          </w:p>
        </w:tc>
        <w:tc>
          <w:tcPr>
            <w:tcW w:w="8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4"/>
                <w:szCs w:val="14"/>
                <w:color w:val="auto"/>
              </w:rPr>
              <w:t>1,704,808</w:t>
            </w:r>
          </w:p>
        </w:tc>
        <w:tc>
          <w:tcPr>
            <w:tcW w:w="0" w:type="dxa"/>
            <w:vAlign w:val="bottom"/>
          </w:tcPr>
          <w:p>
            <w:pPr>
              <w:spacing w:after="0"/>
              <w:rPr>
                <w:sz w:val="1"/>
                <w:szCs w:val="1"/>
                <w:color w:val="auto"/>
              </w:rPr>
            </w:pPr>
          </w:p>
        </w:tc>
      </w:tr>
      <w:tr>
        <w:trPr>
          <w:trHeight w:val="22"/>
        </w:trPr>
        <w:tc>
          <w:tcPr>
            <w:tcW w:w="60" w:type="dxa"/>
            <w:vAlign w:val="bottom"/>
            <w:tcBorders>
              <w:left w:val="single" w:sz="8" w:color="3465B0"/>
            </w:tcBorders>
          </w:tcPr>
          <w:p>
            <w:pPr>
              <w:spacing w:after="0" w:line="20" w:lineRule="exact"/>
              <w:rPr>
                <w:sz w:val="1"/>
                <w:szCs w:val="1"/>
                <w:color w:val="auto"/>
              </w:rPr>
            </w:pPr>
          </w:p>
        </w:tc>
        <w:tc>
          <w:tcPr>
            <w:tcW w:w="2060" w:type="dxa"/>
            <w:vAlign w:val="bottom"/>
            <w:tcBorders>
              <w:right w:val="single" w:sz="8" w:color="93A1D2"/>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Borders>
              <w:right w:val="single" w:sz="8" w:color="93A1D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820" w:type="dxa"/>
            <w:vAlign w:val="bottom"/>
            <w:tcBorders>
              <w:right w:val="single" w:sz="8" w:color="3465B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Borders>
              <w:left w:val="single" w:sz="8" w:color="3465B0"/>
            </w:tcBorders>
            <w:shd w:val="clear" w:color="auto" w:fill="CCCCCC"/>
          </w:tcPr>
          <w:p>
            <w:pPr>
              <w:spacing w:after="0"/>
              <w:rPr>
                <w:sz w:val="17"/>
                <w:szCs w:val="17"/>
                <w:color w:val="auto"/>
              </w:rPr>
            </w:pPr>
          </w:p>
        </w:tc>
        <w:tc>
          <w:tcPr>
            <w:tcW w:w="2060" w:type="dxa"/>
            <w:vAlign w:val="bottom"/>
            <w:tcBorders>
              <w:right w:val="single" w:sz="8" w:color="93A1D2"/>
            </w:tcBorders>
            <w:shd w:val="clear" w:color="auto" w:fill="CCCCCC"/>
          </w:tcPr>
          <w:p>
            <w:pPr>
              <w:ind w:left="40"/>
              <w:spacing w:after="0" w:line="207" w:lineRule="exact"/>
              <w:rPr>
                <w:sz w:val="20"/>
                <w:szCs w:val="20"/>
                <w:color w:val="auto"/>
              </w:rPr>
            </w:pPr>
            <w:r>
              <w:rPr>
                <w:rFonts w:ascii="Arial" w:cs="Arial" w:eastAsia="Arial" w:hAnsi="Arial"/>
                <w:sz w:val="14"/>
                <w:szCs w:val="14"/>
                <w:color w:val="auto"/>
              </w:rPr>
              <w:t>Bill Clark</w:t>
            </w:r>
            <w:r>
              <w:rPr>
                <w:rFonts w:ascii="Arial" w:cs="Arial" w:eastAsia="Arial" w:hAnsi="Arial"/>
                <w:sz w:val="23"/>
                <w:szCs w:val="23"/>
                <w:color w:val="auto"/>
                <w:vertAlign w:val="superscript"/>
              </w:rPr>
              <w:t>(7)</w:t>
            </w:r>
          </w:p>
        </w:tc>
        <w:tc>
          <w:tcPr>
            <w:tcW w:w="80" w:type="dxa"/>
            <w:vAlign w:val="bottom"/>
            <w:shd w:val="clear" w:color="auto" w:fill="CCCCCC"/>
          </w:tcPr>
          <w:p>
            <w:pPr>
              <w:spacing w:after="0"/>
              <w:rPr>
                <w:sz w:val="17"/>
                <w:szCs w:val="17"/>
                <w:color w:val="auto"/>
              </w:rPr>
            </w:pPr>
          </w:p>
        </w:tc>
        <w:tc>
          <w:tcPr>
            <w:tcW w:w="440" w:type="dxa"/>
            <w:vAlign w:val="bottom"/>
            <w:tcBorders>
              <w:right w:val="single" w:sz="8" w:color="93A1D2"/>
            </w:tcBorders>
            <w:gridSpan w:val="2"/>
            <w:shd w:val="clear" w:color="auto" w:fill="CCCCCC"/>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CCCC"/>
          </w:tcPr>
          <w:p>
            <w:pPr>
              <w:spacing w:after="0"/>
              <w:rPr>
                <w:sz w:val="17"/>
                <w:szCs w:val="17"/>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443,231</w:t>
            </w:r>
          </w:p>
        </w:tc>
        <w:tc>
          <w:tcPr>
            <w:tcW w:w="120" w:type="dxa"/>
            <w:vAlign w:val="bottom"/>
            <w:tcBorders>
              <w:right w:val="single" w:sz="8" w:color="93A1D2"/>
            </w:tcBorders>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660" w:type="dxa"/>
            <w:vAlign w:val="bottom"/>
            <w:tcBorders>
              <w:right w:val="single" w:sz="8" w:color="93A1D2"/>
            </w:tcBorders>
            <w:gridSpan w:val="2"/>
            <w:shd w:val="clear" w:color="auto" w:fill="CCCCC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7"/>
                <w:szCs w:val="17"/>
                <w:color w:val="auto"/>
              </w:rPr>
            </w:pPr>
          </w:p>
        </w:tc>
        <w:tc>
          <w:tcPr>
            <w:tcW w:w="760" w:type="dxa"/>
            <w:vAlign w:val="bottom"/>
            <w:shd w:val="clear" w:color="auto" w:fill="CCCCCC"/>
          </w:tcPr>
          <w:p>
            <w:pPr>
              <w:jc w:val="right"/>
              <w:ind w:right="51"/>
              <w:spacing w:after="0"/>
              <w:rPr>
                <w:sz w:val="20"/>
                <w:szCs w:val="20"/>
                <w:color w:val="auto"/>
              </w:rPr>
            </w:pPr>
            <w:r>
              <w:rPr>
                <w:rFonts w:ascii="Arial" w:cs="Arial" w:eastAsia="Arial" w:hAnsi="Arial"/>
                <w:sz w:val="14"/>
                <w:szCs w:val="14"/>
                <w:color w:val="auto"/>
              </w:rPr>
              <w:t>647,086</w:t>
            </w:r>
          </w:p>
        </w:tc>
        <w:tc>
          <w:tcPr>
            <w:tcW w:w="100" w:type="dxa"/>
            <w:vAlign w:val="bottom"/>
            <w:tcBorders>
              <w:right w:val="single" w:sz="8" w:color="93A1D2"/>
            </w:tcBorders>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c>
          <w:tcPr>
            <w:tcW w:w="580" w:type="dxa"/>
            <w:vAlign w:val="bottom"/>
            <w:tcBorders>
              <w:right w:val="single" w:sz="8" w:color="93A1D2"/>
            </w:tcBorders>
            <w:gridSpan w:val="2"/>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532,589</w:t>
            </w:r>
          </w:p>
        </w:tc>
        <w:tc>
          <w:tcPr>
            <w:tcW w:w="120" w:type="dxa"/>
            <w:vAlign w:val="bottom"/>
            <w:tcBorders>
              <w:right w:val="single" w:sz="8" w:color="93A1D2"/>
            </w:tcBorders>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1140" w:type="dxa"/>
            <w:vAlign w:val="bottom"/>
            <w:tcBorders>
              <w:right w:val="single" w:sz="8" w:color="93A1D2"/>
            </w:tcBorders>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15,340</w:t>
            </w:r>
          </w:p>
        </w:tc>
        <w:tc>
          <w:tcPr>
            <w:tcW w:w="100" w:type="dxa"/>
            <w:vAlign w:val="bottom"/>
            <w:shd w:val="clear" w:color="auto" w:fill="CCCCCC"/>
          </w:tcPr>
          <w:p>
            <w:pPr>
              <w:spacing w:after="0"/>
              <w:rPr>
                <w:sz w:val="17"/>
                <w:szCs w:val="17"/>
                <w:color w:val="auto"/>
              </w:rPr>
            </w:pPr>
          </w:p>
        </w:tc>
        <w:tc>
          <w:tcPr>
            <w:tcW w:w="720" w:type="dxa"/>
            <w:vAlign w:val="bottom"/>
            <w:tcBorders>
              <w:right w:val="single" w:sz="8" w:color="3465B0"/>
            </w:tcBorders>
            <w:shd w:val="clear" w:color="auto" w:fill="CCCCCC"/>
          </w:tcPr>
          <w:p>
            <w:pPr>
              <w:jc w:val="right"/>
              <w:ind w:right="10"/>
              <w:spacing w:after="0"/>
              <w:rPr>
                <w:sz w:val="20"/>
                <w:szCs w:val="20"/>
                <w:color w:val="auto"/>
              </w:rPr>
            </w:pPr>
            <w:r>
              <w:rPr>
                <w:rFonts w:ascii="Arial" w:cs="Arial" w:eastAsia="Arial" w:hAnsi="Arial"/>
                <w:sz w:val="14"/>
                <w:szCs w:val="14"/>
                <w:color w:val="auto"/>
                <w:w w:val="99"/>
              </w:rPr>
              <w:t>1,638,246</w:t>
            </w:r>
          </w:p>
        </w:tc>
        <w:tc>
          <w:tcPr>
            <w:tcW w:w="0" w:type="dxa"/>
            <w:vAlign w:val="bottom"/>
          </w:tcPr>
          <w:p>
            <w:pPr>
              <w:spacing w:after="0"/>
              <w:rPr>
                <w:sz w:val="1"/>
                <w:szCs w:val="1"/>
                <w:color w:val="auto"/>
              </w:rPr>
            </w:pPr>
          </w:p>
        </w:tc>
      </w:tr>
      <w:tr>
        <w:trPr>
          <w:trHeight w:val="190"/>
        </w:trPr>
        <w:tc>
          <w:tcPr>
            <w:tcW w:w="60" w:type="dxa"/>
            <w:vAlign w:val="bottom"/>
            <w:tcBorders>
              <w:left w:val="single" w:sz="8" w:color="3465B0"/>
            </w:tcBorders>
            <w:shd w:val="clear" w:color="auto" w:fill="CCCCCC"/>
          </w:tcPr>
          <w:p>
            <w:pPr>
              <w:spacing w:after="0"/>
              <w:rPr>
                <w:sz w:val="16"/>
                <w:szCs w:val="16"/>
                <w:color w:val="auto"/>
              </w:rPr>
            </w:pPr>
          </w:p>
        </w:tc>
        <w:tc>
          <w:tcPr>
            <w:tcW w:w="206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4"/>
                <w:szCs w:val="14"/>
                <w:color w:val="auto"/>
              </w:rPr>
              <w:t>Chief People Officer</w:t>
            </w:r>
          </w:p>
        </w:tc>
        <w:tc>
          <w:tcPr>
            <w:tcW w:w="80" w:type="dxa"/>
            <w:vAlign w:val="bottom"/>
            <w:shd w:val="clear" w:color="auto" w:fill="CCCCCC"/>
          </w:tcPr>
          <w:p>
            <w:pPr>
              <w:spacing w:after="0"/>
              <w:rPr>
                <w:sz w:val="16"/>
                <w:szCs w:val="16"/>
                <w:color w:val="auto"/>
              </w:rPr>
            </w:pPr>
          </w:p>
        </w:tc>
        <w:tc>
          <w:tcPr>
            <w:tcW w:w="3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w w:val="96"/>
              </w:rPr>
              <w:t>2024</w:t>
            </w:r>
          </w:p>
        </w:tc>
        <w:tc>
          <w:tcPr>
            <w:tcW w:w="100" w:type="dxa"/>
            <w:vAlign w:val="bottom"/>
            <w:tcBorders>
              <w:right w:val="single" w:sz="8" w:color="93A1D2"/>
            </w:tcBorders>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414,762</w:t>
            </w:r>
          </w:p>
        </w:tc>
        <w:tc>
          <w:tcPr>
            <w:tcW w:w="120" w:type="dxa"/>
            <w:vAlign w:val="bottom"/>
            <w:tcBorders>
              <w:right w:val="single" w:sz="8" w:color="93A1D2"/>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5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w w:val="98"/>
              </w:rPr>
              <w:t>103,200</w:t>
            </w:r>
          </w:p>
        </w:tc>
        <w:tc>
          <w:tcPr>
            <w:tcW w:w="100" w:type="dxa"/>
            <w:vAlign w:val="bottom"/>
            <w:tcBorders>
              <w:right w:val="single" w:sz="8" w:color="93A1D2"/>
            </w:tcBorders>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760" w:type="dxa"/>
            <w:vAlign w:val="bottom"/>
            <w:vMerge w:val="restart"/>
            <w:shd w:val="clear" w:color="auto" w:fill="CCCCCC"/>
          </w:tcPr>
          <w:p>
            <w:pPr>
              <w:jc w:val="right"/>
              <w:ind w:right="51"/>
              <w:spacing w:after="0"/>
              <w:rPr>
                <w:sz w:val="20"/>
                <w:szCs w:val="20"/>
                <w:color w:val="auto"/>
              </w:rPr>
            </w:pPr>
            <w:r>
              <w:rPr>
                <w:rFonts w:ascii="Arial" w:cs="Arial" w:eastAsia="Arial" w:hAnsi="Arial"/>
                <w:sz w:val="14"/>
                <w:szCs w:val="14"/>
                <w:color w:val="auto"/>
              </w:rPr>
              <w:t>475,038</w:t>
            </w:r>
          </w:p>
        </w:tc>
        <w:tc>
          <w:tcPr>
            <w:tcW w:w="100" w:type="dxa"/>
            <w:vAlign w:val="bottom"/>
            <w:tcBorders>
              <w:right w:val="single" w:sz="8" w:color="93A1D2"/>
            </w:tcBorders>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460" w:type="dxa"/>
            <w:vAlign w:val="bottom"/>
            <w:vMerge w:val="restart"/>
            <w:shd w:val="clear" w:color="auto" w:fill="CCCCCC"/>
          </w:tcPr>
          <w:p>
            <w:pPr>
              <w:ind w:left="320"/>
              <w:spacing w:after="0"/>
              <w:rPr>
                <w:sz w:val="20"/>
                <w:szCs w:val="20"/>
                <w:color w:val="auto"/>
              </w:rPr>
            </w:pPr>
            <w:r>
              <w:rPr>
                <w:rFonts w:ascii="Arial" w:cs="Arial" w:eastAsia="Arial" w:hAnsi="Arial"/>
                <w:sz w:val="14"/>
                <w:szCs w:val="14"/>
                <w:color w:val="auto"/>
                <w:w w:val="85"/>
              </w:rPr>
              <w:t>—</w:t>
            </w:r>
          </w:p>
        </w:tc>
        <w:tc>
          <w:tcPr>
            <w:tcW w:w="120" w:type="dxa"/>
            <w:vAlign w:val="bottom"/>
            <w:tcBorders>
              <w:right w:val="single" w:sz="8" w:color="93A1D2"/>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02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93A1D2"/>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02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7,912</w:t>
            </w:r>
          </w:p>
        </w:tc>
        <w:tc>
          <w:tcPr>
            <w:tcW w:w="120" w:type="dxa"/>
            <w:vAlign w:val="bottom"/>
            <w:tcBorders>
              <w:right w:val="single" w:sz="8" w:color="93A1D2"/>
            </w:tcBorders>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720" w:type="dxa"/>
            <w:vAlign w:val="bottom"/>
            <w:tcBorders>
              <w:right w:val="single" w:sz="8" w:color="3465B0"/>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w w:val="99"/>
              </w:rPr>
              <w:t>1,000,912</w:t>
            </w:r>
          </w:p>
        </w:tc>
        <w:tc>
          <w:tcPr>
            <w:tcW w:w="0" w:type="dxa"/>
            <w:vAlign w:val="bottom"/>
          </w:tcPr>
          <w:p>
            <w:pPr>
              <w:spacing w:after="0"/>
              <w:rPr>
                <w:sz w:val="1"/>
                <w:szCs w:val="1"/>
                <w:color w:val="auto"/>
              </w:rPr>
            </w:pPr>
          </w:p>
        </w:tc>
      </w:tr>
      <w:tr>
        <w:trPr>
          <w:trHeight w:val="81"/>
        </w:trPr>
        <w:tc>
          <w:tcPr>
            <w:tcW w:w="60" w:type="dxa"/>
            <w:vAlign w:val="bottom"/>
            <w:tcBorders>
              <w:left w:val="single" w:sz="8" w:color="3465B0"/>
            </w:tcBorders>
            <w:shd w:val="clear" w:color="auto" w:fill="CCCCCC"/>
          </w:tcPr>
          <w:p>
            <w:pPr>
              <w:spacing w:after="0"/>
              <w:rPr>
                <w:sz w:val="7"/>
                <w:szCs w:val="7"/>
                <w:color w:val="auto"/>
              </w:rPr>
            </w:pPr>
          </w:p>
        </w:tc>
        <w:tc>
          <w:tcPr>
            <w:tcW w:w="2060" w:type="dxa"/>
            <w:vAlign w:val="bottom"/>
            <w:tcBorders>
              <w:right w:val="single" w:sz="8" w:color="93A1D2"/>
            </w:tcBorders>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340" w:type="dxa"/>
            <w:vAlign w:val="bottom"/>
            <w:vMerge w:val="continue"/>
            <w:shd w:val="clear" w:color="auto" w:fill="CCCCCC"/>
          </w:tcPr>
          <w:p>
            <w:pPr>
              <w:spacing w:after="0"/>
              <w:rPr>
                <w:sz w:val="7"/>
                <w:szCs w:val="7"/>
                <w:color w:val="auto"/>
              </w:rPr>
            </w:pPr>
          </w:p>
        </w:tc>
        <w:tc>
          <w:tcPr>
            <w:tcW w:w="100" w:type="dxa"/>
            <w:vAlign w:val="bottom"/>
            <w:tcBorders>
              <w:right w:val="single" w:sz="8" w:color="93A1D2"/>
            </w:tcBorders>
            <w:shd w:val="clear" w:color="auto" w:fill="CCCCCC"/>
          </w:tcPr>
          <w:p>
            <w:pPr>
              <w:spacing w:after="0"/>
              <w:rPr>
                <w:sz w:val="7"/>
                <w:szCs w:val="7"/>
                <w:color w:val="auto"/>
              </w:rPr>
            </w:pPr>
          </w:p>
        </w:tc>
        <w:tc>
          <w:tcPr>
            <w:tcW w:w="100" w:type="dxa"/>
            <w:vAlign w:val="bottom"/>
            <w:shd w:val="clear" w:color="auto" w:fill="CCCCCC"/>
          </w:tcPr>
          <w:p>
            <w:pPr>
              <w:spacing w:after="0"/>
              <w:rPr>
                <w:sz w:val="7"/>
                <w:szCs w:val="7"/>
                <w:color w:val="auto"/>
              </w:rPr>
            </w:pPr>
          </w:p>
        </w:tc>
        <w:tc>
          <w:tcPr>
            <w:tcW w:w="660" w:type="dxa"/>
            <w:vAlign w:val="bottom"/>
            <w:vMerge w:val="continue"/>
            <w:shd w:val="clear" w:color="auto" w:fill="CCCCCC"/>
          </w:tcPr>
          <w:p>
            <w:pPr>
              <w:spacing w:after="0"/>
              <w:rPr>
                <w:sz w:val="7"/>
                <w:szCs w:val="7"/>
                <w:color w:val="auto"/>
              </w:rPr>
            </w:pPr>
          </w:p>
        </w:tc>
        <w:tc>
          <w:tcPr>
            <w:tcW w:w="120" w:type="dxa"/>
            <w:vAlign w:val="bottom"/>
            <w:tcBorders>
              <w:right w:val="single" w:sz="8" w:color="93A1D2"/>
            </w:tcBorders>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560" w:type="dxa"/>
            <w:vAlign w:val="bottom"/>
            <w:vMerge w:val="continue"/>
            <w:shd w:val="clear" w:color="auto" w:fill="CCCCCC"/>
          </w:tcPr>
          <w:p>
            <w:pPr>
              <w:spacing w:after="0"/>
              <w:rPr>
                <w:sz w:val="7"/>
                <w:szCs w:val="7"/>
                <w:color w:val="auto"/>
              </w:rPr>
            </w:pPr>
          </w:p>
        </w:tc>
        <w:tc>
          <w:tcPr>
            <w:tcW w:w="100" w:type="dxa"/>
            <w:vAlign w:val="bottom"/>
            <w:tcBorders>
              <w:right w:val="single" w:sz="8" w:color="93A1D2"/>
            </w:tcBorders>
            <w:shd w:val="clear" w:color="auto" w:fill="CCCCCC"/>
          </w:tcPr>
          <w:p>
            <w:pPr>
              <w:spacing w:after="0"/>
              <w:rPr>
                <w:sz w:val="7"/>
                <w:szCs w:val="7"/>
                <w:color w:val="auto"/>
              </w:rPr>
            </w:pPr>
          </w:p>
        </w:tc>
        <w:tc>
          <w:tcPr>
            <w:tcW w:w="100" w:type="dxa"/>
            <w:vAlign w:val="bottom"/>
            <w:shd w:val="clear" w:color="auto" w:fill="CCCCCC"/>
          </w:tcPr>
          <w:p>
            <w:pPr>
              <w:spacing w:after="0"/>
              <w:rPr>
                <w:sz w:val="7"/>
                <w:szCs w:val="7"/>
                <w:color w:val="auto"/>
              </w:rPr>
            </w:pPr>
          </w:p>
        </w:tc>
        <w:tc>
          <w:tcPr>
            <w:tcW w:w="760" w:type="dxa"/>
            <w:vAlign w:val="bottom"/>
            <w:vMerge w:val="continue"/>
            <w:shd w:val="clear" w:color="auto" w:fill="CCCCCC"/>
          </w:tcPr>
          <w:p>
            <w:pPr>
              <w:spacing w:after="0"/>
              <w:rPr>
                <w:sz w:val="7"/>
                <w:szCs w:val="7"/>
                <w:color w:val="auto"/>
              </w:rPr>
            </w:pPr>
          </w:p>
        </w:tc>
        <w:tc>
          <w:tcPr>
            <w:tcW w:w="100" w:type="dxa"/>
            <w:vAlign w:val="bottom"/>
            <w:tcBorders>
              <w:right w:val="single" w:sz="8" w:color="93A1D2"/>
            </w:tcBorders>
            <w:shd w:val="clear" w:color="auto" w:fill="CCCCCC"/>
          </w:tcPr>
          <w:p>
            <w:pPr>
              <w:spacing w:after="0"/>
              <w:rPr>
                <w:sz w:val="7"/>
                <w:szCs w:val="7"/>
                <w:color w:val="auto"/>
              </w:rPr>
            </w:pPr>
          </w:p>
        </w:tc>
        <w:tc>
          <w:tcPr>
            <w:tcW w:w="100" w:type="dxa"/>
            <w:vAlign w:val="bottom"/>
            <w:shd w:val="clear" w:color="auto" w:fill="CCCCCC"/>
          </w:tcPr>
          <w:p>
            <w:pPr>
              <w:spacing w:after="0"/>
              <w:rPr>
                <w:sz w:val="7"/>
                <w:szCs w:val="7"/>
                <w:color w:val="auto"/>
              </w:rPr>
            </w:pPr>
          </w:p>
        </w:tc>
        <w:tc>
          <w:tcPr>
            <w:tcW w:w="460" w:type="dxa"/>
            <w:vAlign w:val="bottom"/>
            <w:vMerge w:val="continue"/>
            <w:shd w:val="clear" w:color="auto" w:fill="CCCCCC"/>
          </w:tcPr>
          <w:p>
            <w:pPr>
              <w:spacing w:after="0"/>
              <w:rPr>
                <w:sz w:val="7"/>
                <w:szCs w:val="7"/>
                <w:color w:val="auto"/>
              </w:rPr>
            </w:pPr>
          </w:p>
        </w:tc>
        <w:tc>
          <w:tcPr>
            <w:tcW w:w="120" w:type="dxa"/>
            <w:vAlign w:val="bottom"/>
            <w:tcBorders>
              <w:right w:val="single" w:sz="8" w:color="93A1D2"/>
            </w:tcBorders>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1020" w:type="dxa"/>
            <w:vAlign w:val="bottom"/>
            <w:vMerge w:val="continue"/>
            <w:shd w:val="clear" w:color="auto" w:fill="CCCCCC"/>
          </w:tcPr>
          <w:p>
            <w:pPr>
              <w:spacing w:after="0"/>
              <w:rPr>
                <w:sz w:val="7"/>
                <w:szCs w:val="7"/>
                <w:color w:val="auto"/>
              </w:rPr>
            </w:pPr>
          </w:p>
        </w:tc>
        <w:tc>
          <w:tcPr>
            <w:tcW w:w="120" w:type="dxa"/>
            <w:vAlign w:val="bottom"/>
            <w:tcBorders>
              <w:right w:val="single" w:sz="8" w:color="93A1D2"/>
            </w:tcBorders>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1020" w:type="dxa"/>
            <w:vAlign w:val="bottom"/>
            <w:vMerge w:val="continue"/>
            <w:shd w:val="clear" w:color="auto" w:fill="CCCCCC"/>
          </w:tcPr>
          <w:p>
            <w:pPr>
              <w:spacing w:after="0"/>
              <w:rPr>
                <w:sz w:val="7"/>
                <w:szCs w:val="7"/>
                <w:color w:val="auto"/>
              </w:rPr>
            </w:pPr>
          </w:p>
        </w:tc>
        <w:tc>
          <w:tcPr>
            <w:tcW w:w="120" w:type="dxa"/>
            <w:vAlign w:val="bottom"/>
            <w:tcBorders>
              <w:right w:val="single" w:sz="8" w:color="93A1D2"/>
            </w:tcBorders>
            <w:shd w:val="clear" w:color="auto" w:fill="CCCCCC"/>
          </w:tcPr>
          <w:p>
            <w:pPr>
              <w:spacing w:after="0"/>
              <w:rPr>
                <w:sz w:val="7"/>
                <w:szCs w:val="7"/>
                <w:color w:val="auto"/>
              </w:rPr>
            </w:pPr>
          </w:p>
        </w:tc>
        <w:tc>
          <w:tcPr>
            <w:tcW w:w="100" w:type="dxa"/>
            <w:vAlign w:val="bottom"/>
            <w:shd w:val="clear" w:color="auto" w:fill="CCCCCC"/>
          </w:tcPr>
          <w:p>
            <w:pPr>
              <w:spacing w:after="0"/>
              <w:rPr>
                <w:sz w:val="7"/>
                <w:szCs w:val="7"/>
                <w:color w:val="auto"/>
              </w:rPr>
            </w:pPr>
          </w:p>
        </w:tc>
        <w:tc>
          <w:tcPr>
            <w:tcW w:w="720" w:type="dxa"/>
            <w:vAlign w:val="bottom"/>
            <w:tcBorders>
              <w:right w:val="single" w:sz="8" w:color="3465B0"/>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60" w:type="dxa"/>
            <w:vAlign w:val="bottom"/>
            <w:tcBorders>
              <w:left w:val="single" w:sz="8" w:color="3465B0"/>
              <w:bottom w:val="single" w:sz="8" w:color="CCCCCC"/>
            </w:tcBorders>
            <w:shd w:val="clear" w:color="auto" w:fill="CCCCCC"/>
          </w:tcPr>
          <w:p>
            <w:pPr>
              <w:spacing w:after="0"/>
              <w:rPr>
                <w:sz w:val="23"/>
                <w:szCs w:val="23"/>
                <w:color w:val="auto"/>
              </w:rPr>
            </w:pPr>
          </w:p>
        </w:tc>
        <w:tc>
          <w:tcPr>
            <w:tcW w:w="2060" w:type="dxa"/>
            <w:vAlign w:val="bottom"/>
            <w:tcBorders>
              <w:bottom w:val="single" w:sz="8" w:color="CCCCCC"/>
              <w:right w:val="single" w:sz="8" w:color="93A1D2"/>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3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w w:val="96"/>
              </w:rPr>
              <w:t>2023</w:t>
            </w:r>
          </w:p>
        </w:tc>
        <w:tc>
          <w:tcPr>
            <w:tcW w:w="100" w:type="dxa"/>
            <w:vAlign w:val="bottom"/>
            <w:tcBorders>
              <w:bottom w:val="single" w:sz="8" w:color="CCCCCC"/>
              <w:right w:val="single" w:sz="8" w:color="93A1D2"/>
            </w:tcBorders>
            <w:shd w:val="clear" w:color="auto" w:fill="CCCCCC"/>
          </w:tcPr>
          <w:p>
            <w:pPr>
              <w:spacing w:after="0"/>
              <w:rPr>
                <w:sz w:val="23"/>
                <w:szCs w:val="23"/>
                <w:color w:val="auto"/>
              </w:rPr>
            </w:pPr>
          </w:p>
        </w:tc>
        <w:tc>
          <w:tcPr>
            <w:tcW w:w="100" w:type="dxa"/>
            <w:vAlign w:val="bottom"/>
            <w:tcBorders>
              <w:bottom w:val="single" w:sz="8" w:color="CCCCCC"/>
            </w:tcBorders>
            <w:shd w:val="clear" w:color="auto" w:fill="CCCCCC"/>
          </w:tcPr>
          <w:p>
            <w:pPr>
              <w:spacing w:after="0"/>
              <w:rPr>
                <w:sz w:val="23"/>
                <w:szCs w:val="23"/>
                <w:color w:val="auto"/>
              </w:rPr>
            </w:pPr>
          </w:p>
        </w:tc>
        <w:tc>
          <w:tcPr>
            <w:tcW w:w="6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395,400</w:t>
            </w:r>
          </w:p>
        </w:tc>
        <w:tc>
          <w:tcPr>
            <w:tcW w:w="120" w:type="dxa"/>
            <w:vAlign w:val="bottom"/>
            <w:tcBorders>
              <w:bottom w:val="single" w:sz="8" w:color="CCCCCC"/>
              <w:right w:val="single" w:sz="8" w:color="93A1D2"/>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5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right w:val="single" w:sz="8" w:color="93A1D2"/>
            </w:tcBorders>
            <w:shd w:val="clear" w:color="auto" w:fill="CCCCCC"/>
          </w:tcPr>
          <w:p>
            <w:pPr>
              <w:spacing w:after="0"/>
              <w:rPr>
                <w:sz w:val="23"/>
                <w:szCs w:val="23"/>
                <w:color w:val="auto"/>
              </w:rPr>
            </w:pPr>
          </w:p>
        </w:tc>
        <w:tc>
          <w:tcPr>
            <w:tcW w:w="100" w:type="dxa"/>
            <w:vAlign w:val="bottom"/>
            <w:tcBorders>
              <w:bottom w:val="single" w:sz="8" w:color="CCCCCC"/>
            </w:tcBorders>
            <w:shd w:val="clear" w:color="auto" w:fill="CCCCCC"/>
          </w:tcPr>
          <w:p>
            <w:pPr>
              <w:spacing w:after="0"/>
              <w:rPr>
                <w:sz w:val="23"/>
                <w:szCs w:val="23"/>
                <w:color w:val="auto"/>
              </w:rPr>
            </w:pPr>
          </w:p>
        </w:tc>
        <w:tc>
          <w:tcPr>
            <w:tcW w:w="760" w:type="dxa"/>
            <w:vAlign w:val="bottom"/>
            <w:tcBorders>
              <w:bottom w:val="single" w:sz="8" w:color="CCCCCC"/>
            </w:tcBorders>
            <w:shd w:val="clear" w:color="auto" w:fill="CCCCCC"/>
          </w:tcPr>
          <w:p>
            <w:pPr>
              <w:jc w:val="right"/>
              <w:ind w:right="51"/>
              <w:spacing w:after="0"/>
              <w:rPr>
                <w:sz w:val="20"/>
                <w:szCs w:val="20"/>
                <w:color w:val="auto"/>
              </w:rPr>
            </w:pPr>
            <w:r>
              <w:rPr>
                <w:rFonts w:ascii="Arial" w:cs="Arial" w:eastAsia="Arial" w:hAnsi="Arial"/>
                <w:sz w:val="14"/>
                <w:szCs w:val="14"/>
                <w:color w:val="auto"/>
              </w:rPr>
              <w:t>850,011</w:t>
            </w:r>
          </w:p>
        </w:tc>
        <w:tc>
          <w:tcPr>
            <w:tcW w:w="100" w:type="dxa"/>
            <w:vAlign w:val="bottom"/>
            <w:tcBorders>
              <w:bottom w:val="single" w:sz="8" w:color="CCCCCC"/>
              <w:right w:val="single" w:sz="8" w:color="93A1D2"/>
            </w:tcBorders>
            <w:shd w:val="clear" w:color="auto" w:fill="CCCCCC"/>
          </w:tcPr>
          <w:p>
            <w:pPr>
              <w:spacing w:after="0"/>
              <w:rPr>
                <w:sz w:val="23"/>
                <w:szCs w:val="23"/>
                <w:color w:val="auto"/>
              </w:rPr>
            </w:pPr>
          </w:p>
        </w:tc>
        <w:tc>
          <w:tcPr>
            <w:tcW w:w="100" w:type="dxa"/>
            <w:vAlign w:val="bottom"/>
            <w:tcBorders>
              <w:bottom w:val="single" w:sz="8" w:color="CCCCCC"/>
            </w:tcBorders>
            <w:shd w:val="clear" w:color="auto" w:fill="CCCCCC"/>
          </w:tcPr>
          <w:p>
            <w:pPr>
              <w:spacing w:after="0"/>
              <w:rPr>
                <w:sz w:val="23"/>
                <w:szCs w:val="23"/>
                <w:color w:val="auto"/>
              </w:rPr>
            </w:pPr>
          </w:p>
        </w:tc>
        <w:tc>
          <w:tcPr>
            <w:tcW w:w="460" w:type="dxa"/>
            <w:vAlign w:val="bottom"/>
            <w:tcBorders>
              <w:bottom w:val="single" w:sz="8" w:color="CCCCCC"/>
            </w:tcBorders>
            <w:shd w:val="clear" w:color="auto" w:fill="CCCCCC"/>
          </w:tcPr>
          <w:p>
            <w:pPr>
              <w:ind w:left="320"/>
              <w:spacing w:after="0"/>
              <w:rPr>
                <w:sz w:val="20"/>
                <w:szCs w:val="20"/>
                <w:color w:val="auto"/>
              </w:rPr>
            </w:pPr>
            <w:r>
              <w:rPr>
                <w:rFonts w:ascii="Arial" w:cs="Arial" w:eastAsia="Arial" w:hAnsi="Arial"/>
                <w:sz w:val="14"/>
                <w:szCs w:val="14"/>
                <w:color w:val="auto"/>
                <w:w w:val="85"/>
              </w:rPr>
              <w:t>—</w:t>
            </w:r>
          </w:p>
        </w:tc>
        <w:tc>
          <w:tcPr>
            <w:tcW w:w="120" w:type="dxa"/>
            <w:vAlign w:val="bottom"/>
            <w:tcBorders>
              <w:bottom w:val="single" w:sz="8" w:color="CCCCCC"/>
              <w:right w:val="single" w:sz="8" w:color="93A1D2"/>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1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380,546</w:t>
            </w:r>
          </w:p>
        </w:tc>
        <w:tc>
          <w:tcPr>
            <w:tcW w:w="120" w:type="dxa"/>
            <w:vAlign w:val="bottom"/>
            <w:tcBorders>
              <w:bottom w:val="single" w:sz="8" w:color="CCCCCC"/>
              <w:right w:val="single" w:sz="8" w:color="93A1D2"/>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10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7,367</w:t>
            </w:r>
          </w:p>
        </w:tc>
        <w:tc>
          <w:tcPr>
            <w:tcW w:w="120" w:type="dxa"/>
            <w:vAlign w:val="bottom"/>
            <w:tcBorders>
              <w:bottom w:val="single" w:sz="8" w:color="CCCCCC"/>
              <w:right w:val="single" w:sz="8" w:color="93A1D2"/>
            </w:tcBorders>
            <w:shd w:val="clear" w:color="auto" w:fill="CCCCCC"/>
          </w:tcPr>
          <w:p>
            <w:pPr>
              <w:spacing w:after="0"/>
              <w:rPr>
                <w:sz w:val="23"/>
                <w:szCs w:val="23"/>
                <w:color w:val="auto"/>
              </w:rPr>
            </w:pPr>
          </w:p>
        </w:tc>
        <w:tc>
          <w:tcPr>
            <w:tcW w:w="100" w:type="dxa"/>
            <w:vAlign w:val="bottom"/>
            <w:tcBorders>
              <w:bottom w:val="single" w:sz="8" w:color="CCCCCC"/>
            </w:tcBorders>
            <w:shd w:val="clear" w:color="auto" w:fill="CCCCCC"/>
          </w:tcPr>
          <w:p>
            <w:pPr>
              <w:spacing w:after="0"/>
              <w:rPr>
                <w:sz w:val="23"/>
                <w:szCs w:val="23"/>
                <w:color w:val="auto"/>
              </w:rPr>
            </w:pPr>
          </w:p>
        </w:tc>
        <w:tc>
          <w:tcPr>
            <w:tcW w:w="720" w:type="dxa"/>
            <w:vAlign w:val="bottom"/>
            <w:tcBorders>
              <w:bottom w:val="single" w:sz="8" w:color="CCCCCC"/>
              <w:right w:val="single" w:sz="8" w:color="3465B0"/>
            </w:tcBorders>
            <w:shd w:val="clear" w:color="auto" w:fill="CCCCCC"/>
          </w:tcPr>
          <w:p>
            <w:pPr>
              <w:jc w:val="right"/>
              <w:ind w:right="10"/>
              <w:spacing w:after="0"/>
              <w:rPr>
                <w:sz w:val="20"/>
                <w:szCs w:val="20"/>
                <w:color w:val="auto"/>
              </w:rPr>
            </w:pPr>
            <w:r>
              <w:rPr>
                <w:rFonts w:ascii="Arial" w:cs="Arial" w:eastAsia="Arial" w:hAnsi="Arial"/>
                <w:sz w:val="14"/>
                <w:szCs w:val="14"/>
                <w:color w:val="auto"/>
                <w:w w:val="99"/>
              </w:rPr>
              <w:t>1,633,324</w:t>
            </w:r>
          </w:p>
        </w:tc>
        <w:tc>
          <w:tcPr>
            <w:tcW w:w="0" w:type="dxa"/>
            <w:vAlign w:val="bottom"/>
          </w:tcPr>
          <w:p>
            <w:pPr>
              <w:spacing w:after="0"/>
              <w:rPr>
                <w:sz w:val="1"/>
                <w:szCs w:val="1"/>
                <w:color w:val="auto"/>
              </w:rPr>
            </w:pPr>
          </w:p>
        </w:tc>
      </w:tr>
      <w:tr>
        <w:trPr>
          <w:trHeight w:val="207"/>
        </w:trPr>
        <w:tc>
          <w:tcPr>
            <w:tcW w:w="60" w:type="dxa"/>
            <w:vAlign w:val="bottom"/>
            <w:tcBorders>
              <w:left w:val="single" w:sz="8" w:color="3465B0"/>
            </w:tcBorders>
          </w:tcPr>
          <w:p>
            <w:pPr>
              <w:spacing w:after="0"/>
              <w:rPr>
                <w:sz w:val="17"/>
                <w:szCs w:val="17"/>
                <w:color w:val="auto"/>
              </w:rPr>
            </w:pPr>
          </w:p>
        </w:tc>
        <w:tc>
          <w:tcPr>
            <w:tcW w:w="2060" w:type="dxa"/>
            <w:vAlign w:val="bottom"/>
            <w:tcBorders>
              <w:right w:val="single" w:sz="8" w:color="93A1D2"/>
            </w:tcBorders>
          </w:tcPr>
          <w:p>
            <w:pPr>
              <w:ind w:left="40"/>
              <w:spacing w:after="0" w:line="207" w:lineRule="exact"/>
              <w:rPr>
                <w:sz w:val="20"/>
                <w:szCs w:val="20"/>
                <w:color w:val="auto"/>
              </w:rPr>
            </w:pPr>
            <w:r>
              <w:rPr>
                <w:rFonts w:ascii="Arial" w:cs="Arial" w:eastAsia="Arial" w:hAnsi="Arial"/>
                <w:sz w:val="14"/>
                <w:szCs w:val="14"/>
                <w:color w:val="auto"/>
              </w:rPr>
              <w:t>Patrick R. Moore</w:t>
            </w:r>
            <w:r>
              <w:rPr>
                <w:rFonts w:ascii="Arial" w:cs="Arial" w:eastAsia="Arial" w:hAnsi="Arial"/>
                <w:sz w:val="23"/>
                <w:szCs w:val="23"/>
                <w:color w:val="auto"/>
                <w:vertAlign w:val="superscript"/>
              </w:rPr>
              <w:t>(8)</w:t>
            </w:r>
          </w:p>
        </w:tc>
        <w:tc>
          <w:tcPr>
            <w:tcW w:w="520" w:type="dxa"/>
            <w:vAlign w:val="bottom"/>
            <w:tcBorders>
              <w:right w:val="single" w:sz="8" w:color="93A1D2"/>
            </w:tcBorders>
            <w:gridSpan w:val="3"/>
          </w:tcPr>
          <w:p>
            <w:pPr>
              <w:ind w:left="100"/>
              <w:spacing w:after="0"/>
              <w:rPr>
                <w:sz w:val="20"/>
                <w:szCs w:val="20"/>
                <w:color w:val="auto"/>
              </w:rPr>
            </w:pPr>
            <w:r>
              <w:rPr>
                <w:rFonts w:ascii="Arial" w:cs="Arial" w:eastAsia="Arial" w:hAnsi="Arial"/>
                <w:sz w:val="14"/>
                <w:szCs w:val="14"/>
                <w:color w:val="auto"/>
              </w:rPr>
              <w:t>2025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149,615</w:t>
            </w:r>
          </w:p>
        </w:tc>
        <w:tc>
          <w:tcPr>
            <w:tcW w:w="120" w:type="dxa"/>
            <w:vAlign w:val="bottom"/>
            <w:tcBorders>
              <w:right w:val="single" w:sz="8" w:color="93A1D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93A1D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Borders>
              <w:right w:val="single" w:sz="8" w:color="93A1D2"/>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tcBorders>
              <w:right w:val="single" w:sz="8" w:color="93A1D2"/>
            </w:tcBorders>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tcBorders>
              <w:right w:val="single" w:sz="8" w:color="93A1D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93A1D2"/>
            </w:tcBorders>
            <w:gridSpan w:val="3"/>
          </w:tcPr>
          <w:p>
            <w:pPr>
              <w:jc w:val="right"/>
              <w:ind w:right="100"/>
              <w:spacing w:after="0"/>
              <w:rPr>
                <w:sz w:val="20"/>
                <w:szCs w:val="20"/>
                <w:color w:val="auto"/>
              </w:rPr>
            </w:pPr>
            <w:r>
              <w:rPr>
                <w:rFonts w:ascii="Arial" w:cs="Arial" w:eastAsia="Arial" w:hAnsi="Arial"/>
                <w:sz w:val="14"/>
                <w:szCs w:val="14"/>
                <w:color w:val="auto"/>
              </w:rPr>
              <w:t>7,050</w:t>
            </w:r>
          </w:p>
        </w:tc>
        <w:tc>
          <w:tcPr>
            <w:tcW w:w="8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4"/>
                <w:szCs w:val="14"/>
                <w:color w:val="auto"/>
              </w:rPr>
              <w:t>156,665</w:t>
            </w:r>
          </w:p>
        </w:tc>
        <w:tc>
          <w:tcPr>
            <w:tcW w:w="0" w:type="dxa"/>
            <w:vAlign w:val="bottom"/>
          </w:tcPr>
          <w:p>
            <w:pPr>
              <w:spacing w:after="0"/>
              <w:rPr>
                <w:sz w:val="1"/>
                <w:szCs w:val="1"/>
                <w:color w:val="auto"/>
              </w:rPr>
            </w:pPr>
          </w:p>
        </w:tc>
      </w:tr>
      <w:tr>
        <w:trPr>
          <w:trHeight w:val="162"/>
        </w:trPr>
        <w:tc>
          <w:tcPr>
            <w:tcW w:w="60" w:type="dxa"/>
            <w:vAlign w:val="bottom"/>
            <w:tcBorders>
              <w:left w:val="single" w:sz="8" w:color="3465B0"/>
            </w:tcBorders>
          </w:tcPr>
          <w:p>
            <w:pPr>
              <w:spacing w:after="0"/>
              <w:rPr>
                <w:sz w:val="14"/>
                <w:szCs w:val="14"/>
                <w:color w:val="auto"/>
              </w:rPr>
            </w:pPr>
          </w:p>
        </w:tc>
        <w:tc>
          <w:tcPr>
            <w:tcW w:w="2060" w:type="dxa"/>
            <w:vAlign w:val="bottom"/>
            <w:tcBorders>
              <w:right w:val="single" w:sz="8" w:color="93A1D2"/>
            </w:tcBorders>
          </w:tcPr>
          <w:p>
            <w:pPr>
              <w:ind w:left="220"/>
              <w:spacing w:after="0"/>
              <w:rPr>
                <w:sz w:val="20"/>
                <w:szCs w:val="20"/>
                <w:color w:val="auto"/>
              </w:rPr>
            </w:pPr>
            <w:r>
              <w:rPr>
                <w:rFonts w:ascii="Arial" w:cs="Arial" w:eastAsia="Arial" w:hAnsi="Arial"/>
                <w:sz w:val="14"/>
                <w:szCs w:val="14"/>
                <w:color w:val="auto"/>
              </w:rPr>
              <w:t>Special Advisor, Former</w:t>
            </w:r>
          </w:p>
        </w:tc>
        <w:tc>
          <w:tcPr>
            <w:tcW w:w="520" w:type="dxa"/>
            <w:vAlign w:val="bottom"/>
            <w:tcBorders>
              <w:right w:val="single" w:sz="8" w:color="93A1D2"/>
            </w:tcBorders>
            <w:gridSpan w:val="3"/>
            <w:vMerge w:val="restart"/>
          </w:tcPr>
          <w:p>
            <w:pPr>
              <w:ind w:left="100"/>
              <w:spacing w:after="0"/>
              <w:rPr>
                <w:sz w:val="20"/>
                <w:szCs w:val="20"/>
                <w:color w:val="auto"/>
              </w:rPr>
            </w:pPr>
            <w:r>
              <w:rPr>
                <w:rFonts w:ascii="Arial" w:cs="Arial" w:eastAsia="Arial" w:hAnsi="Arial"/>
                <w:sz w:val="14"/>
                <w:szCs w:val="14"/>
                <w:color w:val="auto"/>
              </w:rPr>
              <w:t>2024</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632,769</w:t>
            </w:r>
          </w:p>
        </w:tc>
        <w:tc>
          <w:tcPr>
            <w:tcW w:w="120" w:type="dxa"/>
            <w:vAlign w:val="bottom"/>
            <w:tcBorders>
              <w:right w:val="single" w:sz="8" w:color="93A1D2"/>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93A1D2"/>
            </w:tcBorders>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1,000,026</w:t>
            </w:r>
          </w:p>
        </w:tc>
        <w:tc>
          <w:tcPr>
            <w:tcW w:w="100" w:type="dxa"/>
            <w:vAlign w:val="bottom"/>
            <w:tcBorders>
              <w:right w:val="single" w:sz="8" w:color="93A1D2"/>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right w:val="single" w:sz="8" w:color="93A1D2"/>
            </w:tcBorders>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tcBorders>
              <w:right w:val="single" w:sz="8" w:color="93A1D2"/>
            </w:tcBorders>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4,522</w:t>
            </w:r>
          </w:p>
        </w:tc>
        <w:tc>
          <w:tcPr>
            <w:tcW w:w="820" w:type="dxa"/>
            <w:vAlign w:val="bottom"/>
            <w:tcBorders>
              <w:right w:val="single" w:sz="8" w:color="3465B0"/>
            </w:tcBorders>
            <w:gridSpan w:val="2"/>
            <w:vMerge w:val="restart"/>
          </w:tcPr>
          <w:p>
            <w:pPr>
              <w:jc w:val="right"/>
              <w:ind w:right="10"/>
              <w:spacing w:after="0"/>
              <w:rPr>
                <w:sz w:val="20"/>
                <w:szCs w:val="20"/>
                <w:color w:val="auto"/>
              </w:rPr>
            </w:pPr>
            <w:r>
              <w:rPr>
                <w:rFonts w:ascii="Arial" w:cs="Arial" w:eastAsia="Arial" w:hAnsi="Arial"/>
                <w:sz w:val="14"/>
                <w:szCs w:val="14"/>
                <w:color w:val="auto"/>
              </w:rPr>
              <w:t>1,637,317</w:t>
            </w:r>
          </w:p>
        </w:tc>
        <w:tc>
          <w:tcPr>
            <w:tcW w:w="0" w:type="dxa"/>
            <w:vAlign w:val="bottom"/>
          </w:tcPr>
          <w:p>
            <w:pPr>
              <w:spacing w:after="0"/>
              <w:rPr>
                <w:sz w:val="1"/>
                <w:szCs w:val="1"/>
                <w:color w:val="auto"/>
              </w:rPr>
            </w:pPr>
          </w:p>
        </w:tc>
      </w:tr>
      <w:tr>
        <w:trPr>
          <w:trHeight w:val="109"/>
        </w:trPr>
        <w:tc>
          <w:tcPr>
            <w:tcW w:w="60" w:type="dxa"/>
            <w:vAlign w:val="bottom"/>
            <w:tcBorders>
              <w:left w:val="single" w:sz="8" w:color="3465B0"/>
            </w:tcBorders>
          </w:tcPr>
          <w:p>
            <w:pPr>
              <w:spacing w:after="0"/>
              <w:rPr>
                <w:sz w:val="9"/>
                <w:szCs w:val="9"/>
                <w:color w:val="auto"/>
              </w:rPr>
            </w:pPr>
          </w:p>
        </w:tc>
        <w:tc>
          <w:tcPr>
            <w:tcW w:w="2060" w:type="dxa"/>
            <w:vAlign w:val="bottom"/>
            <w:tcBorders>
              <w:right w:val="single" w:sz="8" w:color="93A1D2"/>
            </w:tcBorders>
            <w:vMerge w:val="restart"/>
          </w:tcPr>
          <w:p>
            <w:pPr>
              <w:ind w:left="220"/>
              <w:spacing w:after="0"/>
              <w:rPr>
                <w:sz w:val="20"/>
                <w:szCs w:val="20"/>
                <w:color w:val="auto"/>
              </w:rPr>
            </w:pPr>
            <w:r>
              <w:rPr>
                <w:rFonts w:ascii="Arial" w:cs="Arial" w:eastAsia="Arial" w:hAnsi="Arial"/>
                <w:sz w:val="14"/>
                <w:szCs w:val="14"/>
                <w:color w:val="auto"/>
              </w:rPr>
              <w:t>Interim Chief Financial</w:t>
            </w:r>
          </w:p>
        </w:tc>
        <w:tc>
          <w:tcPr>
            <w:tcW w:w="520" w:type="dxa"/>
            <w:vAlign w:val="bottom"/>
            <w:tcBorders>
              <w:right w:val="single" w:sz="8" w:color="93A1D2"/>
            </w:tcBorders>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Borders>
              <w:right w:val="single" w:sz="8" w:color="93A1D2"/>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right w:val="single" w:sz="8" w:color="93A1D2"/>
            </w:tcBorders>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Borders>
              <w:right w:val="single" w:sz="8" w:color="93A1D2"/>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right w:val="single" w:sz="8" w:color="93A1D2"/>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right w:val="single" w:sz="8" w:color="93A1D2"/>
            </w:tcBorders>
            <w:gridSpan w:val="2"/>
            <w:vMerge w:val="continue"/>
          </w:tcPr>
          <w:p>
            <w:pPr>
              <w:spacing w:after="0"/>
              <w:rPr>
                <w:sz w:val="9"/>
                <w:szCs w:val="9"/>
                <w:color w:val="auto"/>
              </w:rPr>
            </w:pPr>
          </w:p>
        </w:tc>
        <w:tc>
          <w:tcPr>
            <w:tcW w:w="1220" w:type="dxa"/>
            <w:vAlign w:val="bottom"/>
            <w:tcBorders>
              <w:right w:val="single" w:sz="8" w:color="93A1D2"/>
            </w:tcBorders>
            <w:gridSpan w:val="3"/>
            <w:vMerge w:val="continue"/>
          </w:tcPr>
          <w:p>
            <w:pPr>
              <w:spacing w:after="0"/>
              <w:rPr>
                <w:sz w:val="9"/>
                <w:szCs w:val="9"/>
                <w:color w:val="auto"/>
              </w:rPr>
            </w:pPr>
          </w:p>
        </w:tc>
        <w:tc>
          <w:tcPr>
            <w:tcW w:w="820" w:type="dxa"/>
            <w:vAlign w:val="bottom"/>
            <w:tcBorders>
              <w:right w:val="single" w:sz="8" w:color="3465B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60" w:type="dxa"/>
            <w:vAlign w:val="bottom"/>
            <w:tcBorders>
              <w:left w:val="single" w:sz="8" w:color="3465B0"/>
            </w:tcBorders>
          </w:tcPr>
          <w:p>
            <w:pPr>
              <w:spacing w:after="0"/>
              <w:rPr>
                <w:sz w:val="4"/>
                <w:szCs w:val="4"/>
                <w:color w:val="auto"/>
              </w:rPr>
            </w:pPr>
          </w:p>
        </w:tc>
        <w:tc>
          <w:tcPr>
            <w:tcW w:w="2060" w:type="dxa"/>
            <w:vAlign w:val="bottom"/>
            <w:tcBorders>
              <w:right w:val="single" w:sz="8" w:color="93A1D2"/>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right w:val="single" w:sz="8" w:color="93A1D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Borders>
              <w:right w:val="single" w:sz="8" w:color="93A1D2"/>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right w:val="single" w:sz="8" w:color="93A1D2"/>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Borders>
              <w:right w:val="single" w:sz="8" w:color="93A1D2"/>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right w:val="single" w:sz="8" w:color="93A1D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Borders>
              <w:right w:val="single" w:sz="8" w:color="93A1D2"/>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Borders>
              <w:right w:val="single" w:sz="8" w:color="93A1D2"/>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right w:val="single" w:sz="8" w:color="3465B0"/>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 w:type="dxa"/>
            <w:vAlign w:val="bottom"/>
            <w:tcBorders>
              <w:left w:val="single" w:sz="8" w:color="3465B0"/>
            </w:tcBorders>
          </w:tcPr>
          <w:p>
            <w:pPr>
              <w:spacing w:after="0"/>
              <w:rPr>
                <w:sz w:val="18"/>
                <w:szCs w:val="18"/>
                <w:color w:val="auto"/>
              </w:rPr>
            </w:pPr>
          </w:p>
        </w:tc>
        <w:tc>
          <w:tcPr>
            <w:tcW w:w="2060" w:type="dxa"/>
            <w:vAlign w:val="bottom"/>
            <w:tcBorders>
              <w:right w:val="single" w:sz="8" w:color="93A1D2"/>
            </w:tcBorders>
          </w:tcPr>
          <w:p>
            <w:pPr>
              <w:ind w:left="220"/>
              <w:spacing w:after="0"/>
              <w:rPr>
                <w:sz w:val="20"/>
                <w:szCs w:val="20"/>
                <w:color w:val="auto"/>
              </w:rPr>
            </w:pPr>
            <w:r>
              <w:rPr>
                <w:rFonts w:ascii="Arial" w:cs="Arial" w:eastAsia="Arial" w:hAnsi="Arial"/>
                <w:sz w:val="14"/>
                <w:szCs w:val="14"/>
                <w:color w:val="auto"/>
              </w:rPr>
              <w:t>Officer</w:t>
            </w:r>
          </w:p>
        </w:tc>
        <w:tc>
          <w:tcPr>
            <w:tcW w:w="520" w:type="dxa"/>
            <w:vAlign w:val="bottom"/>
            <w:tcBorders>
              <w:right w:val="single" w:sz="8" w:color="93A1D2"/>
            </w:tcBorders>
            <w:gridSpan w:val="3"/>
          </w:tcPr>
          <w:p>
            <w:pPr>
              <w:ind w:left="100"/>
              <w:spacing w:after="0"/>
              <w:rPr>
                <w:sz w:val="20"/>
                <w:szCs w:val="20"/>
                <w:color w:val="auto"/>
              </w:rPr>
            </w:pPr>
            <w:r>
              <w:rPr>
                <w:rFonts w:ascii="Arial" w:cs="Arial" w:eastAsia="Arial" w:hAnsi="Arial"/>
                <w:sz w:val="14"/>
                <w:szCs w:val="14"/>
                <w:color w:val="auto"/>
              </w:rPr>
              <w:t>2023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608,308</w:t>
            </w:r>
          </w:p>
        </w:tc>
        <w:tc>
          <w:tcPr>
            <w:tcW w:w="120" w:type="dxa"/>
            <w:vAlign w:val="bottom"/>
            <w:tcBorders>
              <w:right w:val="single" w:sz="8" w:color="93A1D2"/>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93A1D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1"/>
              <w:spacing w:after="0"/>
              <w:rPr>
                <w:sz w:val="20"/>
                <w:szCs w:val="20"/>
                <w:color w:val="auto"/>
              </w:rPr>
            </w:pPr>
            <w:r>
              <w:rPr>
                <w:rFonts w:ascii="Arial" w:cs="Arial" w:eastAsia="Arial" w:hAnsi="Arial"/>
                <w:sz w:val="14"/>
                <w:szCs w:val="14"/>
                <w:color w:val="auto"/>
              </w:rPr>
              <w:t>1,500,035</w:t>
            </w:r>
          </w:p>
        </w:tc>
        <w:tc>
          <w:tcPr>
            <w:tcW w:w="100" w:type="dxa"/>
            <w:vAlign w:val="bottom"/>
            <w:tcBorders>
              <w:right w:val="single" w:sz="8" w:color="93A1D2"/>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right w:val="single" w:sz="8" w:color="93A1D2"/>
            </w:tcBorders>
            <w:gridSpan w:val="2"/>
          </w:tcPr>
          <w:p>
            <w:pPr>
              <w:ind w:lef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731,820</w:t>
            </w:r>
          </w:p>
        </w:tc>
        <w:tc>
          <w:tcPr>
            <w:tcW w:w="120" w:type="dxa"/>
            <w:vAlign w:val="bottom"/>
            <w:tcBorders>
              <w:right w:val="single" w:sz="8" w:color="93A1D2"/>
            </w:tcBorders>
          </w:tcPr>
          <w:p>
            <w:pPr>
              <w:spacing w:after="0"/>
              <w:rPr>
                <w:sz w:val="18"/>
                <w:szCs w:val="18"/>
                <w:color w:val="auto"/>
              </w:rPr>
            </w:pPr>
          </w:p>
        </w:tc>
        <w:tc>
          <w:tcPr>
            <w:tcW w:w="1220" w:type="dxa"/>
            <w:vAlign w:val="bottom"/>
            <w:tcBorders>
              <w:right w:val="single" w:sz="8" w:color="93A1D2"/>
            </w:tcBorders>
            <w:gridSpan w:val="3"/>
          </w:tcPr>
          <w:p>
            <w:pPr>
              <w:jc w:val="right"/>
              <w:ind w:right="100"/>
              <w:spacing w:after="0"/>
              <w:rPr>
                <w:sz w:val="20"/>
                <w:szCs w:val="20"/>
                <w:color w:val="auto"/>
              </w:rPr>
            </w:pPr>
            <w:r>
              <w:rPr>
                <w:rFonts w:ascii="Arial" w:cs="Arial" w:eastAsia="Arial" w:hAnsi="Arial"/>
                <w:sz w:val="14"/>
                <w:szCs w:val="14"/>
                <w:color w:val="auto"/>
              </w:rPr>
              <w:t>9,808</w:t>
            </w:r>
          </w:p>
        </w:tc>
        <w:tc>
          <w:tcPr>
            <w:tcW w:w="820" w:type="dxa"/>
            <w:vAlign w:val="bottom"/>
            <w:tcBorders>
              <w:right w:val="single" w:sz="8" w:color="3465B0"/>
            </w:tcBorders>
            <w:gridSpan w:val="2"/>
          </w:tcPr>
          <w:p>
            <w:pPr>
              <w:jc w:val="right"/>
              <w:ind w:right="10"/>
              <w:spacing w:after="0"/>
              <w:rPr>
                <w:sz w:val="20"/>
                <w:szCs w:val="20"/>
                <w:color w:val="auto"/>
              </w:rPr>
            </w:pPr>
            <w:r>
              <w:rPr>
                <w:rFonts w:ascii="Arial" w:cs="Arial" w:eastAsia="Arial" w:hAnsi="Arial"/>
                <w:sz w:val="14"/>
                <w:szCs w:val="14"/>
                <w:color w:val="auto"/>
              </w:rPr>
              <w:t>2,849,971</w:t>
            </w:r>
          </w:p>
        </w:tc>
        <w:tc>
          <w:tcPr>
            <w:tcW w:w="0" w:type="dxa"/>
            <w:vAlign w:val="bottom"/>
          </w:tcPr>
          <w:p>
            <w:pPr>
              <w:spacing w:after="0"/>
              <w:rPr>
                <w:sz w:val="1"/>
                <w:szCs w:val="1"/>
                <w:color w:val="auto"/>
              </w:rPr>
            </w:pPr>
          </w:p>
        </w:tc>
      </w:tr>
      <w:tr>
        <w:trPr>
          <w:trHeight w:val="22"/>
        </w:trPr>
        <w:tc>
          <w:tcPr>
            <w:tcW w:w="60" w:type="dxa"/>
            <w:vAlign w:val="bottom"/>
            <w:tcBorders>
              <w:left w:val="single" w:sz="8" w:color="3465B0"/>
            </w:tcBorders>
          </w:tcPr>
          <w:p>
            <w:pPr>
              <w:spacing w:after="0" w:line="20" w:lineRule="exact"/>
              <w:rPr>
                <w:sz w:val="1"/>
                <w:szCs w:val="1"/>
                <w:color w:val="auto"/>
              </w:rPr>
            </w:pPr>
          </w:p>
        </w:tc>
        <w:tc>
          <w:tcPr>
            <w:tcW w:w="2060" w:type="dxa"/>
            <w:vAlign w:val="bottom"/>
            <w:tcBorders>
              <w:right w:val="single" w:sz="8" w:color="93A1D2"/>
            </w:tcBorders>
          </w:tcPr>
          <w:p>
            <w:pPr>
              <w:spacing w:after="0" w:line="20" w:lineRule="exact"/>
              <w:rPr>
                <w:sz w:val="1"/>
                <w:szCs w:val="1"/>
                <w:color w:val="auto"/>
              </w:rPr>
            </w:pPr>
          </w:p>
        </w:tc>
        <w:tc>
          <w:tcPr>
            <w:tcW w:w="520" w:type="dxa"/>
            <w:vAlign w:val="bottom"/>
            <w:tcBorders>
              <w:right w:val="single" w:sz="8" w:color="93A1D2"/>
            </w:tcBorders>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93A1D2"/>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right w:val="single" w:sz="8" w:color="93A1D2"/>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93A1D2"/>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right w:val="single" w:sz="8" w:color="93A1D2"/>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Borders>
              <w:right w:val="single" w:sz="8" w:color="93A1D2"/>
            </w:tcBorders>
          </w:tcPr>
          <w:p>
            <w:pPr>
              <w:spacing w:after="0" w:line="20" w:lineRule="exact"/>
              <w:rPr>
                <w:sz w:val="1"/>
                <w:szCs w:val="1"/>
                <w:color w:val="auto"/>
              </w:rPr>
            </w:pPr>
          </w:p>
        </w:tc>
        <w:tc>
          <w:tcPr>
            <w:tcW w:w="820" w:type="dxa"/>
            <w:vAlign w:val="bottom"/>
            <w:tcBorders>
              <w:right w:val="single" w:sz="8" w:color="3465B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 w:type="dxa"/>
            <w:vAlign w:val="bottom"/>
            <w:tcBorders>
              <w:left w:val="single" w:sz="8" w:color="3465B0"/>
            </w:tcBorders>
            <w:shd w:val="clear" w:color="auto" w:fill="CCCCCC"/>
          </w:tcPr>
          <w:p>
            <w:pPr>
              <w:spacing w:after="0"/>
              <w:rPr>
                <w:sz w:val="15"/>
                <w:szCs w:val="15"/>
                <w:color w:val="auto"/>
              </w:rPr>
            </w:pPr>
          </w:p>
        </w:tc>
        <w:tc>
          <w:tcPr>
            <w:tcW w:w="206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4"/>
                <w:szCs w:val="14"/>
                <w:color w:val="auto"/>
              </w:rPr>
              <w:t>Melissa Rasmussen</w:t>
            </w:r>
          </w:p>
        </w:tc>
        <w:tc>
          <w:tcPr>
            <w:tcW w:w="80" w:type="dxa"/>
            <w:vAlign w:val="bottom"/>
            <w:shd w:val="clear" w:color="auto" w:fill="CCCCCC"/>
          </w:tcPr>
          <w:p>
            <w:pPr>
              <w:spacing w:after="0"/>
              <w:rPr>
                <w:sz w:val="15"/>
                <w:szCs w:val="15"/>
                <w:color w:val="auto"/>
              </w:rPr>
            </w:pPr>
          </w:p>
        </w:tc>
        <w:tc>
          <w:tcPr>
            <w:tcW w:w="440" w:type="dxa"/>
            <w:vAlign w:val="bottom"/>
            <w:tcBorders>
              <w:right w:val="single" w:sz="8" w:color="93A1D2"/>
            </w:tcBorders>
            <w:gridSpan w:val="2"/>
            <w:shd w:val="clear" w:color="auto" w:fill="CCCCCC"/>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CCCC"/>
          </w:tcPr>
          <w:p>
            <w:pPr>
              <w:spacing w:after="0"/>
              <w:rPr>
                <w:sz w:val="15"/>
                <w:szCs w:val="15"/>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107,692</w:t>
            </w:r>
          </w:p>
        </w:tc>
        <w:tc>
          <w:tcPr>
            <w:tcW w:w="120" w:type="dxa"/>
            <w:vAlign w:val="bottom"/>
            <w:tcBorders>
              <w:right w:val="single" w:sz="8" w:color="93A1D2"/>
            </w:tcBorders>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660" w:type="dxa"/>
            <w:vAlign w:val="bottom"/>
            <w:tcBorders>
              <w:right w:val="single" w:sz="8" w:color="93A1D2"/>
            </w:tcBorders>
            <w:gridSpan w:val="2"/>
            <w:shd w:val="clear" w:color="auto" w:fill="CCCCC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5"/>
                <w:szCs w:val="15"/>
                <w:color w:val="auto"/>
              </w:rPr>
            </w:pPr>
          </w:p>
        </w:tc>
        <w:tc>
          <w:tcPr>
            <w:tcW w:w="860" w:type="dxa"/>
            <w:vAlign w:val="bottom"/>
            <w:tcBorders>
              <w:right w:val="single" w:sz="8" w:color="93A1D2"/>
            </w:tcBorders>
            <w:gridSpan w:val="2"/>
            <w:shd w:val="clear" w:color="auto" w:fill="CCCC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5"/>
                <w:szCs w:val="15"/>
                <w:color w:val="auto"/>
              </w:rPr>
            </w:pPr>
          </w:p>
        </w:tc>
        <w:tc>
          <w:tcPr>
            <w:tcW w:w="580" w:type="dxa"/>
            <w:vAlign w:val="bottom"/>
            <w:tcBorders>
              <w:right w:val="single" w:sz="8" w:color="93A1D2"/>
            </w:tcBorders>
            <w:gridSpan w:val="2"/>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1140" w:type="dxa"/>
            <w:vAlign w:val="bottom"/>
            <w:tcBorders>
              <w:right w:val="single" w:sz="8" w:color="93A1D2"/>
            </w:tcBorders>
            <w:gridSpan w:val="2"/>
            <w:shd w:val="clear" w:color="auto" w:fill="CCCC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1,345,260</w:t>
            </w:r>
          </w:p>
        </w:tc>
        <w:tc>
          <w:tcPr>
            <w:tcW w:w="120" w:type="dxa"/>
            <w:vAlign w:val="bottom"/>
            <w:tcBorders>
              <w:right w:val="single" w:sz="8" w:color="93A1D2"/>
            </w:tcBorders>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720" w:type="dxa"/>
            <w:vAlign w:val="bottom"/>
            <w:tcBorders>
              <w:right w:val="single" w:sz="8" w:color="3465B0"/>
            </w:tcBorders>
            <w:shd w:val="clear" w:color="auto" w:fill="CCCCCC"/>
          </w:tcPr>
          <w:p>
            <w:pPr>
              <w:jc w:val="right"/>
              <w:ind w:right="10"/>
              <w:spacing w:after="0"/>
              <w:rPr>
                <w:sz w:val="20"/>
                <w:szCs w:val="20"/>
                <w:color w:val="auto"/>
              </w:rPr>
            </w:pPr>
            <w:r>
              <w:rPr>
                <w:rFonts w:ascii="Arial" w:cs="Arial" w:eastAsia="Arial" w:hAnsi="Arial"/>
                <w:sz w:val="14"/>
                <w:szCs w:val="14"/>
                <w:color w:val="auto"/>
                <w:w w:val="99"/>
              </w:rPr>
              <w:t>1,452,952</w:t>
            </w:r>
          </w:p>
        </w:tc>
        <w:tc>
          <w:tcPr>
            <w:tcW w:w="0" w:type="dxa"/>
            <w:vAlign w:val="bottom"/>
          </w:tcPr>
          <w:p>
            <w:pPr>
              <w:spacing w:after="0"/>
              <w:rPr>
                <w:sz w:val="1"/>
                <w:szCs w:val="1"/>
                <w:color w:val="auto"/>
              </w:rPr>
            </w:pPr>
          </w:p>
        </w:tc>
      </w:tr>
      <w:tr>
        <w:trPr>
          <w:trHeight w:val="162"/>
        </w:trPr>
        <w:tc>
          <w:tcPr>
            <w:tcW w:w="60" w:type="dxa"/>
            <w:vAlign w:val="bottom"/>
            <w:tcBorders>
              <w:left w:val="single" w:sz="8" w:color="3465B0"/>
            </w:tcBorders>
            <w:shd w:val="clear" w:color="auto" w:fill="CCCCCC"/>
          </w:tcPr>
          <w:p>
            <w:pPr>
              <w:spacing w:after="0"/>
              <w:rPr>
                <w:sz w:val="14"/>
                <w:szCs w:val="14"/>
                <w:color w:val="auto"/>
              </w:rPr>
            </w:pPr>
          </w:p>
        </w:tc>
        <w:tc>
          <w:tcPr>
            <w:tcW w:w="206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4"/>
                <w:szCs w:val="14"/>
                <w:color w:val="auto"/>
              </w:rPr>
              <w:t>Former Chief Financial</w:t>
            </w:r>
          </w:p>
        </w:tc>
        <w:tc>
          <w:tcPr>
            <w:tcW w:w="80" w:type="dxa"/>
            <w:vAlign w:val="bottom"/>
            <w:shd w:val="clear" w:color="auto" w:fill="CCCCCC"/>
          </w:tcPr>
          <w:p>
            <w:pPr>
              <w:spacing w:after="0"/>
              <w:rPr>
                <w:sz w:val="14"/>
                <w:szCs w:val="14"/>
                <w:color w:val="auto"/>
              </w:rPr>
            </w:pPr>
          </w:p>
        </w:tc>
        <w:tc>
          <w:tcPr>
            <w:tcW w:w="3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w w:val="96"/>
              </w:rPr>
              <w:t>2024</w:t>
            </w:r>
          </w:p>
        </w:tc>
        <w:tc>
          <w:tcPr>
            <w:tcW w:w="100" w:type="dxa"/>
            <w:vAlign w:val="bottom"/>
            <w:tcBorders>
              <w:right w:val="single" w:sz="8" w:color="93A1D2"/>
            </w:tcBorders>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6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452,615</w:t>
            </w:r>
          </w:p>
        </w:tc>
        <w:tc>
          <w:tcPr>
            <w:tcW w:w="120" w:type="dxa"/>
            <w:vAlign w:val="bottom"/>
            <w:tcBorders>
              <w:right w:val="single" w:sz="8" w:color="93A1D2"/>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5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93A1D2"/>
            </w:tcBorders>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760" w:type="dxa"/>
            <w:vAlign w:val="bottom"/>
            <w:vMerge w:val="restart"/>
            <w:shd w:val="clear" w:color="auto" w:fill="CCCCCC"/>
          </w:tcPr>
          <w:p>
            <w:pPr>
              <w:jc w:val="right"/>
              <w:ind w:right="51"/>
              <w:spacing w:after="0"/>
              <w:rPr>
                <w:sz w:val="20"/>
                <w:szCs w:val="20"/>
                <w:color w:val="auto"/>
              </w:rPr>
            </w:pPr>
            <w:r>
              <w:rPr>
                <w:rFonts w:ascii="Arial" w:cs="Arial" w:eastAsia="Arial" w:hAnsi="Arial"/>
                <w:sz w:val="14"/>
                <w:szCs w:val="14"/>
                <w:color w:val="auto"/>
              </w:rPr>
              <w:t>700,038</w:t>
            </w:r>
          </w:p>
        </w:tc>
        <w:tc>
          <w:tcPr>
            <w:tcW w:w="100" w:type="dxa"/>
            <w:vAlign w:val="bottom"/>
            <w:tcBorders>
              <w:right w:val="single" w:sz="8" w:color="93A1D2"/>
            </w:tcBorders>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460" w:type="dxa"/>
            <w:vAlign w:val="bottom"/>
            <w:vMerge w:val="restart"/>
            <w:shd w:val="clear" w:color="auto" w:fill="CCCCCC"/>
          </w:tcPr>
          <w:p>
            <w:pPr>
              <w:ind w:left="320"/>
              <w:spacing w:after="0"/>
              <w:rPr>
                <w:sz w:val="20"/>
                <w:szCs w:val="20"/>
                <w:color w:val="auto"/>
              </w:rPr>
            </w:pPr>
            <w:r>
              <w:rPr>
                <w:rFonts w:ascii="Arial" w:cs="Arial" w:eastAsia="Arial" w:hAnsi="Arial"/>
                <w:sz w:val="14"/>
                <w:szCs w:val="14"/>
                <w:color w:val="auto"/>
                <w:w w:val="85"/>
              </w:rPr>
              <w:t>—</w:t>
            </w:r>
          </w:p>
        </w:tc>
        <w:tc>
          <w:tcPr>
            <w:tcW w:w="120" w:type="dxa"/>
            <w:vAlign w:val="bottom"/>
            <w:tcBorders>
              <w:right w:val="single" w:sz="8" w:color="93A1D2"/>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02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93A1D2"/>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02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12,575</w:t>
            </w:r>
          </w:p>
        </w:tc>
        <w:tc>
          <w:tcPr>
            <w:tcW w:w="120" w:type="dxa"/>
            <w:vAlign w:val="bottom"/>
            <w:tcBorders>
              <w:right w:val="single" w:sz="8" w:color="93A1D2"/>
            </w:tcBorders>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720" w:type="dxa"/>
            <w:vAlign w:val="bottom"/>
            <w:tcBorders>
              <w:right w:val="single" w:sz="8" w:color="3465B0"/>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w w:val="99"/>
              </w:rPr>
              <w:t>1,165,228</w:t>
            </w:r>
          </w:p>
        </w:tc>
        <w:tc>
          <w:tcPr>
            <w:tcW w:w="0" w:type="dxa"/>
            <w:vAlign w:val="bottom"/>
          </w:tcPr>
          <w:p>
            <w:pPr>
              <w:spacing w:after="0"/>
              <w:rPr>
                <w:sz w:val="1"/>
                <w:szCs w:val="1"/>
                <w:color w:val="auto"/>
              </w:rPr>
            </w:pPr>
          </w:p>
        </w:tc>
      </w:tr>
      <w:tr>
        <w:trPr>
          <w:trHeight w:val="136"/>
        </w:trPr>
        <w:tc>
          <w:tcPr>
            <w:tcW w:w="60" w:type="dxa"/>
            <w:vAlign w:val="bottom"/>
            <w:tcBorders>
              <w:left w:val="single" w:sz="8" w:color="3465B0"/>
            </w:tcBorders>
            <w:shd w:val="clear" w:color="auto" w:fill="CCCCCC"/>
          </w:tcPr>
          <w:p>
            <w:pPr>
              <w:spacing w:after="0"/>
              <w:rPr>
                <w:sz w:val="11"/>
                <w:szCs w:val="11"/>
                <w:color w:val="auto"/>
              </w:rPr>
            </w:pPr>
          </w:p>
        </w:tc>
        <w:tc>
          <w:tcPr>
            <w:tcW w:w="2060" w:type="dxa"/>
            <w:vAlign w:val="bottom"/>
            <w:tcBorders>
              <w:right w:val="single" w:sz="8" w:color="93A1D2"/>
            </w:tcBorders>
            <w:vMerge w:val="restart"/>
            <w:shd w:val="clear" w:color="auto" w:fill="CCCCCC"/>
          </w:tcPr>
          <w:p>
            <w:pPr>
              <w:ind w:left="220"/>
              <w:spacing w:after="0"/>
              <w:rPr>
                <w:sz w:val="20"/>
                <w:szCs w:val="20"/>
                <w:color w:val="auto"/>
              </w:rPr>
            </w:pPr>
            <w:r>
              <w:rPr>
                <w:rFonts w:ascii="Arial" w:cs="Arial" w:eastAsia="Arial" w:hAnsi="Arial"/>
                <w:sz w:val="14"/>
                <w:szCs w:val="14"/>
                <w:color w:val="auto"/>
              </w:rPr>
              <w:t>Officer</w:t>
            </w:r>
          </w:p>
        </w:tc>
        <w:tc>
          <w:tcPr>
            <w:tcW w:w="80" w:type="dxa"/>
            <w:vAlign w:val="bottom"/>
            <w:shd w:val="clear" w:color="auto" w:fill="CCCCCC"/>
          </w:tcPr>
          <w:p>
            <w:pPr>
              <w:spacing w:after="0"/>
              <w:rPr>
                <w:sz w:val="11"/>
                <w:szCs w:val="11"/>
                <w:color w:val="auto"/>
              </w:rPr>
            </w:pPr>
          </w:p>
        </w:tc>
        <w:tc>
          <w:tcPr>
            <w:tcW w:w="340" w:type="dxa"/>
            <w:vAlign w:val="bottom"/>
            <w:vMerge w:val="continue"/>
            <w:shd w:val="clear" w:color="auto" w:fill="CCCCCC"/>
          </w:tcPr>
          <w:p>
            <w:pPr>
              <w:spacing w:after="0"/>
              <w:rPr>
                <w:sz w:val="11"/>
                <w:szCs w:val="11"/>
                <w:color w:val="auto"/>
              </w:rPr>
            </w:pPr>
          </w:p>
        </w:tc>
        <w:tc>
          <w:tcPr>
            <w:tcW w:w="100" w:type="dxa"/>
            <w:vAlign w:val="bottom"/>
            <w:tcBorders>
              <w:right w:val="single" w:sz="8" w:color="93A1D2"/>
            </w:tcBorders>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660" w:type="dxa"/>
            <w:vAlign w:val="bottom"/>
            <w:vMerge w:val="continue"/>
            <w:shd w:val="clear" w:color="auto" w:fill="CCCCCC"/>
          </w:tcPr>
          <w:p>
            <w:pPr>
              <w:spacing w:after="0"/>
              <w:rPr>
                <w:sz w:val="11"/>
                <w:szCs w:val="11"/>
                <w:color w:val="auto"/>
              </w:rPr>
            </w:pPr>
          </w:p>
        </w:tc>
        <w:tc>
          <w:tcPr>
            <w:tcW w:w="120" w:type="dxa"/>
            <w:vAlign w:val="bottom"/>
            <w:tcBorders>
              <w:right w:val="single" w:sz="8" w:color="93A1D2"/>
            </w:tcBorders>
            <w:shd w:val="clear" w:color="auto" w:fill="CCCCCC"/>
          </w:tcPr>
          <w:p>
            <w:pPr>
              <w:spacing w:after="0"/>
              <w:rPr>
                <w:sz w:val="11"/>
                <w:szCs w:val="11"/>
                <w:color w:val="auto"/>
              </w:rPr>
            </w:pPr>
          </w:p>
        </w:tc>
        <w:tc>
          <w:tcPr>
            <w:tcW w:w="80" w:type="dxa"/>
            <w:vAlign w:val="bottom"/>
            <w:shd w:val="clear" w:color="auto" w:fill="CCCCCC"/>
          </w:tcPr>
          <w:p>
            <w:pPr>
              <w:spacing w:after="0"/>
              <w:rPr>
                <w:sz w:val="11"/>
                <w:szCs w:val="11"/>
                <w:color w:val="auto"/>
              </w:rPr>
            </w:pPr>
          </w:p>
        </w:tc>
        <w:tc>
          <w:tcPr>
            <w:tcW w:w="560" w:type="dxa"/>
            <w:vAlign w:val="bottom"/>
            <w:vMerge w:val="continue"/>
            <w:shd w:val="clear" w:color="auto" w:fill="CCCCCC"/>
          </w:tcPr>
          <w:p>
            <w:pPr>
              <w:spacing w:after="0"/>
              <w:rPr>
                <w:sz w:val="11"/>
                <w:szCs w:val="11"/>
                <w:color w:val="auto"/>
              </w:rPr>
            </w:pPr>
          </w:p>
        </w:tc>
        <w:tc>
          <w:tcPr>
            <w:tcW w:w="100" w:type="dxa"/>
            <w:vAlign w:val="bottom"/>
            <w:tcBorders>
              <w:right w:val="single" w:sz="8" w:color="93A1D2"/>
            </w:tcBorders>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760" w:type="dxa"/>
            <w:vAlign w:val="bottom"/>
            <w:vMerge w:val="continue"/>
            <w:shd w:val="clear" w:color="auto" w:fill="CCCCCC"/>
          </w:tcPr>
          <w:p>
            <w:pPr>
              <w:spacing w:after="0"/>
              <w:rPr>
                <w:sz w:val="11"/>
                <w:szCs w:val="11"/>
                <w:color w:val="auto"/>
              </w:rPr>
            </w:pPr>
          </w:p>
        </w:tc>
        <w:tc>
          <w:tcPr>
            <w:tcW w:w="100" w:type="dxa"/>
            <w:vAlign w:val="bottom"/>
            <w:tcBorders>
              <w:right w:val="single" w:sz="8" w:color="93A1D2"/>
            </w:tcBorders>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460" w:type="dxa"/>
            <w:vAlign w:val="bottom"/>
            <w:vMerge w:val="continue"/>
            <w:shd w:val="clear" w:color="auto" w:fill="CCCCCC"/>
          </w:tcPr>
          <w:p>
            <w:pPr>
              <w:spacing w:after="0"/>
              <w:rPr>
                <w:sz w:val="11"/>
                <w:szCs w:val="11"/>
                <w:color w:val="auto"/>
              </w:rPr>
            </w:pPr>
          </w:p>
        </w:tc>
        <w:tc>
          <w:tcPr>
            <w:tcW w:w="120" w:type="dxa"/>
            <w:vAlign w:val="bottom"/>
            <w:tcBorders>
              <w:right w:val="single" w:sz="8" w:color="93A1D2"/>
            </w:tcBorders>
            <w:shd w:val="clear" w:color="auto" w:fill="CCCCCC"/>
          </w:tcPr>
          <w:p>
            <w:pPr>
              <w:spacing w:after="0"/>
              <w:rPr>
                <w:sz w:val="11"/>
                <w:szCs w:val="11"/>
                <w:color w:val="auto"/>
              </w:rPr>
            </w:pPr>
          </w:p>
        </w:tc>
        <w:tc>
          <w:tcPr>
            <w:tcW w:w="80" w:type="dxa"/>
            <w:vAlign w:val="bottom"/>
            <w:shd w:val="clear" w:color="auto" w:fill="CCCCCC"/>
          </w:tcPr>
          <w:p>
            <w:pPr>
              <w:spacing w:after="0"/>
              <w:rPr>
                <w:sz w:val="11"/>
                <w:szCs w:val="11"/>
                <w:color w:val="auto"/>
              </w:rPr>
            </w:pPr>
          </w:p>
        </w:tc>
        <w:tc>
          <w:tcPr>
            <w:tcW w:w="1020" w:type="dxa"/>
            <w:vAlign w:val="bottom"/>
            <w:vMerge w:val="continue"/>
            <w:shd w:val="clear" w:color="auto" w:fill="CCCCCC"/>
          </w:tcPr>
          <w:p>
            <w:pPr>
              <w:spacing w:after="0"/>
              <w:rPr>
                <w:sz w:val="11"/>
                <w:szCs w:val="11"/>
                <w:color w:val="auto"/>
              </w:rPr>
            </w:pPr>
          </w:p>
        </w:tc>
        <w:tc>
          <w:tcPr>
            <w:tcW w:w="120" w:type="dxa"/>
            <w:vAlign w:val="bottom"/>
            <w:tcBorders>
              <w:right w:val="single" w:sz="8" w:color="93A1D2"/>
            </w:tcBorders>
            <w:shd w:val="clear" w:color="auto" w:fill="CCCCCC"/>
          </w:tcPr>
          <w:p>
            <w:pPr>
              <w:spacing w:after="0"/>
              <w:rPr>
                <w:sz w:val="11"/>
                <w:szCs w:val="11"/>
                <w:color w:val="auto"/>
              </w:rPr>
            </w:pPr>
          </w:p>
        </w:tc>
        <w:tc>
          <w:tcPr>
            <w:tcW w:w="80" w:type="dxa"/>
            <w:vAlign w:val="bottom"/>
            <w:shd w:val="clear" w:color="auto" w:fill="CCCCCC"/>
          </w:tcPr>
          <w:p>
            <w:pPr>
              <w:spacing w:after="0"/>
              <w:rPr>
                <w:sz w:val="11"/>
                <w:szCs w:val="11"/>
                <w:color w:val="auto"/>
              </w:rPr>
            </w:pPr>
          </w:p>
        </w:tc>
        <w:tc>
          <w:tcPr>
            <w:tcW w:w="1020" w:type="dxa"/>
            <w:vAlign w:val="bottom"/>
            <w:vMerge w:val="continue"/>
            <w:shd w:val="clear" w:color="auto" w:fill="CCCCCC"/>
          </w:tcPr>
          <w:p>
            <w:pPr>
              <w:spacing w:after="0"/>
              <w:rPr>
                <w:sz w:val="11"/>
                <w:szCs w:val="11"/>
                <w:color w:val="auto"/>
              </w:rPr>
            </w:pPr>
          </w:p>
        </w:tc>
        <w:tc>
          <w:tcPr>
            <w:tcW w:w="120" w:type="dxa"/>
            <w:vAlign w:val="bottom"/>
            <w:tcBorders>
              <w:right w:val="single" w:sz="8" w:color="93A1D2"/>
            </w:tcBorders>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720" w:type="dxa"/>
            <w:vAlign w:val="bottom"/>
            <w:tcBorders>
              <w:right w:val="single" w:sz="8" w:color="3465B0"/>
            </w:tcBorders>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 w:type="dxa"/>
            <w:vAlign w:val="bottom"/>
            <w:tcBorders>
              <w:left w:val="single" w:sz="8" w:color="3465B0"/>
            </w:tcBorders>
            <w:shd w:val="clear" w:color="auto" w:fill="CCCCCC"/>
          </w:tcPr>
          <w:p>
            <w:pPr>
              <w:spacing w:after="0"/>
              <w:rPr>
                <w:sz w:val="4"/>
                <w:szCs w:val="4"/>
                <w:color w:val="auto"/>
              </w:rPr>
            </w:pPr>
          </w:p>
        </w:tc>
        <w:tc>
          <w:tcPr>
            <w:tcW w:w="2060" w:type="dxa"/>
            <w:vAlign w:val="bottom"/>
            <w:tcBorders>
              <w:right w:val="single" w:sz="8" w:color="93A1D2"/>
            </w:tcBorders>
            <w:vMerge w:val="continue"/>
            <w:shd w:val="clear" w:color="auto" w:fill="CCCCCC"/>
          </w:tcPr>
          <w:p>
            <w:pPr>
              <w:spacing w:after="0"/>
              <w:rPr>
                <w:sz w:val="4"/>
                <w:szCs w:val="4"/>
                <w:color w:val="auto"/>
              </w:rPr>
            </w:pPr>
          </w:p>
        </w:tc>
        <w:tc>
          <w:tcPr>
            <w:tcW w:w="80" w:type="dxa"/>
            <w:vAlign w:val="bottom"/>
            <w:shd w:val="clear" w:color="auto" w:fill="CCCCCC"/>
          </w:tcPr>
          <w:p>
            <w:pPr>
              <w:spacing w:after="0"/>
              <w:rPr>
                <w:sz w:val="4"/>
                <w:szCs w:val="4"/>
                <w:color w:val="auto"/>
              </w:rPr>
            </w:pPr>
          </w:p>
        </w:tc>
        <w:tc>
          <w:tcPr>
            <w:tcW w:w="340" w:type="dxa"/>
            <w:vAlign w:val="bottom"/>
            <w:shd w:val="clear" w:color="auto" w:fill="CCCCCC"/>
          </w:tcPr>
          <w:p>
            <w:pPr>
              <w:spacing w:after="0"/>
              <w:rPr>
                <w:sz w:val="4"/>
                <w:szCs w:val="4"/>
                <w:color w:val="auto"/>
              </w:rPr>
            </w:pPr>
          </w:p>
        </w:tc>
        <w:tc>
          <w:tcPr>
            <w:tcW w:w="100" w:type="dxa"/>
            <w:vAlign w:val="bottom"/>
            <w:tcBorders>
              <w:right w:val="single" w:sz="8" w:color="93A1D2"/>
            </w:tcBorders>
            <w:shd w:val="clear" w:color="auto" w:fill="CCCCCC"/>
          </w:tcPr>
          <w:p>
            <w:pPr>
              <w:spacing w:after="0"/>
              <w:rPr>
                <w:sz w:val="4"/>
                <w:szCs w:val="4"/>
                <w:color w:val="auto"/>
              </w:rPr>
            </w:pPr>
          </w:p>
        </w:tc>
        <w:tc>
          <w:tcPr>
            <w:tcW w:w="100" w:type="dxa"/>
            <w:vAlign w:val="bottom"/>
            <w:shd w:val="clear" w:color="auto" w:fill="CCCCCC"/>
          </w:tcPr>
          <w:p>
            <w:pPr>
              <w:spacing w:after="0"/>
              <w:rPr>
                <w:sz w:val="4"/>
                <w:szCs w:val="4"/>
                <w:color w:val="auto"/>
              </w:rPr>
            </w:pPr>
          </w:p>
        </w:tc>
        <w:tc>
          <w:tcPr>
            <w:tcW w:w="660" w:type="dxa"/>
            <w:vAlign w:val="bottom"/>
            <w:shd w:val="clear" w:color="auto" w:fill="CCCCCC"/>
          </w:tcPr>
          <w:p>
            <w:pPr>
              <w:spacing w:after="0"/>
              <w:rPr>
                <w:sz w:val="4"/>
                <w:szCs w:val="4"/>
                <w:color w:val="auto"/>
              </w:rPr>
            </w:pPr>
          </w:p>
        </w:tc>
        <w:tc>
          <w:tcPr>
            <w:tcW w:w="120" w:type="dxa"/>
            <w:vAlign w:val="bottom"/>
            <w:tcBorders>
              <w:right w:val="single" w:sz="8" w:color="93A1D2"/>
            </w:tcBorders>
            <w:shd w:val="clear" w:color="auto" w:fill="CCCCCC"/>
          </w:tcPr>
          <w:p>
            <w:pPr>
              <w:spacing w:after="0"/>
              <w:rPr>
                <w:sz w:val="4"/>
                <w:szCs w:val="4"/>
                <w:color w:val="auto"/>
              </w:rPr>
            </w:pPr>
          </w:p>
        </w:tc>
        <w:tc>
          <w:tcPr>
            <w:tcW w:w="80" w:type="dxa"/>
            <w:vAlign w:val="bottom"/>
            <w:shd w:val="clear" w:color="auto" w:fill="CCCCCC"/>
          </w:tcPr>
          <w:p>
            <w:pPr>
              <w:spacing w:after="0"/>
              <w:rPr>
                <w:sz w:val="4"/>
                <w:szCs w:val="4"/>
                <w:color w:val="auto"/>
              </w:rPr>
            </w:pPr>
          </w:p>
        </w:tc>
        <w:tc>
          <w:tcPr>
            <w:tcW w:w="560" w:type="dxa"/>
            <w:vAlign w:val="bottom"/>
            <w:shd w:val="clear" w:color="auto" w:fill="CCCCCC"/>
          </w:tcPr>
          <w:p>
            <w:pPr>
              <w:spacing w:after="0"/>
              <w:rPr>
                <w:sz w:val="4"/>
                <w:szCs w:val="4"/>
                <w:color w:val="auto"/>
              </w:rPr>
            </w:pPr>
          </w:p>
        </w:tc>
        <w:tc>
          <w:tcPr>
            <w:tcW w:w="100" w:type="dxa"/>
            <w:vAlign w:val="bottom"/>
            <w:tcBorders>
              <w:right w:val="single" w:sz="8" w:color="93A1D2"/>
            </w:tcBorders>
            <w:shd w:val="clear" w:color="auto" w:fill="CCCCCC"/>
          </w:tcPr>
          <w:p>
            <w:pPr>
              <w:spacing w:after="0"/>
              <w:rPr>
                <w:sz w:val="4"/>
                <w:szCs w:val="4"/>
                <w:color w:val="auto"/>
              </w:rPr>
            </w:pPr>
          </w:p>
        </w:tc>
        <w:tc>
          <w:tcPr>
            <w:tcW w:w="100" w:type="dxa"/>
            <w:vAlign w:val="bottom"/>
            <w:shd w:val="clear" w:color="auto" w:fill="CCCCCC"/>
          </w:tcPr>
          <w:p>
            <w:pPr>
              <w:spacing w:after="0"/>
              <w:rPr>
                <w:sz w:val="4"/>
                <w:szCs w:val="4"/>
                <w:color w:val="auto"/>
              </w:rPr>
            </w:pPr>
          </w:p>
        </w:tc>
        <w:tc>
          <w:tcPr>
            <w:tcW w:w="760" w:type="dxa"/>
            <w:vAlign w:val="bottom"/>
            <w:shd w:val="clear" w:color="auto" w:fill="CCCCCC"/>
          </w:tcPr>
          <w:p>
            <w:pPr>
              <w:spacing w:after="0"/>
              <w:rPr>
                <w:sz w:val="4"/>
                <w:szCs w:val="4"/>
                <w:color w:val="auto"/>
              </w:rPr>
            </w:pPr>
          </w:p>
        </w:tc>
        <w:tc>
          <w:tcPr>
            <w:tcW w:w="100" w:type="dxa"/>
            <w:vAlign w:val="bottom"/>
            <w:tcBorders>
              <w:right w:val="single" w:sz="8" w:color="93A1D2"/>
            </w:tcBorders>
            <w:shd w:val="clear" w:color="auto" w:fill="CCCCCC"/>
          </w:tcPr>
          <w:p>
            <w:pPr>
              <w:spacing w:after="0"/>
              <w:rPr>
                <w:sz w:val="4"/>
                <w:szCs w:val="4"/>
                <w:color w:val="auto"/>
              </w:rPr>
            </w:pPr>
          </w:p>
        </w:tc>
        <w:tc>
          <w:tcPr>
            <w:tcW w:w="100" w:type="dxa"/>
            <w:vAlign w:val="bottom"/>
            <w:shd w:val="clear" w:color="auto" w:fill="CCCCCC"/>
          </w:tcPr>
          <w:p>
            <w:pPr>
              <w:spacing w:after="0"/>
              <w:rPr>
                <w:sz w:val="4"/>
                <w:szCs w:val="4"/>
                <w:color w:val="auto"/>
              </w:rPr>
            </w:pPr>
          </w:p>
        </w:tc>
        <w:tc>
          <w:tcPr>
            <w:tcW w:w="460" w:type="dxa"/>
            <w:vAlign w:val="bottom"/>
            <w:shd w:val="clear" w:color="auto" w:fill="CCCCCC"/>
          </w:tcPr>
          <w:p>
            <w:pPr>
              <w:spacing w:after="0"/>
              <w:rPr>
                <w:sz w:val="4"/>
                <w:szCs w:val="4"/>
                <w:color w:val="auto"/>
              </w:rPr>
            </w:pPr>
          </w:p>
        </w:tc>
        <w:tc>
          <w:tcPr>
            <w:tcW w:w="120" w:type="dxa"/>
            <w:vAlign w:val="bottom"/>
            <w:tcBorders>
              <w:right w:val="single" w:sz="8" w:color="93A1D2"/>
            </w:tcBorders>
            <w:shd w:val="clear" w:color="auto" w:fill="CCCCCC"/>
          </w:tcPr>
          <w:p>
            <w:pPr>
              <w:spacing w:after="0"/>
              <w:rPr>
                <w:sz w:val="4"/>
                <w:szCs w:val="4"/>
                <w:color w:val="auto"/>
              </w:rPr>
            </w:pPr>
          </w:p>
        </w:tc>
        <w:tc>
          <w:tcPr>
            <w:tcW w:w="80" w:type="dxa"/>
            <w:vAlign w:val="bottom"/>
            <w:shd w:val="clear" w:color="auto" w:fill="CCCCCC"/>
          </w:tcPr>
          <w:p>
            <w:pPr>
              <w:spacing w:after="0"/>
              <w:rPr>
                <w:sz w:val="4"/>
                <w:szCs w:val="4"/>
                <w:color w:val="auto"/>
              </w:rPr>
            </w:pPr>
          </w:p>
        </w:tc>
        <w:tc>
          <w:tcPr>
            <w:tcW w:w="1020" w:type="dxa"/>
            <w:vAlign w:val="bottom"/>
            <w:shd w:val="clear" w:color="auto" w:fill="CCCCCC"/>
          </w:tcPr>
          <w:p>
            <w:pPr>
              <w:spacing w:after="0"/>
              <w:rPr>
                <w:sz w:val="4"/>
                <w:szCs w:val="4"/>
                <w:color w:val="auto"/>
              </w:rPr>
            </w:pPr>
          </w:p>
        </w:tc>
        <w:tc>
          <w:tcPr>
            <w:tcW w:w="120" w:type="dxa"/>
            <w:vAlign w:val="bottom"/>
            <w:tcBorders>
              <w:right w:val="single" w:sz="8" w:color="93A1D2"/>
            </w:tcBorders>
            <w:shd w:val="clear" w:color="auto" w:fill="CCCCCC"/>
          </w:tcPr>
          <w:p>
            <w:pPr>
              <w:spacing w:after="0"/>
              <w:rPr>
                <w:sz w:val="4"/>
                <w:szCs w:val="4"/>
                <w:color w:val="auto"/>
              </w:rPr>
            </w:pPr>
          </w:p>
        </w:tc>
        <w:tc>
          <w:tcPr>
            <w:tcW w:w="80" w:type="dxa"/>
            <w:vAlign w:val="bottom"/>
            <w:shd w:val="clear" w:color="auto" w:fill="CCCCCC"/>
          </w:tcPr>
          <w:p>
            <w:pPr>
              <w:spacing w:after="0"/>
              <w:rPr>
                <w:sz w:val="4"/>
                <w:szCs w:val="4"/>
                <w:color w:val="auto"/>
              </w:rPr>
            </w:pPr>
          </w:p>
        </w:tc>
        <w:tc>
          <w:tcPr>
            <w:tcW w:w="1020" w:type="dxa"/>
            <w:vAlign w:val="bottom"/>
            <w:shd w:val="clear" w:color="auto" w:fill="CCCCCC"/>
          </w:tcPr>
          <w:p>
            <w:pPr>
              <w:spacing w:after="0"/>
              <w:rPr>
                <w:sz w:val="4"/>
                <w:szCs w:val="4"/>
                <w:color w:val="auto"/>
              </w:rPr>
            </w:pPr>
          </w:p>
        </w:tc>
        <w:tc>
          <w:tcPr>
            <w:tcW w:w="120" w:type="dxa"/>
            <w:vAlign w:val="bottom"/>
            <w:tcBorders>
              <w:right w:val="single" w:sz="8" w:color="93A1D2"/>
            </w:tcBorders>
            <w:shd w:val="clear" w:color="auto" w:fill="CCCCCC"/>
          </w:tcPr>
          <w:p>
            <w:pPr>
              <w:spacing w:after="0"/>
              <w:rPr>
                <w:sz w:val="4"/>
                <w:szCs w:val="4"/>
                <w:color w:val="auto"/>
              </w:rPr>
            </w:pPr>
          </w:p>
        </w:tc>
        <w:tc>
          <w:tcPr>
            <w:tcW w:w="100" w:type="dxa"/>
            <w:vAlign w:val="bottom"/>
            <w:shd w:val="clear" w:color="auto" w:fill="CCCCCC"/>
          </w:tcPr>
          <w:p>
            <w:pPr>
              <w:spacing w:after="0"/>
              <w:rPr>
                <w:sz w:val="4"/>
                <w:szCs w:val="4"/>
                <w:color w:val="auto"/>
              </w:rPr>
            </w:pPr>
          </w:p>
        </w:tc>
        <w:tc>
          <w:tcPr>
            <w:tcW w:w="720" w:type="dxa"/>
            <w:vAlign w:val="bottom"/>
            <w:tcBorders>
              <w:right w:val="single" w:sz="8" w:color="3465B0"/>
            </w:tcBorders>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0" w:type="dxa"/>
            <w:vAlign w:val="bottom"/>
            <w:tcBorders>
              <w:left w:val="single" w:sz="8" w:color="3465B0"/>
              <w:bottom w:val="single" w:sz="8" w:color="3465B0"/>
            </w:tcBorders>
            <w:shd w:val="clear" w:color="auto" w:fill="CCCCCC"/>
          </w:tcPr>
          <w:p>
            <w:pPr>
              <w:spacing w:after="0"/>
              <w:rPr>
                <w:sz w:val="18"/>
                <w:szCs w:val="18"/>
                <w:color w:val="auto"/>
              </w:rPr>
            </w:pPr>
          </w:p>
        </w:tc>
        <w:tc>
          <w:tcPr>
            <w:tcW w:w="2060" w:type="dxa"/>
            <w:vAlign w:val="bottom"/>
            <w:tcBorders>
              <w:bottom w:val="single" w:sz="8" w:color="3465B0"/>
              <w:right w:val="single" w:sz="8" w:color="93A1D2"/>
            </w:tcBorders>
            <w:shd w:val="clear" w:color="auto" w:fill="CCCCCC"/>
          </w:tcPr>
          <w:p>
            <w:pPr>
              <w:spacing w:after="0"/>
              <w:rPr>
                <w:sz w:val="18"/>
                <w:szCs w:val="18"/>
                <w:color w:val="auto"/>
              </w:rPr>
            </w:pPr>
          </w:p>
        </w:tc>
        <w:tc>
          <w:tcPr>
            <w:tcW w:w="80" w:type="dxa"/>
            <w:vAlign w:val="bottom"/>
            <w:tcBorders>
              <w:bottom w:val="single" w:sz="8" w:color="3465B0"/>
            </w:tcBorders>
            <w:shd w:val="clear" w:color="auto" w:fill="CCCCCC"/>
          </w:tcPr>
          <w:p>
            <w:pPr>
              <w:spacing w:after="0"/>
              <w:rPr>
                <w:sz w:val="18"/>
                <w:szCs w:val="18"/>
                <w:color w:val="auto"/>
              </w:rPr>
            </w:pPr>
          </w:p>
        </w:tc>
        <w:tc>
          <w:tcPr>
            <w:tcW w:w="340" w:type="dxa"/>
            <w:vAlign w:val="bottom"/>
            <w:tcBorders>
              <w:bottom w:val="single" w:sz="8" w:color="3465B0"/>
            </w:tcBorders>
            <w:shd w:val="clear" w:color="auto" w:fill="CCCCCC"/>
          </w:tcPr>
          <w:p>
            <w:pPr>
              <w:ind w:left="20"/>
              <w:spacing w:after="0"/>
              <w:rPr>
                <w:sz w:val="20"/>
                <w:szCs w:val="20"/>
                <w:color w:val="auto"/>
              </w:rPr>
            </w:pPr>
            <w:r>
              <w:rPr>
                <w:rFonts w:ascii="Arial" w:cs="Arial" w:eastAsia="Arial" w:hAnsi="Arial"/>
                <w:sz w:val="14"/>
                <w:szCs w:val="14"/>
                <w:color w:val="auto"/>
                <w:w w:val="96"/>
              </w:rPr>
              <w:t>2023</w:t>
            </w:r>
          </w:p>
        </w:tc>
        <w:tc>
          <w:tcPr>
            <w:tcW w:w="100" w:type="dxa"/>
            <w:vAlign w:val="bottom"/>
            <w:tcBorders>
              <w:bottom w:val="single" w:sz="8" w:color="3465B0"/>
              <w:right w:val="single" w:sz="8" w:color="93A1D2"/>
            </w:tcBorders>
            <w:shd w:val="clear" w:color="auto" w:fill="CCCCCC"/>
          </w:tcPr>
          <w:p>
            <w:pPr>
              <w:spacing w:after="0"/>
              <w:rPr>
                <w:sz w:val="18"/>
                <w:szCs w:val="18"/>
                <w:color w:val="auto"/>
              </w:rPr>
            </w:pPr>
          </w:p>
        </w:tc>
        <w:tc>
          <w:tcPr>
            <w:tcW w:w="100" w:type="dxa"/>
            <w:vAlign w:val="bottom"/>
            <w:tcBorders>
              <w:bottom w:val="single" w:sz="8" w:color="3465B0"/>
            </w:tcBorders>
            <w:shd w:val="clear" w:color="auto" w:fill="CCCCCC"/>
          </w:tcPr>
          <w:p>
            <w:pPr>
              <w:spacing w:after="0"/>
              <w:rPr>
                <w:sz w:val="18"/>
                <w:szCs w:val="18"/>
                <w:color w:val="auto"/>
              </w:rPr>
            </w:pPr>
          </w:p>
        </w:tc>
        <w:tc>
          <w:tcPr>
            <w:tcW w:w="66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4"/>
                <w:szCs w:val="14"/>
                <w:color w:val="auto"/>
              </w:rPr>
              <w:t>405,539</w:t>
            </w:r>
          </w:p>
        </w:tc>
        <w:tc>
          <w:tcPr>
            <w:tcW w:w="120" w:type="dxa"/>
            <w:vAlign w:val="bottom"/>
            <w:tcBorders>
              <w:bottom w:val="single" w:sz="8" w:color="3465B0"/>
              <w:right w:val="single" w:sz="8" w:color="93A1D2"/>
            </w:tcBorders>
            <w:shd w:val="clear" w:color="auto" w:fill="CCCCCC"/>
          </w:tcPr>
          <w:p>
            <w:pPr>
              <w:spacing w:after="0"/>
              <w:rPr>
                <w:sz w:val="18"/>
                <w:szCs w:val="18"/>
                <w:color w:val="auto"/>
              </w:rPr>
            </w:pPr>
          </w:p>
        </w:tc>
        <w:tc>
          <w:tcPr>
            <w:tcW w:w="80" w:type="dxa"/>
            <w:vAlign w:val="bottom"/>
            <w:tcBorders>
              <w:bottom w:val="single" w:sz="8" w:color="3465B0"/>
            </w:tcBorders>
            <w:shd w:val="clear" w:color="auto" w:fill="CCCCCC"/>
          </w:tcPr>
          <w:p>
            <w:pPr>
              <w:spacing w:after="0"/>
              <w:rPr>
                <w:sz w:val="18"/>
                <w:szCs w:val="18"/>
                <w:color w:val="auto"/>
              </w:rPr>
            </w:pPr>
          </w:p>
        </w:tc>
        <w:tc>
          <w:tcPr>
            <w:tcW w:w="56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3465B0"/>
              <w:right w:val="single" w:sz="8" w:color="93A1D2"/>
            </w:tcBorders>
            <w:shd w:val="clear" w:color="auto" w:fill="CCCCCC"/>
          </w:tcPr>
          <w:p>
            <w:pPr>
              <w:spacing w:after="0"/>
              <w:rPr>
                <w:sz w:val="18"/>
                <w:szCs w:val="18"/>
                <w:color w:val="auto"/>
              </w:rPr>
            </w:pPr>
          </w:p>
        </w:tc>
        <w:tc>
          <w:tcPr>
            <w:tcW w:w="100" w:type="dxa"/>
            <w:vAlign w:val="bottom"/>
            <w:tcBorders>
              <w:bottom w:val="single" w:sz="8" w:color="3465B0"/>
            </w:tcBorders>
            <w:shd w:val="clear" w:color="auto" w:fill="CCCCCC"/>
          </w:tcPr>
          <w:p>
            <w:pPr>
              <w:spacing w:after="0"/>
              <w:rPr>
                <w:sz w:val="18"/>
                <w:szCs w:val="18"/>
                <w:color w:val="auto"/>
              </w:rPr>
            </w:pPr>
          </w:p>
        </w:tc>
        <w:tc>
          <w:tcPr>
            <w:tcW w:w="760" w:type="dxa"/>
            <w:vAlign w:val="bottom"/>
            <w:tcBorders>
              <w:bottom w:val="single" w:sz="8" w:color="3465B0"/>
            </w:tcBorders>
            <w:shd w:val="clear" w:color="auto" w:fill="CCCCCC"/>
          </w:tcPr>
          <w:p>
            <w:pPr>
              <w:jc w:val="right"/>
              <w:ind w:right="51"/>
              <w:spacing w:after="0"/>
              <w:rPr>
                <w:sz w:val="20"/>
                <w:szCs w:val="20"/>
                <w:color w:val="auto"/>
              </w:rPr>
            </w:pPr>
            <w:r>
              <w:rPr>
                <w:rFonts w:ascii="Arial" w:cs="Arial" w:eastAsia="Arial" w:hAnsi="Arial"/>
                <w:sz w:val="14"/>
                <w:szCs w:val="14"/>
                <w:color w:val="auto"/>
              </w:rPr>
              <w:t>875,043</w:t>
            </w:r>
          </w:p>
        </w:tc>
        <w:tc>
          <w:tcPr>
            <w:tcW w:w="100" w:type="dxa"/>
            <w:vAlign w:val="bottom"/>
            <w:tcBorders>
              <w:bottom w:val="single" w:sz="8" w:color="3465B0"/>
              <w:right w:val="single" w:sz="8" w:color="93A1D2"/>
            </w:tcBorders>
            <w:shd w:val="clear" w:color="auto" w:fill="CCCCCC"/>
          </w:tcPr>
          <w:p>
            <w:pPr>
              <w:spacing w:after="0"/>
              <w:rPr>
                <w:sz w:val="18"/>
                <w:szCs w:val="18"/>
                <w:color w:val="auto"/>
              </w:rPr>
            </w:pPr>
          </w:p>
        </w:tc>
        <w:tc>
          <w:tcPr>
            <w:tcW w:w="100" w:type="dxa"/>
            <w:vAlign w:val="bottom"/>
            <w:tcBorders>
              <w:bottom w:val="single" w:sz="8" w:color="3465B0"/>
            </w:tcBorders>
            <w:shd w:val="clear" w:color="auto" w:fill="CCCCCC"/>
          </w:tcPr>
          <w:p>
            <w:pPr>
              <w:spacing w:after="0"/>
              <w:rPr>
                <w:sz w:val="18"/>
                <w:szCs w:val="18"/>
                <w:color w:val="auto"/>
              </w:rPr>
            </w:pPr>
          </w:p>
        </w:tc>
        <w:tc>
          <w:tcPr>
            <w:tcW w:w="460" w:type="dxa"/>
            <w:vAlign w:val="bottom"/>
            <w:tcBorders>
              <w:bottom w:val="single" w:sz="8" w:color="3465B0"/>
            </w:tcBorders>
            <w:shd w:val="clear" w:color="auto" w:fill="CCCCCC"/>
          </w:tcPr>
          <w:p>
            <w:pPr>
              <w:ind w:left="320"/>
              <w:spacing w:after="0"/>
              <w:rPr>
                <w:sz w:val="20"/>
                <w:szCs w:val="20"/>
                <w:color w:val="auto"/>
              </w:rPr>
            </w:pPr>
            <w:r>
              <w:rPr>
                <w:rFonts w:ascii="Arial" w:cs="Arial" w:eastAsia="Arial" w:hAnsi="Arial"/>
                <w:sz w:val="14"/>
                <w:szCs w:val="14"/>
                <w:color w:val="auto"/>
                <w:w w:val="85"/>
              </w:rPr>
              <w:t>—</w:t>
            </w:r>
          </w:p>
        </w:tc>
        <w:tc>
          <w:tcPr>
            <w:tcW w:w="120" w:type="dxa"/>
            <w:vAlign w:val="bottom"/>
            <w:tcBorders>
              <w:bottom w:val="single" w:sz="8" w:color="3465B0"/>
              <w:right w:val="single" w:sz="8" w:color="93A1D2"/>
            </w:tcBorders>
            <w:shd w:val="clear" w:color="auto" w:fill="CCCCCC"/>
          </w:tcPr>
          <w:p>
            <w:pPr>
              <w:spacing w:after="0"/>
              <w:rPr>
                <w:sz w:val="18"/>
                <w:szCs w:val="18"/>
                <w:color w:val="auto"/>
              </w:rPr>
            </w:pPr>
          </w:p>
        </w:tc>
        <w:tc>
          <w:tcPr>
            <w:tcW w:w="80" w:type="dxa"/>
            <w:vAlign w:val="bottom"/>
            <w:tcBorders>
              <w:bottom w:val="single" w:sz="8" w:color="3465B0"/>
            </w:tcBorders>
            <w:shd w:val="clear" w:color="auto" w:fill="CCCCCC"/>
          </w:tcPr>
          <w:p>
            <w:pPr>
              <w:spacing w:after="0"/>
              <w:rPr>
                <w:sz w:val="18"/>
                <w:szCs w:val="18"/>
                <w:color w:val="auto"/>
              </w:rPr>
            </w:pPr>
          </w:p>
        </w:tc>
        <w:tc>
          <w:tcPr>
            <w:tcW w:w="102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4"/>
                <w:szCs w:val="14"/>
                <w:color w:val="auto"/>
              </w:rPr>
              <w:t>390,304</w:t>
            </w:r>
          </w:p>
        </w:tc>
        <w:tc>
          <w:tcPr>
            <w:tcW w:w="120" w:type="dxa"/>
            <w:vAlign w:val="bottom"/>
            <w:tcBorders>
              <w:bottom w:val="single" w:sz="8" w:color="3465B0"/>
              <w:right w:val="single" w:sz="8" w:color="93A1D2"/>
            </w:tcBorders>
            <w:shd w:val="clear" w:color="auto" w:fill="CCCCCC"/>
          </w:tcPr>
          <w:p>
            <w:pPr>
              <w:spacing w:after="0"/>
              <w:rPr>
                <w:sz w:val="18"/>
                <w:szCs w:val="18"/>
                <w:color w:val="auto"/>
              </w:rPr>
            </w:pPr>
          </w:p>
        </w:tc>
        <w:tc>
          <w:tcPr>
            <w:tcW w:w="80" w:type="dxa"/>
            <w:vAlign w:val="bottom"/>
            <w:tcBorders>
              <w:bottom w:val="single" w:sz="8" w:color="3465B0"/>
            </w:tcBorders>
            <w:shd w:val="clear" w:color="auto" w:fill="CCCCCC"/>
          </w:tcPr>
          <w:p>
            <w:pPr>
              <w:spacing w:after="0"/>
              <w:rPr>
                <w:sz w:val="18"/>
                <w:szCs w:val="18"/>
                <w:color w:val="auto"/>
              </w:rPr>
            </w:pPr>
          </w:p>
        </w:tc>
        <w:tc>
          <w:tcPr>
            <w:tcW w:w="102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4"/>
                <w:szCs w:val="14"/>
                <w:color w:val="auto"/>
              </w:rPr>
              <w:t>7,274</w:t>
            </w:r>
          </w:p>
        </w:tc>
        <w:tc>
          <w:tcPr>
            <w:tcW w:w="120" w:type="dxa"/>
            <w:vAlign w:val="bottom"/>
            <w:tcBorders>
              <w:bottom w:val="single" w:sz="8" w:color="3465B0"/>
              <w:right w:val="single" w:sz="8" w:color="93A1D2"/>
            </w:tcBorders>
            <w:shd w:val="clear" w:color="auto" w:fill="CCCCCC"/>
          </w:tcPr>
          <w:p>
            <w:pPr>
              <w:spacing w:after="0"/>
              <w:rPr>
                <w:sz w:val="18"/>
                <w:szCs w:val="18"/>
                <w:color w:val="auto"/>
              </w:rPr>
            </w:pPr>
          </w:p>
        </w:tc>
        <w:tc>
          <w:tcPr>
            <w:tcW w:w="100" w:type="dxa"/>
            <w:vAlign w:val="bottom"/>
            <w:tcBorders>
              <w:bottom w:val="single" w:sz="8" w:color="3465B0"/>
            </w:tcBorders>
            <w:shd w:val="clear" w:color="auto" w:fill="CCCCCC"/>
          </w:tcPr>
          <w:p>
            <w:pPr>
              <w:spacing w:after="0"/>
              <w:rPr>
                <w:sz w:val="18"/>
                <w:szCs w:val="18"/>
                <w:color w:val="auto"/>
              </w:rPr>
            </w:pPr>
          </w:p>
        </w:tc>
        <w:tc>
          <w:tcPr>
            <w:tcW w:w="720" w:type="dxa"/>
            <w:vAlign w:val="bottom"/>
            <w:tcBorders>
              <w:bottom w:val="single" w:sz="8" w:color="3465B0"/>
              <w:right w:val="single" w:sz="8" w:color="3465B0"/>
            </w:tcBorders>
            <w:shd w:val="clear" w:color="auto" w:fill="CCCCCC"/>
          </w:tcPr>
          <w:p>
            <w:pPr>
              <w:jc w:val="right"/>
              <w:ind w:right="10"/>
              <w:spacing w:after="0"/>
              <w:rPr>
                <w:sz w:val="20"/>
                <w:szCs w:val="20"/>
                <w:color w:val="auto"/>
              </w:rPr>
            </w:pPr>
            <w:r>
              <w:rPr>
                <w:rFonts w:ascii="Arial" w:cs="Arial" w:eastAsia="Arial" w:hAnsi="Arial"/>
                <w:sz w:val="14"/>
                <w:szCs w:val="14"/>
                <w:color w:val="auto"/>
                <w:w w:val="99"/>
              </w:rPr>
              <w:t>1,678,160</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1280" w:right="940" w:hanging="348"/>
        <w:spacing w:after="0" w:line="248" w:lineRule="auto"/>
        <w:tabs>
          <w:tab w:leader="none" w:pos="12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this column for each of Mr. Wilkes and Mr. Laden represent their cash sign-on bonus. Pursuant to his offer letter, Mr. Banner’s 2024 STIP award was guaranteed at the threshold level. The amount in this column for Mr. Banner represents the payment of this award as well as a cash sign-on bonus of $120,000, net of tax. Although the STIP did not meet threshold performance objectives for 2024, the compensation committee approved 2024 STIP awards to participants other than NEOs at 40% of target opportunity. In making this determination, the compensation committee considered, among other things, the importance of talent retention and strong performance in the fourth quarter of 2024 as associates worked to execute on the Company’s transformation initiatives. The amounts in this column for each of Mr. Brandman and Mr. Clark, who were not NEOs in 2024, represent the payment of this award.</w:t>
      </w:r>
    </w:p>
    <w:p>
      <w:pPr>
        <w:spacing w:after="0" w:line="77" w:lineRule="exact"/>
        <w:rPr>
          <w:rFonts w:ascii="Arial" w:cs="Arial" w:eastAsia="Arial" w:hAnsi="Arial"/>
          <w:sz w:val="14"/>
          <w:szCs w:val="14"/>
          <w:color w:val="auto"/>
        </w:rPr>
      </w:pPr>
    </w:p>
    <w:p>
      <w:pPr>
        <w:jc w:val="both"/>
        <w:ind w:left="1280" w:right="960" w:hanging="348"/>
        <w:spacing w:after="0" w:line="256" w:lineRule="auto"/>
        <w:tabs>
          <w:tab w:leader="none" w:pos="12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Reflects the aggregate grant date fair value of the stock awards granted in the applicable year, computed in accordance with FASB ASC Topic 718. Awards with performance conditions are computed based on the probable outcome of the performance condition as of the grant date for the award. Information about the assumptions used to value these awards is set forth in our Annual Report on Form 10-K in Note 6 to our Consolidated Financial Statements for the year ended January 3, 2026.</w:t>
      </w:r>
    </w:p>
    <w:p>
      <w:pPr>
        <w:spacing w:after="0" w:line="69" w:lineRule="exact"/>
        <w:rPr>
          <w:rFonts w:ascii="Arial" w:cs="Arial" w:eastAsia="Arial" w:hAnsi="Arial"/>
          <w:sz w:val="14"/>
          <w:szCs w:val="14"/>
          <w:color w:val="auto"/>
        </w:rPr>
      </w:pPr>
    </w:p>
    <w:p>
      <w:pPr>
        <w:jc w:val="both"/>
        <w:ind w:left="1280" w:right="960" w:hanging="348"/>
        <w:spacing w:after="0" w:line="248" w:lineRule="auto"/>
        <w:tabs>
          <w:tab w:leader="none" w:pos="12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2025, amounts reflect the aggregate grant date fair value of performance stock units granted to Mr. Fahs ($2,313,734), Mr. Wilkes ($1,156,867), Mr. Banner ($578,443), Mr. Brandman ($433,830), and Mr. Clark ($347,074) in 2025 at the target award level and restricted stock units. With respect to performance stock units, the value realized by each of them at the end of the three-year performance period will depend on the company’s achievement of Adjusted Operating Income, Return on Invested Capital, and Relative Total Shareholder Return over the performance period and will range from 0% to 200%. If the highest level of performance conditions is met, the grant date fair value of these awards would be as follows: Mr. Fahs ($4,627,468), Mr. Wilkes ($2,313,734), Mr. Banner ($1,156,886), Mr. Brandman ($867,659), and Mr. Clark ($694,146).</w:t>
      </w:r>
    </w:p>
    <w:p>
      <w:pPr>
        <w:spacing w:after="0" w:line="77" w:lineRule="exact"/>
        <w:rPr>
          <w:rFonts w:ascii="Arial" w:cs="Arial" w:eastAsia="Arial" w:hAnsi="Arial"/>
          <w:sz w:val="14"/>
          <w:szCs w:val="14"/>
          <w:color w:val="auto"/>
        </w:rPr>
      </w:pPr>
    </w:p>
    <w:p>
      <w:pPr>
        <w:ind w:left="1280" w:hanging="348"/>
        <w:spacing w:after="0"/>
        <w:tabs>
          <w:tab w:leader="none" w:pos="12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cash incentive payments were earned for the year listed and paid in the following year.</w:t>
      </w:r>
    </w:p>
    <w:p>
      <w:pPr>
        <w:spacing w:after="0" w:line="109" w:lineRule="exact"/>
        <w:rPr>
          <w:rFonts w:ascii="Arial" w:cs="Arial" w:eastAsia="Arial" w:hAnsi="Arial"/>
          <w:sz w:val="14"/>
          <w:szCs w:val="14"/>
          <w:color w:val="auto"/>
        </w:rPr>
      </w:pPr>
    </w:p>
    <w:p>
      <w:pPr>
        <w:ind w:left="1280" w:hanging="348"/>
        <w:spacing w:after="0"/>
        <w:tabs>
          <w:tab w:leader="none" w:pos="12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All Other Compensation for 2025 included:</w:t>
      </w:r>
    </w:p>
    <w:p>
      <w:pPr>
        <w:spacing w:after="0" w:line="109" w:lineRule="exact"/>
        <w:rPr>
          <w:rFonts w:ascii="Arial" w:cs="Arial" w:eastAsia="Arial" w:hAnsi="Arial"/>
          <w:sz w:val="14"/>
          <w:szCs w:val="14"/>
          <w:color w:val="auto"/>
        </w:rPr>
      </w:pPr>
    </w:p>
    <w:p>
      <w:pPr>
        <w:jc w:val="both"/>
        <w:ind w:left="1640" w:right="960" w:hanging="348"/>
        <w:spacing w:after="0" w:line="263" w:lineRule="auto"/>
        <w:tabs>
          <w:tab w:leader="none" w:pos="1640" w:val="left"/>
        </w:tabs>
        <w:numPr>
          <w:ilvl w:val="1"/>
          <w:numId w:val="61"/>
        </w:numPr>
        <w:rPr>
          <w:rFonts w:ascii="Arial" w:cs="Arial" w:eastAsia="Arial" w:hAnsi="Arial"/>
          <w:sz w:val="14"/>
          <w:szCs w:val="14"/>
          <w:color w:val="auto"/>
        </w:rPr>
      </w:pPr>
      <w:r>
        <w:rPr>
          <w:rFonts w:ascii="Arial" w:cs="Arial" w:eastAsia="Arial" w:hAnsi="Arial"/>
          <w:sz w:val="14"/>
          <w:szCs w:val="14"/>
          <w:color w:val="auto"/>
        </w:rPr>
        <w:t>Employer matching contributions to our 401(k) plan for each of Mr. Fahs ($13,622), Mr. Wilkes, Mr. Laden, Mr. Banner, Mr. Brandman, Mr. Clark ($10,383), Mr. Moore and Ms. Rasmussen. Our 401(k) Plan provides for a 50% matching contribution on the first 4% of participants’ pre-tax contributions up to IRS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46990</wp:posOffset>
            </wp:positionV>
            <wp:extent cx="205740" cy="2057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49</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53" w:lineRule="exact"/>
        <w:rPr>
          <w:sz w:val="20"/>
          <w:szCs w:val="20"/>
          <w:color w:val="auto"/>
        </w:rPr>
      </w:pPr>
    </w:p>
    <w:p>
      <w:pPr>
        <w:ind w:left="720" w:right="20" w:hanging="348"/>
        <w:spacing w:after="0" w:line="285" w:lineRule="auto"/>
        <w:tabs>
          <w:tab w:leader="none" w:pos="7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Payment of life insurance premiums for each of our NEOs. Each of our NEOs is entitled to basic life insurance coverage of up to the lesser of two times base salary or $500,000.</w:t>
      </w:r>
    </w:p>
    <w:p>
      <w:pPr>
        <w:spacing w:after="0" w:line="49" w:lineRule="exact"/>
        <w:rPr>
          <w:rFonts w:ascii="Arial" w:cs="Arial" w:eastAsia="Arial" w:hAnsi="Arial"/>
          <w:sz w:val="14"/>
          <w:szCs w:val="14"/>
          <w:color w:val="auto"/>
        </w:rPr>
      </w:pPr>
    </w:p>
    <w:p>
      <w:pPr>
        <w:jc w:val="both"/>
        <w:ind w:left="720" w:right="20" w:hanging="348"/>
        <w:spacing w:after="0" w:line="256" w:lineRule="auto"/>
        <w:tabs>
          <w:tab w:leader="none" w:pos="7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Payment of supplemental long-term disability and accidental death insurance premiums for each of our NEOs. Each of our NEOs is entitled to supplemental long-term disability and accidental death insurance coverage. The total benefit maximum of both the basic and supplemental disability insurance coverage is $10,000 per month, and the maximum accidental death benefit is up to the lesser of two times base salary or $500,000.</w:t>
      </w:r>
    </w:p>
    <w:p>
      <w:pPr>
        <w:spacing w:after="0" w:line="69" w:lineRule="exact"/>
        <w:rPr>
          <w:rFonts w:ascii="Arial" w:cs="Arial" w:eastAsia="Arial" w:hAnsi="Arial"/>
          <w:sz w:val="14"/>
          <w:szCs w:val="14"/>
          <w:color w:val="auto"/>
        </w:rPr>
      </w:pPr>
    </w:p>
    <w:p>
      <w:pPr>
        <w:jc w:val="both"/>
        <w:ind w:left="720" w:right="20" w:hanging="348"/>
        <w:spacing w:after="0" w:line="248" w:lineRule="auto"/>
        <w:tabs>
          <w:tab w:leader="none" w:pos="7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Payment or provision of certain perquisites. For each of Mr. Laden, Mr. Brandman, and Mr. Moore, the total value of all perquisites is less than $10,000. The amount in this column for all NEOs includes (i) amount paid for a financial wellness program and (ii) the value of an associate eyewear coupon. The amount in this column for Mr. Fahs also includes: (i) reimbursement for Young Presidents’ Organization membership ($12,000) and (ii) the cost of tax accounting services ($16,511). The amount in this column for Mr. Wilkes also includes:( i) amount paid for a financial wellness program and (ii) the incremental cost to the Company of providing temporary housing under the executive relocation package ($38,340). The amount in this column includes the cost of an executive physical for each of Mr. Laden, Mr. Banner, Mr. Clark ($3,266) and Mr. Moore.</w:t>
      </w:r>
    </w:p>
    <w:p>
      <w:pPr>
        <w:spacing w:after="0" w:line="77" w:lineRule="exact"/>
        <w:rPr>
          <w:rFonts w:ascii="Arial" w:cs="Arial" w:eastAsia="Arial" w:hAnsi="Arial"/>
          <w:sz w:val="14"/>
          <w:szCs w:val="14"/>
          <w:color w:val="auto"/>
        </w:rPr>
      </w:pPr>
    </w:p>
    <w:p>
      <w:pPr>
        <w:jc w:val="both"/>
        <w:ind w:left="720" w:right="20" w:hanging="348"/>
        <w:spacing w:after="0" w:line="252" w:lineRule="auto"/>
        <w:tabs>
          <w:tab w:leader="none" w:pos="7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The amount in this column for Ms. Rasmussen includes cash severance payments and other severance benefits. Ms. Rasmussen’s employment with the Company was terminated on March 3, 2025, and she received the associated severance and termination benefits under the Company’s Executive Severance Plan, the terms of which are further described under “Potential Payments upon Termination or Change in Control.”. See “Transition and Separation Agreement with Ms. Rasmussen” for a description of her transition and separation agreement.</w:t>
      </w:r>
    </w:p>
    <w:p>
      <w:pPr>
        <w:spacing w:after="0" w:line="72" w:lineRule="exact"/>
        <w:rPr>
          <w:rFonts w:ascii="Arial" w:cs="Arial" w:eastAsia="Arial" w:hAnsi="Arial"/>
          <w:sz w:val="14"/>
          <w:szCs w:val="14"/>
          <w:color w:val="auto"/>
        </w:rPr>
      </w:pPr>
    </w:p>
    <w:p>
      <w:pPr>
        <w:jc w:val="both"/>
        <w:ind w:left="360" w:hanging="348"/>
        <w:spacing w:after="0" w:line="247"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Messrs. Wilkes, Laden and Banner joined the Company on August 19, 2024, March 31, 2025, and July 8, 2024, respectively. For 2024, Messrs. Wilkes and Banner’s base salaries were paid at an annualized rate of $600,000 and $500,000, respectively. For 2025, Mr. Laden’s base salary was paid at an annualized rate of $500,000. The amount shown for each of them reflects the actual amount of base salary paid to them during 2024 or 2025, as applicable. We granted equity awards to Messrs. Wilkes, Laden and Banner upon joining our company to immediately and strongly align their interests with those of our stockholders. In addition, upon joining our company, Messrs. Wilkes, Laden and Banner received a cash payment of $232,000, $200,000 and $183,414, respectively, to compensate them for benefits forfeited upon leaving their prior employer. The material terms of Messrs. Wilkes, Laden and Banner’s offer letters are set forth above under the heading “Agreements with Named Executive Officers.”</w:t>
      </w:r>
    </w:p>
    <w:p>
      <w:pPr>
        <w:spacing w:after="0" w:line="78" w:lineRule="exact"/>
        <w:rPr>
          <w:rFonts w:ascii="Arial" w:cs="Arial" w:eastAsia="Arial" w:hAnsi="Arial"/>
          <w:sz w:val="14"/>
          <w:szCs w:val="14"/>
          <w:color w:val="auto"/>
        </w:rPr>
      </w:pPr>
    </w:p>
    <w:p>
      <w:pPr>
        <w:ind w:left="360" w:right="20" w:hanging="348"/>
        <w:spacing w:after="0" w:line="262"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Messrs. Brandman and Clark were not NEOs in 2024, but compensation information for 2024 is provided consistent with SEC requirements.</w:t>
      </w:r>
    </w:p>
    <w:p>
      <w:pPr>
        <w:spacing w:after="0" w:line="256" w:lineRule="exact"/>
        <w:rPr>
          <w:rFonts w:ascii="Arial" w:cs="Arial" w:eastAsia="Arial" w:hAnsi="Arial"/>
          <w:sz w:val="14"/>
          <w:szCs w:val="14"/>
          <w:color w:val="auto"/>
        </w:rPr>
      </w:pPr>
    </w:p>
    <w:p>
      <w:pPr>
        <w:jc w:val="both"/>
        <w:ind w:left="360" w:hanging="348"/>
        <w:spacing w:after="0" w:line="263"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Moore served as our Senior Vice President, Chief Operating Officer through August 19, 2024, after which he assumed the role of Special Advisor through December 28, 2024. On March 4, 2025, Mr. Moore was appointed as Interim Chief Financial Officer and served in that role through March 31, 2025. Effective April 1, 2025, Mr. Moore assumed an advisory role with the Company.</w:t>
      </w:r>
    </w:p>
    <w:p>
      <w:pPr>
        <w:spacing w:after="0" w:line="40" w:lineRule="exact"/>
        <w:rPr>
          <w:sz w:val="20"/>
          <w:szCs w:val="20"/>
          <w:color w:val="auto"/>
        </w:rPr>
      </w:pPr>
    </w:p>
    <w:p>
      <w:pPr>
        <w:ind w:left="360" w:hanging="346"/>
        <w:spacing w:after="0"/>
        <w:tabs>
          <w:tab w:leader="none" w:pos="360" w:val="left"/>
        </w:tabs>
        <w:numPr>
          <w:ilvl w:val="0"/>
          <w:numId w:val="64"/>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7" w:name="page58"/>
    <w:bookmarkEnd w:id="57"/>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465B0"/>
        </w:rPr>
        <w:t>Grants of Plan-Based Awards in 2025</w:t>
      </w:r>
    </w:p>
    <w:p>
      <w:pPr>
        <w:spacing w:after="0" w:line="131" w:lineRule="exact"/>
        <w:rPr>
          <w:sz w:val="20"/>
          <w:szCs w:val="20"/>
          <w:color w:val="auto"/>
        </w:rPr>
      </w:pPr>
    </w:p>
    <w:p>
      <w:pPr>
        <w:ind w:left="940" w:right="940"/>
        <w:spacing w:after="0" w:line="271" w:lineRule="auto"/>
        <w:rPr>
          <w:sz w:val="20"/>
          <w:szCs w:val="20"/>
          <w:color w:val="auto"/>
        </w:rPr>
      </w:pPr>
      <w:r>
        <w:rPr>
          <w:rFonts w:ascii="Arial" w:cs="Arial" w:eastAsia="Arial" w:hAnsi="Arial"/>
          <w:sz w:val="18"/>
          <w:szCs w:val="18"/>
          <w:color w:val="auto"/>
        </w:rPr>
        <w:t>The following table sets forth information about the non-equity incentive awards and equity-based awards granted to our NEOs in the fiscal year ended January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64770</wp:posOffset>
            </wp:positionV>
            <wp:extent cx="5807710" cy="41357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807710" cy="41357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FFFFFF"/>
        </w:rPr>
        <w:t>Named Executive</w:t>
      </w:r>
    </w:p>
    <w:p>
      <w:pPr>
        <w:ind w:left="1020"/>
        <w:spacing w:after="0"/>
        <w:rPr>
          <w:sz w:val="20"/>
          <w:szCs w:val="20"/>
          <w:color w:val="auto"/>
        </w:rPr>
      </w:pPr>
      <w:r>
        <w:rPr>
          <w:rFonts w:ascii="Arial" w:cs="Arial" w:eastAsia="Arial" w:hAnsi="Arial"/>
          <w:sz w:val="13"/>
          <w:szCs w:val="13"/>
          <w:b w:val="1"/>
          <w:bCs w:val="1"/>
          <w:color w:val="FFFFFF"/>
        </w:rPr>
        <w:t>Officer</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L. Reade Fahs</w:t>
      </w:r>
    </w:p>
    <w:p>
      <w:pPr>
        <w:spacing w:after="0" w:line="200" w:lineRule="exact"/>
        <w:rPr>
          <w:sz w:val="20"/>
          <w:szCs w:val="20"/>
          <w:color w:val="auto"/>
        </w:rPr>
      </w:pPr>
    </w:p>
    <w:p>
      <w:pPr>
        <w:spacing w:after="0" w:line="39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Alexander N.</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Wilkes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Christopher J.</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Laden</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Mark S. Banner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Jared Brandman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Bill Clark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Patrick R. Moore</w:t>
      </w:r>
    </w:p>
    <w:p>
      <w:pPr>
        <w:spacing w:after="0" w:line="6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Melissa</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Rasmussen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760" w:val="left"/>
        </w:tabs>
        <w:rPr>
          <w:sz w:val="20"/>
          <w:szCs w:val="20"/>
          <w:color w:val="auto"/>
        </w:rPr>
      </w:pPr>
      <w:r>
        <w:rPr>
          <w:rFonts w:ascii="Arial" w:cs="Arial" w:eastAsia="Arial" w:hAnsi="Arial"/>
          <w:sz w:val="25"/>
          <w:szCs w:val="25"/>
          <w:b w:val="1"/>
          <w:bCs w:val="1"/>
          <w:color w:val="FFFFFF"/>
          <w:vertAlign w:val="subscript"/>
        </w:rPr>
        <w:t>Grant</w:t>
      </w:r>
      <w:r>
        <w:rPr>
          <w:sz w:val="20"/>
          <w:szCs w:val="20"/>
          <w:color w:val="auto"/>
        </w:rPr>
        <w:tab/>
      </w:r>
      <w:r>
        <w:rPr>
          <w:rFonts w:ascii="Arial" w:cs="Arial" w:eastAsia="Arial" w:hAnsi="Arial"/>
          <w:sz w:val="13"/>
          <w:szCs w:val="13"/>
          <w:b w:val="1"/>
          <w:bCs w:val="1"/>
          <w:color w:val="FFFFFF"/>
        </w:rPr>
        <w:t>Approval</w:t>
      </w:r>
    </w:p>
    <w:p>
      <w:pPr>
        <w:spacing w:after="0" w:line="130"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b w:val="1"/>
          <w:bCs w:val="1"/>
          <w:color w:val="FFFFFF"/>
        </w:rPr>
        <w:t>Date</w:t>
      </w:r>
      <w:r>
        <w:rPr>
          <w:sz w:val="20"/>
          <w:szCs w:val="20"/>
          <w:color w:val="auto"/>
        </w:rPr>
        <w:tab/>
      </w:r>
      <w:r>
        <w:rPr>
          <w:rFonts w:ascii="Arial" w:cs="Arial" w:eastAsia="Arial" w:hAnsi="Arial"/>
          <w:sz w:val="13"/>
          <w:szCs w:val="13"/>
          <w:b w:val="1"/>
          <w:bCs w:val="1"/>
          <w:color w:val="FFFFFF"/>
        </w:rPr>
        <w:t>Date</w:t>
      </w:r>
      <w:r>
        <w:rPr>
          <w:rFonts w:ascii="Arial" w:cs="Arial" w:eastAsia="Arial" w:hAnsi="Arial"/>
          <w:sz w:val="20"/>
          <w:szCs w:val="20"/>
          <w:b w:val="1"/>
          <w:bCs w:val="1"/>
          <w:color w:val="FFFFFF"/>
          <w:vertAlign w:val="superscript"/>
        </w:rPr>
        <w:t>(1)</w:t>
      </w:r>
    </w:p>
    <w:p>
      <w:pPr>
        <w:spacing w:after="0" w:line="301"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color w:val="auto"/>
        </w:rPr>
        <w:t>3/7/2025</w:t>
        <w:tab/>
        <w:t>3/5/2025</w:t>
      </w:r>
    </w:p>
    <w:p>
      <w:pPr>
        <w:spacing w:after="0" w:line="69"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color w:val="auto"/>
        </w:rPr>
        <w:t>3/7/2025</w:t>
        <w:tab/>
        <w:t>3/5/2025</w:t>
      </w:r>
    </w:p>
    <w:p>
      <w:pPr>
        <w:spacing w:after="0" w:line="379"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color w:val="auto"/>
        </w:rPr>
        <w:t>3/7/2025</w:t>
        <w:tab/>
        <w:t>3/5/2025</w:t>
      </w:r>
    </w:p>
    <w:p>
      <w:pPr>
        <w:spacing w:after="0" w:line="109"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color w:val="auto"/>
        </w:rPr>
        <w:t>3/7/2025</w:t>
        <w:tab/>
        <w:t>3/5/2025</w:t>
      </w:r>
    </w:p>
    <w:p>
      <w:pPr>
        <w:spacing w:after="0" w:line="69"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4"/>
          <w:szCs w:val="14"/>
          <w:color w:val="auto"/>
        </w:rPr>
        <w:t>8/1/2025</w:t>
        <w:tab/>
        <w:t>4/28/2025</w:t>
      </w:r>
    </w:p>
    <w:p>
      <w:pPr>
        <w:spacing w:after="0" w:line="339"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3/31/2025</w:t>
        <w:tab/>
        <w:t>2/23/2025</w:t>
      </w:r>
    </w:p>
    <w:p>
      <w:pPr>
        <w:spacing w:after="0" w:line="379"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color w:val="auto"/>
        </w:rPr>
        <w:t>3/7/2025</w:t>
        <w:tab/>
        <w:t>3/5/2025</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color w:val="auto"/>
        </w:rPr>
        <w:t>3/7/2025</w:t>
      </w:r>
      <w:r>
        <w:rPr>
          <w:sz w:val="1"/>
          <w:szCs w:val="1"/>
          <w:color w:val="auto"/>
        </w:rPr>
        <w:drawing>
          <wp:inline distT="0" distB="0" distL="0" distR="0">
            <wp:extent cx="43180" cy="14541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180" cy="145415"/>
                    </a:xfrm>
                    <a:prstGeom prst="rect">
                      <a:avLst/>
                    </a:prstGeom>
                    <a:noFill/>
                    <a:ln>
                      <a:noFill/>
                    </a:ln>
                  </pic:spPr>
                </pic:pic>
              </a:graphicData>
            </a:graphic>
          </wp:inline>
        </w:drawing>
      </w:r>
      <w:r>
        <w:rPr>
          <w:rFonts w:ascii="Arial" w:cs="Arial" w:eastAsia="Arial" w:hAnsi="Arial"/>
          <w:sz w:val="14"/>
          <w:szCs w:val="14"/>
          <w:color w:val="auto"/>
        </w:rPr>
        <w:t xml:space="preserve">  3/5/2025 </w:t>
      </w:r>
      <w:r>
        <w:rPr>
          <w:sz w:val="1"/>
          <w:szCs w:val="1"/>
          <w:color w:val="auto"/>
        </w:rPr>
        <w:drawing>
          <wp:inline distT="0" distB="0" distL="0" distR="0">
            <wp:extent cx="51435" cy="14541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145415"/>
                    </a:xfrm>
                    <a:prstGeom prst="rect">
                      <a:avLst/>
                    </a:prstGeom>
                    <a:noFill/>
                    <a:ln>
                      <a:noFill/>
                    </a:ln>
                  </pic:spPr>
                </pic:pic>
              </a:graphicData>
            </a:graphic>
          </wp:inline>
        </w:drawing>
      </w:r>
    </w:p>
    <w:p>
      <w:pPr>
        <w:spacing w:after="0" w:line="328"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color w:val="auto"/>
        </w:rPr>
        <w:t>3/7/2025</w:t>
        <w:tab/>
        <w:t>3/5/2025</w:t>
      </w:r>
    </w:p>
    <w:p>
      <w:pPr>
        <w:spacing w:after="0" w:line="69"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color w:val="auto"/>
        </w:rPr>
        <w:t>3/7/2025</w:t>
        <w:tab/>
        <w:t>3/5/2025</w:t>
      </w:r>
    </w:p>
    <w:p>
      <w:pPr>
        <w:spacing w:after="0" w:line="379"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color w:val="auto"/>
        </w:rPr>
        <w:t>3/7/2025</w:t>
        <w:tab/>
        <w:t>3/5/2025</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color w:val="auto"/>
        </w:rPr>
        <w:t>3/7/2025</w:t>
      </w:r>
      <w:r>
        <w:rPr>
          <w:sz w:val="1"/>
          <w:szCs w:val="1"/>
          <w:color w:val="auto"/>
        </w:rPr>
        <w:drawing>
          <wp:inline distT="0" distB="0" distL="0" distR="0">
            <wp:extent cx="43180" cy="14605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146050"/>
                    </a:xfrm>
                    <a:prstGeom prst="rect">
                      <a:avLst/>
                    </a:prstGeom>
                    <a:noFill/>
                    <a:ln>
                      <a:noFill/>
                    </a:ln>
                  </pic:spPr>
                </pic:pic>
              </a:graphicData>
            </a:graphic>
          </wp:inline>
        </w:drawing>
      </w:r>
      <w:r>
        <w:rPr>
          <w:rFonts w:ascii="Arial" w:cs="Arial" w:eastAsia="Arial" w:hAnsi="Arial"/>
          <w:sz w:val="14"/>
          <w:szCs w:val="14"/>
          <w:color w:val="auto"/>
        </w:rPr>
        <w:t xml:space="preserve">  3/5/2025 </w:t>
      </w:r>
      <w:r>
        <w:rPr>
          <w:sz w:val="1"/>
          <w:szCs w:val="1"/>
          <w:color w:val="auto"/>
        </w:rPr>
        <w:drawing>
          <wp:inline distT="0" distB="0" distL="0" distR="0">
            <wp:extent cx="51435" cy="14605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1460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Borders>
              <w:right w:val="single" w:sz="8" w:color="93A1D2"/>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Borders>
              <w:right w:val="single" w:sz="8" w:color="93A1D2"/>
            </w:tcBorders>
          </w:tcPr>
          <w:p>
            <w:pPr>
              <w:spacing w:after="0"/>
              <w:rPr>
                <w:sz w:val="10"/>
                <w:szCs w:val="10"/>
                <w:color w:val="auto"/>
              </w:rPr>
            </w:pPr>
          </w:p>
        </w:tc>
        <w:tc>
          <w:tcPr>
            <w:tcW w:w="800" w:type="dxa"/>
            <w:vAlign w:val="bottom"/>
            <w:tcBorders>
              <w:right w:val="single" w:sz="8" w:color="3465B0"/>
            </w:tcBorders>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76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spacing w:after="0"/>
              <w:rPr>
                <w:sz w:val="10"/>
                <w:szCs w:val="10"/>
                <w:color w:val="auto"/>
              </w:rPr>
            </w:pPr>
          </w:p>
        </w:tc>
        <w:tc>
          <w:tcPr>
            <w:tcW w:w="620" w:type="dxa"/>
            <w:vAlign w:val="bottom"/>
            <w:shd w:val="clear" w:color="auto" w:fill="3465B0"/>
          </w:tcPr>
          <w:p>
            <w:pPr>
              <w:spacing w:after="0"/>
              <w:rPr>
                <w:sz w:val="10"/>
                <w:szCs w:val="10"/>
                <w:color w:val="auto"/>
              </w:rPr>
            </w:pPr>
          </w:p>
        </w:tc>
        <w:tc>
          <w:tcPr>
            <w:tcW w:w="160" w:type="dxa"/>
            <w:vAlign w:val="bottom"/>
            <w:tcBorders>
              <w:right w:val="single" w:sz="8" w:color="3465B0"/>
            </w:tcBorders>
            <w:shd w:val="clear" w:color="auto" w:fill="3465B0"/>
          </w:tcPr>
          <w:p>
            <w:pPr>
              <w:spacing w:after="0"/>
              <w:rPr>
                <w:sz w:val="10"/>
                <w:szCs w:val="10"/>
                <w:color w:val="auto"/>
              </w:rPr>
            </w:pPr>
          </w:p>
        </w:tc>
        <w:tc>
          <w:tcPr>
            <w:tcW w:w="680" w:type="dxa"/>
            <w:vAlign w:val="bottom"/>
            <w:tcBorders>
              <w:right w:val="single" w:sz="8" w:color="3465B0"/>
            </w:tcBorders>
            <w:shd w:val="clear" w:color="auto" w:fill="3465B0"/>
          </w:tcPr>
          <w:p>
            <w:pPr>
              <w:spacing w:after="0"/>
              <w:rPr>
                <w:sz w:val="10"/>
                <w:szCs w:val="10"/>
                <w:color w:val="auto"/>
              </w:rPr>
            </w:pPr>
          </w:p>
        </w:tc>
        <w:tc>
          <w:tcPr>
            <w:tcW w:w="74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spacing w:after="0" w:line="117" w:lineRule="exact"/>
              <w:rPr>
                <w:sz w:val="20"/>
                <w:szCs w:val="20"/>
                <w:color w:val="auto"/>
              </w:rPr>
            </w:pPr>
            <w:r>
              <w:rPr>
                <w:rFonts w:ascii="Arial" w:cs="Arial" w:eastAsia="Arial" w:hAnsi="Arial"/>
                <w:sz w:val="13"/>
                <w:szCs w:val="13"/>
                <w:b w:val="1"/>
                <w:bCs w:val="1"/>
                <w:color w:val="FFFFFF"/>
              </w:rPr>
              <w:t>All Other</w:t>
            </w:r>
          </w:p>
        </w:tc>
        <w:tc>
          <w:tcPr>
            <w:tcW w:w="740" w:type="dxa"/>
            <w:vAlign w:val="bottom"/>
            <w:shd w:val="clear" w:color="auto" w:fill="3465B0"/>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2360" w:type="dxa"/>
            <w:vAlign w:val="bottom"/>
            <w:tcBorders>
              <w:right w:val="single" w:sz="8" w:color="3465B0"/>
            </w:tcBorders>
            <w:gridSpan w:val="3"/>
            <w:shd w:val="clear" w:color="auto" w:fill="3465B0"/>
          </w:tcPr>
          <w:p>
            <w:pPr>
              <w:jc w:val="right"/>
              <w:ind w:right="612"/>
              <w:spacing w:after="0"/>
              <w:rPr>
                <w:sz w:val="20"/>
                <w:szCs w:val="20"/>
                <w:color w:val="auto"/>
              </w:rPr>
            </w:pPr>
            <w:r>
              <w:rPr>
                <w:rFonts w:ascii="Arial" w:cs="Arial" w:eastAsia="Arial" w:hAnsi="Arial"/>
                <w:sz w:val="13"/>
                <w:szCs w:val="13"/>
                <w:b w:val="1"/>
                <w:bCs w:val="1"/>
                <w:color w:val="FFFFFF"/>
              </w:rPr>
              <w:t>Estimated Possible</w:t>
            </w:r>
          </w:p>
        </w:tc>
        <w:tc>
          <w:tcPr>
            <w:tcW w:w="2200" w:type="dxa"/>
            <w:vAlign w:val="bottom"/>
            <w:tcBorders>
              <w:right w:val="single" w:sz="8" w:color="3465B0"/>
            </w:tcBorders>
            <w:gridSpan w:val="4"/>
            <w:shd w:val="clear" w:color="auto" w:fill="3465B0"/>
          </w:tcPr>
          <w:p>
            <w:pPr>
              <w:jc w:val="center"/>
              <w:ind w:right="91"/>
              <w:spacing w:after="0"/>
              <w:rPr>
                <w:sz w:val="20"/>
                <w:szCs w:val="20"/>
                <w:color w:val="auto"/>
              </w:rPr>
            </w:pPr>
            <w:r>
              <w:rPr>
                <w:rFonts w:ascii="Arial" w:cs="Arial" w:eastAsia="Arial" w:hAnsi="Arial"/>
                <w:sz w:val="13"/>
                <w:szCs w:val="13"/>
                <w:b w:val="1"/>
                <w:bCs w:val="1"/>
                <w:color w:val="FFFFFF"/>
                <w:w w:val="97"/>
              </w:rPr>
              <w:t>Estimated Future Payouts</w:t>
            </w:r>
          </w:p>
        </w:tc>
        <w:tc>
          <w:tcPr>
            <w:tcW w:w="80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Stock</w:t>
            </w:r>
          </w:p>
        </w:tc>
        <w:tc>
          <w:tcPr>
            <w:tcW w:w="740" w:type="dxa"/>
            <w:vAlign w:val="bottom"/>
            <w:vMerge w:val="restart"/>
            <w:shd w:val="clear" w:color="auto" w:fill="3465B0"/>
          </w:tcPr>
          <w:p>
            <w:pPr>
              <w:ind w:left="20"/>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360" w:type="dxa"/>
            <w:vAlign w:val="bottom"/>
            <w:tcBorders>
              <w:right w:val="single" w:sz="8" w:color="3465B0"/>
            </w:tcBorders>
            <w:gridSpan w:val="3"/>
            <w:shd w:val="clear" w:color="auto" w:fill="3465B0"/>
          </w:tcPr>
          <w:p>
            <w:pPr>
              <w:jc w:val="right"/>
              <w:ind w:right="392"/>
              <w:spacing w:after="0" w:line="135" w:lineRule="exact"/>
              <w:rPr>
                <w:sz w:val="20"/>
                <w:szCs w:val="20"/>
                <w:color w:val="auto"/>
              </w:rPr>
            </w:pPr>
            <w:r>
              <w:rPr>
                <w:rFonts w:ascii="Arial" w:cs="Arial" w:eastAsia="Arial" w:hAnsi="Arial"/>
                <w:sz w:val="13"/>
                <w:szCs w:val="13"/>
                <w:b w:val="1"/>
                <w:bCs w:val="1"/>
                <w:color w:val="FFFFFF"/>
              </w:rPr>
              <w:t>Payouts Under Non-Equity</w:t>
            </w:r>
          </w:p>
        </w:tc>
        <w:tc>
          <w:tcPr>
            <w:tcW w:w="2200" w:type="dxa"/>
            <w:vAlign w:val="bottom"/>
            <w:tcBorders>
              <w:right w:val="single" w:sz="8" w:color="3465B0"/>
            </w:tcBorders>
            <w:gridSpan w:val="4"/>
            <w:shd w:val="clear" w:color="auto" w:fill="3465B0"/>
          </w:tcPr>
          <w:p>
            <w:pPr>
              <w:jc w:val="center"/>
              <w:ind w:right="111"/>
              <w:spacing w:after="0" w:line="135" w:lineRule="exact"/>
              <w:rPr>
                <w:sz w:val="20"/>
                <w:szCs w:val="20"/>
                <w:color w:val="auto"/>
              </w:rPr>
            </w:pPr>
            <w:r>
              <w:rPr>
                <w:rFonts w:ascii="Arial" w:cs="Arial" w:eastAsia="Arial" w:hAnsi="Arial"/>
                <w:sz w:val="13"/>
                <w:szCs w:val="13"/>
                <w:b w:val="1"/>
                <w:bCs w:val="1"/>
                <w:color w:val="FFFFFF"/>
                <w:w w:val="96"/>
              </w:rPr>
              <w:t>Under Equity Incentive Plan</w:t>
            </w:r>
          </w:p>
        </w:tc>
        <w:tc>
          <w:tcPr>
            <w:tcW w:w="80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Awards:</w:t>
            </w:r>
          </w:p>
        </w:tc>
        <w:tc>
          <w:tcPr>
            <w:tcW w:w="740" w:type="dxa"/>
            <w:vAlign w:val="bottom"/>
            <w:vMerge w:val="continue"/>
            <w:shd w:val="clear" w:color="auto" w:fill="3465B0"/>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76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jc w:val="right"/>
              <w:ind w:right="452"/>
              <w:spacing w:after="0"/>
              <w:rPr>
                <w:sz w:val="20"/>
                <w:szCs w:val="20"/>
                <w:color w:val="auto"/>
              </w:rPr>
            </w:pPr>
            <w:r>
              <w:rPr>
                <w:rFonts w:ascii="Arial" w:cs="Arial" w:eastAsia="Arial" w:hAnsi="Arial"/>
                <w:sz w:val="10"/>
                <w:szCs w:val="10"/>
                <w:b w:val="1"/>
                <w:bCs w:val="1"/>
                <w:color w:val="FFFFFF"/>
              </w:rPr>
              <w:t>(2)</w:t>
            </w:r>
          </w:p>
        </w:tc>
        <w:tc>
          <w:tcPr>
            <w:tcW w:w="620" w:type="dxa"/>
            <w:vAlign w:val="bottom"/>
            <w:shd w:val="clear" w:color="auto" w:fill="3465B0"/>
          </w:tcPr>
          <w:p>
            <w:pPr>
              <w:spacing w:after="0"/>
              <w:rPr>
                <w:sz w:val="10"/>
                <w:szCs w:val="10"/>
                <w:color w:val="auto"/>
              </w:rPr>
            </w:pPr>
          </w:p>
        </w:tc>
        <w:tc>
          <w:tcPr>
            <w:tcW w:w="840" w:type="dxa"/>
            <w:vAlign w:val="bottom"/>
            <w:tcBorders>
              <w:right w:val="single" w:sz="8" w:color="3465B0"/>
            </w:tcBorders>
            <w:gridSpan w:val="2"/>
            <w:shd w:val="clear" w:color="auto" w:fill="3465B0"/>
          </w:tcPr>
          <w:p>
            <w:pPr>
              <w:jc w:val="right"/>
              <w:ind w:right="11"/>
              <w:spacing w:after="0"/>
              <w:rPr>
                <w:sz w:val="20"/>
                <w:szCs w:val="20"/>
                <w:color w:val="auto"/>
              </w:rPr>
            </w:pPr>
            <w:r>
              <w:rPr>
                <w:rFonts w:ascii="Arial" w:cs="Arial" w:eastAsia="Arial" w:hAnsi="Arial"/>
                <w:sz w:val="10"/>
                <w:szCs w:val="10"/>
                <w:b w:val="1"/>
                <w:bCs w:val="1"/>
                <w:color w:val="FFFFFF"/>
              </w:rPr>
              <w:t>(3)(4)</w:t>
            </w:r>
          </w:p>
        </w:tc>
        <w:tc>
          <w:tcPr>
            <w:tcW w:w="74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spacing w:after="0" w:line="122" w:lineRule="exact"/>
              <w:rPr>
                <w:sz w:val="20"/>
                <w:szCs w:val="20"/>
                <w:color w:val="auto"/>
              </w:rPr>
            </w:pPr>
            <w:r>
              <w:rPr>
                <w:rFonts w:ascii="Arial" w:cs="Arial" w:eastAsia="Arial" w:hAnsi="Arial"/>
                <w:sz w:val="13"/>
                <w:szCs w:val="13"/>
                <w:b w:val="1"/>
                <w:bCs w:val="1"/>
                <w:color w:val="FFFFFF"/>
              </w:rPr>
              <w:t>Number of</w:t>
            </w:r>
          </w:p>
        </w:tc>
        <w:tc>
          <w:tcPr>
            <w:tcW w:w="740" w:type="dxa"/>
            <w:vAlign w:val="bottom"/>
            <w:shd w:val="clear" w:color="auto" w:fill="3465B0"/>
          </w:tcPr>
          <w:p>
            <w:pPr>
              <w:ind w:left="20"/>
              <w:spacing w:after="0" w:line="122" w:lineRule="exact"/>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360" w:type="dxa"/>
            <w:vAlign w:val="bottom"/>
            <w:tcBorders>
              <w:right w:val="single" w:sz="8" w:color="3465B0"/>
            </w:tcBorders>
            <w:gridSpan w:val="3"/>
            <w:shd w:val="clear" w:color="auto" w:fill="3465B0"/>
          </w:tcPr>
          <w:p>
            <w:pPr>
              <w:jc w:val="right"/>
              <w:ind w:right="572"/>
              <w:spacing w:after="0" w:line="117" w:lineRule="exact"/>
              <w:rPr>
                <w:sz w:val="20"/>
                <w:szCs w:val="20"/>
                <w:color w:val="auto"/>
              </w:rPr>
            </w:pPr>
            <w:r>
              <w:rPr>
                <w:rFonts w:ascii="Arial" w:cs="Arial" w:eastAsia="Arial" w:hAnsi="Arial"/>
                <w:sz w:val="13"/>
                <w:szCs w:val="13"/>
                <w:b w:val="1"/>
                <w:bCs w:val="1"/>
                <w:color w:val="FFFFFF"/>
              </w:rPr>
              <w:t>Incentive Plan Awards</w:t>
            </w:r>
          </w:p>
        </w:tc>
        <w:tc>
          <w:tcPr>
            <w:tcW w:w="620" w:type="dxa"/>
            <w:vAlign w:val="bottom"/>
            <w:shd w:val="clear" w:color="auto" w:fill="3465B0"/>
          </w:tcPr>
          <w:p>
            <w:pPr>
              <w:spacing w:after="0"/>
              <w:rPr>
                <w:sz w:val="11"/>
                <w:szCs w:val="11"/>
                <w:color w:val="auto"/>
              </w:rPr>
            </w:pPr>
          </w:p>
        </w:tc>
        <w:tc>
          <w:tcPr>
            <w:tcW w:w="840" w:type="dxa"/>
            <w:vAlign w:val="bottom"/>
            <w:tcBorders>
              <w:right w:val="single" w:sz="8" w:color="3465B0"/>
            </w:tcBorders>
            <w:gridSpan w:val="2"/>
            <w:shd w:val="clear" w:color="auto" w:fill="3465B0"/>
          </w:tcPr>
          <w:p>
            <w:pPr>
              <w:jc w:val="right"/>
              <w:ind w:right="251"/>
              <w:spacing w:after="0" w:line="117" w:lineRule="exact"/>
              <w:rPr>
                <w:sz w:val="20"/>
                <w:szCs w:val="20"/>
                <w:color w:val="auto"/>
              </w:rPr>
            </w:pPr>
            <w:r>
              <w:rPr>
                <w:rFonts w:ascii="Arial" w:cs="Arial" w:eastAsia="Arial" w:hAnsi="Arial"/>
                <w:sz w:val="13"/>
                <w:szCs w:val="13"/>
                <w:b w:val="1"/>
                <w:bCs w:val="1"/>
                <w:color w:val="FFFFFF"/>
              </w:rPr>
              <w:t>Awards</w:t>
            </w:r>
          </w:p>
        </w:tc>
        <w:tc>
          <w:tcPr>
            <w:tcW w:w="740" w:type="dxa"/>
            <w:vAlign w:val="bottom"/>
            <w:tcBorders>
              <w:right w:val="single" w:sz="8" w:color="3465B0"/>
            </w:tcBorders>
            <w:shd w:val="clear" w:color="auto" w:fill="3465B0"/>
          </w:tcPr>
          <w:p>
            <w:pPr>
              <w:spacing w:after="0"/>
              <w:rPr>
                <w:sz w:val="11"/>
                <w:szCs w:val="11"/>
                <w:color w:val="auto"/>
              </w:rPr>
            </w:pPr>
          </w:p>
        </w:tc>
        <w:tc>
          <w:tcPr>
            <w:tcW w:w="800" w:type="dxa"/>
            <w:vAlign w:val="bottom"/>
            <w:tcBorders>
              <w:right w:val="single" w:sz="8" w:color="3465B0"/>
            </w:tcBorders>
            <w:shd w:val="clear" w:color="auto" w:fill="3465B0"/>
          </w:tcPr>
          <w:p>
            <w:pPr>
              <w:spacing w:after="0" w:line="117" w:lineRule="exact"/>
              <w:rPr>
                <w:sz w:val="20"/>
                <w:szCs w:val="20"/>
                <w:color w:val="auto"/>
              </w:rPr>
            </w:pPr>
            <w:r>
              <w:rPr>
                <w:rFonts w:ascii="Arial" w:cs="Arial" w:eastAsia="Arial" w:hAnsi="Arial"/>
                <w:sz w:val="13"/>
                <w:szCs w:val="13"/>
                <w:b w:val="1"/>
                <w:bCs w:val="1"/>
                <w:color w:val="FFFFFF"/>
              </w:rPr>
              <w:t>Shares or</w:t>
            </w:r>
          </w:p>
        </w:tc>
        <w:tc>
          <w:tcPr>
            <w:tcW w:w="740" w:type="dxa"/>
            <w:vAlign w:val="bottom"/>
            <w:shd w:val="clear" w:color="auto" w:fill="3465B0"/>
          </w:tcPr>
          <w:p>
            <w:pPr>
              <w:ind w:left="20"/>
              <w:spacing w:after="0" w:line="117" w:lineRule="exact"/>
              <w:rPr>
                <w:sz w:val="20"/>
                <w:szCs w:val="20"/>
                <w:color w:val="auto"/>
              </w:rPr>
            </w:pPr>
            <w:r>
              <w:rPr>
                <w:rFonts w:ascii="Arial" w:cs="Arial" w:eastAsia="Arial" w:hAnsi="Arial"/>
                <w:sz w:val="13"/>
                <w:szCs w:val="13"/>
                <w:b w:val="1"/>
                <w:bCs w:val="1"/>
                <w:color w:val="FFFFFF"/>
              </w:rPr>
              <w:t>of Stock</w:t>
            </w:r>
          </w:p>
        </w:tc>
        <w:tc>
          <w:tcPr>
            <w:tcW w:w="0" w:type="dxa"/>
            <w:vAlign w:val="bottom"/>
          </w:tcPr>
          <w:p>
            <w:pPr>
              <w:spacing w:after="0"/>
              <w:rPr>
                <w:sz w:val="1"/>
                <w:szCs w:val="1"/>
                <w:color w:val="auto"/>
              </w:rPr>
            </w:pPr>
          </w:p>
        </w:tc>
      </w:tr>
      <w:tr>
        <w:trPr>
          <w:trHeight w:val="125"/>
        </w:trPr>
        <w:tc>
          <w:tcPr>
            <w:tcW w:w="80" w:type="dxa"/>
            <w:vAlign w:val="bottom"/>
            <w:shd w:val="clear" w:color="auto" w:fill="3465B0"/>
          </w:tcPr>
          <w:p>
            <w:pPr>
              <w:spacing w:after="0"/>
              <w:rPr>
                <w:sz w:val="10"/>
                <w:szCs w:val="10"/>
                <w:color w:val="auto"/>
              </w:rPr>
            </w:pPr>
          </w:p>
        </w:tc>
        <w:tc>
          <w:tcPr>
            <w:tcW w:w="76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spacing w:after="0"/>
              <w:rPr>
                <w:sz w:val="10"/>
                <w:szCs w:val="10"/>
                <w:color w:val="auto"/>
              </w:rPr>
            </w:pPr>
          </w:p>
        </w:tc>
        <w:tc>
          <w:tcPr>
            <w:tcW w:w="620" w:type="dxa"/>
            <w:vAlign w:val="bottom"/>
            <w:shd w:val="clear" w:color="auto" w:fill="3465B0"/>
          </w:tcPr>
          <w:p>
            <w:pPr>
              <w:spacing w:after="0"/>
              <w:rPr>
                <w:sz w:val="10"/>
                <w:szCs w:val="10"/>
                <w:color w:val="auto"/>
              </w:rPr>
            </w:pPr>
          </w:p>
        </w:tc>
        <w:tc>
          <w:tcPr>
            <w:tcW w:w="160" w:type="dxa"/>
            <w:vAlign w:val="bottom"/>
            <w:tcBorders>
              <w:right w:val="single" w:sz="8" w:color="3465B0"/>
            </w:tcBorders>
            <w:shd w:val="clear" w:color="auto" w:fill="3465B0"/>
          </w:tcPr>
          <w:p>
            <w:pPr>
              <w:spacing w:after="0"/>
              <w:rPr>
                <w:sz w:val="10"/>
                <w:szCs w:val="10"/>
                <w:color w:val="auto"/>
              </w:rPr>
            </w:pPr>
          </w:p>
        </w:tc>
        <w:tc>
          <w:tcPr>
            <w:tcW w:w="680" w:type="dxa"/>
            <w:vAlign w:val="bottom"/>
            <w:tcBorders>
              <w:right w:val="single" w:sz="8" w:color="3465B0"/>
            </w:tcBorders>
            <w:shd w:val="clear" w:color="auto" w:fill="3465B0"/>
          </w:tcPr>
          <w:p>
            <w:pPr>
              <w:spacing w:after="0"/>
              <w:rPr>
                <w:sz w:val="10"/>
                <w:szCs w:val="10"/>
                <w:color w:val="auto"/>
              </w:rPr>
            </w:pPr>
          </w:p>
        </w:tc>
        <w:tc>
          <w:tcPr>
            <w:tcW w:w="740" w:type="dxa"/>
            <w:vAlign w:val="bottom"/>
            <w:tcBorders>
              <w:right w:val="single" w:sz="8" w:color="3465B0"/>
            </w:tcBorders>
            <w:shd w:val="clear" w:color="auto" w:fill="3465B0"/>
          </w:tcPr>
          <w:p>
            <w:pPr>
              <w:spacing w:after="0"/>
              <w:rPr>
                <w:sz w:val="10"/>
                <w:szCs w:val="10"/>
                <w:color w:val="auto"/>
              </w:rPr>
            </w:pPr>
          </w:p>
        </w:tc>
        <w:tc>
          <w:tcPr>
            <w:tcW w:w="800" w:type="dxa"/>
            <w:vAlign w:val="bottom"/>
            <w:tcBorders>
              <w:right w:val="single" w:sz="8" w:color="3465B0"/>
            </w:tcBorders>
            <w:shd w:val="clear" w:color="auto" w:fill="3465B0"/>
          </w:tcPr>
          <w:p>
            <w:pPr>
              <w:spacing w:after="0" w:line="124" w:lineRule="exact"/>
              <w:rPr>
                <w:sz w:val="20"/>
                <w:szCs w:val="20"/>
                <w:color w:val="auto"/>
              </w:rPr>
            </w:pPr>
            <w:r>
              <w:rPr>
                <w:rFonts w:ascii="Arial" w:cs="Arial" w:eastAsia="Arial" w:hAnsi="Arial"/>
                <w:sz w:val="13"/>
                <w:szCs w:val="13"/>
                <w:b w:val="1"/>
                <w:bCs w:val="1"/>
                <w:color w:val="FFFFFF"/>
              </w:rPr>
              <w:t>Stock or</w:t>
            </w:r>
          </w:p>
        </w:tc>
        <w:tc>
          <w:tcPr>
            <w:tcW w:w="740" w:type="dxa"/>
            <w:vAlign w:val="bottom"/>
            <w:shd w:val="clear" w:color="auto" w:fill="3465B0"/>
          </w:tcPr>
          <w:p>
            <w:pPr>
              <w:ind w:left="20"/>
              <w:spacing w:after="0" w:line="124" w:lineRule="exact"/>
              <w:rPr>
                <w:sz w:val="20"/>
                <w:szCs w:val="20"/>
                <w:color w:val="auto"/>
              </w:rPr>
            </w:pPr>
            <w:r>
              <w:rPr>
                <w:rFonts w:ascii="Arial" w:cs="Arial" w:eastAsia="Arial" w:hAnsi="Arial"/>
                <w:sz w:val="13"/>
                <w:szCs w:val="13"/>
                <w:b w:val="1"/>
                <w:bCs w:val="1"/>
                <w:color w:val="FFFFFF"/>
              </w:rPr>
              <w:t>and Option</w:t>
            </w:r>
          </w:p>
        </w:tc>
        <w:tc>
          <w:tcPr>
            <w:tcW w:w="0" w:type="dxa"/>
            <w:vAlign w:val="bottom"/>
          </w:tcPr>
          <w:p>
            <w:pPr>
              <w:spacing w:after="0"/>
              <w:rPr>
                <w:sz w:val="1"/>
                <w:szCs w:val="1"/>
                <w:color w:val="auto"/>
              </w:rPr>
            </w:pPr>
          </w:p>
        </w:tc>
      </w:tr>
      <w:tr>
        <w:trPr>
          <w:trHeight w:val="168"/>
        </w:trPr>
        <w:tc>
          <w:tcPr>
            <w:tcW w:w="80" w:type="dxa"/>
            <w:vAlign w:val="bottom"/>
            <w:shd w:val="clear" w:color="auto" w:fill="3465B0"/>
          </w:tcPr>
          <w:p>
            <w:pPr>
              <w:spacing w:after="0"/>
              <w:rPr>
                <w:sz w:val="14"/>
                <w:szCs w:val="14"/>
                <w:color w:val="auto"/>
              </w:rPr>
            </w:pPr>
          </w:p>
        </w:tc>
        <w:tc>
          <w:tcPr>
            <w:tcW w:w="760" w:type="dxa"/>
            <w:vAlign w:val="bottom"/>
            <w:tcBorders>
              <w:right w:val="single" w:sz="8" w:color="3465B0"/>
            </w:tcBorders>
            <w:shd w:val="clear" w:color="auto" w:fill="3465B0"/>
          </w:tcPr>
          <w:p>
            <w:pPr>
              <w:jc w:val="center"/>
              <w:ind w:right="92"/>
              <w:spacing w:after="0"/>
              <w:rPr>
                <w:sz w:val="20"/>
                <w:szCs w:val="20"/>
                <w:color w:val="auto"/>
              </w:rPr>
            </w:pPr>
            <w:r>
              <w:rPr>
                <w:rFonts w:ascii="Arial" w:cs="Arial" w:eastAsia="Arial" w:hAnsi="Arial"/>
                <w:sz w:val="13"/>
                <w:szCs w:val="13"/>
                <w:b w:val="1"/>
                <w:bCs w:val="1"/>
                <w:color w:val="FFFFFF"/>
                <w:w w:val="95"/>
              </w:rPr>
              <w:t>Threshold</w:t>
            </w:r>
          </w:p>
        </w:tc>
        <w:tc>
          <w:tcPr>
            <w:tcW w:w="800" w:type="dxa"/>
            <w:vAlign w:val="bottom"/>
            <w:tcBorders>
              <w:right w:val="single" w:sz="8" w:color="3465B0"/>
            </w:tcBorders>
            <w:shd w:val="clear" w:color="auto" w:fill="3465B0"/>
          </w:tcPr>
          <w:p>
            <w:pPr>
              <w:jc w:val="right"/>
              <w:ind w:right="350"/>
              <w:spacing w:after="0"/>
              <w:rPr>
                <w:sz w:val="20"/>
                <w:szCs w:val="20"/>
                <w:color w:val="auto"/>
              </w:rPr>
            </w:pPr>
            <w:r>
              <w:rPr>
                <w:rFonts w:ascii="Arial" w:cs="Arial" w:eastAsia="Arial" w:hAnsi="Arial"/>
                <w:sz w:val="13"/>
                <w:szCs w:val="13"/>
                <w:b w:val="1"/>
                <w:bCs w:val="1"/>
                <w:color w:val="FFFFFF"/>
                <w:w w:val="90"/>
              </w:rPr>
              <w:t>Target</w:t>
            </w:r>
          </w:p>
        </w:tc>
        <w:tc>
          <w:tcPr>
            <w:tcW w:w="80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Maximum</w:t>
            </w:r>
          </w:p>
        </w:tc>
        <w:tc>
          <w:tcPr>
            <w:tcW w:w="620" w:type="dxa"/>
            <w:vAlign w:val="bottom"/>
            <w:shd w:val="clear" w:color="auto" w:fill="3465B0"/>
          </w:tcPr>
          <w:p>
            <w:pPr>
              <w:ind w:left="20"/>
              <w:spacing w:after="0"/>
              <w:rPr>
                <w:sz w:val="20"/>
                <w:szCs w:val="20"/>
                <w:color w:val="auto"/>
              </w:rPr>
            </w:pPr>
            <w:r>
              <w:rPr>
                <w:rFonts w:ascii="Arial" w:cs="Arial" w:eastAsia="Arial" w:hAnsi="Arial"/>
                <w:sz w:val="13"/>
                <w:szCs w:val="13"/>
                <w:b w:val="1"/>
                <w:bCs w:val="1"/>
                <w:color w:val="FFFFFF"/>
                <w:w w:val="92"/>
              </w:rPr>
              <w:t>Threshold</w:t>
            </w:r>
          </w:p>
        </w:tc>
        <w:tc>
          <w:tcPr>
            <w:tcW w:w="160" w:type="dxa"/>
            <w:vAlign w:val="bottom"/>
            <w:tcBorders>
              <w:right w:val="single" w:sz="8" w:color="3465B0"/>
            </w:tcBorders>
            <w:shd w:val="clear" w:color="auto" w:fill="3465B0"/>
          </w:tcPr>
          <w:p>
            <w:pPr>
              <w:spacing w:after="0"/>
              <w:rPr>
                <w:sz w:val="14"/>
                <w:szCs w:val="14"/>
                <w:color w:val="auto"/>
              </w:rPr>
            </w:pPr>
          </w:p>
        </w:tc>
        <w:tc>
          <w:tcPr>
            <w:tcW w:w="68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Target</w:t>
            </w:r>
          </w:p>
        </w:tc>
        <w:tc>
          <w:tcPr>
            <w:tcW w:w="74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Maximum</w:t>
            </w:r>
          </w:p>
        </w:tc>
        <w:tc>
          <w:tcPr>
            <w:tcW w:w="800" w:type="dxa"/>
            <w:vAlign w:val="bottom"/>
            <w:tcBorders>
              <w:right w:val="single" w:sz="8" w:color="3465B0"/>
            </w:tcBorders>
            <w:shd w:val="clear" w:color="auto" w:fill="3465B0"/>
          </w:tcPr>
          <w:p>
            <w:pPr>
              <w:spacing w:after="0" w:line="168" w:lineRule="exact"/>
              <w:rPr>
                <w:sz w:val="20"/>
                <w:szCs w:val="20"/>
                <w:color w:val="auto"/>
              </w:rPr>
            </w:pPr>
            <w:r>
              <w:rPr>
                <w:rFonts w:ascii="Arial" w:cs="Arial" w:eastAsia="Arial" w:hAnsi="Arial"/>
                <w:sz w:val="12"/>
                <w:szCs w:val="12"/>
                <w:b w:val="1"/>
                <w:bCs w:val="1"/>
                <w:color w:val="FFFFFF"/>
              </w:rPr>
              <w:t>Units</w:t>
            </w:r>
            <w:r>
              <w:rPr>
                <w:rFonts w:ascii="Arial" w:cs="Arial" w:eastAsia="Arial" w:hAnsi="Arial"/>
                <w:sz w:val="19"/>
                <w:szCs w:val="19"/>
                <w:b w:val="1"/>
                <w:bCs w:val="1"/>
                <w:color w:val="FFFFFF"/>
                <w:vertAlign w:val="superscript"/>
              </w:rPr>
              <w:t>(5)</w:t>
            </w:r>
          </w:p>
        </w:tc>
        <w:tc>
          <w:tcPr>
            <w:tcW w:w="740" w:type="dxa"/>
            <w:vAlign w:val="bottom"/>
            <w:shd w:val="clear" w:color="auto" w:fill="3465B0"/>
          </w:tcPr>
          <w:p>
            <w:pPr>
              <w:ind w:left="20"/>
              <w:spacing w:after="0" w:line="168"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(6)</w:t>
            </w:r>
          </w:p>
        </w:tc>
        <w:tc>
          <w:tcPr>
            <w:tcW w:w="0" w:type="dxa"/>
            <w:vAlign w:val="bottom"/>
          </w:tcPr>
          <w:p>
            <w:pPr>
              <w:spacing w:after="0"/>
              <w:rPr>
                <w:sz w:val="1"/>
                <w:szCs w:val="1"/>
                <w:color w:val="auto"/>
              </w:rPr>
            </w:pPr>
          </w:p>
        </w:tc>
      </w:tr>
      <w:tr>
        <w:trPr>
          <w:trHeight w:val="173"/>
        </w:trPr>
        <w:tc>
          <w:tcPr>
            <w:tcW w:w="80" w:type="dxa"/>
            <w:vAlign w:val="bottom"/>
            <w:tcBorders>
              <w:bottom w:val="single" w:sz="8" w:color="3465B0"/>
            </w:tcBorders>
            <w:shd w:val="clear" w:color="auto" w:fill="3465B0"/>
          </w:tcPr>
          <w:p>
            <w:pPr>
              <w:spacing w:after="0"/>
              <w:rPr>
                <w:sz w:val="15"/>
                <w:szCs w:val="15"/>
                <w:color w:val="auto"/>
              </w:rPr>
            </w:pPr>
          </w:p>
        </w:tc>
        <w:tc>
          <w:tcPr>
            <w:tcW w:w="760" w:type="dxa"/>
            <w:vAlign w:val="bottom"/>
            <w:tcBorders>
              <w:bottom w:val="single" w:sz="8" w:color="3465B0"/>
              <w:right w:val="single" w:sz="8" w:color="3465B0"/>
            </w:tcBorders>
            <w:shd w:val="clear" w:color="auto" w:fill="3465B0"/>
          </w:tcPr>
          <w:p>
            <w:pPr>
              <w:jc w:val="right"/>
              <w:ind w:right="532"/>
              <w:spacing w:after="0"/>
              <w:rPr>
                <w:sz w:val="20"/>
                <w:szCs w:val="20"/>
                <w:color w:val="auto"/>
              </w:rPr>
            </w:pPr>
            <w:r>
              <w:rPr>
                <w:rFonts w:ascii="Arial" w:cs="Arial" w:eastAsia="Arial" w:hAnsi="Arial"/>
                <w:sz w:val="13"/>
                <w:szCs w:val="13"/>
                <w:b w:val="1"/>
                <w:bCs w:val="1"/>
                <w:color w:val="FFFFFF"/>
                <w:w w:val="87"/>
              </w:rPr>
              <w:t>($)</w:t>
            </w:r>
          </w:p>
        </w:tc>
        <w:tc>
          <w:tcPr>
            <w:tcW w:w="800" w:type="dxa"/>
            <w:vAlign w:val="bottom"/>
            <w:tcBorders>
              <w:bottom w:val="single" w:sz="8" w:color="3465B0"/>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3465B0"/>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620" w:type="dxa"/>
            <w:vAlign w:val="bottom"/>
            <w:tcBorders>
              <w:bottom w:val="single" w:sz="8" w:color="3465B0"/>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160" w:type="dxa"/>
            <w:vAlign w:val="bottom"/>
            <w:tcBorders>
              <w:bottom w:val="single" w:sz="8" w:color="3465B0"/>
              <w:right w:val="single" w:sz="8" w:color="3465B0"/>
            </w:tcBorders>
            <w:shd w:val="clear" w:color="auto" w:fill="3465B0"/>
          </w:tcPr>
          <w:p>
            <w:pPr>
              <w:spacing w:after="0"/>
              <w:rPr>
                <w:sz w:val="15"/>
                <w:szCs w:val="15"/>
                <w:color w:val="auto"/>
              </w:rPr>
            </w:pPr>
          </w:p>
        </w:tc>
        <w:tc>
          <w:tcPr>
            <w:tcW w:w="680" w:type="dxa"/>
            <w:vAlign w:val="bottom"/>
            <w:tcBorders>
              <w:bottom w:val="single" w:sz="8" w:color="3465B0"/>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bottom w:val="single" w:sz="8" w:color="3465B0"/>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3465B0"/>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bottom w:val="single" w:sz="8" w:color="3465B0"/>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760" w:type="dxa"/>
            <w:vAlign w:val="bottom"/>
            <w:tcBorders>
              <w:right w:val="single" w:sz="8" w:color="93A1D2"/>
            </w:tcBorders>
          </w:tcPr>
          <w:p>
            <w:pPr>
              <w:jc w:val="center"/>
              <w:ind w:right="52"/>
              <w:spacing w:after="0"/>
              <w:rPr>
                <w:sz w:val="20"/>
                <w:szCs w:val="20"/>
                <w:color w:val="auto"/>
              </w:rPr>
            </w:pPr>
            <w:r>
              <w:rPr>
                <w:rFonts w:ascii="Arial" w:cs="Arial" w:eastAsia="Arial" w:hAnsi="Arial"/>
                <w:sz w:val="14"/>
                <w:szCs w:val="14"/>
                <w:color w:val="auto"/>
              </w:rPr>
              <w:t>515,000</w:t>
            </w:r>
          </w:p>
        </w:tc>
        <w:tc>
          <w:tcPr>
            <w:tcW w:w="800" w:type="dxa"/>
            <w:vAlign w:val="bottom"/>
            <w:tcBorders>
              <w:right w:val="single" w:sz="8" w:color="93A1D2"/>
            </w:tcBorders>
          </w:tcPr>
          <w:p>
            <w:pPr>
              <w:spacing w:after="0"/>
              <w:rPr>
                <w:sz w:val="20"/>
                <w:szCs w:val="20"/>
                <w:color w:val="auto"/>
              </w:rPr>
            </w:pPr>
            <w:r>
              <w:rPr>
                <w:rFonts w:ascii="Arial" w:cs="Arial" w:eastAsia="Arial" w:hAnsi="Arial"/>
                <w:sz w:val="14"/>
                <w:szCs w:val="14"/>
                <w:color w:val="auto"/>
              </w:rPr>
              <w:t>1,030,000</w:t>
            </w:r>
          </w:p>
        </w:tc>
        <w:tc>
          <w:tcPr>
            <w:tcW w:w="800" w:type="dxa"/>
            <w:vAlign w:val="bottom"/>
            <w:tcBorders>
              <w:right w:val="single" w:sz="8" w:color="93A1D2"/>
            </w:tcBorders>
          </w:tcPr>
          <w:p>
            <w:pPr>
              <w:jc w:val="right"/>
              <w:ind w:right="92"/>
              <w:spacing w:after="0"/>
              <w:rPr>
                <w:sz w:val="20"/>
                <w:szCs w:val="20"/>
                <w:color w:val="auto"/>
              </w:rPr>
            </w:pPr>
            <w:r>
              <w:rPr>
                <w:rFonts w:ascii="Arial" w:cs="Arial" w:eastAsia="Arial" w:hAnsi="Arial"/>
                <w:sz w:val="14"/>
                <w:szCs w:val="14"/>
                <w:color w:val="auto"/>
                <w:w w:val="99"/>
              </w:rPr>
              <w:t>2,060,000</w:t>
            </w:r>
          </w:p>
        </w:tc>
        <w:tc>
          <w:tcPr>
            <w:tcW w:w="620" w:type="dxa"/>
            <w:vAlign w:val="bottom"/>
          </w:tcPr>
          <w:p>
            <w:pPr>
              <w:spacing w:after="0"/>
              <w:rPr>
                <w:sz w:val="21"/>
                <w:szCs w:val="21"/>
                <w:color w:val="auto"/>
              </w:rPr>
            </w:pPr>
          </w:p>
        </w:tc>
        <w:tc>
          <w:tcPr>
            <w:tcW w:w="160" w:type="dxa"/>
            <w:vAlign w:val="bottom"/>
            <w:tcBorders>
              <w:right w:val="single" w:sz="8" w:color="93A1D2"/>
            </w:tcBorders>
          </w:tcPr>
          <w:p>
            <w:pPr>
              <w:spacing w:after="0"/>
              <w:rPr>
                <w:sz w:val="21"/>
                <w:szCs w:val="21"/>
                <w:color w:val="auto"/>
              </w:rPr>
            </w:pPr>
          </w:p>
        </w:tc>
        <w:tc>
          <w:tcPr>
            <w:tcW w:w="680" w:type="dxa"/>
            <w:vAlign w:val="bottom"/>
            <w:tcBorders>
              <w:right w:val="single" w:sz="8" w:color="93A1D2"/>
            </w:tcBorders>
          </w:tcPr>
          <w:p>
            <w:pPr>
              <w:spacing w:after="0"/>
              <w:rPr>
                <w:sz w:val="21"/>
                <w:szCs w:val="21"/>
                <w:color w:val="auto"/>
              </w:rPr>
            </w:pPr>
          </w:p>
        </w:tc>
        <w:tc>
          <w:tcPr>
            <w:tcW w:w="740" w:type="dxa"/>
            <w:vAlign w:val="bottom"/>
            <w:tcBorders>
              <w:right w:val="single" w:sz="8" w:color="93A1D2"/>
            </w:tcBorders>
          </w:tcPr>
          <w:p>
            <w:pPr>
              <w:spacing w:after="0"/>
              <w:rPr>
                <w:sz w:val="21"/>
                <w:szCs w:val="21"/>
                <w:color w:val="auto"/>
              </w:rPr>
            </w:pPr>
          </w:p>
        </w:tc>
        <w:tc>
          <w:tcPr>
            <w:tcW w:w="800" w:type="dxa"/>
            <w:vAlign w:val="bottom"/>
            <w:tcBorders>
              <w:right w:val="single" w:sz="8" w:color="93A1D2"/>
            </w:tcBorders>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60" w:type="dxa"/>
            <w:vAlign w:val="bottom"/>
            <w:tcBorders>
              <w:right w:val="single" w:sz="8" w:color="93A1D2"/>
            </w:tcBorders>
          </w:tcPr>
          <w:p>
            <w:pPr>
              <w:spacing w:after="0"/>
              <w:rPr>
                <w:sz w:val="23"/>
                <w:szCs w:val="23"/>
                <w:color w:val="auto"/>
              </w:rPr>
            </w:pPr>
          </w:p>
        </w:tc>
        <w:tc>
          <w:tcPr>
            <w:tcW w:w="800" w:type="dxa"/>
            <w:vAlign w:val="bottom"/>
            <w:tcBorders>
              <w:right w:val="single" w:sz="8" w:color="93A1D2"/>
            </w:tcBorders>
          </w:tcPr>
          <w:p>
            <w:pPr>
              <w:spacing w:after="0"/>
              <w:rPr>
                <w:sz w:val="23"/>
                <w:szCs w:val="23"/>
                <w:color w:val="auto"/>
              </w:rPr>
            </w:pPr>
          </w:p>
        </w:tc>
        <w:tc>
          <w:tcPr>
            <w:tcW w:w="800" w:type="dxa"/>
            <w:vAlign w:val="bottom"/>
            <w:tcBorders>
              <w:right w:val="single" w:sz="8" w:color="93A1D2"/>
            </w:tcBorders>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82,237</w:t>
            </w:r>
          </w:p>
        </w:tc>
        <w:tc>
          <w:tcPr>
            <w:tcW w:w="160" w:type="dxa"/>
            <w:vAlign w:val="bottom"/>
            <w:tcBorders>
              <w:right w:val="single" w:sz="8" w:color="93A1D2"/>
            </w:tcBorders>
          </w:tcPr>
          <w:p>
            <w:pPr>
              <w:spacing w:after="0"/>
              <w:rPr>
                <w:sz w:val="23"/>
                <w:szCs w:val="23"/>
                <w:color w:val="auto"/>
              </w:rPr>
            </w:pPr>
          </w:p>
        </w:tc>
        <w:tc>
          <w:tcPr>
            <w:tcW w:w="680" w:type="dxa"/>
            <w:vAlign w:val="bottom"/>
            <w:tcBorders>
              <w:right w:val="single" w:sz="8" w:color="93A1D2"/>
            </w:tcBorders>
          </w:tcPr>
          <w:p>
            <w:pPr>
              <w:jc w:val="right"/>
              <w:ind w:right="91"/>
              <w:spacing w:after="0"/>
              <w:rPr>
                <w:sz w:val="20"/>
                <w:szCs w:val="20"/>
                <w:color w:val="auto"/>
              </w:rPr>
            </w:pPr>
            <w:r>
              <w:rPr>
                <w:rFonts w:ascii="Arial" w:cs="Arial" w:eastAsia="Arial" w:hAnsi="Arial"/>
                <w:sz w:val="14"/>
                <w:szCs w:val="14"/>
                <w:color w:val="auto"/>
                <w:w w:val="98"/>
              </w:rPr>
              <w:t>164,474</w:t>
            </w:r>
          </w:p>
        </w:tc>
        <w:tc>
          <w:tcPr>
            <w:tcW w:w="740" w:type="dxa"/>
            <w:vAlign w:val="bottom"/>
            <w:tcBorders>
              <w:right w:val="single" w:sz="8" w:color="93A1D2"/>
            </w:tcBorders>
          </w:tcPr>
          <w:p>
            <w:pPr>
              <w:jc w:val="right"/>
              <w:ind w:right="91"/>
              <w:spacing w:after="0"/>
              <w:rPr>
                <w:sz w:val="20"/>
                <w:szCs w:val="20"/>
                <w:color w:val="auto"/>
              </w:rPr>
            </w:pPr>
            <w:r>
              <w:rPr>
                <w:rFonts w:ascii="Arial" w:cs="Arial" w:eastAsia="Arial" w:hAnsi="Arial"/>
                <w:sz w:val="14"/>
                <w:szCs w:val="14"/>
                <w:color w:val="auto"/>
              </w:rPr>
              <w:t>328,948</w:t>
            </w:r>
          </w:p>
        </w:tc>
        <w:tc>
          <w:tcPr>
            <w:tcW w:w="800" w:type="dxa"/>
            <w:vAlign w:val="bottom"/>
            <w:tcBorders>
              <w:right w:val="single" w:sz="8" w:color="93A1D2"/>
            </w:tcBorders>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2,313,734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6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right w:val="single" w:sz="8" w:color="93A1D2"/>
            </w:tcBorders>
          </w:tcPr>
          <w:p>
            <w:pPr>
              <w:spacing w:after="0"/>
              <w:rPr>
                <w:sz w:val="19"/>
                <w:szCs w:val="19"/>
                <w:color w:val="auto"/>
              </w:rPr>
            </w:pPr>
          </w:p>
        </w:tc>
        <w:tc>
          <w:tcPr>
            <w:tcW w:w="680" w:type="dxa"/>
            <w:vAlign w:val="bottom"/>
            <w:tcBorders>
              <w:right w:val="single" w:sz="8" w:color="93A1D2"/>
            </w:tcBorders>
          </w:tcPr>
          <w:p>
            <w:pPr>
              <w:spacing w:after="0"/>
              <w:rPr>
                <w:sz w:val="19"/>
                <w:szCs w:val="19"/>
                <w:color w:val="auto"/>
              </w:rPr>
            </w:pPr>
          </w:p>
        </w:tc>
        <w:tc>
          <w:tcPr>
            <w:tcW w:w="74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jc w:val="right"/>
              <w:ind w:right="73"/>
              <w:spacing w:after="0"/>
              <w:rPr>
                <w:sz w:val="20"/>
                <w:szCs w:val="20"/>
                <w:color w:val="auto"/>
              </w:rPr>
            </w:pPr>
            <w:r>
              <w:rPr>
                <w:rFonts w:ascii="Arial" w:cs="Arial" w:eastAsia="Arial" w:hAnsi="Arial"/>
                <w:sz w:val="14"/>
                <w:szCs w:val="14"/>
                <w:color w:val="auto"/>
              </w:rPr>
              <w:t>164,474</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2,000,004</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760" w:type="dxa"/>
            <w:vAlign w:val="bottom"/>
            <w:tcBorders>
              <w:right w:val="single" w:sz="8" w:color="93A1D2"/>
            </w:tcBorders>
            <w:vMerge w:val="restart"/>
          </w:tcPr>
          <w:p>
            <w:pPr>
              <w:jc w:val="center"/>
              <w:ind w:right="52"/>
              <w:spacing w:after="0"/>
              <w:rPr>
                <w:sz w:val="20"/>
                <w:szCs w:val="20"/>
                <w:color w:val="auto"/>
              </w:rPr>
            </w:pPr>
            <w:r>
              <w:rPr>
                <w:rFonts w:ascii="Arial" w:cs="Arial" w:eastAsia="Arial" w:hAnsi="Arial"/>
                <w:sz w:val="14"/>
                <w:szCs w:val="14"/>
                <w:color w:val="auto"/>
              </w:rPr>
              <w:t>364,583</w:t>
            </w:r>
          </w:p>
        </w:tc>
        <w:tc>
          <w:tcPr>
            <w:tcW w:w="80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right w:val="single" w:sz="8" w:color="93A1D2"/>
            </w:tcBorders>
          </w:tcPr>
          <w:p>
            <w:pPr>
              <w:spacing w:after="0" w:line="20" w:lineRule="exact"/>
              <w:rPr>
                <w:sz w:val="1"/>
                <w:szCs w:val="1"/>
                <w:color w:val="auto"/>
              </w:rPr>
            </w:pPr>
          </w:p>
        </w:tc>
        <w:tc>
          <w:tcPr>
            <w:tcW w:w="680" w:type="dxa"/>
            <w:vAlign w:val="bottom"/>
            <w:tcBorders>
              <w:right w:val="single" w:sz="8" w:color="93A1D2"/>
            </w:tcBorders>
          </w:tcPr>
          <w:p>
            <w:pPr>
              <w:spacing w:after="0" w:line="20" w:lineRule="exact"/>
              <w:rPr>
                <w:sz w:val="1"/>
                <w:szCs w:val="1"/>
                <w:color w:val="auto"/>
              </w:rPr>
            </w:pPr>
          </w:p>
        </w:tc>
        <w:tc>
          <w:tcPr>
            <w:tcW w:w="74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shd w:val="clear" w:color="auto" w:fill="CCCCCC"/>
          </w:tcPr>
          <w:p>
            <w:pPr>
              <w:spacing w:after="0"/>
              <w:rPr>
                <w:sz w:val="21"/>
                <w:szCs w:val="21"/>
                <w:color w:val="auto"/>
              </w:rPr>
            </w:pPr>
          </w:p>
        </w:tc>
        <w:tc>
          <w:tcPr>
            <w:tcW w:w="760" w:type="dxa"/>
            <w:vAlign w:val="bottom"/>
            <w:tcBorders>
              <w:right w:val="single" w:sz="8" w:color="93A1D2"/>
            </w:tcBorders>
            <w:vMerge w:val="continue"/>
          </w:tcPr>
          <w:p>
            <w:pPr>
              <w:spacing w:after="0"/>
              <w:rPr>
                <w:sz w:val="21"/>
                <w:szCs w:val="21"/>
                <w:color w:val="auto"/>
              </w:rPr>
            </w:pPr>
          </w:p>
        </w:tc>
        <w:tc>
          <w:tcPr>
            <w:tcW w:w="800" w:type="dxa"/>
            <w:vAlign w:val="bottom"/>
            <w:tcBorders>
              <w:right w:val="single" w:sz="8" w:color="93A1D2"/>
            </w:tcBorders>
          </w:tcPr>
          <w:p>
            <w:pPr>
              <w:jc w:val="right"/>
              <w:ind w:right="90"/>
              <w:spacing w:after="0"/>
              <w:rPr>
                <w:sz w:val="20"/>
                <w:szCs w:val="20"/>
                <w:color w:val="auto"/>
              </w:rPr>
            </w:pPr>
            <w:r>
              <w:rPr>
                <w:rFonts w:ascii="Arial" w:cs="Arial" w:eastAsia="Arial" w:hAnsi="Arial"/>
                <w:sz w:val="14"/>
                <w:szCs w:val="14"/>
                <w:color w:val="auto"/>
              </w:rPr>
              <w:t>640,625</w:t>
            </w:r>
          </w:p>
        </w:tc>
        <w:tc>
          <w:tcPr>
            <w:tcW w:w="800" w:type="dxa"/>
            <w:vAlign w:val="bottom"/>
            <w:tcBorders>
              <w:right w:val="single" w:sz="8" w:color="93A1D2"/>
            </w:tcBorders>
          </w:tcPr>
          <w:p>
            <w:pPr>
              <w:jc w:val="right"/>
              <w:ind w:right="92"/>
              <w:spacing w:after="0"/>
              <w:rPr>
                <w:sz w:val="20"/>
                <w:szCs w:val="20"/>
                <w:color w:val="auto"/>
              </w:rPr>
            </w:pPr>
            <w:r>
              <w:rPr>
                <w:rFonts w:ascii="Arial" w:cs="Arial" w:eastAsia="Arial" w:hAnsi="Arial"/>
                <w:sz w:val="14"/>
                <w:szCs w:val="14"/>
                <w:color w:val="auto"/>
                <w:w w:val="99"/>
              </w:rPr>
              <w:t>1,458,333</w:t>
            </w:r>
          </w:p>
        </w:tc>
        <w:tc>
          <w:tcPr>
            <w:tcW w:w="620" w:type="dxa"/>
            <w:vAlign w:val="bottom"/>
          </w:tcPr>
          <w:p>
            <w:pPr>
              <w:spacing w:after="0"/>
              <w:rPr>
                <w:sz w:val="21"/>
                <w:szCs w:val="21"/>
                <w:color w:val="auto"/>
              </w:rPr>
            </w:pPr>
          </w:p>
        </w:tc>
        <w:tc>
          <w:tcPr>
            <w:tcW w:w="160" w:type="dxa"/>
            <w:vAlign w:val="bottom"/>
            <w:tcBorders>
              <w:right w:val="single" w:sz="8" w:color="93A1D2"/>
            </w:tcBorders>
          </w:tcPr>
          <w:p>
            <w:pPr>
              <w:spacing w:after="0"/>
              <w:rPr>
                <w:sz w:val="21"/>
                <w:szCs w:val="21"/>
                <w:color w:val="auto"/>
              </w:rPr>
            </w:pPr>
          </w:p>
        </w:tc>
        <w:tc>
          <w:tcPr>
            <w:tcW w:w="680" w:type="dxa"/>
            <w:vAlign w:val="bottom"/>
            <w:tcBorders>
              <w:right w:val="single" w:sz="8" w:color="93A1D2"/>
            </w:tcBorders>
          </w:tcPr>
          <w:p>
            <w:pPr>
              <w:spacing w:after="0"/>
              <w:rPr>
                <w:sz w:val="21"/>
                <w:szCs w:val="21"/>
                <w:color w:val="auto"/>
              </w:rPr>
            </w:pPr>
          </w:p>
        </w:tc>
        <w:tc>
          <w:tcPr>
            <w:tcW w:w="740" w:type="dxa"/>
            <w:vAlign w:val="bottom"/>
            <w:tcBorders>
              <w:right w:val="single" w:sz="8" w:color="93A1D2"/>
            </w:tcBorders>
          </w:tcPr>
          <w:p>
            <w:pPr>
              <w:spacing w:after="0"/>
              <w:rPr>
                <w:sz w:val="21"/>
                <w:szCs w:val="21"/>
                <w:color w:val="auto"/>
              </w:rPr>
            </w:pPr>
          </w:p>
        </w:tc>
        <w:tc>
          <w:tcPr>
            <w:tcW w:w="800" w:type="dxa"/>
            <w:vAlign w:val="bottom"/>
            <w:tcBorders>
              <w:right w:val="single" w:sz="8" w:color="93A1D2"/>
            </w:tcBorders>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80" w:type="dxa"/>
            <w:vAlign w:val="bottom"/>
            <w:shd w:val="clear" w:color="auto" w:fill="CCCCCC"/>
          </w:tcPr>
          <w:p>
            <w:pPr>
              <w:spacing w:after="0" w:line="20" w:lineRule="exact"/>
              <w:rPr>
                <w:sz w:val="1"/>
                <w:szCs w:val="1"/>
                <w:color w:val="auto"/>
              </w:rPr>
            </w:pPr>
          </w:p>
        </w:tc>
        <w:tc>
          <w:tcPr>
            <w:tcW w:w="76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right w:val="single" w:sz="8" w:color="93A1D2"/>
            </w:tcBorders>
          </w:tcPr>
          <w:p>
            <w:pPr>
              <w:spacing w:after="0" w:line="20" w:lineRule="exact"/>
              <w:rPr>
                <w:sz w:val="1"/>
                <w:szCs w:val="1"/>
                <w:color w:val="auto"/>
              </w:rPr>
            </w:pPr>
          </w:p>
        </w:tc>
        <w:tc>
          <w:tcPr>
            <w:tcW w:w="680" w:type="dxa"/>
            <w:vAlign w:val="bottom"/>
            <w:tcBorders>
              <w:right w:val="single" w:sz="8" w:color="93A1D2"/>
            </w:tcBorders>
          </w:tcPr>
          <w:p>
            <w:pPr>
              <w:spacing w:after="0" w:line="20" w:lineRule="exact"/>
              <w:rPr>
                <w:sz w:val="1"/>
                <w:szCs w:val="1"/>
                <w:color w:val="auto"/>
              </w:rPr>
            </w:pPr>
          </w:p>
        </w:tc>
        <w:tc>
          <w:tcPr>
            <w:tcW w:w="74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shd w:val="clear" w:color="auto" w:fill="CCCCCC"/>
          </w:tcPr>
          <w:p>
            <w:pPr>
              <w:spacing w:after="0"/>
              <w:rPr>
                <w:sz w:val="21"/>
                <w:szCs w:val="21"/>
                <w:color w:val="auto"/>
              </w:rPr>
            </w:pPr>
          </w:p>
        </w:tc>
        <w:tc>
          <w:tcPr>
            <w:tcW w:w="760" w:type="dxa"/>
            <w:vAlign w:val="bottom"/>
            <w:tcBorders>
              <w:right w:val="single" w:sz="8" w:color="93A1D2"/>
            </w:tcBorders>
            <w:shd w:val="clear" w:color="auto" w:fill="CCCCCC"/>
          </w:tcPr>
          <w:p>
            <w:pPr>
              <w:spacing w:after="0"/>
              <w:rPr>
                <w:sz w:val="21"/>
                <w:szCs w:val="21"/>
                <w:color w:val="auto"/>
              </w:rPr>
            </w:pPr>
          </w:p>
        </w:tc>
        <w:tc>
          <w:tcPr>
            <w:tcW w:w="800" w:type="dxa"/>
            <w:vAlign w:val="bottom"/>
            <w:tcBorders>
              <w:right w:val="single" w:sz="8" w:color="93A1D2"/>
            </w:tcBorders>
            <w:shd w:val="clear" w:color="auto" w:fill="CCCCCC"/>
          </w:tcPr>
          <w:p>
            <w:pPr>
              <w:spacing w:after="0"/>
              <w:rPr>
                <w:sz w:val="21"/>
                <w:szCs w:val="21"/>
                <w:color w:val="auto"/>
              </w:rPr>
            </w:pPr>
          </w:p>
        </w:tc>
        <w:tc>
          <w:tcPr>
            <w:tcW w:w="800" w:type="dxa"/>
            <w:vAlign w:val="bottom"/>
            <w:tcBorders>
              <w:right w:val="single" w:sz="8" w:color="93A1D2"/>
            </w:tcBorders>
            <w:shd w:val="clear" w:color="auto" w:fill="CCCCCC"/>
          </w:tcPr>
          <w:p>
            <w:pPr>
              <w:spacing w:after="0"/>
              <w:rPr>
                <w:sz w:val="21"/>
                <w:szCs w:val="21"/>
                <w:color w:val="auto"/>
              </w:rPr>
            </w:pPr>
          </w:p>
        </w:tc>
        <w:tc>
          <w:tcPr>
            <w:tcW w:w="620" w:type="dxa"/>
            <w:vAlign w:val="bottom"/>
            <w:shd w:val="clear" w:color="auto" w:fill="CCCCCC"/>
          </w:tcPr>
          <w:p>
            <w:pPr>
              <w:ind w:left="140"/>
              <w:spacing w:after="0"/>
              <w:rPr>
                <w:sz w:val="20"/>
                <w:szCs w:val="20"/>
                <w:color w:val="auto"/>
              </w:rPr>
            </w:pPr>
            <w:r>
              <w:rPr>
                <w:rFonts w:ascii="Arial" w:cs="Arial" w:eastAsia="Arial" w:hAnsi="Arial"/>
                <w:sz w:val="14"/>
                <w:szCs w:val="14"/>
                <w:color w:val="auto"/>
              </w:rPr>
              <w:t>41,119</w:t>
            </w:r>
          </w:p>
        </w:tc>
        <w:tc>
          <w:tcPr>
            <w:tcW w:w="160" w:type="dxa"/>
            <w:vAlign w:val="bottom"/>
            <w:tcBorders>
              <w:right w:val="single" w:sz="8" w:color="93A1D2"/>
            </w:tcBorders>
            <w:shd w:val="clear" w:color="auto" w:fill="CCCCCC"/>
          </w:tcPr>
          <w:p>
            <w:pPr>
              <w:spacing w:after="0"/>
              <w:rPr>
                <w:sz w:val="21"/>
                <w:szCs w:val="21"/>
                <w:color w:val="auto"/>
              </w:rPr>
            </w:pPr>
          </w:p>
        </w:tc>
        <w:tc>
          <w:tcPr>
            <w:tcW w:w="680" w:type="dxa"/>
            <w:vAlign w:val="bottom"/>
            <w:tcBorders>
              <w:right w:val="single" w:sz="8" w:color="93A1D2"/>
            </w:tcBorders>
            <w:shd w:val="clear" w:color="auto" w:fill="CCCCCC"/>
          </w:tcPr>
          <w:p>
            <w:pPr>
              <w:jc w:val="right"/>
              <w:ind w:right="91"/>
              <w:spacing w:after="0"/>
              <w:rPr>
                <w:sz w:val="20"/>
                <w:szCs w:val="20"/>
                <w:color w:val="auto"/>
              </w:rPr>
            </w:pPr>
            <w:r>
              <w:rPr>
                <w:rFonts w:ascii="Arial" w:cs="Arial" w:eastAsia="Arial" w:hAnsi="Arial"/>
                <w:sz w:val="14"/>
                <w:szCs w:val="14"/>
                <w:color w:val="auto"/>
              </w:rPr>
              <w:t>82,237</w:t>
            </w:r>
          </w:p>
        </w:tc>
        <w:tc>
          <w:tcPr>
            <w:tcW w:w="740" w:type="dxa"/>
            <w:vAlign w:val="bottom"/>
            <w:tcBorders>
              <w:right w:val="single" w:sz="8" w:color="93A1D2"/>
            </w:tcBorders>
            <w:shd w:val="clear" w:color="auto" w:fill="CCCCCC"/>
          </w:tcPr>
          <w:p>
            <w:pPr>
              <w:jc w:val="right"/>
              <w:ind w:right="91"/>
              <w:spacing w:after="0"/>
              <w:rPr>
                <w:sz w:val="20"/>
                <w:szCs w:val="20"/>
                <w:color w:val="auto"/>
              </w:rPr>
            </w:pPr>
            <w:r>
              <w:rPr>
                <w:rFonts w:ascii="Arial" w:cs="Arial" w:eastAsia="Arial" w:hAnsi="Arial"/>
                <w:sz w:val="14"/>
                <w:szCs w:val="14"/>
                <w:color w:val="auto"/>
              </w:rPr>
              <w:t>164,474</w:t>
            </w:r>
          </w:p>
        </w:tc>
        <w:tc>
          <w:tcPr>
            <w:tcW w:w="800" w:type="dxa"/>
            <w:vAlign w:val="bottom"/>
            <w:tcBorders>
              <w:right w:val="single" w:sz="8" w:color="93A1D2"/>
            </w:tcBorders>
            <w:shd w:val="clear" w:color="auto" w:fill="CCCCCC"/>
          </w:tcPr>
          <w:p>
            <w:pPr>
              <w:spacing w:after="0"/>
              <w:rPr>
                <w:sz w:val="21"/>
                <w:szCs w:val="21"/>
                <w:color w:val="auto"/>
              </w:rPr>
            </w:pPr>
          </w:p>
        </w:tc>
        <w:tc>
          <w:tcPr>
            <w:tcW w:w="740" w:type="dxa"/>
            <w:vAlign w:val="bottom"/>
            <w:shd w:val="clear" w:color="auto" w:fill="CCCCCC"/>
          </w:tcPr>
          <w:p>
            <w:pPr>
              <w:jc w:val="right"/>
              <w:ind w:right="11"/>
              <w:spacing w:after="0"/>
              <w:rPr>
                <w:sz w:val="20"/>
                <w:szCs w:val="20"/>
                <w:color w:val="auto"/>
              </w:rPr>
            </w:pPr>
            <w:r>
              <w:rPr>
                <w:rFonts w:ascii="Arial" w:cs="Arial" w:eastAsia="Arial" w:hAnsi="Arial"/>
                <w:sz w:val="14"/>
                <w:szCs w:val="14"/>
                <w:color w:val="auto"/>
              </w:rPr>
              <w:t>1,156,867</w:t>
            </w:r>
          </w:p>
        </w:tc>
        <w:tc>
          <w:tcPr>
            <w:tcW w:w="0" w:type="dxa"/>
            <w:vAlign w:val="bottom"/>
          </w:tcPr>
          <w:p>
            <w:pPr>
              <w:spacing w:after="0"/>
              <w:rPr>
                <w:sz w:val="1"/>
                <w:szCs w:val="1"/>
                <w:color w:val="auto"/>
              </w:rPr>
            </w:pPr>
          </w:p>
        </w:tc>
      </w:tr>
      <w:tr>
        <w:trPr>
          <w:trHeight w:val="270"/>
        </w:trPr>
        <w:tc>
          <w:tcPr>
            <w:tcW w:w="80" w:type="dxa"/>
            <w:vAlign w:val="bottom"/>
            <w:shd w:val="clear" w:color="auto" w:fill="CCCCCC"/>
          </w:tcPr>
          <w:p>
            <w:pPr>
              <w:spacing w:after="0"/>
              <w:rPr>
                <w:sz w:val="23"/>
                <w:szCs w:val="23"/>
                <w:color w:val="auto"/>
              </w:rPr>
            </w:pPr>
          </w:p>
        </w:tc>
        <w:tc>
          <w:tcPr>
            <w:tcW w:w="760" w:type="dxa"/>
            <w:vAlign w:val="bottom"/>
            <w:tcBorders>
              <w:right w:val="single" w:sz="8" w:color="93A1D2"/>
            </w:tcBorders>
            <w:shd w:val="clear" w:color="auto" w:fill="CCCCCC"/>
          </w:tcPr>
          <w:p>
            <w:pPr>
              <w:spacing w:after="0"/>
              <w:rPr>
                <w:sz w:val="23"/>
                <w:szCs w:val="23"/>
                <w:color w:val="auto"/>
              </w:rPr>
            </w:pPr>
          </w:p>
        </w:tc>
        <w:tc>
          <w:tcPr>
            <w:tcW w:w="800" w:type="dxa"/>
            <w:vAlign w:val="bottom"/>
            <w:tcBorders>
              <w:right w:val="single" w:sz="8" w:color="93A1D2"/>
            </w:tcBorders>
            <w:shd w:val="clear" w:color="auto" w:fill="CCCCCC"/>
          </w:tcPr>
          <w:p>
            <w:pPr>
              <w:spacing w:after="0"/>
              <w:rPr>
                <w:sz w:val="23"/>
                <w:szCs w:val="23"/>
                <w:color w:val="auto"/>
              </w:rPr>
            </w:pPr>
          </w:p>
        </w:tc>
        <w:tc>
          <w:tcPr>
            <w:tcW w:w="800" w:type="dxa"/>
            <w:vAlign w:val="bottom"/>
            <w:tcBorders>
              <w:right w:val="single" w:sz="8" w:color="93A1D2"/>
            </w:tcBorders>
            <w:shd w:val="clear" w:color="auto" w:fill="CCCCCC"/>
          </w:tcPr>
          <w:p>
            <w:pPr>
              <w:spacing w:after="0"/>
              <w:rPr>
                <w:sz w:val="23"/>
                <w:szCs w:val="23"/>
                <w:color w:val="auto"/>
              </w:rPr>
            </w:pPr>
          </w:p>
        </w:tc>
        <w:tc>
          <w:tcPr>
            <w:tcW w:w="620" w:type="dxa"/>
            <w:vAlign w:val="bottom"/>
            <w:shd w:val="clear" w:color="auto" w:fill="CCCCCC"/>
          </w:tcPr>
          <w:p>
            <w:pPr>
              <w:spacing w:after="0"/>
              <w:rPr>
                <w:sz w:val="23"/>
                <w:szCs w:val="23"/>
                <w:color w:val="auto"/>
              </w:rPr>
            </w:pPr>
          </w:p>
        </w:tc>
        <w:tc>
          <w:tcPr>
            <w:tcW w:w="160" w:type="dxa"/>
            <w:vAlign w:val="bottom"/>
            <w:tcBorders>
              <w:right w:val="single" w:sz="8" w:color="93A1D2"/>
            </w:tcBorders>
            <w:shd w:val="clear" w:color="auto" w:fill="CCCCCC"/>
          </w:tcPr>
          <w:p>
            <w:pPr>
              <w:spacing w:after="0"/>
              <w:rPr>
                <w:sz w:val="23"/>
                <w:szCs w:val="23"/>
                <w:color w:val="auto"/>
              </w:rPr>
            </w:pPr>
          </w:p>
        </w:tc>
        <w:tc>
          <w:tcPr>
            <w:tcW w:w="680" w:type="dxa"/>
            <w:vAlign w:val="bottom"/>
            <w:tcBorders>
              <w:right w:val="single" w:sz="8" w:color="93A1D2"/>
            </w:tcBorders>
            <w:shd w:val="clear" w:color="auto" w:fill="CCCCCC"/>
          </w:tcPr>
          <w:p>
            <w:pPr>
              <w:spacing w:after="0"/>
              <w:rPr>
                <w:sz w:val="23"/>
                <w:szCs w:val="23"/>
                <w:color w:val="auto"/>
              </w:rPr>
            </w:pPr>
          </w:p>
        </w:tc>
        <w:tc>
          <w:tcPr>
            <w:tcW w:w="740" w:type="dxa"/>
            <w:vAlign w:val="bottom"/>
            <w:tcBorders>
              <w:right w:val="single" w:sz="8" w:color="93A1D2"/>
            </w:tcBorders>
            <w:shd w:val="clear" w:color="auto" w:fill="CCCCCC"/>
          </w:tcPr>
          <w:p>
            <w:pPr>
              <w:spacing w:after="0"/>
              <w:rPr>
                <w:sz w:val="23"/>
                <w:szCs w:val="23"/>
                <w:color w:val="auto"/>
              </w:rPr>
            </w:pPr>
          </w:p>
        </w:tc>
        <w:tc>
          <w:tcPr>
            <w:tcW w:w="800" w:type="dxa"/>
            <w:vAlign w:val="bottom"/>
            <w:tcBorders>
              <w:right w:val="single" w:sz="8" w:color="93A1D2"/>
            </w:tcBorders>
            <w:shd w:val="clear" w:color="auto" w:fill="CCCCCC"/>
          </w:tcPr>
          <w:p>
            <w:pPr>
              <w:jc w:val="right"/>
              <w:ind w:right="73"/>
              <w:spacing w:after="0"/>
              <w:rPr>
                <w:sz w:val="20"/>
                <w:szCs w:val="20"/>
                <w:color w:val="auto"/>
              </w:rPr>
            </w:pPr>
            <w:r>
              <w:rPr>
                <w:rFonts w:ascii="Arial" w:cs="Arial" w:eastAsia="Arial" w:hAnsi="Arial"/>
                <w:sz w:val="14"/>
                <w:szCs w:val="14"/>
                <w:color w:val="auto"/>
              </w:rPr>
              <w:t>82,237</w:t>
            </w:r>
          </w:p>
        </w:tc>
        <w:tc>
          <w:tcPr>
            <w:tcW w:w="740" w:type="dxa"/>
            <w:vAlign w:val="bottom"/>
            <w:shd w:val="clear" w:color="auto" w:fill="CCCCCC"/>
          </w:tcPr>
          <w:p>
            <w:pPr>
              <w:jc w:val="right"/>
              <w:ind w:right="11"/>
              <w:spacing w:after="0"/>
              <w:rPr>
                <w:sz w:val="20"/>
                <w:szCs w:val="20"/>
                <w:color w:val="auto"/>
              </w:rPr>
            </w:pPr>
            <w:r>
              <w:rPr>
                <w:rFonts w:ascii="Arial" w:cs="Arial" w:eastAsia="Arial" w:hAnsi="Arial"/>
                <w:sz w:val="14"/>
                <w:szCs w:val="14"/>
                <w:color w:val="auto"/>
              </w:rPr>
              <w:t>1,000,002</w:t>
            </w:r>
          </w:p>
        </w:tc>
        <w:tc>
          <w:tcPr>
            <w:tcW w:w="0" w:type="dxa"/>
            <w:vAlign w:val="bottom"/>
          </w:tcPr>
          <w:p>
            <w:pPr>
              <w:spacing w:after="0"/>
              <w:rPr>
                <w:sz w:val="1"/>
                <w:szCs w:val="1"/>
                <w:color w:val="auto"/>
              </w:rPr>
            </w:pPr>
          </w:p>
        </w:tc>
      </w:tr>
      <w:tr>
        <w:trPr>
          <w:trHeight w:val="231"/>
        </w:trPr>
        <w:tc>
          <w:tcPr>
            <w:tcW w:w="80" w:type="dxa"/>
            <w:vAlign w:val="bottom"/>
            <w:tcBorders>
              <w:bottom w:val="single" w:sz="8" w:color="CCCCCC"/>
            </w:tcBorders>
            <w:shd w:val="clear" w:color="auto" w:fill="CCCCCC"/>
          </w:tcPr>
          <w:p>
            <w:pPr>
              <w:spacing w:after="0"/>
              <w:rPr>
                <w:sz w:val="20"/>
                <w:szCs w:val="20"/>
                <w:color w:val="auto"/>
              </w:rPr>
            </w:pPr>
          </w:p>
        </w:tc>
        <w:tc>
          <w:tcPr>
            <w:tcW w:w="76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spacing w:after="0"/>
              <w:rPr>
                <w:sz w:val="20"/>
                <w:szCs w:val="20"/>
                <w:color w:val="auto"/>
              </w:rPr>
            </w:pPr>
          </w:p>
        </w:tc>
        <w:tc>
          <w:tcPr>
            <w:tcW w:w="620" w:type="dxa"/>
            <w:vAlign w:val="bottom"/>
            <w:tcBorders>
              <w:bottom w:val="single" w:sz="8" w:color="CCCCCC"/>
            </w:tcBorders>
            <w:shd w:val="clear" w:color="auto" w:fill="CCCCCC"/>
          </w:tcPr>
          <w:p>
            <w:pPr>
              <w:spacing w:after="0"/>
              <w:rPr>
                <w:sz w:val="20"/>
                <w:szCs w:val="20"/>
                <w:color w:val="auto"/>
              </w:rPr>
            </w:pPr>
          </w:p>
        </w:tc>
        <w:tc>
          <w:tcPr>
            <w:tcW w:w="160" w:type="dxa"/>
            <w:vAlign w:val="bottom"/>
            <w:tcBorders>
              <w:bottom w:val="single" w:sz="8" w:color="CCCCCC"/>
              <w:right w:val="single" w:sz="8" w:color="93A1D2"/>
            </w:tcBorders>
            <w:shd w:val="clear" w:color="auto" w:fill="CCCCCC"/>
          </w:tcPr>
          <w:p>
            <w:pPr>
              <w:spacing w:after="0"/>
              <w:rPr>
                <w:sz w:val="20"/>
                <w:szCs w:val="20"/>
                <w:color w:val="auto"/>
              </w:rPr>
            </w:pPr>
          </w:p>
        </w:tc>
        <w:tc>
          <w:tcPr>
            <w:tcW w:w="680" w:type="dxa"/>
            <w:vAlign w:val="bottom"/>
            <w:tcBorders>
              <w:bottom w:val="single" w:sz="8" w:color="CCCCCC"/>
              <w:right w:val="single" w:sz="8" w:color="93A1D2"/>
            </w:tcBorders>
            <w:shd w:val="clear" w:color="auto" w:fill="CCCCCC"/>
          </w:tcPr>
          <w:p>
            <w:pPr>
              <w:spacing w:after="0"/>
              <w:rPr>
                <w:sz w:val="20"/>
                <w:szCs w:val="20"/>
                <w:color w:val="auto"/>
              </w:rPr>
            </w:pPr>
          </w:p>
        </w:tc>
        <w:tc>
          <w:tcPr>
            <w:tcW w:w="74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jc w:val="right"/>
              <w:ind w:right="73"/>
              <w:spacing w:after="0"/>
              <w:rPr>
                <w:sz w:val="20"/>
                <w:szCs w:val="20"/>
                <w:color w:val="auto"/>
              </w:rPr>
            </w:pPr>
            <w:r>
              <w:rPr>
                <w:rFonts w:ascii="Arial" w:cs="Arial" w:eastAsia="Arial" w:hAnsi="Arial"/>
                <w:sz w:val="14"/>
                <w:szCs w:val="14"/>
                <w:color w:val="auto"/>
              </w:rPr>
              <w:t>41,306</w:t>
            </w:r>
          </w:p>
        </w:tc>
        <w:tc>
          <w:tcPr>
            <w:tcW w:w="740" w:type="dxa"/>
            <w:vAlign w:val="bottom"/>
            <w:tcBorders>
              <w:bottom w:val="single" w:sz="8" w:color="CCCCCC"/>
            </w:tcBorders>
            <w:shd w:val="clear" w:color="auto" w:fill="CCCCCC"/>
          </w:tcPr>
          <w:p>
            <w:pPr>
              <w:jc w:val="right"/>
              <w:ind w:right="11"/>
              <w:spacing w:after="0"/>
              <w:rPr>
                <w:sz w:val="20"/>
                <w:szCs w:val="20"/>
                <w:color w:val="auto"/>
              </w:rPr>
            </w:pPr>
            <w:r>
              <w:rPr>
                <w:rFonts w:ascii="Arial" w:cs="Arial" w:eastAsia="Arial" w:hAnsi="Arial"/>
                <w:sz w:val="14"/>
                <w:szCs w:val="14"/>
                <w:color w:val="auto"/>
              </w:rPr>
              <w:t>1,000,018</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760" w:type="dxa"/>
            <w:vAlign w:val="bottom"/>
            <w:tcBorders>
              <w:right w:val="single" w:sz="8" w:color="93A1D2"/>
            </w:tcBorders>
          </w:tcPr>
          <w:p>
            <w:pPr>
              <w:jc w:val="center"/>
              <w:ind w:right="52"/>
              <w:spacing w:after="0"/>
              <w:rPr>
                <w:sz w:val="20"/>
                <w:szCs w:val="20"/>
                <w:color w:val="auto"/>
              </w:rPr>
            </w:pPr>
            <w:r>
              <w:rPr>
                <w:rFonts w:ascii="Arial" w:cs="Arial" w:eastAsia="Arial" w:hAnsi="Arial"/>
                <w:sz w:val="14"/>
                <w:szCs w:val="14"/>
                <w:color w:val="auto"/>
              </w:rPr>
              <w:t>162,500</w:t>
            </w:r>
          </w:p>
        </w:tc>
        <w:tc>
          <w:tcPr>
            <w:tcW w:w="800" w:type="dxa"/>
            <w:vAlign w:val="bottom"/>
            <w:tcBorders>
              <w:right w:val="single" w:sz="8" w:color="93A1D2"/>
            </w:tcBorders>
          </w:tcPr>
          <w:p>
            <w:pPr>
              <w:jc w:val="right"/>
              <w:ind w:right="90"/>
              <w:spacing w:after="0"/>
              <w:rPr>
                <w:sz w:val="20"/>
                <w:szCs w:val="20"/>
                <w:color w:val="auto"/>
              </w:rPr>
            </w:pPr>
            <w:r>
              <w:rPr>
                <w:rFonts w:ascii="Arial" w:cs="Arial" w:eastAsia="Arial" w:hAnsi="Arial"/>
                <w:sz w:val="14"/>
                <w:szCs w:val="14"/>
                <w:color w:val="auto"/>
              </w:rPr>
              <w:t>325,000</w:t>
            </w:r>
          </w:p>
        </w:tc>
        <w:tc>
          <w:tcPr>
            <w:tcW w:w="800" w:type="dxa"/>
            <w:vAlign w:val="bottom"/>
            <w:tcBorders>
              <w:right w:val="single" w:sz="8" w:color="93A1D2"/>
            </w:tcBorders>
          </w:tcPr>
          <w:p>
            <w:pPr>
              <w:jc w:val="right"/>
              <w:ind w:right="92"/>
              <w:spacing w:after="0"/>
              <w:rPr>
                <w:sz w:val="20"/>
                <w:szCs w:val="20"/>
                <w:color w:val="auto"/>
              </w:rPr>
            </w:pPr>
            <w:r>
              <w:rPr>
                <w:rFonts w:ascii="Arial" w:cs="Arial" w:eastAsia="Arial" w:hAnsi="Arial"/>
                <w:sz w:val="14"/>
                <w:szCs w:val="14"/>
                <w:color w:val="auto"/>
              </w:rPr>
              <w:t>650,000</w:t>
            </w:r>
          </w:p>
        </w:tc>
        <w:tc>
          <w:tcPr>
            <w:tcW w:w="620" w:type="dxa"/>
            <w:vAlign w:val="bottom"/>
          </w:tcPr>
          <w:p>
            <w:pPr>
              <w:spacing w:after="0"/>
              <w:rPr>
                <w:sz w:val="21"/>
                <w:szCs w:val="21"/>
                <w:color w:val="auto"/>
              </w:rPr>
            </w:pPr>
          </w:p>
        </w:tc>
        <w:tc>
          <w:tcPr>
            <w:tcW w:w="160" w:type="dxa"/>
            <w:vAlign w:val="bottom"/>
            <w:tcBorders>
              <w:right w:val="single" w:sz="8" w:color="93A1D2"/>
            </w:tcBorders>
          </w:tcPr>
          <w:p>
            <w:pPr>
              <w:spacing w:after="0"/>
              <w:rPr>
                <w:sz w:val="21"/>
                <w:szCs w:val="21"/>
                <w:color w:val="auto"/>
              </w:rPr>
            </w:pPr>
          </w:p>
        </w:tc>
        <w:tc>
          <w:tcPr>
            <w:tcW w:w="680" w:type="dxa"/>
            <w:vAlign w:val="bottom"/>
            <w:tcBorders>
              <w:right w:val="single" w:sz="8" w:color="93A1D2"/>
            </w:tcBorders>
          </w:tcPr>
          <w:p>
            <w:pPr>
              <w:spacing w:after="0"/>
              <w:rPr>
                <w:sz w:val="21"/>
                <w:szCs w:val="21"/>
                <w:color w:val="auto"/>
              </w:rPr>
            </w:pPr>
          </w:p>
        </w:tc>
        <w:tc>
          <w:tcPr>
            <w:tcW w:w="740" w:type="dxa"/>
            <w:vAlign w:val="bottom"/>
            <w:tcBorders>
              <w:right w:val="single" w:sz="8" w:color="93A1D2"/>
            </w:tcBorders>
          </w:tcPr>
          <w:p>
            <w:pPr>
              <w:spacing w:after="0"/>
              <w:rPr>
                <w:sz w:val="21"/>
                <w:szCs w:val="21"/>
                <w:color w:val="auto"/>
              </w:rPr>
            </w:pPr>
          </w:p>
        </w:tc>
        <w:tc>
          <w:tcPr>
            <w:tcW w:w="800" w:type="dxa"/>
            <w:vAlign w:val="bottom"/>
            <w:tcBorders>
              <w:right w:val="single" w:sz="8" w:color="93A1D2"/>
            </w:tcBorders>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6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right w:val="single" w:sz="8" w:color="93A1D2"/>
            </w:tcBorders>
          </w:tcPr>
          <w:p>
            <w:pPr>
              <w:spacing w:after="0"/>
              <w:rPr>
                <w:sz w:val="19"/>
                <w:szCs w:val="19"/>
                <w:color w:val="auto"/>
              </w:rPr>
            </w:pPr>
          </w:p>
        </w:tc>
        <w:tc>
          <w:tcPr>
            <w:tcW w:w="680" w:type="dxa"/>
            <w:vAlign w:val="bottom"/>
            <w:tcBorders>
              <w:right w:val="single" w:sz="8" w:color="93A1D2"/>
            </w:tcBorders>
          </w:tcPr>
          <w:p>
            <w:pPr>
              <w:spacing w:after="0"/>
              <w:rPr>
                <w:sz w:val="19"/>
                <w:szCs w:val="19"/>
                <w:color w:val="auto"/>
              </w:rPr>
            </w:pPr>
          </w:p>
        </w:tc>
        <w:tc>
          <w:tcPr>
            <w:tcW w:w="74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jc w:val="right"/>
              <w:ind w:right="73"/>
              <w:spacing w:after="0"/>
              <w:rPr>
                <w:sz w:val="20"/>
                <w:szCs w:val="20"/>
                <w:color w:val="auto"/>
              </w:rPr>
            </w:pPr>
            <w:r>
              <w:rPr>
                <w:rFonts w:ascii="Arial" w:cs="Arial" w:eastAsia="Arial" w:hAnsi="Arial"/>
                <w:sz w:val="14"/>
                <w:szCs w:val="14"/>
                <w:color w:val="auto"/>
              </w:rPr>
              <w:t>78,248</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1,000,009</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760" w:type="dxa"/>
            <w:vAlign w:val="bottom"/>
            <w:tcBorders>
              <w:right w:val="single" w:sz="8" w:color="93A1D2"/>
            </w:tcBorders>
            <w:vMerge w:val="restart"/>
          </w:tcPr>
          <w:p>
            <w:pPr>
              <w:jc w:val="center"/>
              <w:ind w:right="52"/>
              <w:spacing w:after="0"/>
              <w:rPr>
                <w:sz w:val="20"/>
                <w:szCs w:val="20"/>
                <w:color w:val="auto"/>
              </w:rPr>
            </w:pPr>
            <w:r>
              <w:rPr>
                <w:rFonts w:ascii="Arial" w:cs="Arial" w:eastAsia="Arial" w:hAnsi="Arial"/>
                <w:sz w:val="14"/>
                <w:szCs w:val="14"/>
                <w:color w:val="auto"/>
              </w:rPr>
              <w:t>165,000</w:t>
            </w:r>
          </w:p>
        </w:tc>
        <w:tc>
          <w:tcPr>
            <w:tcW w:w="80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right w:val="single" w:sz="8" w:color="93A1D2"/>
            </w:tcBorders>
          </w:tcPr>
          <w:p>
            <w:pPr>
              <w:spacing w:after="0" w:line="20" w:lineRule="exact"/>
              <w:rPr>
                <w:sz w:val="1"/>
                <w:szCs w:val="1"/>
                <w:color w:val="auto"/>
              </w:rPr>
            </w:pPr>
          </w:p>
        </w:tc>
        <w:tc>
          <w:tcPr>
            <w:tcW w:w="680" w:type="dxa"/>
            <w:vAlign w:val="bottom"/>
            <w:tcBorders>
              <w:right w:val="single" w:sz="8" w:color="93A1D2"/>
            </w:tcBorders>
          </w:tcPr>
          <w:p>
            <w:pPr>
              <w:spacing w:after="0" w:line="20" w:lineRule="exact"/>
              <w:rPr>
                <w:sz w:val="1"/>
                <w:szCs w:val="1"/>
                <w:color w:val="auto"/>
              </w:rPr>
            </w:pPr>
          </w:p>
        </w:tc>
        <w:tc>
          <w:tcPr>
            <w:tcW w:w="74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shd w:val="clear" w:color="auto" w:fill="CCCCCC"/>
          </w:tcPr>
          <w:p>
            <w:pPr>
              <w:spacing w:after="0"/>
              <w:rPr>
                <w:sz w:val="21"/>
                <w:szCs w:val="21"/>
                <w:color w:val="auto"/>
              </w:rPr>
            </w:pPr>
          </w:p>
        </w:tc>
        <w:tc>
          <w:tcPr>
            <w:tcW w:w="760" w:type="dxa"/>
            <w:vAlign w:val="bottom"/>
            <w:tcBorders>
              <w:right w:val="single" w:sz="8" w:color="93A1D2"/>
            </w:tcBorders>
            <w:vMerge w:val="continue"/>
          </w:tcPr>
          <w:p>
            <w:pPr>
              <w:spacing w:after="0"/>
              <w:rPr>
                <w:sz w:val="21"/>
                <w:szCs w:val="21"/>
                <w:color w:val="auto"/>
              </w:rPr>
            </w:pPr>
          </w:p>
        </w:tc>
        <w:tc>
          <w:tcPr>
            <w:tcW w:w="800" w:type="dxa"/>
            <w:vAlign w:val="bottom"/>
            <w:tcBorders>
              <w:right w:val="single" w:sz="8" w:color="93A1D2"/>
            </w:tcBorders>
          </w:tcPr>
          <w:p>
            <w:pPr>
              <w:jc w:val="right"/>
              <w:ind w:right="90"/>
              <w:spacing w:after="0"/>
              <w:rPr>
                <w:sz w:val="20"/>
                <w:szCs w:val="20"/>
                <w:color w:val="auto"/>
              </w:rPr>
            </w:pPr>
            <w:r>
              <w:rPr>
                <w:rFonts w:ascii="Arial" w:cs="Arial" w:eastAsia="Arial" w:hAnsi="Arial"/>
                <w:sz w:val="14"/>
                <w:szCs w:val="14"/>
                <w:color w:val="auto"/>
              </w:rPr>
              <w:t>330,000</w:t>
            </w:r>
          </w:p>
        </w:tc>
        <w:tc>
          <w:tcPr>
            <w:tcW w:w="800" w:type="dxa"/>
            <w:vAlign w:val="bottom"/>
            <w:tcBorders>
              <w:right w:val="single" w:sz="8" w:color="93A1D2"/>
            </w:tcBorders>
          </w:tcPr>
          <w:p>
            <w:pPr>
              <w:jc w:val="right"/>
              <w:ind w:right="92"/>
              <w:spacing w:after="0"/>
              <w:rPr>
                <w:sz w:val="20"/>
                <w:szCs w:val="20"/>
                <w:color w:val="auto"/>
              </w:rPr>
            </w:pPr>
            <w:r>
              <w:rPr>
                <w:rFonts w:ascii="Arial" w:cs="Arial" w:eastAsia="Arial" w:hAnsi="Arial"/>
                <w:sz w:val="14"/>
                <w:szCs w:val="14"/>
                <w:color w:val="auto"/>
              </w:rPr>
              <w:t>660,000</w:t>
            </w:r>
          </w:p>
        </w:tc>
        <w:tc>
          <w:tcPr>
            <w:tcW w:w="620" w:type="dxa"/>
            <w:vAlign w:val="bottom"/>
          </w:tcPr>
          <w:p>
            <w:pPr>
              <w:spacing w:after="0"/>
              <w:rPr>
                <w:sz w:val="21"/>
                <w:szCs w:val="21"/>
                <w:color w:val="auto"/>
              </w:rPr>
            </w:pPr>
          </w:p>
        </w:tc>
        <w:tc>
          <w:tcPr>
            <w:tcW w:w="160" w:type="dxa"/>
            <w:vAlign w:val="bottom"/>
            <w:tcBorders>
              <w:right w:val="single" w:sz="8" w:color="93A1D2"/>
            </w:tcBorders>
          </w:tcPr>
          <w:p>
            <w:pPr>
              <w:spacing w:after="0"/>
              <w:rPr>
                <w:sz w:val="21"/>
                <w:szCs w:val="21"/>
                <w:color w:val="auto"/>
              </w:rPr>
            </w:pPr>
          </w:p>
        </w:tc>
        <w:tc>
          <w:tcPr>
            <w:tcW w:w="680" w:type="dxa"/>
            <w:vAlign w:val="bottom"/>
            <w:tcBorders>
              <w:right w:val="single" w:sz="8" w:color="93A1D2"/>
            </w:tcBorders>
          </w:tcPr>
          <w:p>
            <w:pPr>
              <w:spacing w:after="0"/>
              <w:rPr>
                <w:sz w:val="21"/>
                <w:szCs w:val="21"/>
                <w:color w:val="auto"/>
              </w:rPr>
            </w:pPr>
          </w:p>
        </w:tc>
        <w:tc>
          <w:tcPr>
            <w:tcW w:w="740" w:type="dxa"/>
            <w:vAlign w:val="bottom"/>
            <w:tcBorders>
              <w:right w:val="single" w:sz="8" w:color="93A1D2"/>
            </w:tcBorders>
          </w:tcPr>
          <w:p>
            <w:pPr>
              <w:spacing w:after="0"/>
              <w:rPr>
                <w:sz w:val="21"/>
                <w:szCs w:val="21"/>
                <w:color w:val="auto"/>
              </w:rPr>
            </w:pPr>
          </w:p>
        </w:tc>
        <w:tc>
          <w:tcPr>
            <w:tcW w:w="800" w:type="dxa"/>
            <w:vAlign w:val="bottom"/>
            <w:tcBorders>
              <w:right w:val="single" w:sz="8" w:color="93A1D2"/>
            </w:tcBorders>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80" w:type="dxa"/>
            <w:vAlign w:val="bottom"/>
            <w:shd w:val="clear" w:color="auto" w:fill="CCCCCC"/>
          </w:tcPr>
          <w:p>
            <w:pPr>
              <w:spacing w:after="0" w:line="20" w:lineRule="exact"/>
              <w:rPr>
                <w:sz w:val="1"/>
                <w:szCs w:val="1"/>
                <w:color w:val="auto"/>
              </w:rPr>
            </w:pPr>
          </w:p>
        </w:tc>
        <w:tc>
          <w:tcPr>
            <w:tcW w:w="76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right w:val="single" w:sz="8" w:color="93A1D2"/>
            </w:tcBorders>
          </w:tcPr>
          <w:p>
            <w:pPr>
              <w:spacing w:after="0" w:line="20" w:lineRule="exact"/>
              <w:rPr>
                <w:sz w:val="1"/>
                <w:szCs w:val="1"/>
                <w:color w:val="auto"/>
              </w:rPr>
            </w:pPr>
          </w:p>
        </w:tc>
        <w:tc>
          <w:tcPr>
            <w:tcW w:w="680" w:type="dxa"/>
            <w:vAlign w:val="bottom"/>
            <w:tcBorders>
              <w:right w:val="single" w:sz="8" w:color="93A1D2"/>
            </w:tcBorders>
          </w:tcPr>
          <w:p>
            <w:pPr>
              <w:spacing w:after="0" w:line="20" w:lineRule="exact"/>
              <w:rPr>
                <w:sz w:val="1"/>
                <w:szCs w:val="1"/>
                <w:color w:val="auto"/>
              </w:rPr>
            </w:pPr>
          </w:p>
        </w:tc>
        <w:tc>
          <w:tcPr>
            <w:tcW w:w="74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shd w:val="clear" w:color="auto" w:fill="CCCCCC"/>
          </w:tcPr>
          <w:p>
            <w:pPr>
              <w:spacing w:after="0"/>
              <w:rPr>
                <w:sz w:val="21"/>
                <w:szCs w:val="21"/>
                <w:color w:val="auto"/>
              </w:rPr>
            </w:pPr>
          </w:p>
        </w:tc>
        <w:tc>
          <w:tcPr>
            <w:tcW w:w="760" w:type="dxa"/>
            <w:vAlign w:val="bottom"/>
            <w:tcBorders>
              <w:right w:val="single" w:sz="8" w:color="93A1D2"/>
            </w:tcBorders>
            <w:shd w:val="clear" w:color="auto" w:fill="CCCCCC"/>
          </w:tcPr>
          <w:p>
            <w:pPr>
              <w:spacing w:after="0"/>
              <w:rPr>
                <w:sz w:val="21"/>
                <w:szCs w:val="21"/>
                <w:color w:val="auto"/>
              </w:rPr>
            </w:pPr>
          </w:p>
        </w:tc>
        <w:tc>
          <w:tcPr>
            <w:tcW w:w="800" w:type="dxa"/>
            <w:vAlign w:val="bottom"/>
            <w:tcBorders>
              <w:right w:val="single" w:sz="8" w:color="93A1D2"/>
            </w:tcBorders>
            <w:shd w:val="clear" w:color="auto" w:fill="CCCCCC"/>
          </w:tcPr>
          <w:p>
            <w:pPr>
              <w:spacing w:after="0"/>
              <w:rPr>
                <w:sz w:val="21"/>
                <w:szCs w:val="21"/>
                <w:color w:val="auto"/>
              </w:rPr>
            </w:pPr>
          </w:p>
        </w:tc>
        <w:tc>
          <w:tcPr>
            <w:tcW w:w="800" w:type="dxa"/>
            <w:vAlign w:val="bottom"/>
            <w:tcBorders>
              <w:right w:val="single" w:sz="8" w:color="93A1D2"/>
            </w:tcBorders>
            <w:shd w:val="clear" w:color="auto" w:fill="CCCCCC"/>
          </w:tcPr>
          <w:p>
            <w:pPr>
              <w:spacing w:after="0"/>
              <w:rPr>
                <w:sz w:val="21"/>
                <w:szCs w:val="21"/>
                <w:color w:val="auto"/>
              </w:rPr>
            </w:pPr>
          </w:p>
        </w:tc>
        <w:tc>
          <w:tcPr>
            <w:tcW w:w="620" w:type="dxa"/>
            <w:vAlign w:val="bottom"/>
            <w:shd w:val="clear" w:color="auto" w:fill="CCCCCC"/>
          </w:tcPr>
          <w:p>
            <w:pPr>
              <w:ind w:left="140"/>
              <w:spacing w:after="0"/>
              <w:rPr>
                <w:sz w:val="20"/>
                <w:szCs w:val="20"/>
                <w:color w:val="auto"/>
              </w:rPr>
            </w:pPr>
            <w:r>
              <w:rPr>
                <w:rFonts w:ascii="Arial" w:cs="Arial" w:eastAsia="Arial" w:hAnsi="Arial"/>
                <w:sz w:val="14"/>
                <w:szCs w:val="14"/>
                <w:color w:val="auto"/>
              </w:rPr>
              <w:t>20,560</w:t>
            </w:r>
          </w:p>
        </w:tc>
        <w:tc>
          <w:tcPr>
            <w:tcW w:w="160" w:type="dxa"/>
            <w:vAlign w:val="bottom"/>
            <w:tcBorders>
              <w:right w:val="single" w:sz="8" w:color="93A1D2"/>
            </w:tcBorders>
            <w:shd w:val="clear" w:color="auto" w:fill="CCCCCC"/>
          </w:tcPr>
          <w:p>
            <w:pPr>
              <w:spacing w:after="0"/>
              <w:rPr>
                <w:sz w:val="21"/>
                <w:szCs w:val="21"/>
                <w:color w:val="auto"/>
              </w:rPr>
            </w:pPr>
          </w:p>
        </w:tc>
        <w:tc>
          <w:tcPr>
            <w:tcW w:w="680" w:type="dxa"/>
            <w:vAlign w:val="bottom"/>
            <w:tcBorders>
              <w:right w:val="single" w:sz="8" w:color="93A1D2"/>
            </w:tcBorders>
            <w:shd w:val="clear" w:color="auto" w:fill="CCCCCC"/>
          </w:tcPr>
          <w:p>
            <w:pPr>
              <w:jc w:val="right"/>
              <w:ind w:right="91"/>
              <w:spacing w:after="0"/>
              <w:rPr>
                <w:sz w:val="20"/>
                <w:szCs w:val="20"/>
                <w:color w:val="auto"/>
              </w:rPr>
            </w:pPr>
            <w:r>
              <w:rPr>
                <w:rFonts w:ascii="Arial" w:cs="Arial" w:eastAsia="Arial" w:hAnsi="Arial"/>
                <w:sz w:val="14"/>
                <w:szCs w:val="14"/>
                <w:color w:val="auto"/>
              </w:rPr>
              <w:t>41,119</w:t>
            </w:r>
          </w:p>
        </w:tc>
        <w:tc>
          <w:tcPr>
            <w:tcW w:w="740" w:type="dxa"/>
            <w:vAlign w:val="bottom"/>
            <w:tcBorders>
              <w:right w:val="single" w:sz="8" w:color="93A1D2"/>
            </w:tcBorders>
            <w:shd w:val="clear" w:color="auto" w:fill="CCCCCC"/>
          </w:tcPr>
          <w:p>
            <w:pPr>
              <w:jc w:val="right"/>
              <w:ind w:right="91"/>
              <w:spacing w:after="0"/>
              <w:rPr>
                <w:sz w:val="20"/>
                <w:szCs w:val="20"/>
                <w:color w:val="auto"/>
              </w:rPr>
            </w:pPr>
            <w:r>
              <w:rPr>
                <w:rFonts w:ascii="Arial" w:cs="Arial" w:eastAsia="Arial" w:hAnsi="Arial"/>
                <w:sz w:val="14"/>
                <w:szCs w:val="14"/>
                <w:color w:val="auto"/>
              </w:rPr>
              <w:t>82,238</w:t>
            </w:r>
          </w:p>
        </w:tc>
        <w:tc>
          <w:tcPr>
            <w:tcW w:w="800" w:type="dxa"/>
            <w:vAlign w:val="bottom"/>
            <w:tcBorders>
              <w:right w:val="single" w:sz="8" w:color="93A1D2"/>
            </w:tcBorders>
            <w:shd w:val="clear" w:color="auto" w:fill="CCCCCC"/>
          </w:tcPr>
          <w:p>
            <w:pPr>
              <w:spacing w:after="0"/>
              <w:rPr>
                <w:sz w:val="21"/>
                <w:szCs w:val="21"/>
                <w:color w:val="auto"/>
              </w:rPr>
            </w:pPr>
          </w:p>
        </w:tc>
        <w:tc>
          <w:tcPr>
            <w:tcW w:w="740" w:type="dxa"/>
            <w:vAlign w:val="bottom"/>
            <w:shd w:val="clear" w:color="auto" w:fill="CCCCCC"/>
          </w:tcPr>
          <w:p>
            <w:pPr>
              <w:jc w:val="right"/>
              <w:ind w:right="11"/>
              <w:spacing w:after="0"/>
              <w:rPr>
                <w:sz w:val="20"/>
                <w:szCs w:val="20"/>
                <w:color w:val="auto"/>
              </w:rPr>
            </w:pPr>
            <w:r>
              <w:rPr>
                <w:rFonts w:ascii="Arial" w:cs="Arial" w:eastAsia="Arial" w:hAnsi="Arial"/>
                <w:sz w:val="14"/>
                <w:szCs w:val="14"/>
                <w:color w:val="auto"/>
              </w:rPr>
              <w:t>578,443</w:t>
            </w:r>
          </w:p>
        </w:tc>
        <w:tc>
          <w:tcPr>
            <w:tcW w:w="0" w:type="dxa"/>
            <w:vAlign w:val="bottom"/>
          </w:tcPr>
          <w:p>
            <w:pPr>
              <w:spacing w:after="0"/>
              <w:rPr>
                <w:sz w:val="1"/>
                <w:szCs w:val="1"/>
                <w:color w:val="auto"/>
              </w:rPr>
            </w:pPr>
          </w:p>
        </w:tc>
      </w:tr>
      <w:tr>
        <w:trPr>
          <w:trHeight w:val="231"/>
        </w:trPr>
        <w:tc>
          <w:tcPr>
            <w:tcW w:w="80" w:type="dxa"/>
            <w:vAlign w:val="bottom"/>
            <w:tcBorders>
              <w:bottom w:val="single" w:sz="8" w:color="CCCCCC"/>
            </w:tcBorders>
            <w:shd w:val="clear" w:color="auto" w:fill="CCCCCC"/>
          </w:tcPr>
          <w:p>
            <w:pPr>
              <w:spacing w:after="0"/>
              <w:rPr>
                <w:sz w:val="20"/>
                <w:szCs w:val="20"/>
                <w:color w:val="auto"/>
              </w:rPr>
            </w:pPr>
          </w:p>
        </w:tc>
        <w:tc>
          <w:tcPr>
            <w:tcW w:w="76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spacing w:after="0"/>
              <w:rPr>
                <w:sz w:val="20"/>
                <w:szCs w:val="20"/>
                <w:color w:val="auto"/>
              </w:rPr>
            </w:pPr>
          </w:p>
        </w:tc>
        <w:tc>
          <w:tcPr>
            <w:tcW w:w="620" w:type="dxa"/>
            <w:vAlign w:val="bottom"/>
            <w:tcBorders>
              <w:bottom w:val="single" w:sz="8" w:color="CCCCCC"/>
            </w:tcBorders>
            <w:shd w:val="clear" w:color="auto" w:fill="CCCCCC"/>
          </w:tcPr>
          <w:p>
            <w:pPr>
              <w:spacing w:after="0"/>
              <w:rPr>
                <w:sz w:val="20"/>
                <w:szCs w:val="20"/>
                <w:color w:val="auto"/>
              </w:rPr>
            </w:pPr>
          </w:p>
        </w:tc>
        <w:tc>
          <w:tcPr>
            <w:tcW w:w="160" w:type="dxa"/>
            <w:vAlign w:val="bottom"/>
            <w:tcBorders>
              <w:bottom w:val="single" w:sz="8" w:color="CCCCCC"/>
              <w:right w:val="single" w:sz="8" w:color="93A1D2"/>
            </w:tcBorders>
            <w:shd w:val="clear" w:color="auto" w:fill="CCCCCC"/>
          </w:tcPr>
          <w:p>
            <w:pPr>
              <w:spacing w:after="0"/>
              <w:rPr>
                <w:sz w:val="20"/>
                <w:szCs w:val="20"/>
                <w:color w:val="auto"/>
              </w:rPr>
            </w:pPr>
          </w:p>
        </w:tc>
        <w:tc>
          <w:tcPr>
            <w:tcW w:w="680" w:type="dxa"/>
            <w:vAlign w:val="bottom"/>
            <w:tcBorders>
              <w:bottom w:val="single" w:sz="8" w:color="CCCCCC"/>
              <w:right w:val="single" w:sz="8" w:color="93A1D2"/>
            </w:tcBorders>
            <w:shd w:val="clear" w:color="auto" w:fill="CCCCCC"/>
          </w:tcPr>
          <w:p>
            <w:pPr>
              <w:spacing w:after="0"/>
              <w:rPr>
                <w:sz w:val="20"/>
                <w:szCs w:val="20"/>
                <w:color w:val="auto"/>
              </w:rPr>
            </w:pPr>
          </w:p>
        </w:tc>
        <w:tc>
          <w:tcPr>
            <w:tcW w:w="74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jc w:val="right"/>
              <w:ind w:right="93"/>
              <w:spacing w:after="0"/>
              <w:rPr>
                <w:sz w:val="20"/>
                <w:szCs w:val="20"/>
                <w:color w:val="auto"/>
              </w:rPr>
            </w:pPr>
            <w:r>
              <w:rPr>
                <w:rFonts w:ascii="Arial" w:cs="Arial" w:eastAsia="Arial" w:hAnsi="Arial"/>
                <w:sz w:val="14"/>
                <w:szCs w:val="14"/>
                <w:color w:val="auto"/>
              </w:rPr>
              <w:t>41,119</w:t>
            </w:r>
          </w:p>
        </w:tc>
        <w:tc>
          <w:tcPr>
            <w:tcW w:w="740" w:type="dxa"/>
            <w:vAlign w:val="bottom"/>
            <w:tcBorders>
              <w:bottom w:val="single" w:sz="8" w:color="CCCCCC"/>
            </w:tcBorders>
            <w:shd w:val="clear" w:color="auto" w:fill="CCCCCC"/>
          </w:tcPr>
          <w:p>
            <w:pPr>
              <w:jc w:val="right"/>
              <w:ind w:right="11"/>
              <w:spacing w:after="0"/>
              <w:rPr>
                <w:sz w:val="20"/>
                <w:szCs w:val="20"/>
                <w:color w:val="auto"/>
              </w:rPr>
            </w:pPr>
            <w:r>
              <w:rPr>
                <w:rFonts w:ascii="Arial" w:cs="Arial" w:eastAsia="Arial" w:hAnsi="Arial"/>
                <w:sz w:val="14"/>
                <w:szCs w:val="14"/>
                <w:color w:val="auto"/>
              </w:rPr>
              <w:t>500,007</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760" w:type="dxa"/>
            <w:vAlign w:val="bottom"/>
            <w:tcBorders>
              <w:right w:val="single" w:sz="8" w:color="93A1D2"/>
            </w:tcBorders>
          </w:tcPr>
          <w:p>
            <w:pPr>
              <w:jc w:val="center"/>
              <w:ind w:right="52"/>
              <w:spacing w:after="0"/>
              <w:rPr>
                <w:sz w:val="20"/>
                <w:szCs w:val="20"/>
                <w:color w:val="auto"/>
              </w:rPr>
            </w:pPr>
            <w:r>
              <w:rPr>
                <w:rFonts w:ascii="Arial" w:cs="Arial" w:eastAsia="Arial" w:hAnsi="Arial"/>
                <w:sz w:val="14"/>
                <w:szCs w:val="14"/>
                <w:color w:val="auto"/>
              </w:rPr>
              <w:t>178,750</w:t>
            </w:r>
          </w:p>
        </w:tc>
        <w:tc>
          <w:tcPr>
            <w:tcW w:w="800" w:type="dxa"/>
            <w:vAlign w:val="bottom"/>
            <w:tcBorders>
              <w:right w:val="single" w:sz="8" w:color="93A1D2"/>
            </w:tcBorders>
          </w:tcPr>
          <w:p>
            <w:pPr>
              <w:jc w:val="right"/>
              <w:ind w:right="90"/>
              <w:spacing w:after="0"/>
              <w:rPr>
                <w:sz w:val="20"/>
                <w:szCs w:val="20"/>
                <w:color w:val="auto"/>
              </w:rPr>
            </w:pPr>
            <w:r>
              <w:rPr>
                <w:rFonts w:ascii="Arial" w:cs="Arial" w:eastAsia="Arial" w:hAnsi="Arial"/>
                <w:sz w:val="14"/>
                <w:szCs w:val="14"/>
                <w:color w:val="auto"/>
              </w:rPr>
              <w:t>357,500</w:t>
            </w:r>
          </w:p>
        </w:tc>
        <w:tc>
          <w:tcPr>
            <w:tcW w:w="800" w:type="dxa"/>
            <w:vAlign w:val="bottom"/>
            <w:tcBorders>
              <w:right w:val="single" w:sz="8" w:color="93A1D2"/>
            </w:tcBorders>
          </w:tcPr>
          <w:p>
            <w:pPr>
              <w:jc w:val="right"/>
              <w:ind w:right="92"/>
              <w:spacing w:after="0"/>
              <w:rPr>
                <w:sz w:val="20"/>
                <w:szCs w:val="20"/>
                <w:color w:val="auto"/>
              </w:rPr>
            </w:pPr>
            <w:r>
              <w:rPr>
                <w:rFonts w:ascii="Arial" w:cs="Arial" w:eastAsia="Arial" w:hAnsi="Arial"/>
                <w:sz w:val="14"/>
                <w:szCs w:val="14"/>
                <w:color w:val="auto"/>
              </w:rPr>
              <w:t>715,000</w:t>
            </w:r>
          </w:p>
        </w:tc>
        <w:tc>
          <w:tcPr>
            <w:tcW w:w="620" w:type="dxa"/>
            <w:vAlign w:val="bottom"/>
          </w:tcPr>
          <w:p>
            <w:pPr>
              <w:spacing w:after="0"/>
              <w:rPr>
                <w:sz w:val="21"/>
                <w:szCs w:val="21"/>
                <w:color w:val="auto"/>
              </w:rPr>
            </w:pPr>
          </w:p>
        </w:tc>
        <w:tc>
          <w:tcPr>
            <w:tcW w:w="160" w:type="dxa"/>
            <w:vAlign w:val="bottom"/>
            <w:tcBorders>
              <w:right w:val="single" w:sz="8" w:color="93A1D2"/>
            </w:tcBorders>
          </w:tcPr>
          <w:p>
            <w:pPr>
              <w:spacing w:after="0"/>
              <w:rPr>
                <w:sz w:val="21"/>
                <w:szCs w:val="21"/>
                <w:color w:val="auto"/>
              </w:rPr>
            </w:pPr>
          </w:p>
        </w:tc>
        <w:tc>
          <w:tcPr>
            <w:tcW w:w="680" w:type="dxa"/>
            <w:vAlign w:val="bottom"/>
            <w:tcBorders>
              <w:right w:val="single" w:sz="8" w:color="93A1D2"/>
            </w:tcBorders>
          </w:tcPr>
          <w:p>
            <w:pPr>
              <w:spacing w:after="0"/>
              <w:rPr>
                <w:sz w:val="21"/>
                <w:szCs w:val="21"/>
                <w:color w:val="auto"/>
              </w:rPr>
            </w:pPr>
          </w:p>
        </w:tc>
        <w:tc>
          <w:tcPr>
            <w:tcW w:w="740" w:type="dxa"/>
            <w:vAlign w:val="bottom"/>
            <w:tcBorders>
              <w:right w:val="single" w:sz="8" w:color="93A1D2"/>
            </w:tcBorders>
          </w:tcPr>
          <w:p>
            <w:pPr>
              <w:spacing w:after="0"/>
              <w:rPr>
                <w:sz w:val="21"/>
                <w:szCs w:val="21"/>
                <w:color w:val="auto"/>
              </w:rPr>
            </w:pPr>
          </w:p>
        </w:tc>
        <w:tc>
          <w:tcPr>
            <w:tcW w:w="800" w:type="dxa"/>
            <w:vAlign w:val="bottom"/>
            <w:tcBorders>
              <w:right w:val="single" w:sz="8" w:color="93A1D2"/>
            </w:tcBorders>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60" w:type="dxa"/>
            <w:vAlign w:val="bottom"/>
            <w:tcBorders>
              <w:right w:val="single" w:sz="8" w:color="93A1D2"/>
            </w:tcBorders>
          </w:tcPr>
          <w:p>
            <w:pPr>
              <w:spacing w:after="0"/>
              <w:rPr>
                <w:sz w:val="23"/>
                <w:szCs w:val="23"/>
                <w:color w:val="auto"/>
              </w:rPr>
            </w:pPr>
          </w:p>
        </w:tc>
        <w:tc>
          <w:tcPr>
            <w:tcW w:w="800" w:type="dxa"/>
            <w:vAlign w:val="bottom"/>
            <w:tcBorders>
              <w:right w:val="single" w:sz="8" w:color="93A1D2"/>
            </w:tcBorders>
          </w:tcPr>
          <w:p>
            <w:pPr>
              <w:spacing w:after="0"/>
              <w:rPr>
                <w:sz w:val="23"/>
                <w:szCs w:val="23"/>
                <w:color w:val="auto"/>
              </w:rPr>
            </w:pPr>
          </w:p>
        </w:tc>
        <w:tc>
          <w:tcPr>
            <w:tcW w:w="800" w:type="dxa"/>
            <w:vAlign w:val="bottom"/>
            <w:tcBorders>
              <w:right w:val="single" w:sz="8" w:color="93A1D2"/>
            </w:tcBorders>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15,420</w:t>
            </w:r>
          </w:p>
        </w:tc>
        <w:tc>
          <w:tcPr>
            <w:tcW w:w="160" w:type="dxa"/>
            <w:vAlign w:val="bottom"/>
            <w:tcBorders>
              <w:right w:val="single" w:sz="8" w:color="93A1D2"/>
            </w:tcBorders>
          </w:tcPr>
          <w:p>
            <w:pPr>
              <w:spacing w:after="0"/>
              <w:rPr>
                <w:sz w:val="23"/>
                <w:szCs w:val="23"/>
                <w:color w:val="auto"/>
              </w:rPr>
            </w:pPr>
          </w:p>
        </w:tc>
        <w:tc>
          <w:tcPr>
            <w:tcW w:w="680" w:type="dxa"/>
            <w:vAlign w:val="bottom"/>
            <w:tcBorders>
              <w:right w:val="single" w:sz="8" w:color="93A1D2"/>
            </w:tcBorders>
          </w:tcPr>
          <w:p>
            <w:pPr>
              <w:jc w:val="right"/>
              <w:ind w:right="91"/>
              <w:spacing w:after="0"/>
              <w:rPr>
                <w:sz w:val="20"/>
                <w:szCs w:val="20"/>
                <w:color w:val="auto"/>
              </w:rPr>
            </w:pPr>
            <w:r>
              <w:rPr>
                <w:rFonts w:ascii="Arial" w:cs="Arial" w:eastAsia="Arial" w:hAnsi="Arial"/>
                <w:sz w:val="14"/>
                <w:szCs w:val="14"/>
                <w:color w:val="auto"/>
              </w:rPr>
              <w:t>30,839</w:t>
            </w:r>
          </w:p>
        </w:tc>
        <w:tc>
          <w:tcPr>
            <w:tcW w:w="740" w:type="dxa"/>
            <w:vAlign w:val="bottom"/>
            <w:tcBorders>
              <w:right w:val="single" w:sz="8" w:color="93A1D2"/>
            </w:tcBorders>
          </w:tcPr>
          <w:p>
            <w:pPr>
              <w:jc w:val="right"/>
              <w:ind w:right="91"/>
              <w:spacing w:after="0"/>
              <w:rPr>
                <w:sz w:val="20"/>
                <w:szCs w:val="20"/>
                <w:color w:val="auto"/>
              </w:rPr>
            </w:pPr>
            <w:r>
              <w:rPr>
                <w:rFonts w:ascii="Arial" w:cs="Arial" w:eastAsia="Arial" w:hAnsi="Arial"/>
                <w:sz w:val="14"/>
                <w:szCs w:val="14"/>
                <w:color w:val="auto"/>
              </w:rPr>
              <w:t>61,678</w:t>
            </w:r>
          </w:p>
        </w:tc>
        <w:tc>
          <w:tcPr>
            <w:tcW w:w="800" w:type="dxa"/>
            <w:vAlign w:val="bottom"/>
            <w:tcBorders>
              <w:right w:val="single" w:sz="8" w:color="93A1D2"/>
            </w:tcBorders>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433,830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6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right w:val="single" w:sz="8" w:color="93A1D2"/>
            </w:tcBorders>
          </w:tcPr>
          <w:p>
            <w:pPr>
              <w:spacing w:after="0"/>
              <w:rPr>
                <w:sz w:val="19"/>
                <w:szCs w:val="19"/>
                <w:color w:val="auto"/>
              </w:rPr>
            </w:pPr>
          </w:p>
        </w:tc>
        <w:tc>
          <w:tcPr>
            <w:tcW w:w="680" w:type="dxa"/>
            <w:vAlign w:val="bottom"/>
            <w:tcBorders>
              <w:right w:val="single" w:sz="8" w:color="93A1D2"/>
            </w:tcBorders>
          </w:tcPr>
          <w:p>
            <w:pPr>
              <w:spacing w:after="0"/>
              <w:rPr>
                <w:sz w:val="19"/>
                <w:szCs w:val="19"/>
                <w:color w:val="auto"/>
              </w:rPr>
            </w:pPr>
          </w:p>
        </w:tc>
        <w:tc>
          <w:tcPr>
            <w:tcW w:w="74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jc w:val="right"/>
              <w:ind w:right="73"/>
              <w:spacing w:after="0"/>
              <w:rPr>
                <w:sz w:val="20"/>
                <w:szCs w:val="20"/>
                <w:color w:val="auto"/>
              </w:rPr>
            </w:pPr>
            <w:r>
              <w:rPr>
                <w:rFonts w:ascii="Arial" w:cs="Arial" w:eastAsia="Arial" w:hAnsi="Arial"/>
                <w:sz w:val="14"/>
                <w:szCs w:val="14"/>
                <w:color w:val="auto"/>
              </w:rPr>
              <w:t>30,839</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375,002</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760" w:type="dxa"/>
            <w:vAlign w:val="bottom"/>
            <w:tcBorders>
              <w:right w:val="single" w:sz="8" w:color="93A1D2"/>
            </w:tcBorders>
            <w:vMerge w:val="restart"/>
          </w:tcPr>
          <w:p>
            <w:pPr>
              <w:jc w:val="center"/>
              <w:ind w:right="52"/>
              <w:spacing w:after="0"/>
              <w:rPr>
                <w:sz w:val="20"/>
                <w:szCs w:val="20"/>
                <w:color w:val="auto"/>
              </w:rPr>
            </w:pPr>
            <w:r>
              <w:rPr>
                <w:rFonts w:ascii="Arial" w:cs="Arial" w:eastAsia="Arial" w:hAnsi="Arial"/>
                <w:sz w:val="14"/>
                <w:szCs w:val="14"/>
                <w:color w:val="auto"/>
              </w:rPr>
              <w:t>135,450</w:t>
            </w:r>
          </w:p>
        </w:tc>
        <w:tc>
          <w:tcPr>
            <w:tcW w:w="80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right w:val="single" w:sz="8" w:color="93A1D2"/>
            </w:tcBorders>
          </w:tcPr>
          <w:p>
            <w:pPr>
              <w:spacing w:after="0" w:line="20" w:lineRule="exact"/>
              <w:rPr>
                <w:sz w:val="1"/>
                <w:szCs w:val="1"/>
                <w:color w:val="auto"/>
              </w:rPr>
            </w:pPr>
          </w:p>
        </w:tc>
        <w:tc>
          <w:tcPr>
            <w:tcW w:w="680" w:type="dxa"/>
            <w:vAlign w:val="bottom"/>
            <w:tcBorders>
              <w:right w:val="single" w:sz="8" w:color="93A1D2"/>
            </w:tcBorders>
          </w:tcPr>
          <w:p>
            <w:pPr>
              <w:spacing w:after="0" w:line="20" w:lineRule="exact"/>
              <w:rPr>
                <w:sz w:val="1"/>
                <w:szCs w:val="1"/>
                <w:color w:val="auto"/>
              </w:rPr>
            </w:pPr>
          </w:p>
        </w:tc>
        <w:tc>
          <w:tcPr>
            <w:tcW w:w="74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shd w:val="clear" w:color="auto" w:fill="CCCCCC"/>
          </w:tcPr>
          <w:p>
            <w:pPr>
              <w:spacing w:after="0"/>
              <w:rPr>
                <w:sz w:val="21"/>
                <w:szCs w:val="21"/>
                <w:color w:val="auto"/>
              </w:rPr>
            </w:pPr>
          </w:p>
        </w:tc>
        <w:tc>
          <w:tcPr>
            <w:tcW w:w="760" w:type="dxa"/>
            <w:vAlign w:val="bottom"/>
            <w:tcBorders>
              <w:right w:val="single" w:sz="8" w:color="93A1D2"/>
            </w:tcBorders>
            <w:vMerge w:val="continue"/>
          </w:tcPr>
          <w:p>
            <w:pPr>
              <w:spacing w:after="0"/>
              <w:rPr>
                <w:sz w:val="21"/>
                <w:szCs w:val="21"/>
                <w:color w:val="auto"/>
              </w:rPr>
            </w:pPr>
          </w:p>
        </w:tc>
        <w:tc>
          <w:tcPr>
            <w:tcW w:w="800" w:type="dxa"/>
            <w:vAlign w:val="bottom"/>
            <w:tcBorders>
              <w:right w:val="single" w:sz="8" w:color="93A1D2"/>
            </w:tcBorders>
          </w:tcPr>
          <w:p>
            <w:pPr>
              <w:jc w:val="right"/>
              <w:ind w:right="90"/>
              <w:spacing w:after="0"/>
              <w:rPr>
                <w:sz w:val="20"/>
                <w:szCs w:val="20"/>
                <w:color w:val="auto"/>
              </w:rPr>
            </w:pPr>
            <w:r>
              <w:rPr>
                <w:rFonts w:ascii="Arial" w:cs="Arial" w:eastAsia="Arial" w:hAnsi="Arial"/>
                <w:sz w:val="14"/>
                <w:szCs w:val="14"/>
                <w:color w:val="auto"/>
              </w:rPr>
              <w:t>270,900</w:t>
            </w:r>
          </w:p>
        </w:tc>
        <w:tc>
          <w:tcPr>
            <w:tcW w:w="800" w:type="dxa"/>
            <w:vAlign w:val="bottom"/>
            <w:tcBorders>
              <w:right w:val="single" w:sz="8" w:color="93A1D2"/>
            </w:tcBorders>
          </w:tcPr>
          <w:p>
            <w:pPr>
              <w:jc w:val="right"/>
              <w:ind w:right="92"/>
              <w:spacing w:after="0"/>
              <w:rPr>
                <w:sz w:val="20"/>
                <w:szCs w:val="20"/>
                <w:color w:val="auto"/>
              </w:rPr>
            </w:pPr>
            <w:r>
              <w:rPr>
                <w:rFonts w:ascii="Arial" w:cs="Arial" w:eastAsia="Arial" w:hAnsi="Arial"/>
                <w:sz w:val="14"/>
                <w:szCs w:val="14"/>
                <w:color w:val="auto"/>
              </w:rPr>
              <w:t>541,800</w:t>
            </w:r>
          </w:p>
        </w:tc>
        <w:tc>
          <w:tcPr>
            <w:tcW w:w="620" w:type="dxa"/>
            <w:vAlign w:val="bottom"/>
          </w:tcPr>
          <w:p>
            <w:pPr>
              <w:spacing w:after="0"/>
              <w:rPr>
                <w:sz w:val="21"/>
                <w:szCs w:val="21"/>
                <w:color w:val="auto"/>
              </w:rPr>
            </w:pPr>
          </w:p>
        </w:tc>
        <w:tc>
          <w:tcPr>
            <w:tcW w:w="160" w:type="dxa"/>
            <w:vAlign w:val="bottom"/>
            <w:tcBorders>
              <w:right w:val="single" w:sz="8" w:color="93A1D2"/>
            </w:tcBorders>
          </w:tcPr>
          <w:p>
            <w:pPr>
              <w:spacing w:after="0"/>
              <w:rPr>
                <w:sz w:val="21"/>
                <w:szCs w:val="21"/>
                <w:color w:val="auto"/>
              </w:rPr>
            </w:pPr>
          </w:p>
        </w:tc>
        <w:tc>
          <w:tcPr>
            <w:tcW w:w="680" w:type="dxa"/>
            <w:vAlign w:val="bottom"/>
            <w:tcBorders>
              <w:right w:val="single" w:sz="8" w:color="93A1D2"/>
            </w:tcBorders>
          </w:tcPr>
          <w:p>
            <w:pPr>
              <w:spacing w:after="0"/>
              <w:rPr>
                <w:sz w:val="21"/>
                <w:szCs w:val="21"/>
                <w:color w:val="auto"/>
              </w:rPr>
            </w:pPr>
          </w:p>
        </w:tc>
        <w:tc>
          <w:tcPr>
            <w:tcW w:w="740" w:type="dxa"/>
            <w:vAlign w:val="bottom"/>
            <w:tcBorders>
              <w:right w:val="single" w:sz="8" w:color="93A1D2"/>
            </w:tcBorders>
          </w:tcPr>
          <w:p>
            <w:pPr>
              <w:spacing w:after="0"/>
              <w:rPr>
                <w:sz w:val="21"/>
                <w:szCs w:val="21"/>
                <w:color w:val="auto"/>
              </w:rPr>
            </w:pPr>
          </w:p>
        </w:tc>
        <w:tc>
          <w:tcPr>
            <w:tcW w:w="800" w:type="dxa"/>
            <w:vAlign w:val="bottom"/>
            <w:tcBorders>
              <w:right w:val="single" w:sz="8" w:color="93A1D2"/>
            </w:tcBorders>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80" w:type="dxa"/>
            <w:vAlign w:val="bottom"/>
            <w:shd w:val="clear" w:color="auto" w:fill="CCCCCC"/>
          </w:tcPr>
          <w:p>
            <w:pPr>
              <w:spacing w:after="0" w:line="20" w:lineRule="exact"/>
              <w:rPr>
                <w:sz w:val="1"/>
                <w:szCs w:val="1"/>
                <w:color w:val="auto"/>
              </w:rPr>
            </w:pPr>
          </w:p>
        </w:tc>
        <w:tc>
          <w:tcPr>
            <w:tcW w:w="76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right w:val="single" w:sz="8" w:color="93A1D2"/>
            </w:tcBorders>
          </w:tcPr>
          <w:p>
            <w:pPr>
              <w:spacing w:after="0" w:line="20" w:lineRule="exact"/>
              <w:rPr>
                <w:sz w:val="1"/>
                <w:szCs w:val="1"/>
                <w:color w:val="auto"/>
              </w:rPr>
            </w:pPr>
          </w:p>
        </w:tc>
        <w:tc>
          <w:tcPr>
            <w:tcW w:w="680" w:type="dxa"/>
            <w:vAlign w:val="bottom"/>
            <w:tcBorders>
              <w:right w:val="single" w:sz="8" w:color="93A1D2"/>
            </w:tcBorders>
          </w:tcPr>
          <w:p>
            <w:pPr>
              <w:spacing w:after="0" w:line="20" w:lineRule="exact"/>
              <w:rPr>
                <w:sz w:val="1"/>
                <w:szCs w:val="1"/>
                <w:color w:val="auto"/>
              </w:rPr>
            </w:pPr>
          </w:p>
        </w:tc>
        <w:tc>
          <w:tcPr>
            <w:tcW w:w="740" w:type="dxa"/>
            <w:vAlign w:val="bottom"/>
            <w:tcBorders>
              <w:right w:val="single" w:sz="8" w:color="93A1D2"/>
            </w:tcBorders>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shd w:val="clear" w:color="auto" w:fill="CCCCCC"/>
          </w:tcPr>
          <w:p>
            <w:pPr>
              <w:spacing w:after="0"/>
              <w:rPr>
                <w:sz w:val="21"/>
                <w:szCs w:val="21"/>
                <w:color w:val="auto"/>
              </w:rPr>
            </w:pPr>
          </w:p>
        </w:tc>
        <w:tc>
          <w:tcPr>
            <w:tcW w:w="760" w:type="dxa"/>
            <w:vAlign w:val="bottom"/>
            <w:tcBorders>
              <w:right w:val="single" w:sz="8" w:color="93A1D2"/>
            </w:tcBorders>
            <w:shd w:val="clear" w:color="auto" w:fill="CCCCCC"/>
          </w:tcPr>
          <w:p>
            <w:pPr>
              <w:spacing w:after="0"/>
              <w:rPr>
                <w:sz w:val="21"/>
                <w:szCs w:val="21"/>
                <w:color w:val="auto"/>
              </w:rPr>
            </w:pPr>
          </w:p>
        </w:tc>
        <w:tc>
          <w:tcPr>
            <w:tcW w:w="800" w:type="dxa"/>
            <w:vAlign w:val="bottom"/>
            <w:tcBorders>
              <w:right w:val="single" w:sz="8" w:color="93A1D2"/>
            </w:tcBorders>
            <w:shd w:val="clear" w:color="auto" w:fill="CCCCCC"/>
          </w:tcPr>
          <w:p>
            <w:pPr>
              <w:spacing w:after="0"/>
              <w:rPr>
                <w:sz w:val="21"/>
                <w:szCs w:val="21"/>
                <w:color w:val="auto"/>
              </w:rPr>
            </w:pPr>
          </w:p>
        </w:tc>
        <w:tc>
          <w:tcPr>
            <w:tcW w:w="800" w:type="dxa"/>
            <w:vAlign w:val="bottom"/>
            <w:tcBorders>
              <w:right w:val="single" w:sz="8" w:color="93A1D2"/>
            </w:tcBorders>
            <w:shd w:val="clear" w:color="auto" w:fill="CCCCCC"/>
          </w:tcPr>
          <w:p>
            <w:pPr>
              <w:spacing w:after="0"/>
              <w:rPr>
                <w:sz w:val="21"/>
                <w:szCs w:val="21"/>
                <w:color w:val="auto"/>
              </w:rPr>
            </w:pPr>
          </w:p>
        </w:tc>
        <w:tc>
          <w:tcPr>
            <w:tcW w:w="620" w:type="dxa"/>
            <w:vAlign w:val="bottom"/>
            <w:shd w:val="clear" w:color="auto" w:fill="CCCCCC"/>
          </w:tcPr>
          <w:p>
            <w:pPr>
              <w:ind w:left="140"/>
              <w:spacing w:after="0"/>
              <w:rPr>
                <w:sz w:val="20"/>
                <w:szCs w:val="20"/>
                <w:color w:val="auto"/>
              </w:rPr>
            </w:pPr>
            <w:r>
              <w:rPr>
                <w:rFonts w:ascii="Arial" w:cs="Arial" w:eastAsia="Arial" w:hAnsi="Arial"/>
                <w:sz w:val="14"/>
                <w:szCs w:val="14"/>
                <w:color w:val="auto"/>
              </w:rPr>
              <w:t>12,336</w:t>
            </w:r>
          </w:p>
        </w:tc>
        <w:tc>
          <w:tcPr>
            <w:tcW w:w="160" w:type="dxa"/>
            <w:vAlign w:val="bottom"/>
            <w:tcBorders>
              <w:right w:val="single" w:sz="8" w:color="93A1D2"/>
            </w:tcBorders>
            <w:shd w:val="clear" w:color="auto" w:fill="CCCCCC"/>
          </w:tcPr>
          <w:p>
            <w:pPr>
              <w:spacing w:after="0"/>
              <w:rPr>
                <w:sz w:val="21"/>
                <w:szCs w:val="21"/>
                <w:color w:val="auto"/>
              </w:rPr>
            </w:pPr>
          </w:p>
        </w:tc>
        <w:tc>
          <w:tcPr>
            <w:tcW w:w="680" w:type="dxa"/>
            <w:vAlign w:val="bottom"/>
            <w:tcBorders>
              <w:right w:val="single" w:sz="8" w:color="93A1D2"/>
            </w:tcBorders>
            <w:shd w:val="clear" w:color="auto" w:fill="CCCCCC"/>
          </w:tcPr>
          <w:p>
            <w:pPr>
              <w:jc w:val="right"/>
              <w:ind w:right="91"/>
              <w:spacing w:after="0"/>
              <w:rPr>
                <w:sz w:val="20"/>
                <w:szCs w:val="20"/>
                <w:color w:val="auto"/>
              </w:rPr>
            </w:pPr>
            <w:r>
              <w:rPr>
                <w:rFonts w:ascii="Arial" w:cs="Arial" w:eastAsia="Arial" w:hAnsi="Arial"/>
                <w:sz w:val="14"/>
                <w:szCs w:val="14"/>
                <w:color w:val="auto"/>
              </w:rPr>
              <w:t>24,672</w:t>
            </w:r>
          </w:p>
        </w:tc>
        <w:tc>
          <w:tcPr>
            <w:tcW w:w="740" w:type="dxa"/>
            <w:vAlign w:val="bottom"/>
            <w:tcBorders>
              <w:right w:val="single" w:sz="8" w:color="93A1D2"/>
            </w:tcBorders>
            <w:shd w:val="clear" w:color="auto" w:fill="CCCCCC"/>
          </w:tcPr>
          <w:p>
            <w:pPr>
              <w:jc w:val="right"/>
              <w:ind w:right="91"/>
              <w:spacing w:after="0"/>
              <w:rPr>
                <w:sz w:val="20"/>
                <w:szCs w:val="20"/>
                <w:color w:val="auto"/>
              </w:rPr>
            </w:pPr>
            <w:r>
              <w:rPr>
                <w:rFonts w:ascii="Arial" w:cs="Arial" w:eastAsia="Arial" w:hAnsi="Arial"/>
                <w:sz w:val="14"/>
                <w:szCs w:val="14"/>
                <w:color w:val="auto"/>
              </w:rPr>
              <w:t>49,344</w:t>
            </w:r>
          </w:p>
        </w:tc>
        <w:tc>
          <w:tcPr>
            <w:tcW w:w="800" w:type="dxa"/>
            <w:vAlign w:val="bottom"/>
            <w:tcBorders>
              <w:right w:val="single" w:sz="8" w:color="93A1D2"/>
            </w:tcBorders>
            <w:shd w:val="clear" w:color="auto" w:fill="CCCCCC"/>
          </w:tcPr>
          <w:p>
            <w:pPr>
              <w:spacing w:after="0"/>
              <w:rPr>
                <w:sz w:val="21"/>
                <w:szCs w:val="21"/>
                <w:color w:val="auto"/>
              </w:rPr>
            </w:pPr>
          </w:p>
        </w:tc>
        <w:tc>
          <w:tcPr>
            <w:tcW w:w="740" w:type="dxa"/>
            <w:vAlign w:val="bottom"/>
            <w:shd w:val="clear" w:color="auto" w:fill="CCCCCC"/>
          </w:tcPr>
          <w:p>
            <w:pPr>
              <w:jc w:val="right"/>
              <w:ind w:right="11"/>
              <w:spacing w:after="0"/>
              <w:rPr>
                <w:sz w:val="20"/>
                <w:szCs w:val="20"/>
                <w:color w:val="auto"/>
              </w:rPr>
            </w:pPr>
            <w:r>
              <w:rPr>
                <w:rFonts w:ascii="Arial" w:cs="Arial" w:eastAsia="Arial" w:hAnsi="Arial"/>
                <w:sz w:val="14"/>
                <w:szCs w:val="14"/>
                <w:color w:val="auto"/>
              </w:rPr>
              <w:t>347,074</w:t>
            </w:r>
          </w:p>
        </w:tc>
        <w:tc>
          <w:tcPr>
            <w:tcW w:w="0" w:type="dxa"/>
            <w:vAlign w:val="bottom"/>
          </w:tcPr>
          <w:p>
            <w:pPr>
              <w:spacing w:after="0"/>
              <w:rPr>
                <w:sz w:val="1"/>
                <w:szCs w:val="1"/>
                <w:color w:val="auto"/>
              </w:rPr>
            </w:pPr>
          </w:p>
        </w:tc>
      </w:tr>
      <w:tr>
        <w:trPr>
          <w:trHeight w:val="231"/>
        </w:trPr>
        <w:tc>
          <w:tcPr>
            <w:tcW w:w="80" w:type="dxa"/>
            <w:vAlign w:val="bottom"/>
            <w:tcBorders>
              <w:bottom w:val="single" w:sz="8" w:color="CCCCCC"/>
            </w:tcBorders>
            <w:shd w:val="clear" w:color="auto" w:fill="CCCCCC"/>
          </w:tcPr>
          <w:p>
            <w:pPr>
              <w:spacing w:after="0"/>
              <w:rPr>
                <w:sz w:val="20"/>
                <w:szCs w:val="20"/>
                <w:color w:val="auto"/>
              </w:rPr>
            </w:pPr>
          </w:p>
        </w:tc>
        <w:tc>
          <w:tcPr>
            <w:tcW w:w="76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spacing w:after="0"/>
              <w:rPr>
                <w:sz w:val="20"/>
                <w:szCs w:val="20"/>
                <w:color w:val="auto"/>
              </w:rPr>
            </w:pPr>
          </w:p>
        </w:tc>
        <w:tc>
          <w:tcPr>
            <w:tcW w:w="620" w:type="dxa"/>
            <w:vAlign w:val="bottom"/>
            <w:tcBorders>
              <w:bottom w:val="single" w:sz="8" w:color="CCCCCC"/>
            </w:tcBorders>
            <w:shd w:val="clear" w:color="auto" w:fill="CCCCCC"/>
          </w:tcPr>
          <w:p>
            <w:pPr>
              <w:spacing w:after="0"/>
              <w:rPr>
                <w:sz w:val="20"/>
                <w:szCs w:val="20"/>
                <w:color w:val="auto"/>
              </w:rPr>
            </w:pPr>
          </w:p>
        </w:tc>
        <w:tc>
          <w:tcPr>
            <w:tcW w:w="160" w:type="dxa"/>
            <w:vAlign w:val="bottom"/>
            <w:tcBorders>
              <w:bottom w:val="single" w:sz="8" w:color="CCCCCC"/>
              <w:right w:val="single" w:sz="8" w:color="93A1D2"/>
            </w:tcBorders>
            <w:shd w:val="clear" w:color="auto" w:fill="CCCCCC"/>
          </w:tcPr>
          <w:p>
            <w:pPr>
              <w:spacing w:after="0"/>
              <w:rPr>
                <w:sz w:val="20"/>
                <w:szCs w:val="20"/>
                <w:color w:val="auto"/>
              </w:rPr>
            </w:pPr>
          </w:p>
        </w:tc>
        <w:tc>
          <w:tcPr>
            <w:tcW w:w="680" w:type="dxa"/>
            <w:vAlign w:val="bottom"/>
            <w:tcBorders>
              <w:bottom w:val="single" w:sz="8" w:color="CCCCCC"/>
              <w:right w:val="single" w:sz="8" w:color="93A1D2"/>
            </w:tcBorders>
            <w:shd w:val="clear" w:color="auto" w:fill="CCCCCC"/>
          </w:tcPr>
          <w:p>
            <w:pPr>
              <w:spacing w:after="0"/>
              <w:rPr>
                <w:sz w:val="20"/>
                <w:szCs w:val="20"/>
                <w:color w:val="auto"/>
              </w:rPr>
            </w:pPr>
          </w:p>
        </w:tc>
        <w:tc>
          <w:tcPr>
            <w:tcW w:w="740" w:type="dxa"/>
            <w:vAlign w:val="bottom"/>
            <w:tcBorders>
              <w:bottom w:val="single" w:sz="8" w:color="CCCCCC"/>
              <w:right w:val="single" w:sz="8" w:color="93A1D2"/>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jc w:val="right"/>
              <w:ind w:right="73"/>
              <w:spacing w:after="0"/>
              <w:rPr>
                <w:sz w:val="20"/>
                <w:szCs w:val="20"/>
                <w:color w:val="auto"/>
              </w:rPr>
            </w:pPr>
            <w:r>
              <w:rPr>
                <w:rFonts w:ascii="Arial" w:cs="Arial" w:eastAsia="Arial" w:hAnsi="Arial"/>
                <w:sz w:val="14"/>
                <w:szCs w:val="14"/>
                <w:color w:val="auto"/>
              </w:rPr>
              <w:t>24,672</w:t>
            </w:r>
          </w:p>
        </w:tc>
        <w:tc>
          <w:tcPr>
            <w:tcW w:w="740" w:type="dxa"/>
            <w:vAlign w:val="bottom"/>
            <w:tcBorders>
              <w:bottom w:val="single" w:sz="8" w:color="CCCCCC"/>
            </w:tcBorders>
            <w:shd w:val="clear" w:color="auto" w:fill="CCCCCC"/>
          </w:tcPr>
          <w:p>
            <w:pPr>
              <w:jc w:val="right"/>
              <w:ind w:right="11"/>
              <w:spacing w:after="0"/>
              <w:rPr>
                <w:sz w:val="20"/>
                <w:szCs w:val="20"/>
                <w:color w:val="auto"/>
              </w:rPr>
            </w:pPr>
            <w:r>
              <w:rPr>
                <w:rFonts w:ascii="Arial" w:cs="Arial" w:eastAsia="Arial" w:hAnsi="Arial"/>
                <w:sz w:val="14"/>
                <w:szCs w:val="14"/>
                <w:color w:val="auto"/>
              </w:rPr>
              <w:t>300,012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60" w:type="dxa"/>
            <w:vAlign w:val="bottom"/>
            <w:tcBorders>
              <w:right w:val="single" w:sz="8" w:color="93A1D2"/>
            </w:tcBorders>
            <w:vMerge w:val="restart"/>
          </w:tcPr>
          <w:p>
            <w:pPr>
              <w:jc w:val="center"/>
              <w:ind w:right="52"/>
              <w:spacing w:after="0"/>
              <w:rPr>
                <w:sz w:val="20"/>
                <w:szCs w:val="20"/>
                <w:color w:val="auto"/>
              </w:rPr>
            </w:pPr>
            <w:r>
              <w:rPr>
                <w:rFonts w:ascii="Arial" w:cs="Arial" w:eastAsia="Arial" w:hAnsi="Arial"/>
                <w:sz w:val="14"/>
                <w:szCs w:val="14"/>
                <w:color w:val="auto"/>
              </w:rPr>
              <w:t>162,500</w:t>
            </w:r>
          </w:p>
        </w:tc>
        <w:tc>
          <w:tcPr>
            <w:tcW w:w="80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right w:val="single" w:sz="8" w:color="93A1D2"/>
            </w:tcBorders>
          </w:tcPr>
          <w:p>
            <w:pPr>
              <w:spacing w:after="0"/>
              <w:rPr>
                <w:sz w:val="19"/>
                <w:szCs w:val="19"/>
                <w:color w:val="auto"/>
              </w:rPr>
            </w:pPr>
          </w:p>
        </w:tc>
        <w:tc>
          <w:tcPr>
            <w:tcW w:w="680" w:type="dxa"/>
            <w:vAlign w:val="bottom"/>
            <w:tcBorders>
              <w:right w:val="single" w:sz="8" w:color="93A1D2"/>
            </w:tcBorders>
          </w:tcPr>
          <w:p>
            <w:pPr>
              <w:spacing w:after="0"/>
              <w:rPr>
                <w:sz w:val="19"/>
                <w:szCs w:val="19"/>
                <w:color w:val="auto"/>
              </w:rPr>
            </w:pPr>
          </w:p>
        </w:tc>
        <w:tc>
          <w:tcPr>
            <w:tcW w:w="740" w:type="dxa"/>
            <w:vAlign w:val="bottom"/>
            <w:tcBorders>
              <w:right w:val="single" w:sz="8" w:color="93A1D2"/>
            </w:tcBorders>
          </w:tcPr>
          <w:p>
            <w:pPr>
              <w:spacing w:after="0"/>
              <w:rPr>
                <w:sz w:val="19"/>
                <w:szCs w:val="19"/>
                <w:color w:val="auto"/>
              </w:rPr>
            </w:pPr>
          </w:p>
        </w:tc>
        <w:tc>
          <w:tcPr>
            <w:tcW w:w="800" w:type="dxa"/>
            <w:vAlign w:val="bottom"/>
            <w:tcBorders>
              <w:right w:val="single" w:sz="8" w:color="93A1D2"/>
            </w:tcBorders>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760" w:type="dxa"/>
            <w:vAlign w:val="bottom"/>
            <w:tcBorders>
              <w:right w:val="single" w:sz="8" w:color="93A1D2"/>
            </w:tcBorders>
            <w:vMerge w:val="continue"/>
          </w:tcPr>
          <w:p>
            <w:pPr>
              <w:spacing w:after="0"/>
              <w:rPr>
                <w:sz w:val="24"/>
                <w:szCs w:val="24"/>
                <w:color w:val="auto"/>
              </w:rPr>
            </w:pPr>
          </w:p>
        </w:tc>
        <w:tc>
          <w:tcPr>
            <w:tcW w:w="800" w:type="dxa"/>
            <w:vAlign w:val="bottom"/>
            <w:tcBorders>
              <w:right w:val="single" w:sz="8" w:color="93A1D2"/>
            </w:tcBorders>
          </w:tcPr>
          <w:p>
            <w:pPr>
              <w:jc w:val="right"/>
              <w:ind w:right="90"/>
              <w:spacing w:after="0"/>
              <w:rPr>
                <w:sz w:val="20"/>
                <w:szCs w:val="20"/>
                <w:color w:val="auto"/>
              </w:rPr>
            </w:pPr>
            <w:r>
              <w:rPr>
                <w:rFonts w:ascii="Arial" w:cs="Arial" w:eastAsia="Arial" w:hAnsi="Arial"/>
                <w:sz w:val="14"/>
                <w:szCs w:val="14"/>
                <w:color w:val="auto"/>
              </w:rPr>
              <w:t>325,000</w:t>
            </w:r>
          </w:p>
        </w:tc>
        <w:tc>
          <w:tcPr>
            <w:tcW w:w="800" w:type="dxa"/>
            <w:vAlign w:val="bottom"/>
            <w:tcBorders>
              <w:right w:val="single" w:sz="8" w:color="93A1D2"/>
            </w:tcBorders>
          </w:tcPr>
          <w:p>
            <w:pPr>
              <w:jc w:val="right"/>
              <w:ind w:right="92"/>
              <w:spacing w:after="0"/>
              <w:rPr>
                <w:sz w:val="20"/>
                <w:szCs w:val="20"/>
                <w:color w:val="auto"/>
              </w:rPr>
            </w:pPr>
            <w:r>
              <w:rPr>
                <w:rFonts w:ascii="Arial" w:cs="Arial" w:eastAsia="Arial" w:hAnsi="Arial"/>
                <w:sz w:val="14"/>
                <w:szCs w:val="14"/>
                <w:color w:val="auto"/>
              </w:rPr>
              <w:t>650,000</w:t>
            </w:r>
          </w:p>
        </w:tc>
        <w:tc>
          <w:tcPr>
            <w:tcW w:w="620" w:type="dxa"/>
            <w:vAlign w:val="bottom"/>
          </w:tcPr>
          <w:p>
            <w:pPr>
              <w:spacing w:after="0"/>
              <w:rPr>
                <w:sz w:val="24"/>
                <w:szCs w:val="24"/>
                <w:color w:val="auto"/>
              </w:rPr>
            </w:pPr>
          </w:p>
        </w:tc>
        <w:tc>
          <w:tcPr>
            <w:tcW w:w="160" w:type="dxa"/>
            <w:vAlign w:val="bottom"/>
            <w:tcBorders>
              <w:right w:val="single" w:sz="8" w:color="93A1D2"/>
            </w:tcBorders>
          </w:tcPr>
          <w:p>
            <w:pPr>
              <w:spacing w:after="0"/>
              <w:rPr>
                <w:sz w:val="24"/>
                <w:szCs w:val="24"/>
                <w:color w:val="auto"/>
              </w:rPr>
            </w:pPr>
          </w:p>
        </w:tc>
        <w:tc>
          <w:tcPr>
            <w:tcW w:w="680" w:type="dxa"/>
            <w:vAlign w:val="bottom"/>
            <w:tcBorders>
              <w:right w:val="single" w:sz="8" w:color="93A1D2"/>
            </w:tcBorders>
          </w:tcPr>
          <w:p>
            <w:pPr>
              <w:spacing w:after="0"/>
              <w:rPr>
                <w:sz w:val="24"/>
                <w:szCs w:val="24"/>
                <w:color w:val="auto"/>
              </w:rPr>
            </w:pPr>
          </w:p>
        </w:tc>
        <w:tc>
          <w:tcPr>
            <w:tcW w:w="740" w:type="dxa"/>
            <w:vAlign w:val="bottom"/>
            <w:tcBorders>
              <w:right w:val="single" w:sz="8" w:color="93A1D2"/>
            </w:tcBorders>
          </w:tcPr>
          <w:p>
            <w:pPr>
              <w:spacing w:after="0"/>
              <w:rPr>
                <w:sz w:val="24"/>
                <w:szCs w:val="24"/>
                <w:color w:val="auto"/>
              </w:rPr>
            </w:pPr>
          </w:p>
        </w:tc>
        <w:tc>
          <w:tcPr>
            <w:tcW w:w="800" w:type="dxa"/>
            <w:vAlign w:val="bottom"/>
            <w:tcBorders>
              <w:right w:val="single" w:sz="8" w:color="93A1D2"/>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3">
            <w:col w:w="2100" w:space="240"/>
            <w:col w:w="1540" w:space="0"/>
            <w:col w:w="7140"/>
          </w:cols>
          <w:pgMar w:left="440" w:top="114" w:right="439" w:bottom="1440" w:gutter="0" w:footer="0" w:header="0"/>
          <w:type w:val="continuous"/>
        </w:sectPr>
      </w:pPr>
    </w:p>
    <w:p>
      <w:pPr>
        <w:ind w:left="1280" w:hanging="348"/>
        <w:spacing w:after="0"/>
        <w:tabs>
          <w:tab w:leader="none" w:pos="1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column indicates if the date on which our compensation committee approved the award differs from the award grant date.</w:t>
      </w:r>
    </w:p>
    <w:p>
      <w:pPr>
        <w:spacing w:after="0" w:line="109" w:lineRule="exact"/>
        <w:rPr>
          <w:rFonts w:ascii="Arial" w:cs="Arial" w:eastAsia="Arial" w:hAnsi="Arial"/>
          <w:sz w:val="14"/>
          <w:szCs w:val="14"/>
          <w:color w:val="auto"/>
        </w:rPr>
      </w:pPr>
    </w:p>
    <w:p>
      <w:pPr>
        <w:jc w:val="both"/>
        <w:ind w:left="1280" w:right="940" w:hanging="348"/>
        <w:spacing w:after="0" w:line="249" w:lineRule="auto"/>
        <w:tabs>
          <w:tab w:leader="none" w:pos="1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in this column represent the possible awards under the Short Term Incentive Plan (“STIP”). Actual payments under these awards were determined in February 2026, paid in March 2026, and are included in the Non-Equity Incentive Plan Compensation column of the 2025 Summary Compensation Table. Pursuant to his offer letter, Mr. Laden’s target STIP opportunity for 2025 was 65% of his base salary. The material terms of Mr. Laden’s offer letter is set forth above under the heading “Agreements with Named Executive Officers.” Ms. Rasmussen received a pro rated STIP award for fiscal year 2025, based on two months and three days of service, and on actual performance for the year. See “Transition and Separation Agreement with Ms. Rasmussen” for a description of her transition and separation agreement.</w:t>
      </w:r>
    </w:p>
    <w:p>
      <w:pPr>
        <w:spacing w:after="0" w:line="239" w:lineRule="exact"/>
        <w:rPr>
          <w:rFonts w:ascii="Arial" w:cs="Arial" w:eastAsia="Arial" w:hAnsi="Arial"/>
          <w:sz w:val="14"/>
          <w:szCs w:val="14"/>
          <w:color w:val="auto"/>
        </w:rPr>
      </w:pPr>
    </w:p>
    <w:p>
      <w:pPr>
        <w:ind w:left="1280" w:hanging="348"/>
        <w:spacing w:after="0"/>
        <w:tabs>
          <w:tab w:leader="none" w:pos="1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All of the awards reported in this table were made under the 2017 Omnibus Plan.</w:t>
      </w:r>
    </w:p>
    <w:p>
      <w:pPr>
        <w:spacing w:after="0" w:line="109" w:lineRule="exact"/>
        <w:rPr>
          <w:rFonts w:ascii="Arial" w:cs="Arial" w:eastAsia="Arial" w:hAnsi="Arial"/>
          <w:sz w:val="14"/>
          <w:szCs w:val="14"/>
          <w:color w:val="auto"/>
        </w:rPr>
      </w:pPr>
    </w:p>
    <w:p>
      <w:pPr>
        <w:jc w:val="both"/>
        <w:ind w:left="1280" w:right="960" w:hanging="348"/>
        <w:spacing w:after="0" w:line="263" w:lineRule="auto"/>
        <w:tabs>
          <w:tab w:leader="none" w:pos="1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performance stock units reported in this table at the target level have a three-year performance period. The number of shares issued at vesting will be determined as described above under “Compensation Discussion and Analysis—Elements of Compensation—Long-Term Incentive Awards—Performance Stock Units,” and will range from 0% to 200% of the target award.</w:t>
      </w:r>
    </w:p>
    <w:p>
      <w:pPr>
        <w:spacing w:after="0" w:line="64" w:lineRule="exact"/>
        <w:rPr>
          <w:rFonts w:ascii="Arial" w:cs="Arial" w:eastAsia="Arial" w:hAnsi="Arial"/>
          <w:sz w:val="14"/>
          <w:szCs w:val="14"/>
          <w:color w:val="auto"/>
        </w:rPr>
      </w:pPr>
    </w:p>
    <w:p>
      <w:pPr>
        <w:jc w:val="both"/>
        <w:ind w:left="1280" w:right="960" w:hanging="348"/>
        <w:spacing w:after="0" w:line="263" w:lineRule="auto"/>
        <w:tabs>
          <w:tab w:leader="none" w:pos="1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One third of the restricted stock units reported in the table vest on the first three anniversaries of the grant date. Mr. Fahs’ RSUs also vest on the first three anniversaries of the grant date but are conditioned upon his continued employment through the date of our annual meeting in 2027, which is when the initial term of the Executive Chair Agreement ends.</w:t>
      </w:r>
    </w:p>
    <w:p>
      <w:pPr>
        <w:spacing w:after="0" w:line="64" w:lineRule="exact"/>
        <w:rPr>
          <w:rFonts w:ascii="Arial" w:cs="Arial" w:eastAsia="Arial" w:hAnsi="Arial"/>
          <w:sz w:val="14"/>
          <w:szCs w:val="14"/>
          <w:color w:val="auto"/>
        </w:rPr>
      </w:pPr>
    </w:p>
    <w:p>
      <w:pPr>
        <w:jc w:val="both"/>
        <w:ind w:left="1280" w:right="940" w:hanging="348"/>
        <w:spacing w:after="0" w:line="263" w:lineRule="auto"/>
        <w:tabs>
          <w:tab w:leader="none" w:pos="1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the grant date fair value of the restricted stock unit awards under FASB ASC Topic 718. Information about the assumptions used to value these awards is set forth in our Annual Report on Form 10-K in Note 6 to our Consolidated Financial Statements for the year ended January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46990</wp:posOffset>
            </wp:positionV>
            <wp:extent cx="205740" cy="2057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51</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type w:val="continuous"/>
        </w:sectPr>
      </w:pPr>
    </w:p>
    <w:bookmarkStart w:id="58" w:name="page59"/>
    <w:bookmarkEnd w:id="5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Outstanding Equity Awards at January 3, 2026</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1360" w:type="dxa"/>
            <w:vAlign w:val="bottom"/>
            <w:tcBorders>
              <w:top w:val="single" w:sz="8" w:color="3465B0"/>
              <w:left w:val="single" w:sz="8" w:color="3465B0"/>
              <w:right w:val="single" w:sz="8" w:color="3465B0"/>
            </w:tcBorders>
            <w:shd w:val="clear" w:color="auto" w:fill="3465B0"/>
          </w:tcPr>
          <w:p>
            <w:pPr>
              <w:spacing w:after="0"/>
              <w:rPr>
                <w:sz w:val="10"/>
                <w:szCs w:val="10"/>
                <w:color w:val="auto"/>
              </w:rPr>
            </w:pPr>
          </w:p>
        </w:tc>
        <w:tc>
          <w:tcPr>
            <w:tcW w:w="40" w:type="dxa"/>
            <w:vAlign w:val="bottom"/>
            <w:tcBorders>
              <w:top w:val="single" w:sz="8" w:color="3465B0"/>
            </w:tcBorders>
            <w:shd w:val="clear" w:color="auto" w:fill="3465B0"/>
          </w:tcPr>
          <w:p>
            <w:pPr>
              <w:spacing w:after="0"/>
              <w:rPr>
                <w:sz w:val="10"/>
                <w:szCs w:val="10"/>
                <w:color w:val="auto"/>
              </w:rPr>
            </w:pPr>
          </w:p>
        </w:tc>
        <w:tc>
          <w:tcPr>
            <w:tcW w:w="680" w:type="dxa"/>
            <w:vAlign w:val="bottom"/>
            <w:tcBorders>
              <w:top w:val="single" w:sz="8" w:color="3465B0"/>
            </w:tcBorders>
            <w:shd w:val="clear" w:color="auto" w:fill="3465B0"/>
          </w:tcPr>
          <w:p>
            <w:pPr>
              <w:spacing w:after="0"/>
              <w:rPr>
                <w:sz w:val="10"/>
                <w:szCs w:val="10"/>
                <w:color w:val="auto"/>
              </w:rPr>
            </w:pPr>
          </w:p>
        </w:tc>
        <w:tc>
          <w:tcPr>
            <w:tcW w:w="100" w:type="dxa"/>
            <w:vAlign w:val="bottom"/>
            <w:tcBorders>
              <w:top w:val="single" w:sz="8" w:color="3465B0"/>
              <w:right w:val="single" w:sz="8" w:color="93A1D2"/>
            </w:tcBorders>
            <w:shd w:val="clear" w:color="auto" w:fill="3465B0"/>
          </w:tcPr>
          <w:p>
            <w:pPr>
              <w:spacing w:after="0"/>
              <w:rPr>
                <w:sz w:val="10"/>
                <w:szCs w:val="10"/>
                <w:color w:val="auto"/>
              </w:rPr>
            </w:pPr>
          </w:p>
        </w:tc>
        <w:tc>
          <w:tcPr>
            <w:tcW w:w="60" w:type="dxa"/>
            <w:vAlign w:val="bottom"/>
            <w:tcBorders>
              <w:top w:val="single" w:sz="8" w:color="3465B0"/>
            </w:tcBorders>
            <w:shd w:val="clear" w:color="auto" w:fill="3465B0"/>
          </w:tcPr>
          <w:p>
            <w:pPr>
              <w:spacing w:after="0"/>
              <w:rPr>
                <w:sz w:val="10"/>
                <w:szCs w:val="10"/>
                <w:color w:val="auto"/>
              </w:rPr>
            </w:pPr>
          </w:p>
        </w:tc>
        <w:tc>
          <w:tcPr>
            <w:tcW w:w="880" w:type="dxa"/>
            <w:vAlign w:val="bottom"/>
            <w:tcBorders>
              <w:top w:val="single" w:sz="8" w:color="3465B0"/>
              <w:right w:val="single" w:sz="8" w:color="3465B0"/>
            </w:tcBorders>
            <w:shd w:val="clear" w:color="auto" w:fill="3465B0"/>
          </w:tcPr>
          <w:p>
            <w:pPr>
              <w:spacing w:after="0"/>
              <w:rPr>
                <w:sz w:val="10"/>
                <w:szCs w:val="10"/>
                <w:color w:val="auto"/>
              </w:rPr>
            </w:pPr>
          </w:p>
        </w:tc>
        <w:tc>
          <w:tcPr>
            <w:tcW w:w="60" w:type="dxa"/>
            <w:vAlign w:val="bottom"/>
            <w:tcBorders>
              <w:top w:val="single" w:sz="8" w:color="3465B0"/>
            </w:tcBorders>
            <w:shd w:val="clear" w:color="auto" w:fill="3465B0"/>
          </w:tcPr>
          <w:p>
            <w:pPr>
              <w:spacing w:after="0"/>
              <w:rPr>
                <w:sz w:val="10"/>
                <w:szCs w:val="10"/>
                <w:color w:val="auto"/>
              </w:rPr>
            </w:pPr>
          </w:p>
        </w:tc>
        <w:tc>
          <w:tcPr>
            <w:tcW w:w="1720" w:type="dxa"/>
            <w:vAlign w:val="bottom"/>
            <w:tcBorders>
              <w:top w:val="single" w:sz="8" w:color="3465B0"/>
              <w:right w:val="single" w:sz="8" w:color="3465B0"/>
            </w:tcBorders>
            <w:gridSpan w:val="3"/>
            <w:vMerge w:val="restart"/>
            <w:shd w:val="clear" w:color="auto" w:fill="3465B0"/>
          </w:tcPr>
          <w:p>
            <w:pPr>
              <w:jc w:val="right"/>
              <w:ind w:right="433"/>
              <w:spacing w:after="0"/>
              <w:rPr>
                <w:sz w:val="20"/>
                <w:szCs w:val="20"/>
                <w:color w:val="auto"/>
              </w:rPr>
            </w:pPr>
            <w:r>
              <w:rPr>
                <w:rFonts w:ascii="Arial" w:cs="Arial" w:eastAsia="Arial" w:hAnsi="Arial"/>
                <w:sz w:val="13"/>
                <w:szCs w:val="13"/>
                <w:b w:val="1"/>
                <w:bCs w:val="1"/>
                <w:color w:val="FFFFFF"/>
              </w:rPr>
              <w:t>Option Awards</w:t>
            </w:r>
          </w:p>
        </w:tc>
        <w:tc>
          <w:tcPr>
            <w:tcW w:w="60" w:type="dxa"/>
            <w:vAlign w:val="bottom"/>
            <w:tcBorders>
              <w:top w:val="single" w:sz="8" w:color="3465B0"/>
            </w:tcBorders>
            <w:shd w:val="clear" w:color="auto" w:fill="3465B0"/>
          </w:tcPr>
          <w:p>
            <w:pPr>
              <w:spacing w:after="0"/>
              <w:rPr>
                <w:sz w:val="10"/>
                <w:szCs w:val="10"/>
                <w:color w:val="auto"/>
              </w:rPr>
            </w:pPr>
          </w:p>
        </w:tc>
        <w:tc>
          <w:tcPr>
            <w:tcW w:w="780" w:type="dxa"/>
            <w:vAlign w:val="bottom"/>
            <w:tcBorders>
              <w:top w:val="single" w:sz="8" w:color="3465B0"/>
              <w:right w:val="single" w:sz="8" w:color="93A1D2"/>
            </w:tcBorders>
            <w:shd w:val="clear" w:color="auto" w:fill="3465B0"/>
          </w:tcPr>
          <w:p>
            <w:pPr>
              <w:spacing w:after="0"/>
              <w:rPr>
                <w:sz w:val="10"/>
                <w:szCs w:val="10"/>
                <w:color w:val="auto"/>
              </w:rPr>
            </w:pPr>
          </w:p>
        </w:tc>
        <w:tc>
          <w:tcPr>
            <w:tcW w:w="60" w:type="dxa"/>
            <w:vAlign w:val="bottom"/>
            <w:tcBorders>
              <w:top w:val="single" w:sz="8" w:color="3465B0"/>
            </w:tcBorders>
            <w:shd w:val="clear" w:color="auto" w:fill="3465B0"/>
          </w:tcPr>
          <w:p>
            <w:pPr>
              <w:spacing w:after="0"/>
              <w:rPr>
                <w:sz w:val="10"/>
                <w:szCs w:val="10"/>
                <w:color w:val="auto"/>
              </w:rPr>
            </w:pPr>
          </w:p>
        </w:tc>
        <w:tc>
          <w:tcPr>
            <w:tcW w:w="680" w:type="dxa"/>
            <w:vAlign w:val="bottom"/>
            <w:tcBorders>
              <w:top w:val="single" w:sz="8" w:color="3465B0"/>
            </w:tcBorders>
            <w:shd w:val="clear" w:color="auto" w:fill="3465B0"/>
          </w:tcPr>
          <w:p>
            <w:pPr>
              <w:spacing w:after="0"/>
              <w:rPr>
                <w:sz w:val="10"/>
                <w:szCs w:val="10"/>
                <w:color w:val="auto"/>
              </w:rPr>
            </w:pPr>
          </w:p>
        </w:tc>
        <w:tc>
          <w:tcPr>
            <w:tcW w:w="100" w:type="dxa"/>
            <w:vAlign w:val="bottom"/>
            <w:tcBorders>
              <w:top w:val="single" w:sz="8" w:color="3465B0"/>
              <w:right w:val="single" w:sz="8" w:color="3465B0"/>
            </w:tcBorders>
            <w:shd w:val="clear" w:color="auto" w:fill="3465B0"/>
          </w:tcPr>
          <w:p>
            <w:pPr>
              <w:spacing w:after="0"/>
              <w:rPr>
                <w:sz w:val="10"/>
                <w:szCs w:val="10"/>
                <w:color w:val="auto"/>
              </w:rPr>
            </w:pPr>
          </w:p>
        </w:tc>
        <w:tc>
          <w:tcPr>
            <w:tcW w:w="60" w:type="dxa"/>
            <w:vAlign w:val="bottom"/>
            <w:tcBorders>
              <w:top w:val="single" w:sz="8" w:color="3465B0"/>
            </w:tcBorders>
            <w:shd w:val="clear" w:color="auto" w:fill="3465B0"/>
          </w:tcPr>
          <w:p>
            <w:pPr>
              <w:spacing w:after="0"/>
              <w:rPr>
                <w:sz w:val="10"/>
                <w:szCs w:val="10"/>
                <w:color w:val="auto"/>
              </w:rPr>
            </w:pPr>
          </w:p>
        </w:tc>
        <w:tc>
          <w:tcPr>
            <w:tcW w:w="1740" w:type="dxa"/>
            <w:vAlign w:val="bottom"/>
            <w:tcBorders>
              <w:top w:val="single" w:sz="8" w:color="3465B0"/>
              <w:right w:val="single" w:sz="8" w:color="3465B0"/>
            </w:tcBorders>
            <w:gridSpan w:val="4"/>
            <w:vMerge w:val="restart"/>
            <w:shd w:val="clear" w:color="auto" w:fill="3465B0"/>
          </w:tcPr>
          <w:p>
            <w:pPr>
              <w:jc w:val="right"/>
              <w:ind w:right="520"/>
              <w:spacing w:after="0"/>
              <w:rPr>
                <w:sz w:val="20"/>
                <w:szCs w:val="20"/>
                <w:color w:val="auto"/>
              </w:rPr>
            </w:pPr>
            <w:r>
              <w:rPr>
                <w:rFonts w:ascii="Arial" w:cs="Arial" w:eastAsia="Arial" w:hAnsi="Arial"/>
                <w:sz w:val="13"/>
                <w:szCs w:val="13"/>
                <w:b w:val="1"/>
                <w:bCs w:val="1"/>
                <w:color w:val="FFFFFF"/>
              </w:rPr>
              <w:t>Stock Awards</w:t>
            </w:r>
          </w:p>
        </w:tc>
        <w:tc>
          <w:tcPr>
            <w:tcW w:w="60" w:type="dxa"/>
            <w:vAlign w:val="bottom"/>
            <w:tcBorders>
              <w:top w:val="single" w:sz="8" w:color="3465B0"/>
            </w:tcBorders>
            <w:shd w:val="clear" w:color="auto" w:fill="3465B0"/>
          </w:tcPr>
          <w:p>
            <w:pPr>
              <w:spacing w:after="0"/>
              <w:rPr>
                <w:sz w:val="10"/>
                <w:szCs w:val="10"/>
                <w:color w:val="auto"/>
              </w:rPr>
            </w:pPr>
          </w:p>
        </w:tc>
        <w:tc>
          <w:tcPr>
            <w:tcW w:w="720" w:type="dxa"/>
            <w:vAlign w:val="bottom"/>
            <w:tcBorders>
              <w:top w:val="single" w:sz="8" w:color="3465B0"/>
              <w:right w:val="single" w:sz="8" w:color="3465B0"/>
            </w:tcBorders>
            <w:shd w:val="clear" w:color="auto" w:fill="3465B0"/>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60" w:type="dxa"/>
            <w:vAlign w:val="bottom"/>
            <w:tcBorders>
              <w:left w:val="single" w:sz="8" w:color="3465B0"/>
              <w:bottom w:val="single" w:sz="8" w:color="3465B0"/>
              <w:right w:val="single" w:sz="8" w:color="3465B0"/>
            </w:tcBorders>
            <w:shd w:val="clear" w:color="auto" w:fill="3465B0"/>
          </w:tcPr>
          <w:p>
            <w:pPr>
              <w:spacing w:after="0"/>
              <w:rPr>
                <w:sz w:val="14"/>
                <w:szCs w:val="14"/>
                <w:color w:val="auto"/>
              </w:rPr>
            </w:pPr>
          </w:p>
        </w:tc>
        <w:tc>
          <w:tcPr>
            <w:tcW w:w="40" w:type="dxa"/>
            <w:vAlign w:val="bottom"/>
            <w:tcBorders>
              <w:bottom w:val="single" w:sz="8" w:color="3465B0"/>
            </w:tcBorders>
            <w:shd w:val="clear" w:color="auto" w:fill="3465B0"/>
          </w:tcPr>
          <w:p>
            <w:pPr>
              <w:spacing w:after="0"/>
              <w:rPr>
                <w:sz w:val="14"/>
                <w:szCs w:val="14"/>
                <w:color w:val="auto"/>
              </w:rPr>
            </w:pPr>
          </w:p>
        </w:tc>
        <w:tc>
          <w:tcPr>
            <w:tcW w:w="680" w:type="dxa"/>
            <w:vAlign w:val="bottom"/>
            <w:tcBorders>
              <w:bottom w:val="single" w:sz="8" w:color="3465B0"/>
            </w:tcBorders>
            <w:shd w:val="clear" w:color="auto" w:fill="3465B0"/>
          </w:tcPr>
          <w:p>
            <w:pPr>
              <w:spacing w:after="0"/>
              <w:rPr>
                <w:sz w:val="14"/>
                <w:szCs w:val="14"/>
                <w:color w:val="auto"/>
              </w:rPr>
            </w:pPr>
          </w:p>
        </w:tc>
        <w:tc>
          <w:tcPr>
            <w:tcW w:w="100" w:type="dxa"/>
            <w:vAlign w:val="bottom"/>
            <w:tcBorders>
              <w:bottom w:val="single" w:sz="8" w:color="3465B0"/>
              <w:right w:val="single" w:sz="8" w:color="93A1D2"/>
            </w:tcBorders>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880" w:type="dxa"/>
            <w:vAlign w:val="bottom"/>
            <w:tcBorders>
              <w:bottom w:val="single" w:sz="8" w:color="3465B0"/>
              <w:right w:val="single" w:sz="8" w:color="3465B0"/>
            </w:tcBorders>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1720" w:type="dxa"/>
            <w:vAlign w:val="bottom"/>
            <w:tcBorders>
              <w:bottom w:val="single" w:sz="8" w:color="3465B0"/>
              <w:right w:val="single" w:sz="8" w:color="3465B0"/>
            </w:tcBorders>
            <w:gridSpan w:val="3"/>
            <w:vMerge w:val="continue"/>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780" w:type="dxa"/>
            <w:vAlign w:val="bottom"/>
            <w:tcBorders>
              <w:bottom w:val="single" w:sz="8" w:color="3465B0"/>
              <w:right w:val="single" w:sz="8" w:color="3465B0"/>
            </w:tcBorders>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680" w:type="dxa"/>
            <w:vAlign w:val="bottom"/>
            <w:tcBorders>
              <w:bottom w:val="single" w:sz="8" w:color="3465B0"/>
            </w:tcBorders>
            <w:shd w:val="clear" w:color="auto" w:fill="3465B0"/>
          </w:tcPr>
          <w:p>
            <w:pPr>
              <w:spacing w:after="0"/>
              <w:rPr>
                <w:sz w:val="14"/>
                <w:szCs w:val="14"/>
                <w:color w:val="auto"/>
              </w:rPr>
            </w:pPr>
          </w:p>
        </w:tc>
        <w:tc>
          <w:tcPr>
            <w:tcW w:w="100" w:type="dxa"/>
            <w:vAlign w:val="bottom"/>
            <w:tcBorders>
              <w:bottom w:val="single" w:sz="8" w:color="3465B0"/>
              <w:right w:val="single" w:sz="8" w:color="3465B0"/>
            </w:tcBorders>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1740" w:type="dxa"/>
            <w:vAlign w:val="bottom"/>
            <w:tcBorders>
              <w:bottom w:val="single" w:sz="8" w:color="3465B0"/>
              <w:right w:val="single" w:sz="8" w:color="3465B0"/>
            </w:tcBorders>
            <w:gridSpan w:val="4"/>
            <w:vMerge w:val="continue"/>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720" w:type="dxa"/>
            <w:vAlign w:val="bottom"/>
            <w:tcBorders>
              <w:bottom w:val="single" w:sz="8" w:color="3465B0"/>
              <w:right w:val="single" w:sz="8" w:color="3465B0"/>
            </w:tcBorders>
            <w:shd w:val="clear" w:color="auto" w:fill="3465B0"/>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360" w:type="dxa"/>
            <w:vAlign w:val="bottom"/>
            <w:tcBorders>
              <w:left w:val="single" w:sz="8" w:color="3465B0"/>
              <w:right w:val="single" w:sz="8" w:color="3465B0"/>
            </w:tcBorders>
            <w:shd w:val="clear" w:color="auto" w:fill="3465B0"/>
          </w:tcPr>
          <w:p>
            <w:pPr>
              <w:spacing w:after="0"/>
              <w:rPr>
                <w:sz w:val="13"/>
                <w:szCs w:val="13"/>
                <w:color w:val="auto"/>
              </w:rPr>
            </w:pPr>
          </w:p>
        </w:tc>
        <w:tc>
          <w:tcPr>
            <w:tcW w:w="40" w:type="dxa"/>
            <w:vAlign w:val="bottom"/>
            <w:shd w:val="clear" w:color="auto" w:fill="3465B0"/>
          </w:tcPr>
          <w:p>
            <w:pPr>
              <w:spacing w:after="0"/>
              <w:rPr>
                <w:sz w:val="13"/>
                <w:szCs w:val="13"/>
                <w:color w:val="auto"/>
              </w:rPr>
            </w:pPr>
          </w:p>
        </w:tc>
        <w:tc>
          <w:tcPr>
            <w:tcW w:w="680" w:type="dxa"/>
            <w:vAlign w:val="bottom"/>
            <w:shd w:val="clear" w:color="auto" w:fill="3465B0"/>
          </w:tcPr>
          <w:p>
            <w:pPr>
              <w:spacing w:after="0"/>
              <w:rPr>
                <w:sz w:val="13"/>
                <w:szCs w:val="13"/>
                <w:color w:val="auto"/>
              </w:rPr>
            </w:pPr>
          </w:p>
        </w:tc>
        <w:tc>
          <w:tcPr>
            <w:tcW w:w="10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88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102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64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78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680" w:type="dxa"/>
            <w:vAlign w:val="bottom"/>
            <w:shd w:val="clear" w:color="auto" w:fill="3465B0"/>
          </w:tcPr>
          <w:p>
            <w:pPr>
              <w:spacing w:after="0"/>
              <w:rPr>
                <w:sz w:val="13"/>
                <w:szCs w:val="13"/>
                <w:color w:val="auto"/>
              </w:rPr>
            </w:pPr>
          </w:p>
        </w:tc>
        <w:tc>
          <w:tcPr>
            <w:tcW w:w="10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78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800" w:type="dxa"/>
            <w:vAlign w:val="bottom"/>
            <w:shd w:val="clear" w:color="auto" w:fill="3465B0"/>
          </w:tcPr>
          <w:p>
            <w:pPr>
              <w:spacing w:after="0"/>
              <w:rPr>
                <w:sz w:val="13"/>
                <w:szCs w:val="13"/>
                <w:color w:val="auto"/>
              </w:rPr>
            </w:pPr>
          </w:p>
        </w:tc>
        <w:tc>
          <w:tcPr>
            <w:tcW w:w="10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72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0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0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Plan</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0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66"/>
        </w:trPr>
        <w:tc>
          <w:tcPr>
            <w:tcW w:w="1360" w:type="dxa"/>
            <w:vAlign w:val="bottom"/>
            <w:tcBorders>
              <w:left w:val="single" w:sz="8" w:color="3465B0"/>
              <w:right w:val="single" w:sz="8" w:color="3465B0"/>
            </w:tcBorders>
            <w:shd w:val="clear" w:color="auto" w:fill="3465B0"/>
          </w:tcPr>
          <w:p>
            <w:pPr>
              <w:spacing w:after="0"/>
              <w:rPr>
                <w:sz w:val="14"/>
                <w:szCs w:val="14"/>
                <w:color w:val="auto"/>
              </w:rPr>
            </w:pPr>
          </w:p>
        </w:tc>
        <w:tc>
          <w:tcPr>
            <w:tcW w:w="40" w:type="dxa"/>
            <w:vAlign w:val="bottom"/>
            <w:shd w:val="clear" w:color="auto" w:fill="3465B0"/>
          </w:tcPr>
          <w:p>
            <w:pPr>
              <w:spacing w:after="0"/>
              <w:rPr>
                <w:sz w:val="14"/>
                <w:szCs w:val="14"/>
                <w:color w:val="auto"/>
              </w:rPr>
            </w:pPr>
          </w:p>
        </w:tc>
        <w:tc>
          <w:tcPr>
            <w:tcW w:w="680" w:type="dxa"/>
            <w:vAlign w:val="bottom"/>
            <w:shd w:val="clear" w:color="auto" w:fill="3465B0"/>
          </w:tcPr>
          <w:p>
            <w:pPr>
              <w:spacing w:after="0"/>
              <w:rPr>
                <w:sz w:val="14"/>
                <w:szCs w:val="14"/>
                <w:color w:val="auto"/>
              </w:rPr>
            </w:pPr>
          </w:p>
        </w:tc>
        <w:tc>
          <w:tcPr>
            <w:tcW w:w="10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88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102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64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78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680" w:type="dxa"/>
            <w:vAlign w:val="bottom"/>
            <w:shd w:val="clear" w:color="auto" w:fill="3465B0"/>
          </w:tcPr>
          <w:p>
            <w:pPr>
              <w:spacing w:after="0"/>
              <w:rPr>
                <w:sz w:val="14"/>
                <w:szCs w:val="14"/>
                <w:color w:val="auto"/>
              </w:rPr>
            </w:pPr>
          </w:p>
        </w:tc>
        <w:tc>
          <w:tcPr>
            <w:tcW w:w="10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78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900" w:type="dxa"/>
            <w:vAlign w:val="bottom"/>
            <w:tcBorders>
              <w:right w:val="single" w:sz="8" w:color="93A1D2"/>
            </w:tcBorders>
            <w:gridSpan w:val="2"/>
            <w:shd w:val="clear" w:color="auto" w:fill="3465B0"/>
          </w:tcPr>
          <w:p>
            <w:pPr>
              <w:spacing w:after="0"/>
              <w:rPr>
                <w:sz w:val="20"/>
                <w:szCs w:val="20"/>
                <w:color w:val="auto"/>
              </w:rPr>
            </w:pPr>
            <w:r>
              <w:rPr>
                <w:rFonts w:ascii="Arial" w:cs="Arial" w:eastAsia="Arial" w:hAnsi="Arial"/>
                <w:sz w:val="13"/>
                <w:szCs w:val="13"/>
                <w:b w:val="1"/>
                <w:bCs w:val="1"/>
                <w:color w:val="FFFFFF"/>
              </w:rPr>
              <w:t>Equity</w:t>
            </w:r>
          </w:p>
        </w:tc>
        <w:tc>
          <w:tcPr>
            <w:tcW w:w="60" w:type="dxa"/>
            <w:vAlign w:val="bottom"/>
            <w:shd w:val="clear" w:color="auto" w:fill="3465B0"/>
          </w:tcPr>
          <w:p>
            <w:pPr>
              <w:spacing w:after="0"/>
              <w:rPr>
                <w:sz w:val="14"/>
                <w:szCs w:val="14"/>
                <w:color w:val="auto"/>
              </w:rPr>
            </w:pPr>
          </w:p>
        </w:tc>
        <w:tc>
          <w:tcPr>
            <w:tcW w:w="72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Incentive</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Plan</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Market</w:t>
            </w: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Awards:</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Unearned</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Number of</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Number of</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gridSpan w:val="2"/>
            <w:vMerge w:val="restart"/>
            <w:shd w:val="clear" w:color="auto" w:fill="3465B0"/>
          </w:tcPr>
          <w:p>
            <w:pPr>
              <w:spacing w:after="0"/>
              <w:rPr>
                <w:sz w:val="20"/>
                <w:szCs w:val="20"/>
                <w:color w:val="auto"/>
              </w:rPr>
            </w:pPr>
            <w:r>
              <w:rPr>
                <w:rFonts w:ascii="Arial" w:cs="Arial" w:eastAsia="Arial" w:hAnsi="Arial"/>
                <w:sz w:val="13"/>
                <w:szCs w:val="13"/>
                <w:b w:val="1"/>
                <w:bCs w:val="1"/>
                <w:color w:val="FFFFFF"/>
              </w:rPr>
              <w:t>Number of</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Number of</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Shares,</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gridSpan w:val="2"/>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Value of</w:t>
            </w: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Unearned</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Units, or</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Securities</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Securities</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Shares or</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Shares or</w:t>
            </w: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Shares,</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Other</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Underlying</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Underlying</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Option</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Units of</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Units of</w:t>
            </w: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Units, or</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Rights</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Unexercised</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Unexercised</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Option</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Stock That</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Stock That</w:t>
            </w: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Other Rights</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That</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vMerge w:val="restart"/>
            <w:shd w:val="clear" w:color="auto" w:fill="3465B0"/>
          </w:tcPr>
          <w:p>
            <w:pPr>
              <w:ind w:left="100"/>
              <w:spacing w:after="0"/>
              <w:rPr>
                <w:sz w:val="20"/>
                <w:szCs w:val="20"/>
                <w:color w:val="auto"/>
              </w:rPr>
            </w:pPr>
            <w:r>
              <w:rPr>
                <w:rFonts w:ascii="Arial" w:cs="Arial" w:eastAsia="Arial" w:hAnsi="Arial"/>
                <w:sz w:val="13"/>
                <w:szCs w:val="13"/>
                <w:b w:val="1"/>
                <w:bCs w:val="1"/>
                <w:color w:val="FFFFFF"/>
              </w:rPr>
              <w:t>Named Executive</w:t>
            </w: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Options</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Options</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Exercise</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Have Not</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Have Not</w:t>
            </w:r>
          </w:p>
        </w:tc>
        <w:tc>
          <w:tcPr>
            <w:tcW w:w="60" w:type="dxa"/>
            <w:vAlign w:val="bottom"/>
            <w:shd w:val="clear" w:color="auto" w:fill="3465B0"/>
          </w:tcPr>
          <w:p>
            <w:pPr>
              <w:spacing w:after="0"/>
              <w:rPr>
                <w:sz w:val="11"/>
                <w:szCs w:val="11"/>
                <w:color w:val="auto"/>
              </w:rPr>
            </w:pPr>
          </w:p>
        </w:tc>
        <w:tc>
          <w:tcPr>
            <w:tcW w:w="900" w:type="dxa"/>
            <w:vAlign w:val="bottom"/>
            <w:tcBorders>
              <w:right w:val="single" w:sz="8" w:color="93A1D2"/>
            </w:tcBorders>
            <w:gridSpan w:val="2"/>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That Have</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144"/>
        </w:trPr>
        <w:tc>
          <w:tcPr>
            <w:tcW w:w="1360" w:type="dxa"/>
            <w:vAlign w:val="bottom"/>
            <w:tcBorders>
              <w:left w:val="single" w:sz="8" w:color="3465B0"/>
              <w:right w:val="single" w:sz="8" w:color="3465B0"/>
            </w:tcBorders>
            <w:vMerge w:val="continue"/>
            <w:shd w:val="clear" w:color="auto" w:fill="3465B0"/>
          </w:tcPr>
          <w:p>
            <w:pPr>
              <w:spacing w:after="0"/>
              <w:rPr>
                <w:sz w:val="12"/>
                <w:szCs w:val="12"/>
                <w:color w:val="auto"/>
              </w:rPr>
            </w:pPr>
          </w:p>
        </w:tc>
        <w:tc>
          <w:tcPr>
            <w:tcW w:w="40" w:type="dxa"/>
            <w:vAlign w:val="bottom"/>
            <w:shd w:val="clear" w:color="auto" w:fill="3465B0"/>
          </w:tcPr>
          <w:p>
            <w:pPr>
              <w:spacing w:after="0"/>
              <w:rPr>
                <w:sz w:val="12"/>
                <w:szCs w:val="12"/>
                <w:color w:val="auto"/>
              </w:rPr>
            </w:pPr>
          </w:p>
        </w:tc>
        <w:tc>
          <w:tcPr>
            <w:tcW w:w="680" w:type="dxa"/>
            <w:vAlign w:val="bottom"/>
            <w:vMerge w:val="restart"/>
            <w:shd w:val="clear" w:color="auto" w:fill="3465B0"/>
          </w:tcPr>
          <w:p>
            <w:pPr>
              <w:spacing w:after="0"/>
              <w:rPr>
                <w:sz w:val="20"/>
                <w:szCs w:val="20"/>
                <w:color w:val="auto"/>
              </w:rPr>
            </w:pPr>
            <w:r>
              <w:rPr>
                <w:rFonts w:ascii="Arial" w:cs="Arial" w:eastAsia="Arial" w:hAnsi="Arial"/>
                <w:sz w:val="13"/>
                <w:szCs w:val="13"/>
                <w:b w:val="1"/>
                <w:bCs w:val="1"/>
                <w:color w:val="FFFFFF"/>
                <w:w w:val="99"/>
              </w:rPr>
              <w:t>Grant Date</w:t>
            </w:r>
          </w:p>
        </w:tc>
        <w:tc>
          <w:tcPr>
            <w:tcW w:w="100" w:type="dxa"/>
            <w:vAlign w:val="bottom"/>
            <w:tcBorders>
              <w:right w:val="single" w:sz="8" w:color="93A1D2"/>
            </w:tcBorders>
            <w:shd w:val="clear" w:color="auto" w:fill="3465B0"/>
          </w:tcPr>
          <w:p>
            <w:pPr>
              <w:spacing w:after="0"/>
              <w:rPr>
                <w:sz w:val="12"/>
                <w:szCs w:val="12"/>
                <w:color w:val="auto"/>
              </w:rPr>
            </w:pPr>
          </w:p>
        </w:tc>
        <w:tc>
          <w:tcPr>
            <w:tcW w:w="60" w:type="dxa"/>
            <w:vAlign w:val="bottom"/>
            <w:shd w:val="clear" w:color="auto" w:fill="3465B0"/>
          </w:tcPr>
          <w:p>
            <w:pPr>
              <w:spacing w:after="0"/>
              <w:rPr>
                <w:sz w:val="12"/>
                <w:szCs w:val="12"/>
                <w:color w:val="auto"/>
              </w:rPr>
            </w:pPr>
          </w:p>
        </w:tc>
        <w:tc>
          <w:tcPr>
            <w:tcW w:w="88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Exercisable</w:t>
            </w:r>
          </w:p>
        </w:tc>
        <w:tc>
          <w:tcPr>
            <w:tcW w:w="60" w:type="dxa"/>
            <w:vAlign w:val="bottom"/>
            <w:shd w:val="clear" w:color="auto" w:fill="3465B0"/>
          </w:tcPr>
          <w:p>
            <w:pPr>
              <w:spacing w:after="0"/>
              <w:rPr>
                <w:sz w:val="12"/>
                <w:szCs w:val="12"/>
                <w:color w:val="auto"/>
              </w:rPr>
            </w:pPr>
          </w:p>
        </w:tc>
        <w:tc>
          <w:tcPr>
            <w:tcW w:w="102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Un-exercisable</w:t>
            </w:r>
          </w:p>
        </w:tc>
        <w:tc>
          <w:tcPr>
            <w:tcW w:w="60" w:type="dxa"/>
            <w:vAlign w:val="bottom"/>
            <w:shd w:val="clear" w:color="auto" w:fill="3465B0"/>
          </w:tcPr>
          <w:p>
            <w:pPr>
              <w:spacing w:after="0"/>
              <w:rPr>
                <w:sz w:val="12"/>
                <w:szCs w:val="12"/>
                <w:color w:val="auto"/>
              </w:rPr>
            </w:pPr>
          </w:p>
        </w:tc>
        <w:tc>
          <w:tcPr>
            <w:tcW w:w="64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Price</w:t>
            </w:r>
          </w:p>
        </w:tc>
        <w:tc>
          <w:tcPr>
            <w:tcW w:w="60" w:type="dxa"/>
            <w:vAlign w:val="bottom"/>
            <w:shd w:val="clear" w:color="auto" w:fill="3465B0"/>
          </w:tcPr>
          <w:p>
            <w:pPr>
              <w:spacing w:after="0"/>
              <w:rPr>
                <w:sz w:val="12"/>
                <w:szCs w:val="12"/>
                <w:color w:val="auto"/>
              </w:rPr>
            </w:pPr>
          </w:p>
        </w:tc>
        <w:tc>
          <w:tcPr>
            <w:tcW w:w="78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Expiration</w:t>
            </w:r>
          </w:p>
        </w:tc>
        <w:tc>
          <w:tcPr>
            <w:tcW w:w="60" w:type="dxa"/>
            <w:vAlign w:val="bottom"/>
            <w:shd w:val="clear" w:color="auto" w:fill="3465B0"/>
          </w:tcPr>
          <w:p>
            <w:pPr>
              <w:spacing w:after="0"/>
              <w:rPr>
                <w:sz w:val="12"/>
                <w:szCs w:val="12"/>
                <w:color w:val="auto"/>
              </w:rPr>
            </w:pPr>
          </w:p>
        </w:tc>
        <w:tc>
          <w:tcPr>
            <w:tcW w:w="780" w:type="dxa"/>
            <w:vAlign w:val="bottom"/>
            <w:tcBorders>
              <w:right w:val="single" w:sz="8" w:color="93A1D2"/>
            </w:tcBorders>
            <w:gridSpan w:val="2"/>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Vested</w:t>
            </w:r>
          </w:p>
        </w:tc>
        <w:tc>
          <w:tcPr>
            <w:tcW w:w="60" w:type="dxa"/>
            <w:vAlign w:val="bottom"/>
            <w:shd w:val="clear" w:color="auto" w:fill="3465B0"/>
          </w:tcPr>
          <w:p>
            <w:pPr>
              <w:spacing w:after="0"/>
              <w:rPr>
                <w:sz w:val="12"/>
                <w:szCs w:val="12"/>
                <w:color w:val="auto"/>
              </w:rPr>
            </w:pPr>
          </w:p>
        </w:tc>
        <w:tc>
          <w:tcPr>
            <w:tcW w:w="78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6"/>
                <w:szCs w:val="16"/>
                <w:b w:val="1"/>
                <w:bCs w:val="1"/>
                <w:color w:val="FFFFFF"/>
                <w:vertAlign w:val="superscript"/>
              </w:rPr>
              <w:t>(1)</w:t>
            </w:r>
          </w:p>
        </w:tc>
        <w:tc>
          <w:tcPr>
            <w:tcW w:w="60" w:type="dxa"/>
            <w:vAlign w:val="bottom"/>
            <w:shd w:val="clear" w:color="auto" w:fill="3465B0"/>
          </w:tcPr>
          <w:p>
            <w:pPr>
              <w:spacing w:after="0"/>
              <w:rPr>
                <w:sz w:val="12"/>
                <w:szCs w:val="12"/>
                <w:color w:val="auto"/>
              </w:rPr>
            </w:pPr>
          </w:p>
        </w:tc>
        <w:tc>
          <w:tcPr>
            <w:tcW w:w="900" w:type="dxa"/>
            <w:vAlign w:val="bottom"/>
            <w:tcBorders>
              <w:right w:val="single" w:sz="8" w:color="93A1D2"/>
            </w:tcBorders>
            <w:gridSpan w:val="2"/>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Not Vested</w:t>
            </w:r>
          </w:p>
        </w:tc>
        <w:tc>
          <w:tcPr>
            <w:tcW w:w="60" w:type="dxa"/>
            <w:vAlign w:val="bottom"/>
            <w:shd w:val="clear" w:color="auto" w:fill="3465B0"/>
          </w:tcPr>
          <w:p>
            <w:pPr>
              <w:spacing w:after="0"/>
              <w:rPr>
                <w:sz w:val="12"/>
                <w:szCs w:val="12"/>
                <w:color w:val="auto"/>
              </w:rPr>
            </w:pPr>
          </w:p>
        </w:tc>
        <w:tc>
          <w:tcPr>
            <w:tcW w:w="720" w:type="dxa"/>
            <w:vAlign w:val="bottom"/>
            <w:tcBorders>
              <w:right w:val="single" w:sz="8" w:color="3465B0"/>
            </w:tcBorders>
            <w:shd w:val="clear" w:color="auto" w:fill="3465B0"/>
          </w:tcPr>
          <w:p>
            <w:pPr>
              <w:spacing w:after="0" w:line="144"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6"/>
                <w:szCs w:val="16"/>
                <w:b w:val="1"/>
                <w:bCs w:val="1"/>
                <w:color w:val="FFFFFF"/>
                <w:vertAlign w:val="superscript"/>
              </w:rPr>
              <w:t>(1)</w:t>
            </w:r>
          </w:p>
        </w:tc>
        <w:tc>
          <w:tcPr>
            <w:tcW w:w="0" w:type="dxa"/>
            <w:vAlign w:val="bottom"/>
          </w:tcPr>
          <w:p>
            <w:pPr>
              <w:spacing w:after="0"/>
              <w:rPr>
                <w:sz w:val="1"/>
                <w:szCs w:val="1"/>
                <w:color w:val="auto"/>
              </w:rPr>
            </w:pPr>
          </w:p>
        </w:tc>
      </w:tr>
      <w:tr>
        <w:trPr>
          <w:trHeight w:val="173"/>
        </w:trPr>
        <w:tc>
          <w:tcPr>
            <w:tcW w:w="1360" w:type="dxa"/>
            <w:vAlign w:val="bottom"/>
            <w:tcBorders>
              <w:left w:val="single" w:sz="8" w:color="3465B0"/>
              <w:bottom w:val="single" w:sz="8" w:color="3465B0"/>
              <w:right w:val="single" w:sz="8" w:color="3465B0"/>
            </w:tcBorders>
            <w:shd w:val="clear" w:color="auto" w:fill="3465B0"/>
          </w:tcPr>
          <w:p>
            <w:pPr>
              <w:ind w:left="100"/>
              <w:spacing w:after="0"/>
              <w:rPr>
                <w:sz w:val="20"/>
                <w:szCs w:val="20"/>
                <w:color w:val="auto"/>
              </w:rPr>
            </w:pPr>
            <w:r>
              <w:rPr>
                <w:rFonts w:ascii="Arial" w:cs="Arial" w:eastAsia="Arial" w:hAnsi="Arial"/>
                <w:sz w:val="13"/>
                <w:szCs w:val="13"/>
                <w:b w:val="1"/>
                <w:bCs w:val="1"/>
                <w:color w:val="FFFFFF"/>
              </w:rPr>
              <w:t>Officer</w:t>
            </w:r>
          </w:p>
        </w:tc>
        <w:tc>
          <w:tcPr>
            <w:tcW w:w="40" w:type="dxa"/>
            <w:vAlign w:val="bottom"/>
            <w:tcBorders>
              <w:bottom w:val="single" w:sz="8" w:color="3465B0"/>
            </w:tcBorders>
            <w:shd w:val="clear" w:color="auto" w:fill="3465B0"/>
          </w:tcPr>
          <w:p>
            <w:pPr>
              <w:spacing w:after="0"/>
              <w:rPr>
                <w:sz w:val="15"/>
                <w:szCs w:val="15"/>
                <w:color w:val="auto"/>
              </w:rPr>
            </w:pPr>
          </w:p>
        </w:tc>
        <w:tc>
          <w:tcPr>
            <w:tcW w:w="680" w:type="dxa"/>
            <w:vAlign w:val="bottom"/>
            <w:tcBorders>
              <w:bottom w:val="single" w:sz="8" w:color="3465B0"/>
            </w:tcBorders>
            <w:vMerge w:val="continue"/>
            <w:shd w:val="clear" w:color="auto" w:fill="3465B0"/>
          </w:tcPr>
          <w:p>
            <w:pPr>
              <w:spacing w:after="0"/>
              <w:rPr>
                <w:sz w:val="15"/>
                <w:szCs w:val="15"/>
                <w:color w:val="auto"/>
              </w:rPr>
            </w:pPr>
          </w:p>
        </w:tc>
        <w:tc>
          <w:tcPr>
            <w:tcW w:w="100" w:type="dxa"/>
            <w:vAlign w:val="bottom"/>
            <w:tcBorders>
              <w:bottom w:val="single" w:sz="8" w:color="3465B0"/>
              <w:right w:val="single" w:sz="8" w:color="93A1D2"/>
            </w:tcBorders>
            <w:shd w:val="clear" w:color="auto" w:fill="3465B0"/>
          </w:tcPr>
          <w:p>
            <w:pPr>
              <w:spacing w:after="0"/>
              <w:rPr>
                <w:sz w:val="15"/>
                <w:szCs w:val="15"/>
                <w:color w:val="auto"/>
              </w:rPr>
            </w:pPr>
          </w:p>
        </w:tc>
        <w:tc>
          <w:tcPr>
            <w:tcW w:w="940" w:type="dxa"/>
            <w:vAlign w:val="bottom"/>
            <w:tcBorders>
              <w:bottom w:val="single" w:sz="8" w:color="3465B0"/>
              <w:right w:val="single" w:sz="8" w:color="93A1D2"/>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1080" w:type="dxa"/>
            <w:vAlign w:val="bottom"/>
            <w:tcBorders>
              <w:bottom w:val="single" w:sz="8" w:color="3465B0"/>
              <w:right w:val="single" w:sz="8" w:color="93A1D2"/>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bottom w:val="single" w:sz="8" w:color="3465B0"/>
              <w:right w:val="single" w:sz="8" w:color="93A1D2"/>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60" w:type="dxa"/>
            <w:vAlign w:val="bottom"/>
            <w:tcBorders>
              <w:bottom w:val="single" w:sz="8" w:color="3465B0"/>
            </w:tcBorders>
            <w:shd w:val="clear" w:color="auto" w:fill="3465B0"/>
          </w:tcPr>
          <w:p>
            <w:pPr>
              <w:spacing w:after="0"/>
              <w:rPr>
                <w:sz w:val="15"/>
                <w:szCs w:val="15"/>
                <w:color w:val="auto"/>
              </w:rPr>
            </w:pPr>
          </w:p>
        </w:tc>
        <w:tc>
          <w:tcPr>
            <w:tcW w:w="780" w:type="dxa"/>
            <w:vAlign w:val="bottom"/>
            <w:tcBorders>
              <w:bottom w:val="single" w:sz="8" w:color="3465B0"/>
              <w:right w:val="single" w:sz="8" w:color="93A1D2"/>
            </w:tcBorders>
            <w:shd w:val="clear" w:color="auto" w:fill="3465B0"/>
          </w:tcPr>
          <w:p>
            <w:pPr>
              <w:spacing w:after="0"/>
              <w:rPr>
                <w:sz w:val="20"/>
                <w:szCs w:val="20"/>
                <w:color w:val="auto"/>
              </w:rPr>
            </w:pPr>
            <w:r>
              <w:rPr>
                <w:rFonts w:ascii="Arial" w:cs="Arial" w:eastAsia="Arial" w:hAnsi="Arial"/>
                <w:sz w:val="13"/>
                <w:szCs w:val="13"/>
                <w:b w:val="1"/>
                <w:bCs w:val="1"/>
                <w:color w:val="FFFFFF"/>
              </w:rPr>
              <w:t>Date</w:t>
            </w:r>
          </w:p>
        </w:tc>
        <w:tc>
          <w:tcPr>
            <w:tcW w:w="740" w:type="dxa"/>
            <w:vAlign w:val="bottom"/>
            <w:tcBorders>
              <w:bottom w:val="single" w:sz="8" w:color="3465B0"/>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bottom w:val="single" w:sz="8" w:color="3465B0"/>
              <w:right w:val="single" w:sz="8" w:color="93A1D2"/>
            </w:tcBorders>
            <w:shd w:val="clear" w:color="auto" w:fill="3465B0"/>
          </w:tcPr>
          <w:p>
            <w:pPr>
              <w:spacing w:after="0"/>
              <w:rPr>
                <w:sz w:val="15"/>
                <w:szCs w:val="15"/>
                <w:color w:val="auto"/>
              </w:rPr>
            </w:pPr>
          </w:p>
        </w:tc>
        <w:tc>
          <w:tcPr>
            <w:tcW w:w="840" w:type="dxa"/>
            <w:vAlign w:val="bottom"/>
            <w:tcBorders>
              <w:bottom w:val="single" w:sz="8" w:color="3465B0"/>
              <w:right w:val="single" w:sz="8" w:color="93A1D2"/>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bottom w:val="single" w:sz="8" w:color="3465B0"/>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bottom w:val="single" w:sz="8" w:color="3465B0"/>
              <w:right w:val="single" w:sz="8" w:color="93A1D2"/>
            </w:tcBorders>
            <w:shd w:val="clear" w:color="auto" w:fill="3465B0"/>
          </w:tcPr>
          <w:p>
            <w:pPr>
              <w:spacing w:after="0"/>
              <w:rPr>
                <w:sz w:val="15"/>
                <w:szCs w:val="15"/>
                <w:color w:val="auto"/>
              </w:rPr>
            </w:pPr>
          </w:p>
        </w:tc>
        <w:tc>
          <w:tcPr>
            <w:tcW w:w="780" w:type="dxa"/>
            <w:vAlign w:val="bottom"/>
            <w:tcBorders>
              <w:bottom w:val="single" w:sz="8" w:color="3465B0"/>
              <w:right w:val="single" w:sz="8" w:color="3465B0"/>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48"/>
        </w:trPr>
        <w:tc>
          <w:tcPr>
            <w:tcW w:w="13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4"/>
                <w:szCs w:val="14"/>
                <w:color w:val="auto"/>
              </w:rPr>
              <w:t>L. Reade Fahs</w:t>
            </w: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3/1/2019</w:t>
            </w:r>
          </w:p>
        </w:tc>
        <w:tc>
          <w:tcPr>
            <w:tcW w:w="100" w:type="dxa"/>
            <w:vAlign w:val="bottom"/>
            <w:tcBorders>
              <w:right w:val="single" w:sz="8" w:color="93A1D2"/>
            </w:tcBorders>
          </w:tcPr>
          <w:p>
            <w:pPr>
              <w:spacing w:after="0"/>
              <w:rPr>
                <w:sz w:val="21"/>
                <w:szCs w:val="21"/>
                <w:color w:val="auto"/>
              </w:rPr>
            </w:pPr>
          </w:p>
        </w:tc>
        <w:tc>
          <w:tcPr>
            <w:tcW w:w="940" w:type="dxa"/>
            <w:vAlign w:val="bottom"/>
            <w:tcBorders>
              <w:right w:val="single" w:sz="8" w:color="93A1D2"/>
            </w:tcBorders>
            <w:gridSpan w:val="2"/>
          </w:tcPr>
          <w:p>
            <w:pPr>
              <w:jc w:val="right"/>
              <w:ind w:right="14"/>
              <w:spacing w:after="0"/>
              <w:rPr>
                <w:sz w:val="20"/>
                <w:szCs w:val="20"/>
                <w:color w:val="auto"/>
              </w:rPr>
            </w:pPr>
            <w:r>
              <w:rPr>
                <w:rFonts w:ascii="Arial" w:cs="Arial" w:eastAsia="Arial" w:hAnsi="Arial"/>
                <w:sz w:val="14"/>
                <w:szCs w:val="14"/>
                <w:color w:val="auto"/>
              </w:rPr>
              <w:t>54,114</w:t>
            </w:r>
          </w:p>
        </w:tc>
        <w:tc>
          <w:tcPr>
            <w:tcW w:w="60" w:type="dxa"/>
            <w:vAlign w:val="bottom"/>
          </w:tcPr>
          <w:p>
            <w:pPr>
              <w:spacing w:after="0"/>
              <w:rPr>
                <w:sz w:val="21"/>
                <w:szCs w:val="21"/>
                <w:color w:val="auto"/>
              </w:rPr>
            </w:pPr>
          </w:p>
        </w:tc>
        <w:tc>
          <w:tcPr>
            <w:tcW w:w="1020" w:type="dxa"/>
            <w:vAlign w:val="bottom"/>
            <w:tcBorders>
              <w:right w:val="single" w:sz="8" w:color="93A1D2"/>
            </w:tcBorders>
          </w:tcPr>
          <w:p>
            <w:pPr>
              <w:spacing w:after="0"/>
              <w:rPr>
                <w:sz w:val="21"/>
                <w:szCs w:val="21"/>
                <w:color w:val="auto"/>
              </w:rPr>
            </w:pPr>
          </w:p>
        </w:tc>
        <w:tc>
          <w:tcPr>
            <w:tcW w:w="70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35.19</w:t>
            </w: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3/1/2029</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right w:val="single" w:sz="8" w:color="3465B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2/28/2020</w:t>
            </w:r>
          </w:p>
        </w:tc>
        <w:tc>
          <w:tcPr>
            <w:tcW w:w="100" w:type="dxa"/>
            <w:vAlign w:val="bottom"/>
            <w:tcBorders>
              <w:right w:val="single" w:sz="8" w:color="93A1D2"/>
            </w:tcBorders>
          </w:tcPr>
          <w:p>
            <w:pPr>
              <w:spacing w:after="0"/>
              <w:rPr>
                <w:sz w:val="18"/>
                <w:szCs w:val="18"/>
                <w:color w:val="auto"/>
              </w:rPr>
            </w:pPr>
          </w:p>
        </w:tc>
        <w:tc>
          <w:tcPr>
            <w:tcW w:w="940" w:type="dxa"/>
            <w:vAlign w:val="bottom"/>
            <w:tcBorders>
              <w:right w:val="single" w:sz="8" w:color="93A1D2"/>
            </w:tcBorders>
            <w:gridSpan w:val="2"/>
          </w:tcPr>
          <w:p>
            <w:pPr>
              <w:jc w:val="right"/>
              <w:ind w:right="14"/>
              <w:spacing w:after="0"/>
              <w:rPr>
                <w:sz w:val="20"/>
                <w:szCs w:val="20"/>
                <w:color w:val="auto"/>
              </w:rPr>
            </w:pPr>
            <w:r>
              <w:rPr>
                <w:rFonts w:ascii="Arial" w:cs="Arial" w:eastAsia="Arial" w:hAnsi="Arial"/>
                <w:sz w:val="14"/>
                <w:szCs w:val="14"/>
                <w:color w:val="auto"/>
              </w:rPr>
              <w:t>41,089</w:t>
            </w: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70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34.82</w:t>
            </w: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2/28/2030</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3/5/2021</w:t>
            </w:r>
          </w:p>
        </w:tc>
        <w:tc>
          <w:tcPr>
            <w:tcW w:w="100" w:type="dxa"/>
            <w:vAlign w:val="bottom"/>
            <w:tcBorders>
              <w:right w:val="single" w:sz="8" w:color="93A1D2"/>
            </w:tcBorders>
          </w:tcPr>
          <w:p>
            <w:pPr>
              <w:spacing w:after="0"/>
              <w:rPr>
                <w:sz w:val="18"/>
                <w:szCs w:val="18"/>
                <w:color w:val="auto"/>
              </w:rPr>
            </w:pPr>
          </w:p>
        </w:tc>
        <w:tc>
          <w:tcPr>
            <w:tcW w:w="940" w:type="dxa"/>
            <w:vAlign w:val="bottom"/>
            <w:tcBorders>
              <w:right w:val="single" w:sz="8" w:color="93A1D2"/>
            </w:tcBorders>
            <w:gridSpan w:val="2"/>
          </w:tcPr>
          <w:p>
            <w:pPr>
              <w:jc w:val="right"/>
              <w:ind w:right="14"/>
              <w:spacing w:after="0"/>
              <w:rPr>
                <w:sz w:val="20"/>
                <w:szCs w:val="20"/>
                <w:color w:val="auto"/>
              </w:rPr>
            </w:pPr>
            <w:r>
              <w:rPr>
                <w:rFonts w:ascii="Arial" w:cs="Arial" w:eastAsia="Arial" w:hAnsi="Arial"/>
                <w:sz w:val="14"/>
                <w:szCs w:val="14"/>
                <w:color w:val="auto"/>
              </w:rPr>
              <w:t>29,685</w:t>
            </w: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70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45.66</w:t>
            </w: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3/5/2031</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96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268,938</w:t>
            </w:r>
            <w:r>
              <w:rPr>
                <w:rFonts w:ascii="Arial" w:cs="Arial" w:eastAsia="Arial" w:hAnsi="Arial"/>
                <w:sz w:val="23"/>
                <w:szCs w:val="23"/>
                <w:color w:val="auto"/>
                <w:vertAlign w:val="superscript"/>
              </w:rPr>
              <w:t>(2)</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60" w:type="dxa"/>
            <w:vAlign w:val="bottom"/>
            <w:tcBorders>
              <w:left w:val="single" w:sz="8" w:color="3465B0"/>
              <w:right w:val="single" w:sz="8" w:color="93A1D2"/>
            </w:tcBorders>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3/3/2023</w:t>
            </w:r>
          </w:p>
        </w:tc>
        <w:tc>
          <w:tcPr>
            <w:tcW w:w="10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840" w:type="dxa"/>
            <w:vAlign w:val="bottom"/>
            <w:tcBorders>
              <w:right w:val="single" w:sz="8" w:color="93A1D2"/>
            </w:tcBorders>
            <w:gridSpan w:val="3"/>
            <w:vMerge w:val="restart"/>
          </w:tcPr>
          <w:p>
            <w:pPr>
              <w:jc w:val="right"/>
              <w:ind w:right="80"/>
              <w:spacing w:after="0"/>
              <w:rPr>
                <w:sz w:val="20"/>
                <w:szCs w:val="20"/>
                <w:color w:val="auto"/>
              </w:rPr>
            </w:pPr>
            <w:r>
              <w:rPr>
                <w:rFonts w:ascii="Arial" w:cs="Arial" w:eastAsia="Arial" w:hAnsi="Arial"/>
                <w:sz w:val="14"/>
                <w:szCs w:val="14"/>
                <w:color w:val="auto"/>
              </w:rPr>
              <w:t>44,823</w:t>
            </w:r>
            <w:r>
              <w:rPr>
                <w:rFonts w:ascii="Arial" w:cs="Arial" w:eastAsia="Arial" w:hAnsi="Arial"/>
                <w:sz w:val="23"/>
                <w:szCs w:val="23"/>
                <w:color w:val="auto"/>
                <w:vertAlign w:val="superscript"/>
              </w:rPr>
              <w:t>(3)</w:t>
            </w: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960" w:type="dxa"/>
            <w:vAlign w:val="bottom"/>
            <w:tcBorders>
              <w:right w:val="single" w:sz="8" w:color="93A1D2"/>
            </w:tcBorders>
            <w:gridSpan w:val="3"/>
            <w:vMerge w:val="continue"/>
          </w:tcPr>
          <w:p>
            <w:pPr>
              <w:spacing w:after="0"/>
              <w:rPr>
                <w:sz w:val="21"/>
                <w:szCs w:val="21"/>
                <w:color w:val="auto"/>
              </w:rPr>
            </w:pPr>
          </w:p>
        </w:tc>
        <w:tc>
          <w:tcPr>
            <w:tcW w:w="780" w:type="dxa"/>
            <w:vAlign w:val="bottom"/>
            <w:tcBorders>
              <w:right w:val="single" w:sz="8" w:color="3465B0"/>
            </w:tcBorders>
            <w:gridSpan w:val="2"/>
          </w:tcPr>
          <w:p>
            <w:pPr>
              <w:jc w:val="right"/>
              <w:ind w:right="15"/>
              <w:spacing w:after="0"/>
              <w:rPr>
                <w:sz w:val="20"/>
                <w:szCs w:val="20"/>
                <w:color w:val="auto"/>
              </w:rPr>
            </w:pPr>
            <w:r>
              <w:rPr>
                <w:rFonts w:ascii="Arial" w:cs="Arial" w:eastAsia="Arial" w:hAnsi="Arial"/>
                <w:sz w:val="14"/>
                <w:szCs w:val="14"/>
                <w:color w:val="auto"/>
              </w:rPr>
              <w:t>6,978,941</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3/3/2023</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3"/>
            <w:vMerge w:val="continue"/>
          </w:tcPr>
          <w:p>
            <w:pPr>
              <w:spacing w:after="0"/>
              <w:rPr>
                <w:sz w:val="18"/>
                <w:szCs w:val="18"/>
                <w:color w:val="auto"/>
              </w:rPr>
            </w:pP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1,163,157</w:t>
            </w:r>
          </w:p>
        </w:tc>
        <w:tc>
          <w:tcPr>
            <w:tcW w:w="96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84,962</w:t>
            </w:r>
            <w:r>
              <w:rPr>
                <w:rFonts w:ascii="Arial" w:cs="Arial" w:eastAsia="Arial" w:hAnsi="Arial"/>
                <w:sz w:val="23"/>
                <w:szCs w:val="23"/>
                <w:color w:val="auto"/>
                <w:vertAlign w:val="superscript"/>
              </w:rPr>
              <w:t>(4)</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3/1/2024</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3"/>
            <w:vMerge w:val="restart"/>
          </w:tcPr>
          <w:p>
            <w:pPr>
              <w:jc w:val="right"/>
              <w:ind w:right="80"/>
              <w:spacing w:after="0"/>
              <w:rPr>
                <w:sz w:val="20"/>
                <w:szCs w:val="20"/>
                <w:color w:val="auto"/>
              </w:rPr>
            </w:pPr>
            <w:r>
              <w:rPr>
                <w:rFonts w:ascii="Arial" w:cs="Arial" w:eastAsia="Arial" w:hAnsi="Arial"/>
                <w:sz w:val="14"/>
                <w:szCs w:val="14"/>
                <w:color w:val="auto"/>
              </w:rPr>
              <w:t>56,642</w:t>
            </w:r>
            <w:r>
              <w:rPr>
                <w:rFonts w:ascii="Arial" w:cs="Arial" w:eastAsia="Arial" w:hAnsi="Arial"/>
                <w:sz w:val="23"/>
                <w:szCs w:val="23"/>
                <w:color w:val="auto"/>
                <w:vertAlign w:val="superscript"/>
              </w:rPr>
              <w:t>(5)</w:t>
            </w: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960" w:type="dxa"/>
            <w:vAlign w:val="bottom"/>
            <w:tcBorders>
              <w:right w:val="single" w:sz="8" w:color="93A1D2"/>
            </w:tcBorders>
            <w:gridSpan w:val="3"/>
            <w:vMerge w:val="continue"/>
          </w:tcPr>
          <w:p>
            <w:pPr>
              <w:spacing w:after="0"/>
              <w:rPr>
                <w:sz w:val="18"/>
                <w:szCs w:val="18"/>
                <w:color w:val="auto"/>
              </w:rPr>
            </w:pPr>
          </w:p>
        </w:tc>
        <w:tc>
          <w:tcPr>
            <w:tcW w:w="780" w:type="dxa"/>
            <w:vAlign w:val="bottom"/>
            <w:tcBorders>
              <w:right w:val="single" w:sz="8" w:color="3465B0"/>
            </w:tcBorders>
            <w:gridSpan w:val="2"/>
          </w:tcPr>
          <w:p>
            <w:pPr>
              <w:jc w:val="right"/>
              <w:ind w:right="15"/>
              <w:spacing w:after="0"/>
              <w:rPr>
                <w:sz w:val="20"/>
                <w:szCs w:val="20"/>
                <w:color w:val="auto"/>
              </w:rPr>
            </w:pPr>
            <w:r>
              <w:rPr>
                <w:rFonts w:ascii="Arial" w:cs="Arial" w:eastAsia="Arial" w:hAnsi="Arial"/>
                <w:sz w:val="14"/>
                <w:szCs w:val="14"/>
                <w:color w:val="auto"/>
              </w:rPr>
              <w:t>2,204,764</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3/1/2024</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3"/>
            <w:vMerge w:val="continue"/>
          </w:tcPr>
          <w:p>
            <w:pPr>
              <w:spacing w:after="0"/>
              <w:rPr>
                <w:sz w:val="18"/>
                <w:szCs w:val="18"/>
                <w:color w:val="auto"/>
              </w:rPr>
            </w:pP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1,469,860</w:t>
            </w:r>
          </w:p>
        </w:tc>
        <w:tc>
          <w:tcPr>
            <w:tcW w:w="96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328,948</w:t>
            </w:r>
            <w:r>
              <w:rPr>
                <w:rFonts w:ascii="Arial" w:cs="Arial" w:eastAsia="Arial" w:hAnsi="Arial"/>
                <w:sz w:val="23"/>
                <w:szCs w:val="23"/>
                <w:color w:val="auto"/>
                <w:vertAlign w:val="superscript"/>
              </w:rPr>
              <w:t>(6)</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3465B0"/>
              <w:right w:val="single" w:sz="8" w:color="93A1D2"/>
            </w:tcBorders>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right w:val="single" w:sz="8" w:color="93A1D2"/>
            </w:tcBorders>
          </w:tcPr>
          <w:p>
            <w:pPr>
              <w:spacing w:after="0"/>
              <w:rPr>
                <w:sz w:val="17"/>
                <w:szCs w:val="17"/>
                <w:color w:val="auto"/>
              </w:rPr>
            </w:pPr>
          </w:p>
        </w:tc>
        <w:tc>
          <w:tcPr>
            <w:tcW w:w="840" w:type="dxa"/>
            <w:vAlign w:val="bottom"/>
            <w:tcBorders>
              <w:right w:val="single" w:sz="8" w:color="93A1D2"/>
            </w:tcBorders>
            <w:gridSpan w:val="3"/>
            <w:vMerge w:val="restart"/>
          </w:tcPr>
          <w:p>
            <w:pPr>
              <w:jc w:val="right"/>
              <w:ind w:right="80"/>
              <w:spacing w:after="0"/>
              <w:rPr>
                <w:sz w:val="20"/>
                <w:szCs w:val="20"/>
                <w:color w:val="auto"/>
              </w:rPr>
            </w:pPr>
            <w:r>
              <w:rPr>
                <w:rFonts w:ascii="Arial" w:cs="Arial" w:eastAsia="Arial" w:hAnsi="Arial"/>
                <w:sz w:val="14"/>
                <w:szCs w:val="14"/>
                <w:color w:val="auto"/>
              </w:rPr>
              <w:t>164,474</w:t>
            </w:r>
            <w:r>
              <w:rPr>
                <w:rFonts w:ascii="Arial" w:cs="Arial" w:eastAsia="Arial" w:hAnsi="Arial"/>
                <w:sz w:val="23"/>
                <w:szCs w:val="23"/>
                <w:color w:val="auto"/>
                <w:vertAlign w:val="superscript"/>
              </w:rPr>
              <w:t>(7)</w:t>
            </w:r>
          </w:p>
        </w:tc>
        <w:tc>
          <w:tcPr>
            <w:tcW w:w="60" w:type="dxa"/>
            <w:vAlign w:val="bottom"/>
          </w:tcPr>
          <w:p>
            <w:pPr>
              <w:spacing w:after="0"/>
              <w:rPr>
                <w:sz w:val="17"/>
                <w:szCs w:val="17"/>
                <w:color w:val="auto"/>
              </w:rPr>
            </w:pPr>
          </w:p>
        </w:tc>
        <w:tc>
          <w:tcPr>
            <w:tcW w:w="780" w:type="dxa"/>
            <w:vAlign w:val="bottom"/>
            <w:tcBorders>
              <w:right w:val="single" w:sz="8" w:color="93A1D2"/>
            </w:tcBorders>
          </w:tcPr>
          <w:p>
            <w:pPr>
              <w:spacing w:after="0"/>
              <w:rPr>
                <w:sz w:val="17"/>
                <w:szCs w:val="17"/>
                <w:color w:val="auto"/>
              </w:rPr>
            </w:pPr>
          </w:p>
        </w:tc>
        <w:tc>
          <w:tcPr>
            <w:tcW w:w="960" w:type="dxa"/>
            <w:vAlign w:val="bottom"/>
            <w:tcBorders>
              <w:right w:val="single" w:sz="8" w:color="93A1D2"/>
            </w:tcBorders>
            <w:gridSpan w:val="3"/>
            <w:vMerge w:val="continue"/>
          </w:tcPr>
          <w:p>
            <w:pPr>
              <w:spacing w:after="0"/>
              <w:rPr>
                <w:sz w:val="17"/>
                <w:szCs w:val="17"/>
                <w:color w:val="auto"/>
              </w:rPr>
            </w:pPr>
          </w:p>
        </w:tc>
        <w:tc>
          <w:tcPr>
            <w:tcW w:w="780" w:type="dxa"/>
            <w:vAlign w:val="bottom"/>
            <w:tcBorders>
              <w:right w:val="single" w:sz="8" w:color="3465B0"/>
            </w:tcBorders>
            <w:gridSpan w:val="2"/>
          </w:tcPr>
          <w:p>
            <w:pPr>
              <w:jc w:val="right"/>
              <w:ind w:right="15"/>
              <w:spacing w:after="0"/>
              <w:rPr>
                <w:sz w:val="20"/>
                <w:szCs w:val="20"/>
                <w:color w:val="auto"/>
              </w:rPr>
            </w:pPr>
            <w:r>
              <w:rPr>
                <w:rFonts w:ascii="Arial" w:cs="Arial" w:eastAsia="Arial" w:hAnsi="Arial"/>
                <w:sz w:val="14"/>
                <w:szCs w:val="14"/>
                <w:color w:val="auto"/>
              </w:rPr>
              <w:t>8,536,201</w:t>
            </w:r>
          </w:p>
        </w:tc>
        <w:tc>
          <w:tcPr>
            <w:tcW w:w="0" w:type="dxa"/>
            <w:vAlign w:val="bottom"/>
          </w:tcPr>
          <w:p>
            <w:pPr>
              <w:spacing w:after="0"/>
              <w:rPr>
                <w:sz w:val="1"/>
                <w:szCs w:val="1"/>
                <w:color w:val="auto"/>
              </w:rPr>
            </w:pPr>
          </w:p>
        </w:tc>
      </w:tr>
      <w:tr>
        <w:trPr>
          <w:trHeight w:val="185"/>
        </w:trPr>
        <w:tc>
          <w:tcPr>
            <w:tcW w:w="1360" w:type="dxa"/>
            <w:vAlign w:val="bottom"/>
            <w:tcBorders>
              <w:left w:val="single" w:sz="8" w:color="3465B0"/>
              <w:right w:val="single" w:sz="8" w:color="93A1D2"/>
            </w:tcBorders>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right w:val="single" w:sz="8" w:color="93A1D2"/>
            </w:tcBorders>
          </w:tcPr>
          <w:p>
            <w:pPr>
              <w:spacing w:after="0"/>
              <w:rPr>
                <w:sz w:val="16"/>
                <w:szCs w:val="16"/>
                <w:color w:val="auto"/>
              </w:rPr>
            </w:pPr>
          </w:p>
        </w:tc>
        <w:tc>
          <w:tcPr>
            <w:tcW w:w="840" w:type="dxa"/>
            <w:vAlign w:val="bottom"/>
            <w:tcBorders>
              <w:right w:val="single" w:sz="8" w:color="93A1D2"/>
            </w:tcBorders>
            <w:gridSpan w:val="3"/>
            <w:vMerge w:val="continue"/>
          </w:tcPr>
          <w:p>
            <w:pPr>
              <w:spacing w:after="0"/>
              <w:rPr>
                <w:sz w:val="16"/>
                <w:szCs w:val="16"/>
                <w:color w:val="auto"/>
              </w:rPr>
            </w:pP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4,268,100</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6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4"/>
                <w:szCs w:val="14"/>
                <w:color w:val="auto"/>
              </w:rPr>
              <w:t>Alexander N.</w:t>
            </w:r>
          </w:p>
        </w:tc>
        <w:tc>
          <w:tcPr>
            <w:tcW w:w="40" w:type="dxa"/>
            <w:vAlign w:val="bottom"/>
            <w:shd w:val="clear" w:color="auto" w:fill="CCCCCC"/>
          </w:tcPr>
          <w:p>
            <w:pPr>
              <w:spacing w:after="0"/>
              <w:rPr>
                <w:sz w:val="15"/>
                <w:szCs w:val="15"/>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8/19/2024</w:t>
            </w:r>
          </w:p>
        </w:tc>
        <w:tc>
          <w:tcPr>
            <w:tcW w:w="100" w:type="dxa"/>
            <w:vAlign w:val="bottom"/>
            <w:tcBorders>
              <w:right w:val="single" w:sz="8" w:color="93A1D2"/>
            </w:tcBorders>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880" w:type="dxa"/>
            <w:vAlign w:val="bottom"/>
            <w:tcBorders>
              <w:right w:val="single" w:sz="8" w:color="93A1D2"/>
            </w:tcBorders>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020" w:type="dxa"/>
            <w:vAlign w:val="bottom"/>
            <w:tcBorders>
              <w:right w:val="single" w:sz="8" w:color="93A1D2"/>
            </w:tcBorders>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640" w:type="dxa"/>
            <w:vAlign w:val="bottom"/>
            <w:tcBorders>
              <w:right w:val="single" w:sz="8" w:color="93A1D2"/>
            </w:tcBorders>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780" w:type="dxa"/>
            <w:vAlign w:val="bottom"/>
            <w:tcBorders>
              <w:right w:val="single" w:sz="8" w:color="93A1D2"/>
            </w:tcBorders>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780" w:type="dxa"/>
            <w:vAlign w:val="bottom"/>
            <w:tcBorders>
              <w:right w:val="single" w:sz="8" w:color="93A1D2"/>
            </w:tcBorders>
            <w:gridSpan w:val="2"/>
            <w:shd w:val="clear" w:color="auto" w:fill="CCCCCC"/>
          </w:tcPr>
          <w:p>
            <w:pPr>
              <w:jc w:val="right"/>
              <w:ind w:right="80"/>
              <w:spacing w:after="0" w:line="176" w:lineRule="exact"/>
              <w:rPr>
                <w:sz w:val="20"/>
                <w:szCs w:val="20"/>
                <w:color w:val="auto"/>
              </w:rPr>
            </w:pPr>
            <w:r>
              <w:rPr>
                <w:rFonts w:ascii="Arial" w:cs="Arial" w:eastAsia="Arial" w:hAnsi="Arial"/>
                <w:sz w:val="13"/>
                <w:szCs w:val="13"/>
                <w:color w:val="auto"/>
              </w:rPr>
              <w:t>123,572</w:t>
            </w:r>
            <w:r>
              <w:rPr>
                <w:rFonts w:ascii="Arial" w:cs="Arial" w:eastAsia="Arial" w:hAnsi="Arial"/>
                <w:sz w:val="20"/>
                <w:szCs w:val="20"/>
                <w:color w:val="auto"/>
                <w:vertAlign w:val="superscript"/>
              </w:rPr>
              <w:t>(8)</w:t>
            </w:r>
          </w:p>
        </w:tc>
        <w:tc>
          <w:tcPr>
            <w:tcW w:w="60" w:type="dxa"/>
            <w:vAlign w:val="bottom"/>
            <w:shd w:val="clear" w:color="auto" w:fill="CCCCCC"/>
          </w:tcPr>
          <w:p>
            <w:pPr>
              <w:spacing w:after="0"/>
              <w:rPr>
                <w:sz w:val="15"/>
                <w:szCs w:val="15"/>
                <w:color w:val="auto"/>
              </w:rPr>
            </w:pPr>
          </w:p>
        </w:tc>
        <w:tc>
          <w:tcPr>
            <w:tcW w:w="780" w:type="dxa"/>
            <w:vAlign w:val="bottom"/>
            <w:tcBorders>
              <w:right w:val="single" w:sz="8" w:color="93A1D2"/>
            </w:tcBorders>
            <w:shd w:val="clear" w:color="auto" w:fill="CCCCCC"/>
          </w:tcPr>
          <w:p>
            <w:pPr>
              <w:jc w:val="right"/>
              <w:ind w:right="13"/>
              <w:spacing w:after="0"/>
              <w:rPr>
                <w:sz w:val="20"/>
                <w:szCs w:val="20"/>
                <w:color w:val="auto"/>
              </w:rPr>
            </w:pPr>
            <w:r>
              <w:rPr>
                <w:rFonts w:ascii="Arial" w:cs="Arial" w:eastAsia="Arial" w:hAnsi="Arial"/>
                <w:sz w:val="14"/>
                <w:szCs w:val="14"/>
                <w:color w:val="auto"/>
              </w:rPr>
              <w:t>3,206,693</w:t>
            </w:r>
          </w:p>
        </w:tc>
        <w:tc>
          <w:tcPr>
            <w:tcW w:w="60" w:type="dxa"/>
            <w:vAlign w:val="bottom"/>
            <w:shd w:val="clear" w:color="auto" w:fill="CCCCCC"/>
          </w:tcPr>
          <w:p>
            <w:pPr>
              <w:spacing w:after="0"/>
              <w:rPr>
                <w:sz w:val="15"/>
                <w:szCs w:val="15"/>
                <w:color w:val="auto"/>
              </w:rPr>
            </w:pPr>
          </w:p>
        </w:tc>
        <w:tc>
          <w:tcPr>
            <w:tcW w:w="800" w:type="dxa"/>
            <w:vAlign w:val="bottom"/>
            <w:shd w:val="clear" w:color="auto" w:fill="CCCCCC"/>
          </w:tcPr>
          <w:p>
            <w:pPr>
              <w:spacing w:after="0"/>
              <w:rPr>
                <w:sz w:val="15"/>
                <w:szCs w:val="15"/>
                <w:color w:val="auto"/>
              </w:rPr>
            </w:pPr>
          </w:p>
        </w:tc>
        <w:tc>
          <w:tcPr>
            <w:tcW w:w="100" w:type="dxa"/>
            <w:vAlign w:val="bottom"/>
            <w:tcBorders>
              <w:right w:val="single" w:sz="8" w:color="93A1D2"/>
            </w:tcBorders>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720" w:type="dxa"/>
            <w:vAlign w:val="bottom"/>
            <w:tcBorders>
              <w:right w:val="single" w:sz="8" w:color="3465B0"/>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6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4"/>
                <w:szCs w:val="14"/>
                <w:color w:val="auto"/>
              </w:rPr>
              <w:t>Wilkes</w:t>
            </w:r>
          </w:p>
        </w:tc>
        <w:tc>
          <w:tcPr>
            <w:tcW w:w="40" w:type="dxa"/>
            <w:vAlign w:val="bottom"/>
            <w:shd w:val="clear" w:color="auto" w:fill="CCCCCC"/>
          </w:tcPr>
          <w:p>
            <w:pPr>
              <w:spacing w:after="0"/>
              <w:rPr>
                <w:sz w:val="16"/>
                <w:szCs w:val="16"/>
                <w:color w:val="auto"/>
              </w:rPr>
            </w:pPr>
          </w:p>
        </w:tc>
        <w:tc>
          <w:tcPr>
            <w:tcW w:w="68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8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02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64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68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82,237</w:t>
            </w:r>
            <w:r>
              <w:rPr>
                <w:rFonts w:ascii="Arial" w:cs="Arial" w:eastAsia="Arial" w:hAnsi="Arial"/>
                <w:sz w:val="23"/>
                <w:szCs w:val="23"/>
                <w:color w:val="auto"/>
                <w:vertAlign w:val="superscript"/>
              </w:rPr>
              <w:t>(7)</w:t>
            </w:r>
          </w:p>
        </w:tc>
        <w:tc>
          <w:tcPr>
            <w:tcW w:w="10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800" w:type="dxa"/>
            <w:vAlign w:val="bottom"/>
            <w:vMerge w:val="restart"/>
            <w:shd w:val="clear" w:color="auto" w:fill="CCCCCC"/>
          </w:tcPr>
          <w:p>
            <w:pPr>
              <w:jc w:val="right"/>
              <w:spacing w:after="0" w:line="256" w:lineRule="exact"/>
              <w:rPr>
                <w:sz w:val="20"/>
                <w:szCs w:val="20"/>
                <w:color w:val="auto"/>
              </w:rPr>
            </w:pPr>
            <w:r>
              <w:rPr>
                <w:rFonts w:ascii="Arial" w:cs="Arial" w:eastAsia="Arial" w:hAnsi="Arial"/>
                <w:sz w:val="14"/>
                <w:szCs w:val="14"/>
                <w:color w:val="auto"/>
              </w:rPr>
              <w:t>164,474</w:t>
            </w:r>
            <w:r>
              <w:rPr>
                <w:rFonts w:ascii="Arial" w:cs="Arial" w:eastAsia="Arial" w:hAnsi="Arial"/>
                <w:sz w:val="23"/>
                <w:szCs w:val="23"/>
                <w:color w:val="auto"/>
                <w:vertAlign w:val="superscript"/>
              </w:rPr>
              <w:t>(6)</w:t>
            </w:r>
          </w:p>
        </w:tc>
        <w:tc>
          <w:tcPr>
            <w:tcW w:w="10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20" w:type="dxa"/>
            <w:vAlign w:val="bottom"/>
            <w:tcBorders>
              <w:right w:val="single" w:sz="8" w:color="3465B0"/>
            </w:tcBorders>
            <w:vMerge w:val="restart"/>
            <w:shd w:val="clear" w:color="auto" w:fill="CCCCCC"/>
          </w:tcPr>
          <w:p>
            <w:pPr>
              <w:jc w:val="right"/>
              <w:ind w:right="15"/>
              <w:spacing w:after="0"/>
              <w:rPr>
                <w:sz w:val="20"/>
                <w:szCs w:val="20"/>
                <w:color w:val="auto"/>
              </w:rPr>
            </w:pPr>
            <w:r>
              <w:rPr>
                <w:rFonts w:ascii="Arial" w:cs="Arial" w:eastAsia="Arial" w:hAnsi="Arial"/>
                <w:sz w:val="14"/>
                <w:szCs w:val="14"/>
                <w:color w:val="auto"/>
                <w:highlight w:val="lightGray"/>
                <w:w w:val="99"/>
              </w:rPr>
              <w:t>4,268,100</w:t>
            </w:r>
          </w:p>
        </w:tc>
        <w:tc>
          <w:tcPr>
            <w:tcW w:w="0" w:type="dxa"/>
            <w:vAlign w:val="bottom"/>
          </w:tcPr>
          <w:p>
            <w:pPr>
              <w:spacing w:after="0"/>
              <w:rPr>
                <w:sz w:val="1"/>
                <w:szCs w:val="1"/>
                <w:color w:val="auto"/>
              </w:rPr>
            </w:pPr>
          </w:p>
        </w:tc>
      </w:tr>
      <w:tr>
        <w:trPr>
          <w:trHeight w:val="66"/>
        </w:trPr>
        <w:tc>
          <w:tcPr>
            <w:tcW w:w="1360" w:type="dxa"/>
            <w:vAlign w:val="bottom"/>
            <w:tcBorders>
              <w:left w:val="single" w:sz="8" w:color="3465B0"/>
              <w:right w:val="single" w:sz="8" w:color="93A1D2"/>
            </w:tcBorders>
            <w:shd w:val="clear" w:color="auto" w:fill="CCCCCC"/>
          </w:tcPr>
          <w:p>
            <w:pPr>
              <w:spacing w:after="0"/>
              <w:rPr>
                <w:sz w:val="5"/>
                <w:szCs w:val="5"/>
                <w:color w:val="auto"/>
              </w:rPr>
            </w:pPr>
          </w:p>
        </w:tc>
        <w:tc>
          <w:tcPr>
            <w:tcW w:w="40" w:type="dxa"/>
            <w:vAlign w:val="bottom"/>
            <w:shd w:val="clear" w:color="auto" w:fill="CCCCCC"/>
          </w:tcPr>
          <w:p>
            <w:pPr>
              <w:spacing w:after="0"/>
              <w:rPr>
                <w:sz w:val="5"/>
                <w:szCs w:val="5"/>
                <w:color w:val="auto"/>
              </w:rPr>
            </w:pPr>
          </w:p>
        </w:tc>
        <w:tc>
          <w:tcPr>
            <w:tcW w:w="680" w:type="dxa"/>
            <w:vAlign w:val="bottom"/>
            <w:vMerge w:val="continue"/>
            <w:shd w:val="clear" w:color="auto" w:fill="CCCCCC"/>
          </w:tcPr>
          <w:p>
            <w:pPr>
              <w:spacing w:after="0"/>
              <w:rPr>
                <w:sz w:val="5"/>
                <w:szCs w:val="5"/>
                <w:color w:val="auto"/>
              </w:rPr>
            </w:pPr>
          </w:p>
        </w:tc>
        <w:tc>
          <w:tcPr>
            <w:tcW w:w="100" w:type="dxa"/>
            <w:vAlign w:val="bottom"/>
            <w:tcBorders>
              <w:right w:val="single" w:sz="8" w:color="93A1D2"/>
            </w:tcBorders>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880" w:type="dxa"/>
            <w:vAlign w:val="bottom"/>
            <w:tcBorders>
              <w:right w:val="single" w:sz="8" w:color="93A1D2"/>
            </w:tcBorders>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020" w:type="dxa"/>
            <w:vAlign w:val="bottom"/>
            <w:tcBorders>
              <w:right w:val="single" w:sz="8" w:color="93A1D2"/>
            </w:tcBorders>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640" w:type="dxa"/>
            <w:vAlign w:val="bottom"/>
            <w:tcBorders>
              <w:right w:val="single" w:sz="8" w:color="93A1D2"/>
            </w:tcBorders>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780" w:type="dxa"/>
            <w:vAlign w:val="bottom"/>
            <w:tcBorders>
              <w:right w:val="single" w:sz="8" w:color="93A1D2"/>
            </w:tcBorders>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680" w:type="dxa"/>
            <w:vAlign w:val="bottom"/>
            <w:vMerge w:val="continue"/>
            <w:shd w:val="clear" w:color="auto" w:fill="CCCCCC"/>
          </w:tcPr>
          <w:p>
            <w:pPr>
              <w:spacing w:after="0"/>
              <w:rPr>
                <w:sz w:val="5"/>
                <w:szCs w:val="5"/>
                <w:color w:val="auto"/>
              </w:rPr>
            </w:pPr>
          </w:p>
        </w:tc>
        <w:tc>
          <w:tcPr>
            <w:tcW w:w="100" w:type="dxa"/>
            <w:vAlign w:val="bottom"/>
            <w:tcBorders>
              <w:right w:val="single" w:sz="8" w:color="93A1D2"/>
            </w:tcBorders>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780" w:type="dxa"/>
            <w:vAlign w:val="bottom"/>
            <w:tcBorders>
              <w:right w:val="single" w:sz="8" w:color="93A1D2"/>
            </w:tcBorders>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800" w:type="dxa"/>
            <w:vAlign w:val="bottom"/>
            <w:vMerge w:val="continue"/>
            <w:shd w:val="clear" w:color="auto" w:fill="CCCCCC"/>
          </w:tcPr>
          <w:p>
            <w:pPr>
              <w:spacing w:after="0"/>
              <w:rPr>
                <w:sz w:val="5"/>
                <w:szCs w:val="5"/>
                <w:color w:val="auto"/>
              </w:rPr>
            </w:pPr>
          </w:p>
        </w:tc>
        <w:tc>
          <w:tcPr>
            <w:tcW w:w="100" w:type="dxa"/>
            <w:vAlign w:val="bottom"/>
            <w:tcBorders>
              <w:right w:val="single" w:sz="8" w:color="93A1D2"/>
            </w:tcBorders>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720" w:type="dxa"/>
            <w:vAlign w:val="bottom"/>
            <w:tcBorders>
              <w:right w:val="single" w:sz="8" w:color="3465B0"/>
            </w:tcBorders>
            <w:vMerge w:val="continue"/>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360" w:type="dxa"/>
            <w:vAlign w:val="bottom"/>
            <w:tcBorders>
              <w:left w:val="single" w:sz="8" w:color="3465B0"/>
              <w:right w:val="single" w:sz="8" w:color="93A1D2"/>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88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102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64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78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680" w:type="dxa"/>
            <w:vAlign w:val="bottom"/>
            <w:vMerge w:val="continue"/>
            <w:shd w:val="clear" w:color="auto" w:fill="CCCCCC"/>
          </w:tcPr>
          <w:p>
            <w:pPr>
              <w:spacing w:after="0"/>
              <w:rPr>
                <w:sz w:val="17"/>
                <w:szCs w:val="17"/>
                <w:color w:val="auto"/>
              </w:rPr>
            </w:pPr>
          </w:p>
        </w:tc>
        <w:tc>
          <w:tcPr>
            <w:tcW w:w="10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780" w:type="dxa"/>
            <w:vAlign w:val="bottom"/>
            <w:tcBorders>
              <w:right w:val="single" w:sz="8" w:color="93A1D2"/>
            </w:tcBorders>
            <w:shd w:val="clear" w:color="auto" w:fill="CCCCCC"/>
          </w:tcPr>
          <w:p>
            <w:pPr>
              <w:jc w:val="right"/>
              <w:ind w:right="33"/>
              <w:spacing w:after="0"/>
              <w:rPr>
                <w:sz w:val="20"/>
                <w:szCs w:val="20"/>
                <w:color w:val="auto"/>
              </w:rPr>
            </w:pPr>
            <w:r>
              <w:rPr>
                <w:rFonts w:ascii="Arial" w:cs="Arial" w:eastAsia="Arial" w:hAnsi="Arial"/>
                <w:sz w:val="14"/>
                <w:szCs w:val="14"/>
                <w:color w:val="auto"/>
              </w:rPr>
              <w:t>2,134,050</w:t>
            </w:r>
          </w:p>
        </w:tc>
        <w:tc>
          <w:tcPr>
            <w:tcW w:w="60" w:type="dxa"/>
            <w:vAlign w:val="bottom"/>
            <w:shd w:val="clear" w:color="auto" w:fill="CCCCCC"/>
          </w:tcPr>
          <w:p>
            <w:pPr>
              <w:spacing w:after="0"/>
              <w:rPr>
                <w:sz w:val="17"/>
                <w:szCs w:val="17"/>
                <w:color w:val="auto"/>
              </w:rPr>
            </w:pPr>
          </w:p>
        </w:tc>
        <w:tc>
          <w:tcPr>
            <w:tcW w:w="800" w:type="dxa"/>
            <w:vAlign w:val="bottom"/>
            <w:shd w:val="clear" w:color="auto" w:fill="CCCCCC"/>
          </w:tcPr>
          <w:p>
            <w:pPr>
              <w:spacing w:after="0"/>
              <w:rPr>
                <w:sz w:val="17"/>
                <w:szCs w:val="17"/>
                <w:color w:val="auto"/>
              </w:rPr>
            </w:pPr>
          </w:p>
        </w:tc>
        <w:tc>
          <w:tcPr>
            <w:tcW w:w="10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720" w:type="dxa"/>
            <w:vAlign w:val="bottom"/>
            <w:tcBorders>
              <w:right w:val="single" w:sz="8" w:color="3465B0"/>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60" w:type="dxa"/>
            <w:vAlign w:val="bottom"/>
            <w:tcBorders>
              <w:left w:val="single" w:sz="8" w:color="3465B0"/>
              <w:right w:val="single" w:sz="8" w:color="93A1D2"/>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8/1/2025</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2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4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line="215" w:lineRule="exact"/>
              <w:rPr>
                <w:sz w:val="20"/>
                <w:szCs w:val="20"/>
                <w:color w:val="auto"/>
              </w:rPr>
            </w:pPr>
            <w:r>
              <w:rPr>
                <w:rFonts w:ascii="Arial" w:cs="Arial" w:eastAsia="Arial" w:hAnsi="Arial"/>
                <w:sz w:val="14"/>
                <w:szCs w:val="14"/>
                <w:color w:val="auto"/>
              </w:rPr>
              <w:t>41,306</w:t>
            </w:r>
            <w:r>
              <w:rPr>
                <w:rFonts w:ascii="Arial" w:cs="Arial" w:eastAsia="Arial" w:hAnsi="Arial"/>
                <w:sz w:val="23"/>
                <w:szCs w:val="23"/>
                <w:color w:val="auto"/>
                <w:vertAlign w:val="superscript"/>
              </w:rPr>
              <w:t>(9)</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jc w:val="right"/>
              <w:ind w:right="33"/>
              <w:spacing w:after="0"/>
              <w:rPr>
                <w:sz w:val="20"/>
                <w:szCs w:val="20"/>
                <w:color w:val="auto"/>
              </w:rPr>
            </w:pPr>
            <w:r>
              <w:rPr>
                <w:rFonts w:ascii="Arial" w:cs="Arial" w:eastAsia="Arial" w:hAnsi="Arial"/>
                <w:sz w:val="14"/>
                <w:szCs w:val="14"/>
                <w:color w:val="auto"/>
              </w:rPr>
              <w:t>1,071,891</w:t>
            </w:r>
          </w:p>
        </w:tc>
        <w:tc>
          <w:tcPr>
            <w:tcW w:w="6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20" w:type="dxa"/>
            <w:vAlign w:val="bottom"/>
            <w:tcBorders>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360" w:type="dxa"/>
            <w:vAlign w:val="bottom"/>
            <w:tcBorders>
              <w:left w:val="single" w:sz="8" w:color="3465B0"/>
              <w:right w:val="single" w:sz="8" w:color="93A1D2"/>
            </w:tcBorders>
          </w:tcPr>
          <w:p>
            <w:pPr>
              <w:ind w:left="100"/>
              <w:spacing w:after="0" w:line="153" w:lineRule="exact"/>
              <w:rPr>
                <w:sz w:val="20"/>
                <w:szCs w:val="20"/>
                <w:color w:val="auto"/>
              </w:rPr>
            </w:pPr>
            <w:r>
              <w:rPr>
                <w:rFonts w:ascii="Arial" w:cs="Arial" w:eastAsia="Arial" w:hAnsi="Arial"/>
                <w:sz w:val="14"/>
                <w:szCs w:val="14"/>
                <w:color w:val="auto"/>
              </w:rPr>
              <w:t>Christopher J.</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93A1D2"/>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right w:val="single" w:sz="8" w:color="93A1D2"/>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right w:val="single" w:sz="8" w:color="93A1D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right w:val="single" w:sz="8" w:color="93A1D2"/>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right w:val="single" w:sz="8" w:color="93A1D2"/>
            </w:tcBorders>
          </w:tcPr>
          <w:p>
            <w:pPr>
              <w:spacing w:after="0"/>
              <w:rPr>
                <w:sz w:val="13"/>
                <w:szCs w:val="13"/>
                <w:color w:val="auto"/>
              </w:rPr>
            </w:pPr>
          </w:p>
        </w:tc>
        <w:tc>
          <w:tcPr>
            <w:tcW w:w="840" w:type="dxa"/>
            <w:vAlign w:val="bottom"/>
            <w:tcBorders>
              <w:right w:val="single" w:sz="8" w:color="93A1D2"/>
            </w:tcBorders>
            <w:gridSpan w:val="3"/>
            <w:vMerge w:val="restart"/>
          </w:tcPr>
          <w:p>
            <w:pPr>
              <w:jc w:val="right"/>
              <w:ind w:right="80"/>
              <w:spacing w:after="0"/>
              <w:rPr>
                <w:sz w:val="20"/>
                <w:szCs w:val="20"/>
                <w:color w:val="auto"/>
              </w:rPr>
            </w:pPr>
            <w:r>
              <w:rPr>
                <w:rFonts w:ascii="Arial" w:cs="Arial" w:eastAsia="Arial" w:hAnsi="Arial"/>
                <w:sz w:val="14"/>
                <w:szCs w:val="14"/>
                <w:color w:val="auto"/>
              </w:rPr>
              <w:t>78,248</w:t>
            </w:r>
            <w:r>
              <w:rPr>
                <w:rFonts w:ascii="Arial" w:cs="Arial" w:eastAsia="Arial" w:hAnsi="Arial"/>
                <w:sz w:val="23"/>
                <w:szCs w:val="23"/>
                <w:color w:val="auto"/>
                <w:vertAlign w:val="superscript"/>
              </w:rPr>
              <w:t>(10)</w:t>
            </w:r>
          </w:p>
        </w:tc>
        <w:tc>
          <w:tcPr>
            <w:tcW w:w="60" w:type="dxa"/>
            <w:vAlign w:val="bottom"/>
          </w:tcPr>
          <w:p>
            <w:pPr>
              <w:spacing w:after="0"/>
              <w:rPr>
                <w:sz w:val="13"/>
                <w:szCs w:val="13"/>
                <w:color w:val="auto"/>
              </w:rPr>
            </w:pPr>
          </w:p>
        </w:tc>
        <w:tc>
          <w:tcPr>
            <w:tcW w:w="780" w:type="dxa"/>
            <w:vAlign w:val="bottom"/>
            <w:tcBorders>
              <w:right w:val="single" w:sz="8" w:color="93A1D2"/>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right w:val="single" w:sz="8" w:color="93A1D2"/>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right w:val="single" w:sz="8" w:color="3465B0"/>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3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4"/>
                <w:szCs w:val="14"/>
                <w:color w:val="auto"/>
              </w:rPr>
              <w:t>Laden</w:t>
            </w: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3/31/2025</w:t>
            </w:r>
          </w:p>
        </w:tc>
        <w:tc>
          <w:tcPr>
            <w:tcW w:w="10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right w:val="single" w:sz="8" w:color="93A1D2"/>
            </w:tcBorders>
          </w:tcPr>
          <w:p>
            <w:pPr>
              <w:spacing w:after="0"/>
              <w:rPr>
                <w:sz w:val="16"/>
                <w:szCs w:val="16"/>
                <w:color w:val="auto"/>
              </w:rPr>
            </w:pPr>
          </w:p>
        </w:tc>
        <w:tc>
          <w:tcPr>
            <w:tcW w:w="840" w:type="dxa"/>
            <w:vAlign w:val="bottom"/>
            <w:tcBorders>
              <w:right w:val="single" w:sz="8" w:color="93A1D2"/>
            </w:tcBorders>
            <w:gridSpan w:val="3"/>
            <w:vMerge w:val="continue"/>
          </w:tcPr>
          <w:p>
            <w:pPr>
              <w:spacing w:after="0"/>
              <w:rPr>
                <w:sz w:val="16"/>
                <w:szCs w:val="16"/>
                <w:color w:val="auto"/>
              </w:rPr>
            </w:pP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2,030,536</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4"/>
                <w:szCs w:val="14"/>
                <w:color w:val="auto"/>
              </w:rPr>
              <w:t>Mark S. Banner</w:t>
            </w:r>
          </w:p>
        </w:tc>
        <w:tc>
          <w:tcPr>
            <w:tcW w:w="40" w:type="dxa"/>
            <w:vAlign w:val="bottom"/>
            <w:shd w:val="clear" w:color="auto" w:fill="CCCCCC"/>
          </w:tcPr>
          <w:p>
            <w:pPr>
              <w:spacing w:after="0"/>
              <w:rPr>
                <w:sz w:val="18"/>
                <w:szCs w:val="18"/>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7/8/2024</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2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4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900" w:type="dxa"/>
            <w:vAlign w:val="bottom"/>
            <w:tcBorders>
              <w:right w:val="single" w:sz="8" w:color="93A1D2"/>
            </w:tcBorders>
            <w:gridSpan w:val="2"/>
            <w:shd w:val="clear" w:color="auto" w:fill="CCCCCC"/>
          </w:tcPr>
          <w:p>
            <w:pPr>
              <w:jc w:val="right"/>
              <w:ind w:right="100"/>
              <w:spacing w:after="0" w:line="216" w:lineRule="exact"/>
              <w:rPr>
                <w:sz w:val="20"/>
                <w:szCs w:val="20"/>
                <w:color w:val="auto"/>
              </w:rPr>
            </w:pPr>
            <w:r>
              <w:rPr>
                <w:rFonts w:ascii="Arial" w:cs="Arial" w:eastAsia="Arial" w:hAnsi="Arial"/>
                <w:sz w:val="14"/>
                <w:szCs w:val="14"/>
                <w:color w:val="auto"/>
              </w:rPr>
              <w:t>35,184</w:t>
            </w:r>
            <w:r>
              <w:rPr>
                <w:rFonts w:ascii="Arial" w:cs="Arial" w:eastAsia="Arial" w:hAnsi="Arial"/>
                <w:sz w:val="23"/>
                <w:szCs w:val="23"/>
                <w:color w:val="auto"/>
                <w:vertAlign w:val="superscript"/>
              </w:rPr>
              <w:t>(4)</w:t>
            </w:r>
          </w:p>
        </w:tc>
        <w:tc>
          <w:tcPr>
            <w:tcW w:w="60" w:type="dxa"/>
            <w:vAlign w:val="bottom"/>
            <w:shd w:val="clear" w:color="auto" w:fill="CCCCCC"/>
          </w:tcPr>
          <w:p>
            <w:pPr>
              <w:spacing w:after="0"/>
              <w:rPr>
                <w:sz w:val="18"/>
                <w:szCs w:val="18"/>
                <w:color w:val="auto"/>
              </w:rPr>
            </w:pPr>
          </w:p>
        </w:tc>
        <w:tc>
          <w:tcPr>
            <w:tcW w:w="720" w:type="dxa"/>
            <w:vAlign w:val="bottom"/>
            <w:tcBorders>
              <w:right w:val="single" w:sz="8" w:color="3465B0"/>
            </w:tcBorders>
            <w:shd w:val="clear" w:color="auto" w:fill="CCCCCC"/>
          </w:tcPr>
          <w:p>
            <w:pPr>
              <w:jc w:val="right"/>
              <w:ind w:right="15"/>
              <w:spacing w:after="0"/>
              <w:rPr>
                <w:sz w:val="20"/>
                <w:szCs w:val="20"/>
                <w:color w:val="auto"/>
              </w:rPr>
            </w:pPr>
            <w:r>
              <w:rPr>
                <w:rFonts w:ascii="Arial" w:cs="Arial" w:eastAsia="Arial" w:hAnsi="Arial"/>
                <w:sz w:val="14"/>
                <w:szCs w:val="14"/>
                <w:color w:val="auto"/>
              </w:rPr>
              <w:t>913,025</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7/8/2024</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2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4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line="216" w:lineRule="exact"/>
              <w:rPr>
                <w:sz w:val="20"/>
                <w:szCs w:val="20"/>
                <w:color w:val="auto"/>
              </w:rPr>
            </w:pPr>
            <w:r>
              <w:rPr>
                <w:rFonts w:ascii="Arial" w:cs="Arial" w:eastAsia="Arial" w:hAnsi="Arial"/>
                <w:sz w:val="14"/>
                <w:szCs w:val="14"/>
                <w:color w:val="auto"/>
                <w:w w:val="94"/>
              </w:rPr>
              <w:t>23,456</w:t>
            </w:r>
            <w:r>
              <w:rPr>
                <w:rFonts w:ascii="Arial" w:cs="Arial" w:eastAsia="Arial" w:hAnsi="Arial"/>
                <w:sz w:val="23"/>
                <w:szCs w:val="23"/>
                <w:color w:val="auto"/>
                <w:w w:val="94"/>
                <w:vertAlign w:val="superscript"/>
              </w:rPr>
              <w:t>(11)</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jc w:val="right"/>
              <w:ind w:right="33"/>
              <w:spacing w:after="0"/>
              <w:rPr>
                <w:sz w:val="20"/>
                <w:szCs w:val="20"/>
                <w:color w:val="auto"/>
              </w:rPr>
            </w:pPr>
            <w:r>
              <w:rPr>
                <w:rFonts w:ascii="Arial" w:cs="Arial" w:eastAsia="Arial" w:hAnsi="Arial"/>
                <w:sz w:val="14"/>
                <w:szCs w:val="14"/>
                <w:color w:val="auto"/>
              </w:rPr>
              <w:t>608,683</w:t>
            </w:r>
          </w:p>
        </w:tc>
        <w:tc>
          <w:tcPr>
            <w:tcW w:w="60" w:type="dxa"/>
            <w:vAlign w:val="bottom"/>
            <w:shd w:val="clear" w:color="auto" w:fill="CCCCCC"/>
          </w:tcPr>
          <w:p>
            <w:pPr>
              <w:spacing w:after="0"/>
              <w:rPr>
                <w:sz w:val="18"/>
                <w:szCs w:val="18"/>
                <w:color w:val="auto"/>
              </w:rPr>
            </w:pPr>
          </w:p>
        </w:tc>
        <w:tc>
          <w:tcPr>
            <w:tcW w:w="80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82,238</w:t>
            </w:r>
            <w:r>
              <w:rPr>
                <w:rFonts w:ascii="Arial" w:cs="Arial" w:eastAsia="Arial" w:hAnsi="Arial"/>
                <w:sz w:val="23"/>
                <w:szCs w:val="23"/>
                <w:color w:val="auto"/>
                <w:vertAlign w:val="superscript"/>
              </w:rPr>
              <w:t>(6)</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20" w:type="dxa"/>
            <w:vAlign w:val="bottom"/>
            <w:tcBorders>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Borders>
              <w:left w:val="single" w:sz="8" w:color="3465B0"/>
              <w:right w:val="single" w:sz="8" w:color="93A1D2"/>
            </w:tcBorders>
            <w:shd w:val="clear" w:color="auto" w:fill="CCCCCC"/>
          </w:tcPr>
          <w:p>
            <w:pPr>
              <w:spacing w:after="0"/>
              <w:rPr>
                <w:sz w:val="20"/>
                <w:szCs w:val="20"/>
                <w:color w:val="auto"/>
              </w:rPr>
            </w:pPr>
          </w:p>
        </w:tc>
        <w:tc>
          <w:tcPr>
            <w:tcW w:w="40" w:type="dxa"/>
            <w:vAlign w:val="bottom"/>
            <w:shd w:val="clear" w:color="auto" w:fill="CCCCCC"/>
          </w:tcPr>
          <w:p>
            <w:pPr>
              <w:spacing w:after="0"/>
              <w:rPr>
                <w:sz w:val="20"/>
                <w:szCs w:val="20"/>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880" w:type="dxa"/>
            <w:vAlign w:val="bottom"/>
            <w:tcBorders>
              <w:right w:val="single" w:sz="8" w:color="93A1D2"/>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1020" w:type="dxa"/>
            <w:vAlign w:val="bottom"/>
            <w:tcBorders>
              <w:right w:val="single" w:sz="8" w:color="93A1D2"/>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640" w:type="dxa"/>
            <w:vAlign w:val="bottom"/>
            <w:tcBorders>
              <w:right w:val="single" w:sz="8" w:color="93A1D2"/>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780" w:type="dxa"/>
            <w:vAlign w:val="bottom"/>
            <w:tcBorders>
              <w:right w:val="single" w:sz="8" w:color="93A1D2"/>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68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41,119</w:t>
            </w:r>
            <w:r>
              <w:rPr>
                <w:rFonts w:ascii="Arial" w:cs="Arial" w:eastAsia="Arial" w:hAnsi="Arial"/>
                <w:sz w:val="23"/>
                <w:szCs w:val="23"/>
                <w:color w:val="auto"/>
                <w:vertAlign w:val="superscript"/>
              </w:rPr>
              <w:t>(7)</w:t>
            </w:r>
          </w:p>
        </w:tc>
        <w:tc>
          <w:tcPr>
            <w:tcW w:w="100" w:type="dxa"/>
            <w:vAlign w:val="bottom"/>
            <w:tcBorders>
              <w:right w:val="single" w:sz="8" w:color="93A1D2"/>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780" w:type="dxa"/>
            <w:vAlign w:val="bottom"/>
            <w:tcBorders>
              <w:right w:val="single" w:sz="8" w:color="93A1D2"/>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800" w:type="dxa"/>
            <w:vAlign w:val="bottom"/>
            <w:vMerge w:val="continue"/>
            <w:shd w:val="clear" w:color="auto" w:fill="CCCCCC"/>
          </w:tcPr>
          <w:p>
            <w:pPr>
              <w:spacing w:after="0"/>
              <w:rPr>
                <w:sz w:val="20"/>
                <w:szCs w:val="20"/>
                <w:color w:val="auto"/>
              </w:rPr>
            </w:pPr>
          </w:p>
        </w:tc>
        <w:tc>
          <w:tcPr>
            <w:tcW w:w="100" w:type="dxa"/>
            <w:vAlign w:val="bottom"/>
            <w:tcBorders>
              <w:right w:val="single" w:sz="8" w:color="93A1D2"/>
            </w:tcBorders>
            <w:shd w:val="clear" w:color="auto" w:fill="CCCCCC"/>
          </w:tcPr>
          <w:p>
            <w:pPr>
              <w:spacing w:after="0"/>
              <w:rPr>
                <w:sz w:val="20"/>
                <w:szCs w:val="20"/>
                <w:color w:val="auto"/>
              </w:rPr>
            </w:pPr>
          </w:p>
        </w:tc>
        <w:tc>
          <w:tcPr>
            <w:tcW w:w="60" w:type="dxa"/>
            <w:vAlign w:val="bottom"/>
            <w:shd w:val="clear" w:color="auto" w:fill="CCCCCC"/>
          </w:tcPr>
          <w:p>
            <w:pPr>
              <w:spacing w:after="0"/>
              <w:rPr>
                <w:sz w:val="20"/>
                <w:szCs w:val="20"/>
                <w:color w:val="auto"/>
              </w:rPr>
            </w:pPr>
          </w:p>
        </w:tc>
        <w:tc>
          <w:tcPr>
            <w:tcW w:w="720" w:type="dxa"/>
            <w:vAlign w:val="bottom"/>
            <w:tcBorders>
              <w:right w:val="single" w:sz="8" w:color="3465B0"/>
            </w:tcBorders>
            <w:shd w:val="clear" w:color="auto" w:fill="CCCCCC"/>
          </w:tcPr>
          <w:p>
            <w:pPr>
              <w:jc w:val="right"/>
              <w:ind w:right="15"/>
              <w:spacing w:after="0"/>
              <w:rPr>
                <w:sz w:val="20"/>
                <w:szCs w:val="20"/>
                <w:color w:val="auto"/>
              </w:rPr>
            </w:pPr>
            <w:r>
              <w:rPr>
                <w:rFonts w:ascii="Arial" w:cs="Arial" w:eastAsia="Arial" w:hAnsi="Arial"/>
                <w:sz w:val="14"/>
                <w:szCs w:val="14"/>
                <w:color w:val="auto"/>
                <w:w w:val="99"/>
              </w:rPr>
              <w:t>2,134,076</w:t>
            </w:r>
          </w:p>
        </w:tc>
        <w:tc>
          <w:tcPr>
            <w:tcW w:w="0" w:type="dxa"/>
            <w:vAlign w:val="bottom"/>
          </w:tcPr>
          <w:p>
            <w:pPr>
              <w:spacing w:after="0"/>
              <w:rPr>
                <w:sz w:val="1"/>
                <w:szCs w:val="1"/>
                <w:color w:val="auto"/>
              </w:rPr>
            </w:pPr>
          </w:p>
        </w:tc>
      </w:tr>
      <w:tr>
        <w:trPr>
          <w:trHeight w:val="185"/>
        </w:trPr>
        <w:tc>
          <w:tcPr>
            <w:tcW w:w="1360" w:type="dxa"/>
            <w:vAlign w:val="bottom"/>
            <w:tcBorders>
              <w:left w:val="single" w:sz="8" w:color="3465B0"/>
              <w:right w:val="single" w:sz="8" w:color="93A1D2"/>
            </w:tcBorders>
            <w:shd w:val="clear" w:color="auto" w:fill="CCCCCC"/>
          </w:tcPr>
          <w:p>
            <w:pPr>
              <w:spacing w:after="0"/>
              <w:rPr>
                <w:sz w:val="16"/>
                <w:szCs w:val="16"/>
                <w:color w:val="auto"/>
              </w:rPr>
            </w:pPr>
          </w:p>
        </w:tc>
        <w:tc>
          <w:tcPr>
            <w:tcW w:w="40" w:type="dxa"/>
            <w:vAlign w:val="bottom"/>
            <w:shd w:val="clear" w:color="auto" w:fill="CCCCCC"/>
          </w:tcPr>
          <w:p>
            <w:pPr>
              <w:spacing w:after="0"/>
              <w:rPr>
                <w:sz w:val="16"/>
                <w:szCs w:val="16"/>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8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02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64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8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680" w:type="dxa"/>
            <w:vAlign w:val="bottom"/>
            <w:vMerge w:val="continue"/>
            <w:shd w:val="clear" w:color="auto" w:fill="CCCCCC"/>
          </w:tcPr>
          <w:p>
            <w:pPr>
              <w:spacing w:after="0"/>
              <w:rPr>
                <w:sz w:val="16"/>
                <w:szCs w:val="16"/>
                <w:color w:val="auto"/>
              </w:rPr>
            </w:pPr>
          </w:p>
        </w:tc>
        <w:tc>
          <w:tcPr>
            <w:tcW w:w="10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80" w:type="dxa"/>
            <w:vAlign w:val="bottom"/>
            <w:tcBorders>
              <w:right w:val="single" w:sz="8" w:color="93A1D2"/>
            </w:tcBorders>
            <w:shd w:val="clear" w:color="auto" w:fill="CCCCCC"/>
          </w:tcPr>
          <w:p>
            <w:pPr>
              <w:jc w:val="right"/>
              <w:ind w:right="33"/>
              <w:spacing w:after="0"/>
              <w:rPr>
                <w:sz w:val="20"/>
                <w:szCs w:val="20"/>
                <w:color w:val="auto"/>
              </w:rPr>
            </w:pPr>
            <w:r>
              <w:rPr>
                <w:rFonts w:ascii="Arial" w:cs="Arial" w:eastAsia="Arial" w:hAnsi="Arial"/>
                <w:sz w:val="14"/>
                <w:szCs w:val="14"/>
                <w:color w:val="auto"/>
              </w:rPr>
              <w:t>1,067,038</w:t>
            </w:r>
          </w:p>
        </w:tc>
        <w:tc>
          <w:tcPr>
            <w:tcW w:w="60" w:type="dxa"/>
            <w:vAlign w:val="bottom"/>
            <w:shd w:val="clear" w:color="auto" w:fill="CCCCCC"/>
          </w:tcPr>
          <w:p>
            <w:pPr>
              <w:spacing w:after="0"/>
              <w:rPr>
                <w:sz w:val="16"/>
                <w:szCs w:val="16"/>
                <w:color w:val="auto"/>
              </w:rPr>
            </w:pPr>
          </w:p>
        </w:tc>
        <w:tc>
          <w:tcPr>
            <w:tcW w:w="800" w:type="dxa"/>
            <w:vAlign w:val="bottom"/>
            <w:shd w:val="clear" w:color="auto" w:fill="CCCCCC"/>
          </w:tcPr>
          <w:p>
            <w:pPr>
              <w:spacing w:after="0"/>
              <w:rPr>
                <w:sz w:val="16"/>
                <w:szCs w:val="16"/>
                <w:color w:val="auto"/>
              </w:rPr>
            </w:pPr>
          </w:p>
        </w:tc>
        <w:tc>
          <w:tcPr>
            <w:tcW w:w="100" w:type="dxa"/>
            <w:vAlign w:val="bottom"/>
            <w:tcBorders>
              <w:right w:val="single" w:sz="8" w:color="93A1D2"/>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720" w:type="dxa"/>
            <w:vAlign w:val="bottom"/>
            <w:tcBorders>
              <w:right w:val="single" w:sz="8" w:color="3465B0"/>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3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4"/>
                <w:szCs w:val="14"/>
                <w:color w:val="auto"/>
              </w:rPr>
              <w:t>Jared Brandman</w:t>
            </w: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8/14/2017</w:t>
            </w:r>
          </w:p>
        </w:tc>
        <w:tc>
          <w:tcPr>
            <w:tcW w:w="100" w:type="dxa"/>
            <w:vAlign w:val="bottom"/>
            <w:tcBorders>
              <w:right w:val="single" w:sz="8" w:color="93A1D2"/>
            </w:tcBorders>
          </w:tcPr>
          <w:p>
            <w:pPr>
              <w:spacing w:after="0"/>
              <w:rPr>
                <w:sz w:val="19"/>
                <w:szCs w:val="19"/>
                <w:color w:val="auto"/>
              </w:rPr>
            </w:pPr>
          </w:p>
        </w:tc>
        <w:tc>
          <w:tcPr>
            <w:tcW w:w="940" w:type="dxa"/>
            <w:vAlign w:val="bottom"/>
            <w:tcBorders>
              <w:right w:val="single" w:sz="8" w:color="93A1D2"/>
            </w:tcBorders>
            <w:gridSpan w:val="2"/>
          </w:tcPr>
          <w:p>
            <w:pPr>
              <w:jc w:val="right"/>
              <w:ind w:right="14"/>
              <w:spacing w:after="0"/>
              <w:rPr>
                <w:sz w:val="20"/>
                <w:szCs w:val="20"/>
                <w:color w:val="auto"/>
              </w:rPr>
            </w:pPr>
            <w:r>
              <w:rPr>
                <w:rFonts w:ascii="Arial" w:cs="Arial" w:eastAsia="Arial" w:hAnsi="Arial"/>
                <w:sz w:val="14"/>
                <w:szCs w:val="14"/>
                <w:color w:val="auto"/>
              </w:rPr>
              <w:t>40,686</w:t>
            </w:r>
          </w:p>
        </w:tc>
        <w:tc>
          <w:tcPr>
            <w:tcW w:w="60" w:type="dxa"/>
            <w:vAlign w:val="bottom"/>
          </w:tcPr>
          <w:p>
            <w:pPr>
              <w:spacing w:after="0"/>
              <w:rPr>
                <w:sz w:val="19"/>
                <w:szCs w:val="19"/>
                <w:color w:val="auto"/>
              </w:rPr>
            </w:pPr>
          </w:p>
        </w:tc>
        <w:tc>
          <w:tcPr>
            <w:tcW w:w="1020" w:type="dxa"/>
            <w:vAlign w:val="bottom"/>
            <w:tcBorders>
              <w:right w:val="single" w:sz="8" w:color="93A1D2"/>
            </w:tcBorders>
          </w:tcPr>
          <w:p>
            <w:pPr>
              <w:spacing w:after="0"/>
              <w:rPr>
                <w:sz w:val="19"/>
                <w:szCs w:val="19"/>
                <w:color w:val="auto"/>
              </w:rPr>
            </w:pPr>
          </w:p>
        </w:tc>
        <w:tc>
          <w:tcPr>
            <w:tcW w:w="70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15.74</w:t>
            </w: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8/14/2027</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right w:val="single" w:sz="8" w:color="93A1D2"/>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right w:val="single" w:sz="8" w:color="93A1D2"/>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right w:val="single" w:sz="8" w:color="93A1D2"/>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right w:val="single" w:sz="8" w:color="3465B0"/>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3/1/2019</w:t>
            </w:r>
          </w:p>
        </w:tc>
        <w:tc>
          <w:tcPr>
            <w:tcW w:w="100" w:type="dxa"/>
            <w:vAlign w:val="bottom"/>
            <w:tcBorders>
              <w:right w:val="single" w:sz="8" w:color="93A1D2"/>
            </w:tcBorders>
          </w:tcPr>
          <w:p>
            <w:pPr>
              <w:spacing w:after="0"/>
              <w:rPr>
                <w:sz w:val="18"/>
                <w:szCs w:val="18"/>
                <w:color w:val="auto"/>
              </w:rPr>
            </w:pPr>
          </w:p>
        </w:tc>
        <w:tc>
          <w:tcPr>
            <w:tcW w:w="940" w:type="dxa"/>
            <w:vAlign w:val="bottom"/>
            <w:tcBorders>
              <w:right w:val="single" w:sz="8" w:color="93A1D2"/>
            </w:tcBorders>
            <w:gridSpan w:val="2"/>
          </w:tcPr>
          <w:p>
            <w:pPr>
              <w:jc w:val="right"/>
              <w:ind w:right="14"/>
              <w:spacing w:after="0"/>
              <w:rPr>
                <w:sz w:val="20"/>
                <w:szCs w:val="20"/>
                <w:color w:val="auto"/>
              </w:rPr>
            </w:pPr>
            <w:r>
              <w:rPr>
                <w:rFonts w:ascii="Arial" w:cs="Arial" w:eastAsia="Arial" w:hAnsi="Arial"/>
                <w:sz w:val="14"/>
                <w:szCs w:val="14"/>
                <w:color w:val="auto"/>
              </w:rPr>
              <w:t>8,791</w:t>
            </w: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70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35.19</w:t>
            </w: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3/1/2029</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2/28/2020</w:t>
            </w:r>
          </w:p>
        </w:tc>
        <w:tc>
          <w:tcPr>
            <w:tcW w:w="100" w:type="dxa"/>
            <w:vAlign w:val="bottom"/>
            <w:tcBorders>
              <w:right w:val="single" w:sz="8" w:color="93A1D2"/>
            </w:tcBorders>
          </w:tcPr>
          <w:p>
            <w:pPr>
              <w:spacing w:after="0"/>
              <w:rPr>
                <w:sz w:val="18"/>
                <w:szCs w:val="18"/>
                <w:color w:val="auto"/>
              </w:rPr>
            </w:pPr>
          </w:p>
        </w:tc>
        <w:tc>
          <w:tcPr>
            <w:tcW w:w="940" w:type="dxa"/>
            <w:vAlign w:val="bottom"/>
            <w:tcBorders>
              <w:right w:val="single" w:sz="8" w:color="93A1D2"/>
            </w:tcBorders>
            <w:gridSpan w:val="2"/>
          </w:tcPr>
          <w:p>
            <w:pPr>
              <w:jc w:val="right"/>
              <w:ind w:right="14"/>
              <w:spacing w:after="0"/>
              <w:rPr>
                <w:sz w:val="20"/>
                <w:szCs w:val="20"/>
                <w:color w:val="auto"/>
              </w:rPr>
            </w:pPr>
            <w:r>
              <w:rPr>
                <w:rFonts w:ascii="Arial" w:cs="Arial" w:eastAsia="Arial" w:hAnsi="Arial"/>
                <w:sz w:val="14"/>
                <w:szCs w:val="14"/>
                <w:color w:val="auto"/>
              </w:rPr>
              <w:t>4,566</w:t>
            </w: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70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34.82</w:t>
            </w: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2/28/2030</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3/5/2021</w:t>
            </w:r>
          </w:p>
        </w:tc>
        <w:tc>
          <w:tcPr>
            <w:tcW w:w="100" w:type="dxa"/>
            <w:vAlign w:val="bottom"/>
            <w:tcBorders>
              <w:right w:val="single" w:sz="8" w:color="93A1D2"/>
            </w:tcBorders>
          </w:tcPr>
          <w:p>
            <w:pPr>
              <w:spacing w:after="0"/>
              <w:rPr>
                <w:sz w:val="18"/>
                <w:szCs w:val="18"/>
                <w:color w:val="auto"/>
              </w:rPr>
            </w:pPr>
          </w:p>
        </w:tc>
        <w:tc>
          <w:tcPr>
            <w:tcW w:w="940" w:type="dxa"/>
            <w:vAlign w:val="bottom"/>
            <w:tcBorders>
              <w:right w:val="single" w:sz="8" w:color="93A1D2"/>
            </w:tcBorders>
            <w:gridSpan w:val="2"/>
          </w:tcPr>
          <w:p>
            <w:pPr>
              <w:jc w:val="right"/>
              <w:ind w:right="14"/>
              <w:spacing w:after="0"/>
              <w:rPr>
                <w:sz w:val="20"/>
                <w:szCs w:val="20"/>
                <w:color w:val="auto"/>
              </w:rPr>
            </w:pPr>
            <w:r>
              <w:rPr>
                <w:rFonts w:ascii="Arial" w:cs="Arial" w:eastAsia="Arial" w:hAnsi="Arial"/>
                <w:sz w:val="14"/>
                <w:szCs w:val="14"/>
                <w:color w:val="auto"/>
              </w:rPr>
              <w:t>3,779</w:t>
            </w: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70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45.66</w:t>
            </w: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3/5/2031</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96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38,100</w:t>
            </w:r>
            <w:r>
              <w:rPr>
                <w:rFonts w:ascii="Arial" w:cs="Arial" w:eastAsia="Arial" w:hAnsi="Arial"/>
                <w:sz w:val="23"/>
                <w:szCs w:val="23"/>
                <w:color w:val="auto"/>
                <w:vertAlign w:val="superscript"/>
              </w:rPr>
              <w:t>(2)</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60" w:type="dxa"/>
            <w:vAlign w:val="bottom"/>
            <w:tcBorders>
              <w:left w:val="single" w:sz="8" w:color="3465B0"/>
              <w:right w:val="single" w:sz="8" w:color="93A1D2"/>
            </w:tcBorders>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3/3/2023</w:t>
            </w:r>
          </w:p>
        </w:tc>
        <w:tc>
          <w:tcPr>
            <w:tcW w:w="10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840" w:type="dxa"/>
            <w:vAlign w:val="bottom"/>
            <w:tcBorders>
              <w:right w:val="single" w:sz="8" w:color="93A1D2"/>
            </w:tcBorders>
            <w:gridSpan w:val="3"/>
            <w:vMerge w:val="restart"/>
          </w:tcPr>
          <w:p>
            <w:pPr>
              <w:jc w:val="right"/>
              <w:ind w:right="80"/>
              <w:spacing w:after="0"/>
              <w:rPr>
                <w:sz w:val="20"/>
                <w:szCs w:val="20"/>
                <w:color w:val="auto"/>
              </w:rPr>
            </w:pPr>
            <w:r>
              <w:rPr>
                <w:rFonts w:ascii="Arial" w:cs="Arial" w:eastAsia="Arial" w:hAnsi="Arial"/>
                <w:sz w:val="14"/>
                <w:szCs w:val="14"/>
                <w:color w:val="auto"/>
              </w:rPr>
              <w:t>6,350</w:t>
            </w:r>
            <w:r>
              <w:rPr>
                <w:rFonts w:ascii="Arial" w:cs="Arial" w:eastAsia="Arial" w:hAnsi="Arial"/>
                <w:sz w:val="23"/>
                <w:szCs w:val="23"/>
                <w:color w:val="auto"/>
                <w:vertAlign w:val="superscript"/>
              </w:rPr>
              <w:t>(3)</w:t>
            </w: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960" w:type="dxa"/>
            <w:vAlign w:val="bottom"/>
            <w:tcBorders>
              <w:right w:val="single" w:sz="8" w:color="93A1D2"/>
            </w:tcBorders>
            <w:gridSpan w:val="3"/>
            <w:vMerge w:val="continue"/>
          </w:tcPr>
          <w:p>
            <w:pPr>
              <w:spacing w:after="0"/>
              <w:rPr>
                <w:sz w:val="21"/>
                <w:szCs w:val="21"/>
                <w:color w:val="auto"/>
              </w:rPr>
            </w:pPr>
          </w:p>
        </w:tc>
        <w:tc>
          <w:tcPr>
            <w:tcW w:w="780" w:type="dxa"/>
            <w:vAlign w:val="bottom"/>
            <w:tcBorders>
              <w:right w:val="single" w:sz="8" w:color="3465B0"/>
            </w:tcBorders>
            <w:gridSpan w:val="2"/>
          </w:tcPr>
          <w:p>
            <w:pPr>
              <w:jc w:val="right"/>
              <w:ind w:right="15"/>
              <w:spacing w:after="0"/>
              <w:rPr>
                <w:sz w:val="20"/>
                <w:szCs w:val="20"/>
                <w:color w:val="auto"/>
              </w:rPr>
            </w:pPr>
            <w:r>
              <w:rPr>
                <w:rFonts w:ascii="Arial" w:cs="Arial" w:eastAsia="Arial" w:hAnsi="Arial"/>
                <w:sz w:val="14"/>
                <w:szCs w:val="14"/>
                <w:color w:val="auto"/>
              </w:rPr>
              <w:t>988,695</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3/3/2023</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3"/>
            <w:vMerge w:val="continue"/>
          </w:tcPr>
          <w:p>
            <w:pPr>
              <w:spacing w:after="0"/>
              <w:rPr>
                <w:sz w:val="18"/>
                <w:szCs w:val="18"/>
                <w:color w:val="auto"/>
              </w:rPr>
            </w:pP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164,783</w:t>
            </w:r>
          </w:p>
        </w:tc>
        <w:tc>
          <w:tcPr>
            <w:tcW w:w="96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10,621</w:t>
            </w:r>
            <w:r>
              <w:rPr>
                <w:rFonts w:ascii="Arial" w:cs="Arial" w:eastAsia="Arial" w:hAnsi="Arial"/>
                <w:sz w:val="23"/>
                <w:szCs w:val="23"/>
                <w:color w:val="auto"/>
                <w:vertAlign w:val="superscript"/>
              </w:rPr>
              <w:t>(4)</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3/1/2024</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3"/>
            <w:vMerge w:val="restart"/>
          </w:tcPr>
          <w:p>
            <w:pPr>
              <w:jc w:val="right"/>
              <w:ind w:right="80"/>
              <w:spacing w:after="0"/>
              <w:rPr>
                <w:sz w:val="20"/>
                <w:szCs w:val="20"/>
                <w:color w:val="auto"/>
              </w:rPr>
            </w:pPr>
            <w:r>
              <w:rPr>
                <w:rFonts w:ascii="Arial" w:cs="Arial" w:eastAsia="Arial" w:hAnsi="Arial"/>
                <w:sz w:val="14"/>
                <w:szCs w:val="14"/>
                <w:color w:val="auto"/>
              </w:rPr>
              <w:t>7,081</w:t>
            </w:r>
            <w:r>
              <w:rPr>
                <w:rFonts w:ascii="Arial" w:cs="Arial" w:eastAsia="Arial" w:hAnsi="Arial"/>
                <w:sz w:val="23"/>
                <w:szCs w:val="23"/>
                <w:color w:val="auto"/>
                <w:vertAlign w:val="superscript"/>
              </w:rPr>
              <w:t>(5)</w:t>
            </w: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960" w:type="dxa"/>
            <w:vAlign w:val="bottom"/>
            <w:tcBorders>
              <w:right w:val="single" w:sz="8" w:color="93A1D2"/>
            </w:tcBorders>
            <w:gridSpan w:val="3"/>
            <w:vMerge w:val="continue"/>
          </w:tcPr>
          <w:p>
            <w:pPr>
              <w:spacing w:after="0"/>
              <w:rPr>
                <w:sz w:val="18"/>
                <w:szCs w:val="18"/>
                <w:color w:val="auto"/>
              </w:rPr>
            </w:pPr>
          </w:p>
        </w:tc>
        <w:tc>
          <w:tcPr>
            <w:tcW w:w="780" w:type="dxa"/>
            <w:vAlign w:val="bottom"/>
            <w:tcBorders>
              <w:right w:val="single" w:sz="8" w:color="3465B0"/>
            </w:tcBorders>
            <w:gridSpan w:val="2"/>
          </w:tcPr>
          <w:p>
            <w:pPr>
              <w:jc w:val="right"/>
              <w:ind w:right="15"/>
              <w:spacing w:after="0"/>
              <w:rPr>
                <w:sz w:val="20"/>
                <w:szCs w:val="20"/>
                <w:color w:val="auto"/>
              </w:rPr>
            </w:pPr>
            <w:r>
              <w:rPr>
                <w:rFonts w:ascii="Arial" w:cs="Arial" w:eastAsia="Arial" w:hAnsi="Arial"/>
                <w:sz w:val="14"/>
                <w:szCs w:val="14"/>
                <w:color w:val="auto"/>
              </w:rPr>
              <w:t>275,615</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3/1/2024</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3"/>
            <w:vMerge w:val="continue"/>
          </w:tcPr>
          <w:p>
            <w:pPr>
              <w:spacing w:after="0"/>
              <w:rPr>
                <w:sz w:val="18"/>
                <w:szCs w:val="18"/>
                <w:color w:val="auto"/>
              </w:rPr>
            </w:pP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183,752</w:t>
            </w:r>
          </w:p>
        </w:tc>
        <w:tc>
          <w:tcPr>
            <w:tcW w:w="96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5,669</w:t>
            </w:r>
            <w:r>
              <w:rPr>
                <w:rFonts w:ascii="Arial" w:cs="Arial" w:eastAsia="Arial" w:hAnsi="Arial"/>
                <w:sz w:val="23"/>
                <w:szCs w:val="23"/>
                <w:color w:val="auto"/>
                <w:vertAlign w:val="superscript"/>
              </w:rPr>
              <w:t>(4)</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4/29/2024</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3"/>
            <w:vMerge w:val="restart"/>
          </w:tcPr>
          <w:p>
            <w:pPr>
              <w:jc w:val="right"/>
              <w:ind w:right="80"/>
              <w:spacing w:after="0"/>
              <w:rPr>
                <w:sz w:val="20"/>
                <w:szCs w:val="20"/>
                <w:color w:val="auto"/>
              </w:rPr>
            </w:pPr>
            <w:r>
              <w:rPr>
                <w:rFonts w:ascii="Arial" w:cs="Arial" w:eastAsia="Arial" w:hAnsi="Arial"/>
                <w:sz w:val="14"/>
                <w:szCs w:val="14"/>
                <w:color w:val="auto"/>
              </w:rPr>
              <w:t>3,780</w:t>
            </w:r>
            <w:r>
              <w:rPr>
                <w:rFonts w:ascii="Arial" w:cs="Arial" w:eastAsia="Arial" w:hAnsi="Arial"/>
                <w:sz w:val="23"/>
                <w:szCs w:val="23"/>
                <w:color w:val="auto"/>
                <w:vertAlign w:val="superscript"/>
              </w:rPr>
              <w:t>(12)</w:t>
            </w: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960" w:type="dxa"/>
            <w:vAlign w:val="bottom"/>
            <w:tcBorders>
              <w:right w:val="single" w:sz="8" w:color="93A1D2"/>
            </w:tcBorders>
            <w:gridSpan w:val="3"/>
            <w:vMerge w:val="continue"/>
          </w:tcPr>
          <w:p>
            <w:pPr>
              <w:spacing w:after="0"/>
              <w:rPr>
                <w:sz w:val="18"/>
                <w:szCs w:val="18"/>
                <w:color w:val="auto"/>
              </w:rPr>
            </w:pPr>
          </w:p>
        </w:tc>
        <w:tc>
          <w:tcPr>
            <w:tcW w:w="780" w:type="dxa"/>
            <w:vAlign w:val="bottom"/>
            <w:tcBorders>
              <w:right w:val="single" w:sz="8" w:color="3465B0"/>
            </w:tcBorders>
            <w:gridSpan w:val="2"/>
          </w:tcPr>
          <w:p>
            <w:pPr>
              <w:jc w:val="right"/>
              <w:ind w:right="15"/>
              <w:spacing w:after="0"/>
              <w:rPr>
                <w:sz w:val="20"/>
                <w:szCs w:val="20"/>
                <w:color w:val="auto"/>
              </w:rPr>
            </w:pPr>
            <w:r>
              <w:rPr>
                <w:rFonts w:ascii="Arial" w:cs="Arial" w:eastAsia="Arial" w:hAnsi="Arial"/>
                <w:sz w:val="14"/>
                <w:szCs w:val="14"/>
                <w:color w:val="auto"/>
              </w:rPr>
              <w:t>147,111</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4/29/2024</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3"/>
            <w:vMerge w:val="continue"/>
          </w:tcPr>
          <w:p>
            <w:pPr>
              <w:spacing w:after="0"/>
              <w:rPr>
                <w:sz w:val="18"/>
                <w:szCs w:val="18"/>
                <w:color w:val="auto"/>
              </w:rPr>
            </w:pP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98,091</w:t>
            </w:r>
          </w:p>
        </w:tc>
        <w:tc>
          <w:tcPr>
            <w:tcW w:w="960" w:type="dxa"/>
            <w:vAlign w:val="bottom"/>
            <w:tcBorders>
              <w:right w:val="single" w:sz="8" w:color="93A1D2"/>
            </w:tcBorders>
            <w:gridSpan w:val="3"/>
            <w:vMerge w:val="restart"/>
          </w:tcPr>
          <w:p>
            <w:pPr>
              <w:jc w:val="right"/>
              <w:ind w:right="100"/>
              <w:spacing w:after="0"/>
              <w:rPr>
                <w:sz w:val="20"/>
                <w:szCs w:val="20"/>
                <w:color w:val="auto"/>
              </w:rPr>
            </w:pPr>
            <w:r>
              <w:rPr>
                <w:rFonts w:ascii="Arial" w:cs="Arial" w:eastAsia="Arial" w:hAnsi="Arial"/>
                <w:sz w:val="14"/>
                <w:szCs w:val="14"/>
                <w:color w:val="auto"/>
              </w:rPr>
              <w:t>61,678</w:t>
            </w:r>
            <w:r>
              <w:rPr>
                <w:rFonts w:ascii="Arial" w:cs="Arial" w:eastAsia="Arial" w:hAnsi="Arial"/>
                <w:sz w:val="23"/>
                <w:szCs w:val="23"/>
                <w:color w:val="auto"/>
                <w:vertAlign w:val="superscript"/>
              </w:rPr>
              <w:t>(6)</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3465B0"/>
              <w:right w:val="single" w:sz="8" w:color="93A1D2"/>
            </w:tcBorders>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right w:val="single" w:sz="8" w:color="93A1D2"/>
            </w:tcBorders>
          </w:tcPr>
          <w:p>
            <w:pPr>
              <w:spacing w:after="0"/>
              <w:rPr>
                <w:sz w:val="17"/>
                <w:szCs w:val="17"/>
                <w:color w:val="auto"/>
              </w:rPr>
            </w:pPr>
          </w:p>
        </w:tc>
        <w:tc>
          <w:tcPr>
            <w:tcW w:w="840" w:type="dxa"/>
            <w:vAlign w:val="bottom"/>
            <w:tcBorders>
              <w:right w:val="single" w:sz="8" w:color="93A1D2"/>
            </w:tcBorders>
            <w:gridSpan w:val="3"/>
            <w:vMerge w:val="restart"/>
          </w:tcPr>
          <w:p>
            <w:pPr>
              <w:jc w:val="right"/>
              <w:ind w:right="80"/>
              <w:spacing w:after="0"/>
              <w:rPr>
                <w:sz w:val="20"/>
                <w:szCs w:val="20"/>
                <w:color w:val="auto"/>
              </w:rPr>
            </w:pPr>
            <w:r>
              <w:rPr>
                <w:rFonts w:ascii="Arial" w:cs="Arial" w:eastAsia="Arial" w:hAnsi="Arial"/>
                <w:sz w:val="14"/>
                <w:szCs w:val="14"/>
                <w:color w:val="auto"/>
              </w:rPr>
              <w:t>30,839</w:t>
            </w:r>
            <w:r>
              <w:rPr>
                <w:rFonts w:ascii="Arial" w:cs="Arial" w:eastAsia="Arial" w:hAnsi="Arial"/>
                <w:sz w:val="23"/>
                <w:szCs w:val="23"/>
                <w:color w:val="auto"/>
                <w:vertAlign w:val="superscript"/>
              </w:rPr>
              <w:t>(7)</w:t>
            </w:r>
          </w:p>
        </w:tc>
        <w:tc>
          <w:tcPr>
            <w:tcW w:w="60" w:type="dxa"/>
            <w:vAlign w:val="bottom"/>
          </w:tcPr>
          <w:p>
            <w:pPr>
              <w:spacing w:after="0"/>
              <w:rPr>
                <w:sz w:val="17"/>
                <w:szCs w:val="17"/>
                <w:color w:val="auto"/>
              </w:rPr>
            </w:pPr>
          </w:p>
        </w:tc>
        <w:tc>
          <w:tcPr>
            <w:tcW w:w="780" w:type="dxa"/>
            <w:vAlign w:val="bottom"/>
            <w:tcBorders>
              <w:right w:val="single" w:sz="8" w:color="93A1D2"/>
            </w:tcBorders>
          </w:tcPr>
          <w:p>
            <w:pPr>
              <w:spacing w:after="0"/>
              <w:rPr>
                <w:sz w:val="17"/>
                <w:szCs w:val="17"/>
                <w:color w:val="auto"/>
              </w:rPr>
            </w:pPr>
          </w:p>
        </w:tc>
        <w:tc>
          <w:tcPr>
            <w:tcW w:w="960" w:type="dxa"/>
            <w:vAlign w:val="bottom"/>
            <w:tcBorders>
              <w:right w:val="single" w:sz="8" w:color="93A1D2"/>
            </w:tcBorders>
            <w:gridSpan w:val="3"/>
            <w:vMerge w:val="continue"/>
          </w:tcPr>
          <w:p>
            <w:pPr>
              <w:spacing w:after="0"/>
              <w:rPr>
                <w:sz w:val="17"/>
                <w:szCs w:val="17"/>
                <w:color w:val="auto"/>
              </w:rPr>
            </w:pPr>
          </w:p>
        </w:tc>
        <w:tc>
          <w:tcPr>
            <w:tcW w:w="780" w:type="dxa"/>
            <w:vAlign w:val="bottom"/>
            <w:tcBorders>
              <w:right w:val="single" w:sz="8" w:color="3465B0"/>
            </w:tcBorders>
            <w:gridSpan w:val="2"/>
          </w:tcPr>
          <w:p>
            <w:pPr>
              <w:jc w:val="right"/>
              <w:ind w:right="15"/>
              <w:spacing w:after="0"/>
              <w:rPr>
                <w:sz w:val="20"/>
                <w:szCs w:val="20"/>
                <w:color w:val="auto"/>
              </w:rPr>
            </w:pPr>
            <w:r>
              <w:rPr>
                <w:rFonts w:ascii="Arial" w:cs="Arial" w:eastAsia="Arial" w:hAnsi="Arial"/>
                <w:sz w:val="14"/>
                <w:szCs w:val="14"/>
                <w:color w:val="auto"/>
              </w:rPr>
              <w:t>1,600,544</w:t>
            </w:r>
          </w:p>
        </w:tc>
        <w:tc>
          <w:tcPr>
            <w:tcW w:w="0" w:type="dxa"/>
            <w:vAlign w:val="bottom"/>
          </w:tcPr>
          <w:p>
            <w:pPr>
              <w:spacing w:after="0"/>
              <w:rPr>
                <w:sz w:val="1"/>
                <w:szCs w:val="1"/>
                <w:color w:val="auto"/>
              </w:rPr>
            </w:pPr>
          </w:p>
        </w:tc>
      </w:tr>
      <w:tr>
        <w:trPr>
          <w:trHeight w:val="185"/>
        </w:trPr>
        <w:tc>
          <w:tcPr>
            <w:tcW w:w="1360" w:type="dxa"/>
            <w:vAlign w:val="bottom"/>
            <w:tcBorders>
              <w:left w:val="single" w:sz="8" w:color="3465B0"/>
              <w:right w:val="single" w:sz="8" w:color="93A1D2"/>
            </w:tcBorders>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right w:val="single" w:sz="8" w:color="93A1D2"/>
            </w:tcBorders>
          </w:tcPr>
          <w:p>
            <w:pPr>
              <w:spacing w:after="0"/>
              <w:rPr>
                <w:sz w:val="16"/>
                <w:szCs w:val="16"/>
                <w:color w:val="auto"/>
              </w:rPr>
            </w:pPr>
          </w:p>
        </w:tc>
        <w:tc>
          <w:tcPr>
            <w:tcW w:w="840" w:type="dxa"/>
            <w:vAlign w:val="bottom"/>
            <w:tcBorders>
              <w:right w:val="single" w:sz="8" w:color="93A1D2"/>
            </w:tcBorders>
            <w:gridSpan w:val="3"/>
            <w:vMerge w:val="continue"/>
          </w:tcPr>
          <w:p>
            <w:pPr>
              <w:spacing w:after="0"/>
              <w:rPr>
                <w:sz w:val="16"/>
                <w:szCs w:val="16"/>
                <w:color w:val="auto"/>
              </w:rPr>
            </w:pPr>
          </w:p>
        </w:tc>
        <w:tc>
          <w:tcPr>
            <w:tcW w:w="840" w:type="dxa"/>
            <w:vAlign w:val="bottom"/>
            <w:tcBorders>
              <w:right w:val="single" w:sz="8" w:color="93A1D2"/>
            </w:tcBorders>
            <w:gridSpan w:val="2"/>
          </w:tcPr>
          <w:p>
            <w:pPr>
              <w:jc w:val="right"/>
              <w:ind w:right="13"/>
              <w:spacing w:after="0"/>
              <w:rPr>
                <w:sz w:val="20"/>
                <w:szCs w:val="20"/>
                <w:color w:val="auto"/>
              </w:rPr>
            </w:pPr>
            <w:r>
              <w:rPr>
                <w:rFonts w:ascii="Arial" w:cs="Arial" w:eastAsia="Arial" w:hAnsi="Arial"/>
                <w:sz w:val="14"/>
                <w:szCs w:val="14"/>
                <w:color w:val="auto"/>
              </w:rPr>
              <w:t>800,272</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4"/>
                <w:szCs w:val="14"/>
                <w:color w:val="auto"/>
              </w:rPr>
              <w:t>Bill Clark</w:t>
            </w:r>
          </w:p>
        </w:tc>
        <w:tc>
          <w:tcPr>
            <w:tcW w:w="40" w:type="dxa"/>
            <w:vAlign w:val="bottom"/>
            <w:shd w:val="clear" w:color="auto" w:fill="CCCCCC"/>
          </w:tcPr>
          <w:p>
            <w:pPr>
              <w:spacing w:after="0"/>
              <w:rPr>
                <w:sz w:val="18"/>
                <w:szCs w:val="18"/>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6/11/2019</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80" w:type="dxa"/>
            <w:vAlign w:val="bottom"/>
            <w:tcBorders>
              <w:right w:val="single" w:sz="8" w:color="93A1D2"/>
            </w:tcBorders>
            <w:shd w:val="clear" w:color="auto" w:fill="CCCCCC"/>
          </w:tcPr>
          <w:p>
            <w:pPr>
              <w:jc w:val="right"/>
              <w:ind w:right="14"/>
              <w:spacing w:after="0"/>
              <w:rPr>
                <w:sz w:val="20"/>
                <w:szCs w:val="20"/>
                <w:color w:val="auto"/>
              </w:rPr>
            </w:pPr>
            <w:r>
              <w:rPr>
                <w:rFonts w:ascii="Arial" w:cs="Arial" w:eastAsia="Arial" w:hAnsi="Arial"/>
                <w:sz w:val="14"/>
                <w:szCs w:val="14"/>
                <w:color w:val="auto"/>
              </w:rPr>
              <w:t>23,630</w:t>
            </w:r>
          </w:p>
        </w:tc>
        <w:tc>
          <w:tcPr>
            <w:tcW w:w="60" w:type="dxa"/>
            <w:vAlign w:val="bottom"/>
            <w:shd w:val="clear" w:color="auto" w:fill="CCCCCC"/>
          </w:tcPr>
          <w:p>
            <w:pPr>
              <w:spacing w:after="0"/>
              <w:rPr>
                <w:sz w:val="18"/>
                <w:szCs w:val="18"/>
                <w:color w:val="auto"/>
              </w:rPr>
            </w:pPr>
          </w:p>
        </w:tc>
        <w:tc>
          <w:tcPr>
            <w:tcW w:w="102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40" w:type="dxa"/>
            <w:vAlign w:val="bottom"/>
            <w:tcBorders>
              <w:right w:val="single" w:sz="8" w:color="93A1D2"/>
            </w:tcBorders>
            <w:shd w:val="clear" w:color="auto" w:fill="CCCCCC"/>
          </w:tcPr>
          <w:p>
            <w:pPr>
              <w:jc w:val="right"/>
              <w:ind w:right="13"/>
              <w:spacing w:after="0"/>
              <w:rPr>
                <w:sz w:val="20"/>
                <w:szCs w:val="20"/>
                <w:color w:val="auto"/>
              </w:rPr>
            </w:pPr>
            <w:r>
              <w:rPr>
                <w:rFonts w:ascii="Arial" w:cs="Arial" w:eastAsia="Arial" w:hAnsi="Arial"/>
                <w:sz w:val="14"/>
                <w:szCs w:val="14"/>
                <w:color w:val="auto"/>
              </w:rPr>
              <w:t>28.48</w:t>
            </w: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jc w:val="right"/>
              <w:ind w:right="13"/>
              <w:spacing w:after="0"/>
              <w:rPr>
                <w:sz w:val="20"/>
                <w:szCs w:val="20"/>
                <w:color w:val="auto"/>
              </w:rPr>
            </w:pPr>
            <w:r>
              <w:rPr>
                <w:rFonts w:ascii="Arial" w:cs="Arial" w:eastAsia="Arial" w:hAnsi="Arial"/>
                <w:sz w:val="14"/>
                <w:szCs w:val="14"/>
                <w:color w:val="auto"/>
              </w:rPr>
              <w:t>6/11/2029</w:t>
            </w:r>
          </w:p>
        </w:tc>
        <w:tc>
          <w:tcPr>
            <w:tcW w:w="6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20" w:type="dxa"/>
            <w:vAlign w:val="bottom"/>
            <w:tcBorders>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2/28/2020</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80" w:type="dxa"/>
            <w:vAlign w:val="bottom"/>
            <w:tcBorders>
              <w:right w:val="single" w:sz="8" w:color="93A1D2"/>
            </w:tcBorders>
            <w:shd w:val="clear" w:color="auto" w:fill="CCCCCC"/>
          </w:tcPr>
          <w:p>
            <w:pPr>
              <w:jc w:val="right"/>
              <w:ind w:right="14"/>
              <w:spacing w:after="0"/>
              <w:rPr>
                <w:sz w:val="20"/>
                <w:szCs w:val="20"/>
                <w:color w:val="auto"/>
              </w:rPr>
            </w:pPr>
            <w:r>
              <w:rPr>
                <w:rFonts w:ascii="Arial" w:cs="Arial" w:eastAsia="Arial" w:hAnsi="Arial"/>
                <w:sz w:val="14"/>
                <w:szCs w:val="14"/>
                <w:color w:val="auto"/>
              </w:rPr>
              <w:t>5,844</w:t>
            </w:r>
          </w:p>
        </w:tc>
        <w:tc>
          <w:tcPr>
            <w:tcW w:w="60" w:type="dxa"/>
            <w:vAlign w:val="bottom"/>
            <w:shd w:val="clear" w:color="auto" w:fill="CCCCCC"/>
          </w:tcPr>
          <w:p>
            <w:pPr>
              <w:spacing w:after="0"/>
              <w:rPr>
                <w:sz w:val="18"/>
                <w:szCs w:val="18"/>
                <w:color w:val="auto"/>
              </w:rPr>
            </w:pPr>
          </w:p>
        </w:tc>
        <w:tc>
          <w:tcPr>
            <w:tcW w:w="102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40" w:type="dxa"/>
            <w:vAlign w:val="bottom"/>
            <w:tcBorders>
              <w:right w:val="single" w:sz="8" w:color="93A1D2"/>
            </w:tcBorders>
            <w:shd w:val="clear" w:color="auto" w:fill="CCCCCC"/>
          </w:tcPr>
          <w:p>
            <w:pPr>
              <w:jc w:val="right"/>
              <w:ind w:right="13"/>
              <w:spacing w:after="0"/>
              <w:rPr>
                <w:sz w:val="20"/>
                <w:szCs w:val="20"/>
                <w:color w:val="auto"/>
              </w:rPr>
            </w:pPr>
            <w:r>
              <w:rPr>
                <w:rFonts w:ascii="Arial" w:cs="Arial" w:eastAsia="Arial" w:hAnsi="Arial"/>
                <w:sz w:val="14"/>
                <w:szCs w:val="14"/>
                <w:color w:val="auto"/>
              </w:rPr>
              <w:t>34.82</w:t>
            </w: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jc w:val="right"/>
              <w:ind w:right="13"/>
              <w:spacing w:after="0"/>
              <w:rPr>
                <w:sz w:val="20"/>
                <w:szCs w:val="20"/>
                <w:color w:val="auto"/>
              </w:rPr>
            </w:pPr>
            <w:r>
              <w:rPr>
                <w:rFonts w:ascii="Arial" w:cs="Arial" w:eastAsia="Arial" w:hAnsi="Arial"/>
                <w:sz w:val="14"/>
                <w:szCs w:val="14"/>
                <w:color w:val="auto"/>
              </w:rPr>
              <w:t>2/28/2030</w:t>
            </w:r>
          </w:p>
        </w:tc>
        <w:tc>
          <w:tcPr>
            <w:tcW w:w="6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20" w:type="dxa"/>
            <w:vAlign w:val="bottom"/>
            <w:tcBorders>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Borders>
              <w:left w:val="single" w:sz="8" w:color="3465B0"/>
              <w:right w:val="single" w:sz="8" w:color="93A1D2"/>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3/5/2021</w:t>
            </w:r>
          </w:p>
        </w:tc>
        <w:tc>
          <w:tcPr>
            <w:tcW w:w="100" w:type="dxa"/>
            <w:vAlign w:val="bottom"/>
            <w:tcBorders>
              <w:right w:val="single" w:sz="8" w:color="93A1D2"/>
            </w:tcBorders>
            <w:shd w:val="clear" w:color="auto" w:fill="CCCCCC"/>
          </w:tcPr>
          <w:p>
            <w:pPr>
              <w:spacing w:after="0"/>
              <w:rPr>
                <w:sz w:val="19"/>
                <w:szCs w:val="19"/>
                <w:color w:val="auto"/>
              </w:rPr>
            </w:pPr>
          </w:p>
        </w:tc>
        <w:tc>
          <w:tcPr>
            <w:tcW w:w="60" w:type="dxa"/>
            <w:vAlign w:val="bottom"/>
            <w:shd w:val="clear" w:color="auto" w:fill="CCCCCC"/>
          </w:tcPr>
          <w:p>
            <w:pPr>
              <w:spacing w:after="0"/>
              <w:rPr>
                <w:sz w:val="19"/>
                <w:szCs w:val="19"/>
                <w:color w:val="auto"/>
              </w:rPr>
            </w:pPr>
          </w:p>
        </w:tc>
        <w:tc>
          <w:tcPr>
            <w:tcW w:w="880" w:type="dxa"/>
            <w:vAlign w:val="bottom"/>
            <w:tcBorders>
              <w:right w:val="single" w:sz="8" w:color="93A1D2"/>
            </w:tcBorders>
            <w:shd w:val="clear" w:color="auto" w:fill="CCCCCC"/>
          </w:tcPr>
          <w:p>
            <w:pPr>
              <w:jc w:val="right"/>
              <w:ind w:right="14"/>
              <w:spacing w:after="0"/>
              <w:rPr>
                <w:sz w:val="20"/>
                <w:szCs w:val="20"/>
                <w:color w:val="auto"/>
              </w:rPr>
            </w:pPr>
            <w:r>
              <w:rPr>
                <w:rFonts w:ascii="Arial" w:cs="Arial" w:eastAsia="Arial" w:hAnsi="Arial"/>
                <w:sz w:val="14"/>
                <w:szCs w:val="14"/>
                <w:color w:val="auto"/>
              </w:rPr>
              <w:t>3,779</w:t>
            </w:r>
          </w:p>
        </w:tc>
        <w:tc>
          <w:tcPr>
            <w:tcW w:w="60" w:type="dxa"/>
            <w:vAlign w:val="bottom"/>
            <w:shd w:val="clear" w:color="auto" w:fill="CCCCCC"/>
          </w:tcPr>
          <w:p>
            <w:pPr>
              <w:spacing w:after="0"/>
              <w:rPr>
                <w:sz w:val="19"/>
                <w:szCs w:val="19"/>
                <w:color w:val="auto"/>
              </w:rPr>
            </w:pPr>
          </w:p>
        </w:tc>
        <w:tc>
          <w:tcPr>
            <w:tcW w:w="1020" w:type="dxa"/>
            <w:vAlign w:val="bottom"/>
            <w:tcBorders>
              <w:right w:val="single" w:sz="8" w:color="93A1D2"/>
            </w:tcBorders>
            <w:shd w:val="clear" w:color="auto" w:fill="CCCCCC"/>
          </w:tcPr>
          <w:p>
            <w:pPr>
              <w:spacing w:after="0"/>
              <w:rPr>
                <w:sz w:val="19"/>
                <w:szCs w:val="19"/>
                <w:color w:val="auto"/>
              </w:rPr>
            </w:pPr>
          </w:p>
        </w:tc>
        <w:tc>
          <w:tcPr>
            <w:tcW w:w="60" w:type="dxa"/>
            <w:vAlign w:val="bottom"/>
            <w:shd w:val="clear" w:color="auto" w:fill="CCCCCC"/>
          </w:tcPr>
          <w:p>
            <w:pPr>
              <w:spacing w:after="0"/>
              <w:rPr>
                <w:sz w:val="19"/>
                <w:szCs w:val="19"/>
                <w:color w:val="auto"/>
              </w:rPr>
            </w:pPr>
          </w:p>
        </w:tc>
        <w:tc>
          <w:tcPr>
            <w:tcW w:w="640" w:type="dxa"/>
            <w:vAlign w:val="bottom"/>
            <w:tcBorders>
              <w:right w:val="single" w:sz="8" w:color="93A1D2"/>
            </w:tcBorders>
            <w:shd w:val="clear" w:color="auto" w:fill="CCCCCC"/>
          </w:tcPr>
          <w:p>
            <w:pPr>
              <w:jc w:val="right"/>
              <w:ind w:right="13"/>
              <w:spacing w:after="0"/>
              <w:rPr>
                <w:sz w:val="20"/>
                <w:szCs w:val="20"/>
                <w:color w:val="auto"/>
              </w:rPr>
            </w:pPr>
            <w:r>
              <w:rPr>
                <w:rFonts w:ascii="Arial" w:cs="Arial" w:eastAsia="Arial" w:hAnsi="Arial"/>
                <w:sz w:val="14"/>
                <w:szCs w:val="14"/>
                <w:color w:val="auto"/>
              </w:rPr>
              <w:t>45.66</w:t>
            </w:r>
          </w:p>
        </w:tc>
        <w:tc>
          <w:tcPr>
            <w:tcW w:w="60" w:type="dxa"/>
            <w:vAlign w:val="bottom"/>
            <w:shd w:val="clear" w:color="auto" w:fill="CCCCCC"/>
          </w:tcPr>
          <w:p>
            <w:pPr>
              <w:spacing w:after="0"/>
              <w:rPr>
                <w:sz w:val="19"/>
                <w:szCs w:val="19"/>
                <w:color w:val="auto"/>
              </w:rPr>
            </w:pPr>
          </w:p>
        </w:tc>
        <w:tc>
          <w:tcPr>
            <w:tcW w:w="780" w:type="dxa"/>
            <w:vAlign w:val="bottom"/>
            <w:tcBorders>
              <w:right w:val="single" w:sz="8" w:color="93A1D2"/>
            </w:tcBorders>
            <w:shd w:val="clear" w:color="auto" w:fill="CCCCCC"/>
          </w:tcPr>
          <w:p>
            <w:pPr>
              <w:jc w:val="right"/>
              <w:ind w:right="13"/>
              <w:spacing w:after="0"/>
              <w:rPr>
                <w:sz w:val="20"/>
                <w:szCs w:val="20"/>
                <w:color w:val="auto"/>
              </w:rPr>
            </w:pPr>
            <w:r>
              <w:rPr>
                <w:rFonts w:ascii="Arial" w:cs="Arial" w:eastAsia="Arial" w:hAnsi="Arial"/>
                <w:sz w:val="14"/>
                <w:szCs w:val="14"/>
                <w:color w:val="auto"/>
              </w:rPr>
              <w:t>3/5/2031</w:t>
            </w:r>
          </w:p>
        </w:tc>
        <w:tc>
          <w:tcPr>
            <w:tcW w:w="60" w:type="dxa"/>
            <w:vAlign w:val="bottom"/>
            <w:shd w:val="clear" w:color="auto" w:fill="CCCCCC"/>
          </w:tcPr>
          <w:p>
            <w:pPr>
              <w:spacing w:after="0"/>
              <w:rPr>
                <w:sz w:val="19"/>
                <w:szCs w:val="19"/>
                <w:color w:val="auto"/>
              </w:rPr>
            </w:pPr>
          </w:p>
        </w:tc>
        <w:tc>
          <w:tcPr>
            <w:tcW w:w="680" w:type="dxa"/>
            <w:vAlign w:val="bottom"/>
            <w:shd w:val="clear" w:color="auto" w:fill="CCCCCC"/>
          </w:tcPr>
          <w:p>
            <w:pPr>
              <w:spacing w:after="0"/>
              <w:rPr>
                <w:sz w:val="19"/>
                <w:szCs w:val="19"/>
                <w:color w:val="auto"/>
              </w:rPr>
            </w:pPr>
          </w:p>
        </w:tc>
        <w:tc>
          <w:tcPr>
            <w:tcW w:w="100" w:type="dxa"/>
            <w:vAlign w:val="bottom"/>
            <w:tcBorders>
              <w:right w:val="single" w:sz="8" w:color="93A1D2"/>
            </w:tcBorders>
            <w:shd w:val="clear" w:color="auto" w:fill="CCCCCC"/>
          </w:tcPr>
          <w:p>
            <w:pPr>
              <w:spacing w:after="0"/>
              <w:rPr>
                <w:sz w:val="19"/>
                <w:szCs w:val="19"/>
                <w:color w:val="auto"/>
              </w:rPr>
            </w:pPr>
          </w:p>
        </w:tc>
        <w:tc>
          <w:tcPr>
            <w:tcW w:w="60" w:type="dxa"/>
            <w:vAlign w:val="bottom"/>
            <w:shd w:val="clear" w:color="auto" w:fill="CCCCCC"/>
          </w:tcPr>
          <w:p>
            <w:pPr>
              <w:spacing w:after="0"/>
              <w:rPr>
                <w:sz w:val="19"/>
                <w:szCs w:val="19"/>
                <w:color w:val="auto"/>
              </w:rPr>
            </w:pPr>
          </w:p>
        </w:tc>
        <w:tc>
          <w:tcPr>
            <w:tcW w:w="780" w:type="dxa"/>
            <w:vAlign w:val="bottom"/>
            <w:tcBorders>
              <w:right w:val="single" w:sz="8" w:color="93A1D2"/>
            </w:tcBorders>
            <w:shd w:val="clear" w:color="auto" w:fill="CCCCCC"/>
          </w:tcPr>
          <w:p>
            <w:pPr>
              <w:spacing w:after="0"/>
              <w:rPr>
                <w:sz w:val="19"/>
                <w:szCs w:val="19"/>
                <w:color w:val="auto"/>
              </w:rPr>
            </w:pPr>
          </w:p>
        </w:tc>
        <w:tc>
          <w:tcPr>
            <w:tcW w:w="60" w:type="dxa"/>
            <w:vAlign w:val="bottom"/>
            <w:shd w:val="clear" w:color="auto" w:fill="CCCCCC"/>
          </w:tcPr>
          <w:p>
            <w:pPr>
              <w:spacing w:after="0"/>
              <w:rPr>
                <w:sz w:val="19"/>
                <w:szCs w:val="19"/>
                <w:color w:val="auto"/>
              </w:rPr>
            </w:pPr>
          </w:p>
        </w:tc>
        <w:tc>
          <w:tcPr>
            <w:tcW w:w="80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38,100</w:t>
            </w:r>
            <w:r>
              <w:rPr>
                <w:rFonts w:ascii="Arial" w:cs="Arial" w:eastAsia="Arial" w:hAnsi="Arial"/>
                <w:sz w:val="23"/>
                <w:szCs w:val="23"/>
                <w:color w:val="auto"/>
                <w:vertAlign w:val="superscript"/>
              </w:rPr>
              <w:t>(2)</w:t>
            </w:r>
          </w:p>
        </w:tc>
        <w:tc>
          <w:tcPr>
            <w:tcW w:w="100" w:type="dxa"/>
            <w:vAlign w:val="bottom"/>
            <w:tcBorders>
              <w:right w:val="single" w:sz="8" w:color="93A1D2"/>
            </w:tcBorders>
            <w:shd w:val="clear" w:color="auto" w:fill="CCCCCC"/>
          </w:tcPr>
          <w:p>
            <w:pPr>
              <w:spacing w:after="0"/>
              <w:rPr>
                <w:sz w:val="19"/>
                <w:szCs w:val="19"/>
                <w:color w:val="auto"/>
              </w:rPr>
            </w:pPr>
          </w:p>
        </w:tc>
        <w:tc>
          <w:tcPr>
            <w:tcW w:w="60" w:type="dxa"/>
            <w:vAlign w:val="bottom"/>
            <w:shd w:val="clear" w:color="auto" w:fill="CCCCCC"/>
          </w:tcPr>
          <w:p>
            <w:pPr>
              <w:spacing w:after="0"/>
              <w:rPr>
                <w:sz w:val="19"/>
                <w:szCs w:val="19"/>
                <w:color w:val="auto"/>
              </w:rPr>
            </w:pPr>
          </w:p>
        </w:tc>
        <w:tc>
          <w:tcPr>
            <w:tcW w:w="720" w:type="dxa"/>
            <w:vAlign w:val="bottom"/>
            <w:tcBorders>
              <w:right w:val="single" w:sz="8" w:color="3465B0"/>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360" w:type="dxa"/>
            <w:vAlign w:val="bottom"/>
            <w:tcBorders>
              <w:left w:val="single" w:sz="8" w:color="3465B0"/>
              <w:right w:val="single" w:sz="8" w:color="93A1D2"/>
            </w:tcBorders>
            <w:shd w:val="clear" w:color="auto" w:fill="CCCCCC"/>
          </w:tcPr>
          <w:p>
            <w:pPr>
              <w:spacing w:after="0"/>
              <w:rPr>
                <w:sz w:val="21"/>
                <w:szCs w:val="21"/>
                <w:color w:val="auto"/>
              </w:rPr>
            </w:pPr>
          </w:p>
        </w:tc>
        <w:tc>
          <w:tcPr>
            <w:tcW w:w="40" w:type="dxa"/>
            <w:vAlign w:val="bottom"/>
            <w:shd w:val="clear" w:color="auto" w:fill="CCCCCC"/>
          </w:tcPr>
          <w:p>
            <w:pPr>
              <w:spacing w:after="0"/>
              <w:rPr>
                <w:sz w:val="21"/>
                <w:szCs w:val="21"/>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3/3/2023</w:t>
            </w:r>
          </w:p>
        </w:tc>
        <w:tc>
          <w:tcPr>
            <w:tcW w:w="100" w:type="dxa"/>
            <w:vAlign w:val="bottom"/>
            <w:tcBorders>
              <w:right w:val="single" w:sz="8" w:color="93A1D2"/>
            </w:tcBorders>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880" w:type="dxa"/>
            <w:vAlign w:val="bottom"/>
            <w:tcBorders>
              <w:right w:val="single" w:sz="8" w:color="93A1D2"/>
            </w:tcBorders>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1020" w:type="dxa"/>
            <w:vAlign w:val="bottom"/>
            <w:tcBorders>
              <w:right w:val="single" w:sz="8" w:color="93A1D2"/>
            </w:tcBorders>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640" w:type="dxa"/>
            <w:vAlign w:val="bottom"/>
            <w:tcBorders>
              <w:right w:val="single" w:sz="8" w:color="93A1D2"/>
            </w:tcBorders>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780" w:type="dxa"/>
            <w:vAlign w:val="bottom"/>
            <w:tcBorders>
              <w:right w:val="single" w:sz="8" w:color="93A1D2"/>
            </w:tcBorders>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68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6,350</w:t>
            </w:r>
            <w:r>
              <w:rPr>
                <w:rFonts w:ascii="Arial" w:cs="Arial" w:eastAsia="Arial" w:hAnsi="Arial"/>
                <w:sz w:val="23"/>
                <w:szCs w:val="23"/>
                <w:color w:val="auto"/>
                <w:vertAlign w:val="superscript"/>
              </w:rPr>
              <w:t>(3)</w:t>
            </w:r>
          </w:p>
        </w:tc>
        <w:tc>
          <w:tcPr>
            <w:tcW w:w="100" w:type="dxa"/>
            <w:vAlign w:val="bottom"/>
            <w:tcBorders>
              <w:right w:val="single" w:sz="8" w:color="93A1D2"/>
            </w:tcBorders>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780" w:type="dxa"/>
            <w:vAlign w:val="bottom"/>
            <w:tcBorders>
              <w:right w:val="single" w:sz="8" w:color="93A1D2"/>
            </w:tcBorders>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800" w:type="dxa"/>
            <w:vAlign w:val="bottom"/>
            <w:vMerge w:val="continue"/>
            <w:shd w:val="clear" w:color="auto" w:fill="CCCCCC"/>
          </w:tcPr>
          <w:p>
            <w:pPr>
              <w:spacing w:after="0"/>
              <w:rPr>
                <w:sz w:val="21"/>
                <w:szCs w:val="21"/>
                <w:color w:val="auto"/>
              </w:rPr>
            </w:pPr>
          </w:p>
        </w:tc>
        <w:tc>
          <w:tcPr>
            <w:tcW w:w="100" w:type="dxa"/>
            <w:vAlign w:val="bottom"/>
            <w:tcBorders>
              <w:right w:val="single" w:sz="8" w:color="93A1D2"/>
            </w:tcBorders>
            <w:shd w:val="clear" w:color="auto" w:fill="CCCCCC"/>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720" w:type="dxa"/>
            <w:vAlign w:val="bottom"/>
            <w:tcBorders>
              <w:right w:val="single" w:sz="8" w:color="3465B0"/>
            </w:tcBorders>
            <w:shd w:val="clear" w:color="auto" w:fill="CCCCCC"/>
          </w:tcPr>
          <w:p>
            <w:pPr>
              <w:jc w:val="right"/>
              <w:ind w:right="15"/>
              <w:spacing w:after="0"/>
              <w:rPr>
                <w:sz w:val="20"/>
                <w:szCs w:val="20"/>
                <w:color w:val="auto"/>
              </w:rPr>
            </w:pPr>
            <w:r>
              <w:rPr>
                <w:rFonts w:ascii="Arial" w:cs="Arial" w:eastAsia="Arial" w:hAnsi="Arial"/>
                <w:sz w:val="14"/>
                <w:szCs w:val="14"/>
                <w:color w:val="auto"/>
              </w:rPr>
              <w:t>988,695</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3/3/2023</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2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4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80" w:type="dxa"/>
            <w:vAlign w:val="bottom"/>
            <w:vMerge w:val="continue"/>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jc w:val="right"/>
              <w:ind w:right="33"/>
              <w:spacing w:after="0"/>
              <w:rPr>
                <w:sz w:val="20"/>
                <w:szCs w:val="20"/>
                <w:color w:val="auto"/>
              </w:rPr>
            </w:pPr>
            <w:r>
              <w:rPr>
                <w:rFonts w:ascii="Arial" w:cs="Arial" w:eastAsia="Arial" w:hAnsi="Arial"/>
                <w:sz w:val="14"/>
                <w:szCs w:val="14"/>
                <w:color w:val="auto"/>
              </w:rPr>
              <w:t>164,783</w:t>
            </w:r>
          </w:p>
        </w:tc>
        <w:tc>
          <w:tcPr>
            <w:tcW w:w="60" w:type="dxa"/>
            <w:vAlign w:val="bottom"/>
            <w:shd w:val="clear" w:color="auto" w:fill="CCCCCC"/>
          </w:tcPr>
          <w:p>
            <w:pPr>
              <w:spacing w:after="0"/>
              <w:rPr>
                <w:sz w:val="18"/>
                <w:szCs w:val="18"/>
                <w:color w:val="auto"/>
              </w:rPr>
            </w:pPr>
          </w:p>
        </w:tc>
        <w:tc>
          <w:tcPr>
            <w:tcW w:w="80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10,909</w:t>
            </w:r>
            <w:r>
              <w:rPr>
                <w:rFonts w:ascii="Arial" w:cs="Arial" w:eastAsia="Arial" w:hAnsi="Arial"/>
                <w:sz w:val="23"/>
                <w:szCs w:val="23"/>
                <w:color w:val="auto"/>
                <w:vertAlign w:val="superscript"/>
              </w:rPr>
              <w:t>(4)</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20" w:type="dxa"/>
            <w:vAlign w:val="bottom"/>
            <w:tcBorders>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3/1/2024</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2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4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8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6,727</w:t>
            </w:r>
            <w:r>
              <w:rPr>
                <w:rFonts w:ascii="Arial" w:cs="Arial" w:eastAsia="Arial" w:hAnsi="Arial"/>
                <w:sz w:val="23"/>
                <w:szCs w:val="23"/>
                <w:color w:val="auto"/>
                <w:vertAlign w:val="superscript"/>
              </w:rPr>
              <w:t>(5)</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00" w:type="dxa"/>
            <w:vAlign w:val="bottom"/>
            <w:vMerge w:val="continue"/>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20" w:type="dxa"/>
            <w:vAlign w:val="bottom"/>
            <w:tcBorders>
              <w:right w:val="single" w:sz="8" w:color="3465B0"/>
            </w:tcBorders>
            <w:shd w:val="clear" w:color="auto" w:fill="CCCCCC"/>
          </w:tcPr>
          <w:p>
            <w:pPr>
              <w:jc w:val="right"/>
              <w:ind w:right="15"/>
              <w:spacing w:after="0"/>
              <w:rPr>
                <w:sz w:val="20"/>
                <w:szCs w:val="20"/>
                <w:color w:val="auto"/>
              </w:rPr>
            </w:pPr>
            <w:r>
              <w:rPr>
                <w:rFonts w:ascii="Arial" w:cs="Arial" w:eastAsia="Arial" w:hAnsi="Arial"/>
                <w:sz w:val="14"/>
                <w:szCs w:val="14"/>
                <w:color w:val="auto"/>
              </w:rPr>
              <w:t>261,836</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3/1/2024</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02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4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680" w:type="dxa"/>
            <w:vAlign w:val="bottom"/>
            <w:vMerge w:val="continue"/>
            <w:shd w:val="clear" w:color="auto" w:fill="CCCCCC"/>
          </w:tcPr>
          <w:p>
            <w:pPr>
              <w:spacing w:after="0"/>
              <w:rPr>
                <w:sz w:val="18"/>
                <w:szCs w:val="18"/>
                <w:color w:val="auto"/>
              </w:rPr>
            </w:pP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80" w:type="dxa"/>
            <w:vAlign w:val="bottom"/>
            <w:tcBorders>
              <w:right w:val="single" w:sz="8" w:color="93A1D2"/>
            </w:tcBorders>
            <w:shd w:val="clear" w:color="auto" w:fill="CCCCCC"/>
          </w:tcPr>
          <w:p>
            <w:pPr>
              <w:jc w:val="right"/>
              <w:ind w:right="33"/>
              <w:spacing w:after="0"/>
              <w:rPr>
                <w:sz w:val="20"/>
                <w:szCs w:val="20"/>
                <w:color w:val="auto"/>
              </w:rPr>
            </w:pPr>
            <w:r>
              <w:rPr>
                <w:rFonts w:ascii="Arial" w:cs="Arial" w:eastAsia="Arial" w:hAnsi="Arial"/>
                <w:sz w:val="14"/>
                <w:szCs w:val="14"/>
                <w:color w:val="auto"/>
              </w:rPr>
              <w:t>174,566</w:t>
            </w:r>
          </w:p>
        </w:tc>
        <w:tc>
          <w:tcPr>
            <w:tcW w:w="60" w:type="dxa"/>
            <w:vAlign w:val="bottom"/>
            <w:shd w:val="clear" w:color="auto" w:fill="CCCCCC"/>
          </w:tcPr>
          <w:p>
            <w:pPr>
              <w:spacing w:after="0"/>
              <w:rPr>
                <w:sz w:val="18"/>
                <w:szCs w:val="18"/>
                <w:color w:val="auto"/>
              </w:rPr>
            </w:pPr>
          </w:p>
        </w:tc>
        <w:tc>
          <w:tcPr>
            <w:tcW w:w="80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49,344</w:t>
            </w:r>
            <w:r>
              <w:rPr>
                <w:rFonts w:ascii="Arial" w:cs="Arial" w:eastAsia="Arial" w:hAnsi="Arial"/>
                <w:sz w:val="23"/>
                <w:szCs w:val="23"/>
                <w:color w:val="auto"/>
                <w:vertAlign w:val="superscript"/>
              </w:rPr>
              <w:t>(6)</w:t>
            </w:r>
          </w:p>
        </w:tc>
        <w:tc>
          <w:tcPr>
            <w:tcW w:w="100" w:type="dxa"/>
            <w:vAlign w:val="bottom"/>
            <w:tcBorders>
              <w:right w:val="single" w:sz="8" w:color="93A1D2"/>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720" w:type="dxa"/>
            <w:vAlign w:val="bottom"/>
            <w:tcBorders>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3465B0"/>
              <w:right w:val="single" w:sz="8" w:color="93A1D2"/>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6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88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102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64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78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68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24,672</w:t>
            </w:r>
            <w:r>
              <w:rPr>
                <w:rFonts w:ascii="Arial" w:cs="Arial" w:eastAsia="Arial" w:hAnsi="Arial"/>
                <w:sz w:val="23"/>
                <w:szCs w:val="23"/>
                <w:color w:val="auto"/>
                <w:vertAlign w:val="superscript"/>
              </w:rPr>
              <w:t>(7)</w:t>
            </w:r>
          </w:p>
        </w:tc>
        <w:tc>
          <w:tcPr>
            <w:tcW w:w="10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78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800" w:type="dxa"/>
            <w:vAlign w:val="bottom"/>
            <w:vMerge w:val="continue"/>
            <w:shd w:val="clear" w:color="auto" w:fill="CCCCCC"/>
          </w:tcPr>
          <w:p>
            <w:pPr>
              <w:spacing w:after="0"/>
              <w:rPr>
                <w:sz w:val="17"/>
                <w:szCs w:val="17"/>
                <w:color w:val="auto"/>
              </w:rPr>
            </w:pPr>
          </w:p>
        </w:tc>
        <w:tc>
          <w:tcPr>
            <w:tcW w:w="100" w:type="dxa"/>
            <w:vAlign w:val="bottom"/>
            <w:tcBorders>
              <w:right w:val="single" w:sz="8" w:color="93A1D2"/>
            </w:tcBorders>
            <w:shd w:val="clear" w:color="auto" w:fill="CCCCCC"/>
          </w:tcPr>
          <w:p>
            <w:pPr>
              <w:spacing w:after="0"/>
              <w:rPr>
                <w:sz w:val="17"/>
                <w:szCs w:val="17"/>
                <w:color w:val="auto"/>
              </w:rPr>
            </w:pPr>
          </w:p>
        </w:tc>
        <w:tc>
          <w:tcPr>
            <w:tcW w:w="60" w:type="dxa"/>
            <w:vAlign w:val="bottom"/>
            <w:shd w:val="clear" w:color="auto" w:fill="CCCCCC"/>
          </w:tcPr>
          <w:p>
            <w:pPr>
              <w:spacing w:after="0"/>
              <w:rPr>
                <w:sz w:val="17"/>
                <w:szCs w:val="17"/>
                <w:color w:val="auto"/>
              </w:rPr>
            </w:pPr>
          </w:p>
        </w:tc>
        <w:tc>
          <w:tcPr>
            <w:tcW w:w="720" w:type="dxa"/>
            <w:vAlign w:val="bottom"/>
            <w:tcBorders>
              <w:right w:val="single" w:sz="8" w:color="3465B0"/>
            </w:tcBorders>
            <w:shd w:val="clear" w:color="auto" w:fill="CCCCCC"/>
          </w:tcPr>
          <w:p>
            <w:pPr>
              <w:jc w:val="right"/>
              <w:ind w:right="15"/>
              <w:spacing w:after="0"/>
              <w:rPr>
                <w:sz w:val="20"/>
                <w:szCs w:val="20"/>
                <w:color w:val="auto"/>
              </w:rPr>
            </w:pPr>
            <w:r>
              <w:rPr>
                <w:rFonts w:ascii="Arial" w:cs="Arial" w:eastAsia="Arial" w:hAnsi="Arial"/>
                <w:sz w:val="14"/>
                <w:szCs w:val="14"/>
                <w:color w:val="auto"/>
                <w:w w:val="99"/>
              </w:rPr>
              <w:t>1,280,477</w:t>
            </w:r>
          </w:p>
        </w:tc>
        <w:tc>
          <w:tcPr>
            <w:tcW w:w="0" w:type="dxa"/>
            <w:vAlign w:val="bottom"/>
          </w:tcPr>
          <w:p>
            <w:pPr>
              <w:spacing w:after="0"/>
              <w:rPr>
                <w:sz w:val="1"/>
                <w:szCs w:val="1"/>
                <w:color w:val="auto"/>
              </w:rPr>
            </w:pPr>
          </w:p>
        </w:tc>
      </w:tr>
      <w:tr>
        <w:trPr>
          <w:trHeight w:val="181"/>
        </w:trPr>
        <w:tc>
          <w:tcPr>
            <w:tcW w:w="1360" w:type="dxa"/>
            <w:vAlign w:val="bottom"/>
            <w:tcBorders>
              <w:left w:val="single" w:sz="8" w:color="3465B0"/>
              <w:bottom w:val="single" w:sz="8" w:color="3465B0"/>
              <w:right w:val="single" w:sz="8" w:color="93A1D2"/>
            </w:tcBorders>
            <w:shd w:val="clear" w:color="auto" w:fill="CCCCCC"/>
          </w:tcPr>
          <w:p>
            <w:pPr>
              <w:spacing w:after="0"/>
              <w:rPr>
                <w:sz w:val="15"/>
                <w:szCs w:val="15"/>
                <w:color w:val="auto"/>
              </w:rPr>
            </w:pPr>
          </w:p>
        </w:tc>
        <w:tc>
          <w:tcPr>
            <w:tcW w:w="40" w:type="dxa"/>
            <w:vAlign w:val="bottom"/>
            <w:tcBorders>
              <w:bottom w:val="single" w:sz="8" w:color="3465B0"/>
            </w:tcBorders>
            <w:shd w:val="clear" w:color="auto" w:fill="CCCCCC"/>
          </w:tcPr>
          <w:p>
            <w:pPr>
              <w:spacing w:after="0"/>
              <w:rPr>
                <w:sz w:val="15"/>
                <w:szCs w:val="15"/>
                <w:color w:val="auto"/>
              </w:rPr>
            </w:pPr>
          </w:p>
        </w:tc>
        <w:tc>
          <w:tcPr>
            <w:tcW w:w="680" w:type="dxa"/>
            <w:vAlign w:val="bottom"/>
            <w:tcBorders>
              <w:bottom w:val="single" w:sz="8" w:color="3465B0"/>
            </w:tcBorders>
            <w:shd w:val="clear" w:color="auto" w:fill="CCCCCC"/>
          </w:tcPr>
          <w:p>
            <w:pPr>
              <w:jc w:val="center"/>
              <w:spacing w:after="0"/>
              <w:rPr>
                <w:sz w:val="20"/>
                <w:szCs w:val="20"/>
                <w:color w:val="auto"/>
              </w:rPr>
            </w:pPr>
            <w:r>
              <w:rPr>
                <w:rFonts w:ascii="Arial" w:cs="Arial" w:eastAsia="Arial" w:hAnsi="Arial"/>
                <w:sz w:val="14"/>
                <w:szCs w:val="14"/>
                <w:color w:val="auto"/>
              </w:rPr>
              <w:t>3/7/2025</w:t>
            </w:r>
          </w:p>
        </w:tc>
        <w:tc>
          <w:tcPr>
            <w:tcW w:w="100" w:type="dxa"/>
            <w:vAlign w:val="bottom"/>
            <w:tcBorders>
              <w:bottom w:val="single" w:sz="8" w:color="3465B0"/>
              <w:right w:val="single" w:sz="8" w:color="93A1D2"/>
            </w:tcBorders>
            <w:shd w:val="clear" w:color="auto" w:fill="CCCCCC"/>
          </w:tcPr>
          <w:p>
            <w:pPr>
              <w:spacing w:after="0"/>
              <w:rPr>
                <w:sz w:val="15"/>
                <w:szCs w:val="15"/>
                <w:color w:val="auto"/>
              </w:rPr>
            </w:pPr>
          </w:p>
        </w:tc>
        <w:tc>
          <w:tcPr>
            <w:tcW w:w="60" w:type="dxa"/>
            <w:vAlign w:val="bottom"/>
            <w:tcBorders>
              <w:bottom w:val="single" w:sz="8" w:color="3465B0"/>
            </w:tcBorders>
            <w:shd w:val="clear" w:color="auto" w:fill="CCCCCC"/>
          </w:tcPr>
          <w:p>
            <w:pPr>
              <w:spacing w:after="0"/>
              <w:rPr>
                <w:sz w:val="15"/>
                <w:szCs w:val="15"/>
                <w:color w:val="auto"/>
              </w:rPr>
            </w:pPr>
          </w:p>
        </w:tc>
        <w:tc>
          <w:tcPr>
            <w:tcW w:w="880" w:type="dxa"/>
            <w:vAlign w:val="bottom"/>
            <w:tcBorders>
              <w:bottom w:val="single" w:sz="8" w:color="3465B0"/>
              <w:right w:val="single" w:sz="8" w:color="93A1D2"/>
            </w:tcBorders>
            <w:shd w:val="clear" w:color="auto" w:fill="CCCCCC"/>
          </w:tcPr>
          <w:p>
            <w:pPr>
              <w:spacing w:after="0"/>
              <w:rPr>
                <w:sz w:val="15"/>
                <w:szCs w:val="15"/>
                <w:color w:val="auto"/>
              </w:rPr>
            </w:pPr>
          </w:p>
        </w:tc>
        <w:tc>
          <w:tcPr>
            <w:tcW w:w="60" w:type="dxa"/>
            <w:vAlign w:val="bottom"/>
            <w:tcBorders>
              <w:bottom w:val="single" w:sz="8" w:color="3465B0"/>
            </w:tcBorders>
            <w:shd w:val="clear" w:color="auto" w:fill="CCCCCC"/>
          </w:tcPr>
          <w:p>
            <w:pPr>
              <w:spacing w:after="0"/>
              <w:rPr>
                <w:sz w:val="15"/>
                <w:szCs w:val="15"/>
                <w:color w:val="auto"/>
              </w:rPr>
            </w:pPr>
          </w:p>
        </w:tc>
        <w:tc>
          <w:tcPr>
            <w:tcW w:w="1020" w:type="dxa"/>
            <w:vAlign w:val="bottom"/>
            <w:tcBorders>
              <w:bottom w:val="single" w:sz="8" w:color="3465B0"/>
              <w:right w:val="single" w:sz="8" w:color="93A1D2"/>
            </w:tcBorders>
            <w:shd w:val="clear" w:color="auto" w:fill="CCCCCC"/>
          </w:tcPr>
          <w:p>
            <w:pPr>
              <w:spacing w:after="0"/>
              <w:rPr>
                <w:sz w:val="15"/>
                <w:szCs w:val="15"/>
                <w:color w:val="auto"/>
              </w:rPr>
            </w:pPr>
          </w:p>
        </w:tc>
        <w:tc>
          <w:tcPr>
            <w:tcW w:w="60" w:type="dxa"/>
            <w:vAlign w:val="bottom"/>
            <w:tcBorders>
              <w:bottom w:val="single" w:sz="8" w:color="3465B0"/>
            </w:tcBorders>
            <w:shd w:val="clear" w:color="auto" w:fill="CCCCCC"/>
          </w:tcPr>
          <w:p>
            <w:pPr>
              <w:spacing w:after="0"/>
              <w:rPr>
                <w:sz w:val="15"/>
                <w:szCs w:val="15"/>
                <w:color w:val="auto"/>
              </w:rPr>
            </w:pPr>
          </w:p>
        </w:tc>
        <w:tc>
          <w:tcPr>
            <w:tcW w:w="640" w:type="dxa"/>
            <w:vAlign w:val="bottom"/>
            <w:tcBorders>
              <w:bottom w:val="single" w:sz="8" w:color="3465B0"/>
              <w:right w:val="single" w:sz="8" w:color="93A1D2"/>
            </w:tcBorders>
            <w:shd w:val="clear" w:color="auto" w:fill="CCCCCC"/>
          </w:tcPr>
          <w:p>
            <w:pPr>
              <w:spacing w:after="0"/>
              <w:rPr>
                <w:sz w:val="15"/>
                <w:szCs w:val="15"/>
                <w:color w:val="auto"/>
              </w:rPr>
            </w:pPr>
          </w:p>
        </w:tc>
        <w:tc>
          <w:tcPr>
            <w:tcW w:w="60" w:type="dxa"/>
            <w:vAlign w:val="bottom"/>
            <w:tcBorders>
              <w:bottom w:val="single" w:sz="8" w:color="3465B0"/>
            </w:tcBorders>
            <w:shd w:val="clear" w:color="auto" w:fill="CCCCCC"/>
          </w:tcPr>
          <w:p>
            <w:pPr>
              <w:spacing w:after="0"/>
              <w:rPr>
                <w:sz w:val="15"/>
                <w:szCs w:val="15"/>
                <w:color w:val="auto"/>
              </w:rPr>
            </w:pPr>
          </w:p>
        </w:tc>
        <w:tc>
          <w:tcPr>
            <w:tcW w:w="780" w:type="dxa"/>
            <w:vAlign w:val="bottom"/>
            <w:tcBorders>
              <w:bottom w:val="single" w:sz="8" w:color="3465B0"/>
              <w:right w:val="single" w:sz="8" w:color="93A1D2"/>
            </w:tcBorders>
            <w:shd w:val="clear" w:color="auto" w:fill="CCCCCC"/>
          </w:tcPr>
          <w:p>
            <w:pPr>
              <w:spacing w:after="0"/>
              <w:rPr>
                <w:sz w:val="15"/>
                <w:szCs w:val="15"/>
                <w:color w:val="auto"/>
              </w:rPr>
            </w:pPr>
          </w:p>
        </w:tc>
        <w:tc>
          <w:tcPr>
            <w:tcW w:w="60" w:type="dxa"/>
            <w:vAlign w:val="bottom"/>
            <w:tcBorders>
              <w:bottom w:val="single" w:sz="8" w:color="3465B0"/>
            </w:tcBorders>
            <w:shd w:val="clear" w:color="auto" w:fill="CCCCCC"/>
          </w:tcPr>
          <w:p>
            <w:pPr>
              <w:spacing w:after="0"/>
              <w:rPr>
                <w:sz w:val="15"/>
                <w:szCs w:val="15"/>
                <w:color w:val="auto"/>
              </w:rPr>
            </w:pPr>
          </w:p>
        </w:tc>
        <w:tc>
          <w:tcPr>
            <w:tcW w:w="680" w:type="dxa"/>
            <w:vAlign w:val="bottom"/>
            <w:tcBorders>
              <w:bottom w:val="single" w:sz="8" w:color="3465B0"/>
            </w:tcBorders>
            <w:vMerge w:val="continue"/>
            <w:shd w:val="clear" w:color="auto" w:fill="CCCCCC"/>
          </w:tcPr>
          <w:p>
            <w:pPr>
              <w:spacing w:after="0"/>
              <w:rPr>
                <w:sz w:val="15"/>
                <w:szCs w:val="15"/>
                <w:color w:val="auto"/>
              </w:rPr>
            </w:pPr>
          </w:p>
        </w:tc>
        <w:tc>
          <w:tcPr>
            <w:tcW w:w="100" w:type="dxa"/>
            <w:vAlign w:val="bottom"/>
            <w:tcBorders>
              <w:bottom w:val="single" w:sz="8" w:color="3465B0"/>
              <w:right w:val="single" w:sz="8" w:color="93A1D2"/>
            </w:tcBorders>
            <w:shd w:val="clear" w:color="auto" w:fill="CCCCCC"/>
          </w:tcPr>
          <w:p>
            <w:pPr>
              <w:spacing w:after="0"/>
              <w:rPr>
                <w:sz w:val="15"/>
                <w:szCs w:val="15"/>
                <w:color w:val="auto"/>
              </w:rPr>
            </w:pPr>
          </w:p>
        </w:tc>
        <w:tc>
          <w:tcPr>
            <w:tcW w:w="60" w:type="dxa"/>
            <w:vAlign w:val="bottom"/>
            <w:tcBorders>
              <w:bottom w:val="single" w:sz="8" w:color="3465B0"/>
            </w:tcBorders>
            <w:shd w:val="clear" w:color="auto" w:fill="CCCCCC"/>
          </w:tcPr>
          <w:p>
            <w:pPr>
              <w:spacing w:after="0"/>
              <w:rPr>
                <w:sz w:val="15"/>
                <w:szCs w:val="15"/>
                <w:color w:val="auto"/>
              </w:rPr>
            </w:pPr>
          </w:p>
        </w:tc>
        <w:tc>
          <w:tcPr>
            <w:tcW w:w="780" w:type="dxa"/>
            <w:vAlign w:val="bottom"/>
            <w:tcBorders>
              <w:bottom w:val="single" w:sz="8" w:color="3465B0"/>
              <w:right w:val="single" w:sz="8" w:color="93A1D2"/>
            </w:tcBorders>
            <w:shd w:val="clear" w:color="auto" w:fill="CCCCCC"/>
          </w:tcPr>
          <w:p>
            <w:pPr>
              <w:jc w:val="right"/>
              <w:ind w:right="33"/>
              <w:spacing w:after="0"/>
              <w:rPr>
                <w:sz w:val="20"/>
                <w:szCs w:val="20"/>
                <w:color w:val="auto"/>
              </w:rPr>
            </w:pPr>
            <w:r>
              <w:rPr>
                <w:rFonts w:ascii="Arial" w:cs="Arial" w:eastAsia="Arial" w:hAnsi="Arial"/>
                <w:sz w:val="14"/>
                <w:szCs w:val="14"/>
                <w:color w:val="auto"/>
              </w:rPr>
              <w:t>640,238</w:t>
            </w:r>
          </w:p>
        </w:tc>
        <w:tc>
          <w:tcPr>
            <w:tcW w:w="60" w:type="dxa"/>
            <w:vAlign w:val="bottom"/>
            <w:tcBorders>
              <w:bottom w:val="single" w:sz="8" w:color="3465B0"/>
            </w:tcBorders>
            <w:shd w:val="clear" w:color="auto" w:fill="CCCCCC"/>
          </w:tcPr>
          <w:p>
            <w:pPr>
              <w:spacing w:after="0"/>
              <w:rPr>
                <w:sz w:val="15"/>
                <w:szCs w:val="15"/>
                <w:color w:val="auto"/>
              </w:rPr>
            </w:pPr>
          </w:p>
        </w:tc>
        <w:tc>
          <w:tcPr>
            <w:tcW w:w="800" w:type="dxa"/>
            <w:vAlign w:val="bottom"/>
            <w:tcBorders>
              <w:bottom w:val="single" w:sz="8" w:color="3465B0"/>
            </w:tcBorders>
            <w:shd w:val="clear" w:color="auto" w:fill="CCCCCC"/>
          </w:tcPr>
          <w:p>
            <w:pPr>
              <w:spacing w:after="0"/>
              <w:rPr>
                <w:sz w:val="15"/>
                <w:szCs w:val="15"/>
                <w:color w:val="auto"/>
              </w:rPr>
            </w:pPr>
          </w:p>
        </w:tc>
        <w:tc>
          <w:tcPr>
            <w:tcW w:w="100" w:type="dxa"/>
            <w:vAlign w:val="bottom"/>
            <w:tcBorders>
              <w:bottom w:val="single" w:sz="8" w:color="3465B0"/>
              <w:right w:val="single" w:sz="8" w:color="93A1D2"/>
            </w:tcBorders>
            <w:shd w:val="clear" w:color="auto" w:fill="CCCCCC"/>
          </w:tcPr>
          <w:p>
            <w:pPr>
              <w:spacing w:after="0"/>
              <w:rPr>
                <w:sz w:val="15"/>
                <w:szCs w:val="15"/>
                <w:color w:val="auto"/>
              </w:rPr>
            </w:pPr>
          </w:p>
        </w:tc>
        <w:tc>
          <w:tcPr>
            <w:tcW w:w="60" w:type="dxa"/>
            <w:vAlign w:val="bottom"/>
            <w:tcBorders>
              <w:bottom w:val="single" w:sz="8" w:color="3465B0"/>
            </w:tcBorders>
            <w:shd w:val="clear" w:color="auto" w:fill="CCCCCC"/>
          </w:tcPr>
          <w:p>
            <w:pPr>
              <w:spacing w:after="0"/>
              <w:rPr>
                <w:sz w:val="15"/>
                <w:szCs w:val="15"/>
                <w:color w:val="auto"/>
              </w:rPr>
            </w:pPr>
          </w:p>
        </w:tc>
        <w:tc>
          <w:tcPr>
            <w:tcW w:w="720" w:type="dxa"/>
            <w:vAlign w:val="bottom"/>
            <w:tcBorders>
              <w:bottom w:val="single" w:sz="8" w:color="3465B0"/>
              <w:right w:val="single" w:sz="8" w:color="3465B0"/>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-6991985</wp:posOffset>
            </wp:positionV>
            <wp:extent cx="4423410" cy="145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423410" cy="145415"/>
                    </a:xfrm>
                    <a:prstGeom prst="rect">
                      <a:avLst/>
                    </a:prstGeom>
                    <a:noFill/>
                  </pic:spPr>
                </pic:pic>
              </a:graphicData>
            </a:graphic>
          </wp:anchor>
        </w:drawing>
      </w:r>
    </w:p>
    <w:p>
      <w:pPr>
        <w:spacing w:after="0" w:line="51" w:lineRule="exact"/>
        <w:rPr>
          <w:sz w:val="20"/>
          <w:szCs w:val="20"/>
          <w:color w:val="auto"/>
        </w:rPr>
      </w:pPr>
    </w:p>
    <w:p>
      <w:pPr>
        <w:ind w:left="360" w:hanging="346"/>
        <w:spacing w:after="0"/>
        <w:tabs>
          <w:tab w:leader="none" w:pos="360" w:val="left"/>
        </w:tabs>
        <w:numPr>
          <w:ilvl w:val="0"/>
          <w:numId w:val="66"/>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59" w:name="page60"/>
    <w:bookmarkEnd w:id="59"/>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930" w:type="dxa"/>
        <w:tblCellMar>
          <w:top w:w="0" w:type="dxa"/>
          <w:left w:w="0" w:type="dxa"/>
          <w:bottom w:w="0" w:type="dxa"/>
          <w:right w:w="0" w:type="dxa"/>
        </w:tblCellMar>
      </w:tblPr>
      <w:tr>
        <w:trPr>
          <w:trHeight w:val="283"/>
        </w:trPr>
        <w:tc>
          <w:tcPr>
            <w:tcW w:w="1360" w:type="dxa"/>
            <w:vAlign w:val="bottom"/>
            <w:tcBorders>
              <w:left w:val="single" w:sz="8" w:color="3465B0"/>
              <w:right w:val="single" w:sz="8" w:color="3465B0"/>
            </w:tcBorders>
            <w:shd w:val="clear" w:color="auto" w:fill="3465B0"/>
          </w:tcPr>
          <w:p>
            <w:pPr>
              <w:spacing w:after="0"/>
              <w:rPr>
                <w:sz w:val="24"/>
                <w:szCs w:val="24"/>
                <w:color w:val="auto"/>
              </w:rPr>
            </w:pPr>
          </w:p>
        </w:tc>
        <w:tc>
          <w:tcPr>
            <w:tcW w:w="40" w:type="dxa"/>
            <w:vAlign w:val="bottom"/>
            <w:shd w:val="clear" w:color="auto" w:fill="3465B0"/>
          </w:tcPr>
          <w:p>
            <w:pPr>
              <w:spacing w:after="0"/>
              <w:rPr>
                <w:sz w:val="24"/>
                <w:szCs w:val="24"/>
                <w:color w:val="auto"/>
              </w:rPr>
            </w:pPr>
          </w:p>
        </w:tc>
        <w:tc>
          <w:tcPr>
            <w:tcW w:w="680" w:type="dxa"/>
            <w:vAlign w:val="bottom"/>
            <w:shd w:val="clear" w:color="auto" w:fill="3465B0"/>
          </w:tcPr>
          <w:p>
            <w:pPr>
              <w:spacing w:after="0"/>
              <w:rPr>
                <w:sz w:val="24"/>
                <w:szCs w:val="24"/>
                <w:color w:val="auto"/>
              </w:rPr>
            </w:pPr>
          </w:p>
        </w:tc>
        <w:tc>
          <w:tcPr>
            <w:tcW w:w="100" w:type="dxa"/>
            <w:vAlign w:val="bottom"/>
            <w:tcBorders>
              <w:right w:val="single" w:sz="8" w:color="3465B0"/>
            </w:tcBorders>
            <w:shd w:val="clear" w:color="auto" w:fill="3465B0"/>
          </w:tcPr>
          <w:p>
            <w:pPr>
              <w:spacing w:after="0"/>
              <w:rPr>
                <w:sz w:val="24"/>
                <w:szCs w:val="24"/>
                <w:color w:val="auto"/>
              </w:rPr>
            </w:pPr>
          </w:p>
        </w:tc>
        <w:tc>
          <w:tcPr>
            <w:tcW w:w="60" w:type="dxa"/>
            <w:vAlign w:val="bottom"/>
            <w:shd w:val="clear" w:color="auto" w:fill="3465B0"/>
          </w:tcPr>
          <w:p>
            <w:pPr>
              <w:spacing w:after="0"/>
              <w:rPr>
                <w:sz w:val="24"/>
                <w:szCs w:val="24"/>
                <w:color w:val="auto"/>
              </w:rPr>
            </w:pPr>
          </w:p>
        </w:tc>
        <w:tc>
          <w:tcPr>
            <w:tcW w:w="880" w:type="dxa"/>
            <w:vAlign w:val="bottom"/>
            <w:tcBorders>
              <w:right w:val="single" w:sz="8" w:color="3465B0"/>
            </w:tcBorders>
            <w:shd w:val="clear" w:color="auto" w:fill="3465B0"/>
          </w:tcPr>
          <w:p>
            <w:pPr>
              <w:spacing w:after="0"/>
              <w:rPr>
                <w:sz w:val="24"/>
                <w:szCs w:val="24"/>
                <w:color w:val="auto"/>
              </w:rPr>
            </w:pPr>
          </w:p>
        </w:tc>
        <w:tc>
          <w:tcPr>
            <w:tcW w:w="60" w:type="dxa"/>
            <w:vAlign w:val="bottom"/>
            <w:shd w:val="clear" w:color="auto" w:fill="3465B0"/>
          </w:tcPr>
          <w:p>
            <w:pPr>
              <w:spacing w:after="0"/>
              <w:rPr>
                <w:sz w:val="24"/>
                <w:szCs w:val="24"/>
                <w:color w:val="auto"/>
              </w:rPr>
            </w:pPr>
          </w:p>
        </w:tc>
        <w:tc>
          <w:tcPr>
            <w:tcW w:w="1020" w:type="dxa"/>
            <w:vAlign w:val="bottom"/>
            <w:tcBorders>
              <w:right w:val="single" w:sz="8" w:color="3465B0"/>
            </w:tcBorders>
            <w:shd w:val="clear" w:color="auto" w:fill="3465B0"/>
          </w:tcPr>
          <w:p>
            <w:pPr>
              <w:spacing w:after="0"/>
              <w:rPr>
                <w:sz w:val="24"/>
                <w:szCs w:val="24"/>
                <w:color w:val="auto"/>
              </w:rPr>
            </w:pPr>
          </w:p>
        </w:tc>
        <w:tc>
          <w:tcPr>
            <w:tcW w:w="60" w:type="dxa"/>
            <w:vAlign w:val="bottom"/>
            <w:shd w:val="clear" w:color="auto" w:fill="3465B0"/>
          </w:tcPr>
          <w:p>
            <w:pPr>
              <w:spacing w:after="0"/>
              <w:rPr>
                <w:sz w:val="24"/>
                <w:szCs w:val="24"/>
                <w:color w:val="auto"/>
              </w:rPr>
            </w:pPr>
          </w:p>
        </w:tc>
        <w:tc>
          <w:tcPr>
            <w:tcW w:w="640" w:type="dxa"/>
            <w:vAlign w:val="bottom"/>
            <w:tcBorders>
              <w:right w:val="single" w:sz="8" w:color="3465B0"/>
            </w:tcBorders>
            <w:shd w:val="clear" w:color="auto" w:fill="3465B0"/>
          </w:tcPr>
          <w:p>
            <w:pPr>
              <w:spacing w:after="0"/>
              <w:rPr>
                <w:sz w:val="24"/>
                <w:szCs w:val="24"/>
                <w:color w:val="auto"/>
              </w:rPr>
            </w:pPr>
          </w:p>
        </w:tc>
        <w:tc>
          <w:tcPr>
            <w:tcW w:w="60" w:type="dxa"/>
            <w:vAlign w:val="bottom"/>
            <w:shd w:val="clear" w:color="auto" w:fill="3465B0"/>
          </w:tcPr>
          <w:p>
            <w:pPr>
              <w:spacing w:after="0"/>
              <w:rPr>
                <w:sz w:val="24"/>
                <w:szCs w:val="24"/>
                <w:color w:val="auto"/>
              </w:rPr>
            </w:pPr>
          </w:p>
        </w:tc>
        <w:tc>
          <w:tcPr>
            <w:tcW w:w="780" w:type="dxa"/>
            <w:vAlign w:val="bottom"/>
            <w:tcBorders>
              <w:right w:val="single" w:sz="8" w:color="3465B0"/>
            </w:tcBorders>
            <w:shd w:val="clear" w:color="auto" w:fill="3465B0"/>
          </w:tcPr>
          <w:p>
            <w:pPr>
              <w:spacing w:after="0"/>
              <w:rPr>
                <w:sz w:val="24"/>
                <w:szCs w:val="24"/>
                <w:color w:val="auto"/>
              </w:rPr>
            </w:pPr>
          </w:p>
        </w:tc>
        <w:tc>
          <w:tcPr>
            <w:tcW w:w="60" w:type="dxa"/>
            <w:vAlign w:val="bottom"/>
            <w:shd w:val="clear" w:color="auto" w:fill="3465B0"/>
          </w:tcPr>
          <w:p>
            <w:pPr>
              <w:spacing w:after="0"/>
              <w:rPr>
                <w:sz w:val="24"/>
                <w:szCs w:val="24"/>
                <w:color w:val="auto"/>
              </w:rPr>
            </w:pPr>
          </w:p>
        </w:tc>
        <w:tc>
          <w:tcPr>
            <w:tcW w:w="780" w:type="dxa"/>
            <w:vAlign w:val="bottom"/>
            <w:tcBorders>
              <w:right w:val="single" w:sz="8" w:color="3465B0"/>
            </w:tcBorders>
            <w:shd w:val="clear" w:color="auto" w:fill="3465B0"/>
          </w:tcPr>
          <w:p>
            <w:pPr>
              <w:spacing w:after="0"/>
              <w:rPr>
                <w:sz w:val="24"/>
                <w:szCs w:val="24"/>
                <w:color w:val="auto"/>
              </w:rPr>
            </w:pPr>
          </w:p>
        </w:tc>
        <w:tc>
          <w:tcPr>
            <w:tcW w:w="2580" w:type="dxa"/>
            <w:vAlign w:val="bottom"/>
            <w:tcBorders>
              <w:right w:val="single" w:sz="8" w:color="3465B0"/>
            </w:tcBorders>
            <w:gridSpan w:val="5"/>
            <w:shd w:val="clear" w:color="auto" w:fill="3465B0"/>
          </w:tcPr>
          <w:p>
            <w:pPr>
              <w:jc w:val="right"/>
              <w:ind w:right="58"/>
              <w:spacing w:after="0"/>
              <w:rPr>
                <w:sz w:val="20"/>
                <w:szCs w:val="20"/>
                <w:color w:val="auto"/>
              </w:rPr>
            </w:pPr>
            <w:r>
              <w:rPr>
                <w:rFonts w:ascii="Arial" w:cs="Arial" w:eastAsia="Arial" w:hAnsi="Arial"/>
                <w:sz w:val="18"/>
                <w:szCs w:val="18"/>
                <w:b w:val="1"/>
                <w:bCs w:val="1"/>
                <w:color w:val="FFFFFF"/>
                <w:w w:val="96"/>
              </w:rPr>
              <w:t>EXECUTIVE COMPENSATION</w:t>
            </w:r>
          </w:p>
        </w:tc>
        <w:tc>
          <w:tcPr>
            <w:tcW w:w="0" w:type="dxa"/>
            <w:vAlign w:val="bottom"/>
          </w:tcPr>
          <w:p>
            <w:pPr>
              <w:spacing w:after="0"/>
              <w:rPr>
                <w:sz w:val="1"/>
                <w:szCs w:val="1"/>
                <w:color w:val="auto"/>
              </w:rPr>
            </w:pPr>
          </w:p>
        </w:tc>
      </w:tr>
      <w:tr>
        <w:trPr>
          <w:trHeight w:val="64"/>
        </w:trPr>
        <w:tc>
          <w:tcPr>
            <w:tcW w:w="1360" w:type="dxa"/>
            <w:vAlign w:val="bottom"/>
            <w:tcBorders>
              <w:bottom w:val="single" w:sz="8" w:color="3465B0"/>
            </w:tcBorders>
          </w:tcPr>
          <w:p>
            <w:pPr>
              <w:spacing w:after="0"/>
              <w:rPr>
                <w:sz w:val="5"/>
                <w:szCs w:val="5"/>
                <w:color w:val="auto"/>
              </w:rPr>
            </w:pPr>
          </w:p>
        </w:tc>
        <w:tc>
          <w:tcPr>
            <w:tcW w:w="40" w:type="dxa"/>
            <w:vAlign w:val="bottom"/>
            <w:tcBorders>
              <w:bottom w:val="single" w:sz="8" w:color="3465B0"/>
            </w:tcBorders>
          </w:tcPr>
          <w:p>
            <w:pPr>
              <w:spacing w:after="0"/>
              <w:rPr>
                <w:sz w:val="5"/>
                <w:szCs w:val="5"/>
                <w:color w:val="auto"/>
              </w:rPr>
            </w:pPr>
          </w:p>
        </w:tc>
        <w:tc>
          <w:tcPr>
            <w:tcW w:w="680" w:type="dxa"/>
            <w:vAlign w:val="bottom"/>
            <w:tcBorders>
              <w:bottom w:val="single" w:sz="8" w:color="3465B0"/>
            </w:tcBorders>
          </w:tcPr>
          <w:p>
            <w:pPr>
              <w:spacing w:after="0"/>
              <w:rPr>
                <w:sz w:val="5"/>
                <w:szCs w:val="5"/>
                <w:color w:val="auto"/>
              </w:rPr>
            </w:pPr>
          </w:p>
        </w:tc>
        <w:tc>
          <w:tcPr>
            <w:tcW w:w="100" w:type="dxa"/>
            <w:vAlign w:val="bottom"/>
            <w:tcBorders>
              <w:bottom w:val="single" w:sz="8" w:color="3465B0"/>
            </w:tcBorders>
          </w:tcPr>
          <w:p>
            <w:pPr>
              <w:spacing w:after="0"/>
              <w:rPr>
                <w:sz w:val="5"/>
                <w:szCs w:val="5"/>
                <w:color w:val="auto"/>
              </w:rPr>
            </w:pPr>
          </w:p>
        </w:tc>
        <w:tc>
          <w:tcPr>
            <w:tcW w:w="60" w:type="dxa"/>
            <w:vAlign w:val="bottom"/>
            <w:tcBorders>
              <w:bottom w:val="single" w:sz="8" w:color="3465B0"/>
            </w:tcBorders>
          </w:tcPr>
          <w:p>
            <w:pPr>
              <w:spacing w:after="0"/>
              <w:rPr>
                <w:sz w:val="5"/>
                <w:szCs w:val="5"/>
                <w:color w:val="auto"/>
              </w:rPr>
            </w:pPr>
          </w:p>
        </w:tc>
        <w:tc>
          <w:tcPr>
            <w:tcW w:w="880" w:type="dxa"/>
            <w:vAlign w:val="bottom"/>
            <w:tcBorders>
              <w:bottom w:val="single" w:sz="8" w:color="3465B0"/>
            </w:tcBorders>
          </w:tcPr>
          <w:p>
            <w:pPr>
              <w:spacing w:after="0"/>
              <w:rPr>
                <w:sz w:val="5"/>
                <w:szCs w:val="5"/>
                <w:color w:val="auto"/>
              </w:rPr>
            </w:pPr>
          </w:p>
        </w:tc>
        <w:tc>
          <w:tcPr>
            <w:tcW w:w="60" w:type="dxa"/>
            <w:vAlign w:val="bottom"/>
            <w:tcBorders>
              <w:bottom w:val="single" w:sz="8" w:color="3465B0"/>
            </w:tcBorders>
          </w:tcPr>
          <w:p>
            <w:pPr>
              <w:spacing w:after="0"/>
              <w:rPr>
                <w:sz w:val="5"/>
                <w:szCs w:val="5"/>
                <w:color w:val="auto"/>
              </w:rPr>
            </w:pPr>
          </w:p>
        </w:tc>
        <w:tc>
          <w:tcPr>
            <w:tcW w:w="1020" w:type="dxa"/>
            <w:vAlign w:val="bottom"/>
            <w:tcBorders>
              <w:bottom w:val="single" w:sz="8" w:color="3465B0"/>
            </w:tcBorders>
          </w:tcPr>
          <w:p>
            <w:pPr>
              <w:spacing w:after="0"/>
              <w:rPr>
                <w:sz w:val="5"/>
                <w:szCs w:val="5"/>
                <w:color w:val="auto"/>
              </w:rPr>
            </w:pPr>
          </w:p>
        </w:tc>
        <w:tc>
          <w:tcPr>
            <w:tcW w:w="60" w:type="dxa"/>
            <w:vAlign w:val="bottom"/>
            <w:tcBorders>
              <w:bottom w:val="single" w:sz="8" w:color="3465B0"/>
            </w:tcBorders>
          </w:tcPr>
          <w:p>
            <w:pPr>
              <w:spacing w:after="0"/>
              <w:rPr>
                <w:sz w:val="5"/>
                <w:szCs w:val="5"/>
                <w:color w:val="auto"/>
              </w:rPr>
            </w:pPr>
          </w:p>
        </w:tc>
        <w:tc>
          <w:tcPr>
            <w:tcW w:w="640" w:type="dxa"/>
            <w:vAlign w:val="bottom"/>
            <w:tcBorders>
              <w:bottom w:val="single" w:sz="8" w:color="3465B0"/>
            </w:tcBorders>
          </w:tcPr>
          <w:p>
            <w:pPr>
              <w:spacing w:after="0"/>
              <w:rPr>
                <w:sz w:val="5"/>
                <w:szCs w:val="5"/>
                <w:color w:val="auto"/>
              </w:rPr>
            </w:pPr>
          </w:p>
        </w:tc>
        <w:tc>
          <w:tcPr>
            <w:tcW w:w="60" w:type="dxa"/>
            <w:vAlign w:val="bottom"/>
            <w:tcBorders>
              <w:bottom w:val="single" w:sz="8" w:color="3465B0"/>
            </w:tcBorders>
          </w:tcPr>
          <w:p>
            <w:pPr>
              <w:spacing w:after="0"/>
              <w:rPr>
                <w:sz w:val="5"/>
                <w:szCs w:val="5"/>
                <w:color w:val="auto"/>
              </w:rPr>
            </w:pPr>
          </w:p>
        </w:tc>
        <w:tc>
          <w:tcPr>
            <w:tcW w:w="780" w:type="dxa"/>
            <w:vAlign w:val="bottom"/>
            <w:tcBorders>
              <w:bottom w:val="single" w:sz="8" w:color="3465B0"/>
            </w:tcBorders>
          </w:tcPr>
          <w:p>
            <w:pPr>
              <w:spacing w:after="0"/>
              <w:rPr>
                <w:sz w:val="5"/>
                <w:szCs w:val="5"/>
                <w:color w:val="auto"/>
              </w:rPr>
            </w:pPr>
          </w:p>
        </w:tc>
        <w:tc>
          <w:tcPr>
            <w:tcW w:w="60" w:type="dxa"/>
            <w:vAlign w:val="bottom"/>
            <w:tcBorders>
              <w:bottom w:val="single" w:sz="8" w:color="3465B0"/>
            </w:tcBorders>
          </w:tcPr>
          <w:p>
            <w:pPr>
              <w:spacing w:after="0"/>
              <w:rPr>
                <w:sz w:val="5"/>
                <w:szCs w:val="5"/>
                <w:color w:val="auto"/>
              </w:rPr>
            </w:pPr>
          </w:p>
        </w:tc>
        <w:tc>
          <w:tcPr>
            <w:tcW w:w="780" w:type="dxa"/>
            <w:vAlign w:val="bottom"/>
            <w:tcBorders>
              <w:bottom w:val="single" w:sz="8" w:color="3465B0"/>
            </w:tcBorders>
          </w:tcPr>
          <w:p>
            <w:pPr>
              <w:spacing w:after="0"/>
              <w:rPr>
                <w:sz w:val="5"/>
                <w:szCs w:val="5"/>
                <w:color w:val="auto"/>
              </w:rPr>
            </w:pPr>
          </w:p>
        </w:tc>
        <w:tc>
          <w:tcPr>
            <w:tcW w:w="60" w:type="dxa"/>
            <w:vAlign w:val="bottom"/>
            <w:tcBorders>
              <w:bottom w:val="single" w:sz="8" w:color="3465B0"/>
            </w:tcBorders>
          </w:tcPr>
          <w:p>
            <w:pPr>
              <w:spacing w:after="0"/>
              <w:rPr>
                <w:sz w:val="5"/>
                <w:szCs w:val="5"/>
                <w:color w:val="auto"/>
              </w:rPr>
            </w:pPr>
          </w:p>
        </w:tc>
        <w:tc>
          <w:tcPr>
            <w:tcW w:w="780" w:type="dxa"/>
            <w:vAlign w:val="bottom"/>
            <w:tcBorders>
              <w:bottom w:val="single" w:sz="8" w:color="3465B0"/>
            </w:tcBorders>
          </w:tcPr>
          <w:p>
            <w:pPr>
              <w:spacing w:after="0"/>
              <w:rPr>
                <w:sz w:val="5"/>
                <w:szCs w:val="5"/>
                <w:color w:val="auto"/>
              </w:rPr>
            </w:pPr>
          </w:p>
        </w:tc>
        <w:tc>
          <w:tcPr>
            <w:tcW w:w="960" w:type="dxa"/>
            <w:vAlign w:val="bottom"/>
            <w:tcBorders>
              <w:bottom w:val="single" w:sz="8" w:color="3465B0"/>
            </w:tcBorders>
          </w:tcPr>
          <w:p>
            <w:pPr>
              <w:spacing w:after="0"/>
              <w:rPr>
                <w:sz w:val="5"/>
                <w:szCs w:val="5"/>
                <w:color w:val="auto"/>
              </w:rPr>
            </w:pPr>
          </w:p>
        </w:tc>
        <w:tc>
          <w:tcPr>
            <w:tcW w:w="60" w:type="dxa"/>
            <w:vAlign w:val="bottom"/>
            <w:tcBorders>
              <w:bottom w:val="single" w:sz="8" w:color="3465B0"/>
            </w:tcBorders>
          </w:tcPr>
          <w:p>
            <w:pPr>
              <w:spacing w:after="0"/>
              <w:rPr>
                <w:sz w:val="5"/>
                <w:szCs w:val="5"/>
                <w:color w:val="auto"/>
              </w:rPr>
            </w:pPr>
          </w:p>
        </w:tc>
        <w:tc>
          <w:tcPr>
            <w:tcW w:w="720" w:type="dxa"/>
            <w:vAlign w:val="bottom"/>
            <w:tcBorders>
              <w:bottom w:val="single" w:sz="8" w:color="3465B0"/>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360" w:type="dxa"/>
            <w:vAlign w:val="bottom"/>
            <w:tcBorders>
              <w:left w:val="single" w:sz="8" w:color="3465B0"/>
              <w:right w:val="single" w:sz="8" w:color="3465B0"/>
            </w:tcBorders>
            <w:shd w:val="clear" w:color="auto" w:fill="3465B0"/>
          </w:tcPr>
          <w:p>
            <w:pPr>
              <w:spacing w:after="0"/>
              <w:rPr>
                <w:sz w:val="9"/>
                <w:szCs w:val="9"/>
                <w:color w:val="auto"/>
              </w:rPr>
            </w:pPr>
          </w:p>
        </w:tc>
        <w:tc>
          <w:tcPr>
            <w:tcW w:w="40" w:type="dxa"/>
            <w:vAlign w:val="bottom"/>
            <w:shd w:val="clear" w:color="auto" w:fill="3465B0"/>
          </w:tcPr>
          <w:p>
            <w:pPr>
              <w:spacing w:after="0"/>
              <w:rPr>
                <w:sz w:val="9"/>
                <w:szCs w:val="9"/>
                <w:color w:val="auto"/>
              </w:rPr>
            </w:pPr>
          </w:p>
        </w:tc>
        <w:tc>
          <w:tcPr>
            <w:tcW w:w="680" w:type="dxa"/>
            <w:vAlign w:val="bottom"/>
            <w:shd w:val="clear" w:color="auto" w:fill="3465B0"/>
          </w:tcPr>
          <w:p>
            <w:pPr>
              <w:spacing w:after="0"/>
              <w:rPr>
                <w:sz w:val="9"/>
                <w:szCs w:val="9"/>
                <w:color w:val="auto"/>
              </w:rPr>
            </w:pPr>
          </w:p>
        </w:tc>
        <w:tc>
          <w:tcPr>
            <w:tcW w:w="100" w:type="dxa"/>
            <w:vAlign w:val="bottom"/>
            <w:tcBorders>
              <w:right w:val="single" w:sz="8" w:color="93A1D2"/>
            </w:tcBorders>
            <w:shd w:val="clear" w:color="auto" w:fill="3465B0"/>
          </w:tcPr>
          <w:p>
            <w:pPr>
              <w:spacing w:after="0"/>
              <w:rPr>
                <w:sz w:val="9"/>
                <w:szCs w:val="9"/>
                <w:color w:val="auto"/>
              </w:rPr>
            </w:pPr>
          </w:p>
        </w:tc>
        <w:tc>
          <w:tcPr>
            <w:tcW w:w="60" w:type="dxa"/>
            <w:vAlign w:val="bottom"/>
            <w:shd w:val="clear" w:color="auto" w:fill="3465B0"/>
          </w:tcPr>
          <w:p>
            <w:pPr>
              <w:spacing w:after="0"/>
              <w:rPr>
                <w:sz w:val="9"/>
                <w:szCs w:val="9"/>
                <w:color w:val="auto"/>
              </w:rPr>
            </w:pPr>
          </w:p>
        </w:tc>
        <w:tc>
          <w:tcPr>
            <w:tcW w:w="880" w:type="dxa"/>
            <w:vAlign w:val="bottom"/>
            <w:tcBorders>
              <w:right w:val="single" w:sz="8" w:color="3465B0"/>
            </w:tcBorders>
            <w:shd w:val="clear" w:color="auto" w:fill="3465B0"/>
          </w:tcPr>
          <w:p>
            <w:pPr>
              <w:spacing w:after="0"/>
              <w:rPr>
                <w:sz w:val="9"/>
                <w:szCs w:val="9"/>
                <w:color w:val="auto"/>
              </w:rPr>
            </w:pPr>
          </w:p>
        </w:tc>
        <w:tc>
          <w:tcPr>
            <w:tcW w:w="60" w:type="dxa"/>
            <w:vAlign w:val="bottom"/>
            <w:shd w:val="clear" w:color="auto" w:fill="3465B0"/>
          </w:tcPr>
          <w:p>
            <w:pPr>
              <w:spacing w:after="0"/>
              <w:rPr>
                <w:sz w:val="9"/>
                <w:szCs w:val="9"/>
                <w:color w:val="auto"/>
              </w:rPr>
            </w:pPr>
          </w:p>
        </w:tc>
        <w:tc>
          <w:tcPr>
            <w:tcW w:w="1720" w:type="dxa"/>
            <w:vAlign w:val="bottom"/>
            <w:tcBorders>
              <w:right w:val="single" w:sz="8" w:color="3465B0"/>
            </w:tcBorders>
            <w:gridSpan w:val="3"/>
            <w:vMerge w:val="restart"/>
            <w:shd w:val="clear" w:color="auto" w:fill="3465B0"/>
          </w:tcPr>
          <w:p>
            <w:pPr>
              <w:ind w:left="320"/>
              <w:spacing w:after="0"/>
              <w:rPr>
                <w:sz w:val="20"/>
                <w:szCs w:val="20"/>
                <w:color w:val="auto"/>
              </w:rPr>
            </w:pPr>
            <w:r>
              <w:rPr>
                <w:rFonts w:ascii="Arial" w:cs="Arial" w:eastAsia="Arial" w:hAnsi="Arial"/>
                <w:sz w:val="13"/>
                <w:szCs w:val="13"/>
                <w:b w:val="1"/>
                <w:bCs w:val="1"/>
                <w:color w:val="FFFFFF"/>
              </w:rPr>
              <w:t>Option Awards</w:t>
            </w:r>
          </w:p>
        </w:tc>
        <w:tc>
          <w:tcPr>
            <w:tcW w:w="60" w:type="dxa"/>
            <w:vAlign w:val="bottom"/>
            <w:shd w:val="clear" w:color="auto" w:fill="3465B0"/>
          </w:tcPr>
          <w:p>
            <w:pPr>
              <w:spacing w:after="0"/>
              <w:rPr>
                <w:sz w:val="9"/>
                <w:szCs w:val="9"/>
                <w:color w:val="auto"/>
              </w:rPr>
            </w:pPr>
          </w:p>
        </w:tc>
        <w:tc>
          <w:tcPr>
            <w:tcW w:w="780" w:type="dxa"/>
            <w:vAlign w:val="bottom"/>
            <w:tcBorders>
              <w:right w:val="single" w:sz="8" w:color="93A1D2"/>
            </w:tcBorders>
            <w:shd w:val="clear" w:color="auto" w:fill="3465B0"/>
          </w:tcPr>
          <w:p>
            <w:pPr>
              <w:spacing w:after="0"/>
              <w:rPr>
                <w:sz w:val="9"/>
                <w:szCs w:val="9"/>
                <w:color w:val="auto"/>
              </w:rPr>
            </w:pPr>
          </w:p>
        </w:tc>
        <w:tc>
          <w:tcPr>
            <w:tcW w:w="60" w:type="dxa"/>
            <w:vAlign w:val="bottom"/>
            <w:shd w:val="clear" w:color="auto" w:fill="3465B0"/>
          </w:tcPr>
          <w:p>
            <w:pPr>
              <w:spacing w:after="0"/>
              <w:rPr>
                <w:sz w:val="9"/>
                <w:szCs w:val="9"/>
                <w:color w:val="auto"/>
              </w:rPr>
            </w:pPr>
          </w:p>
        </w:tc>
        <w:tc>
          <w:tcPr>
            <w:tcW w:w="780" w:type="dxa"/>
            <w:vAlign w:val="bottom"/>
            <w:tcBorders>
              <w:right w:val="single" w:sz="8" w:color="3465B0"/>
            </w:tcBorders>
            <w:shd w:val="clear" w:color="auto" w:fill="3465B0"/>
          </w:tcPr>
          <w:p>
            <w:pPr>
              <w:spacing w:after="0"/>
              <w:rPr>
                <w:sz w:val="9"/>
                <w:szCs w:val="9"/>
                <w:color w:val="auto"/>
              </w:rPr>
            </w:pPr>
          </w:p>
        </w:tc>
        <w:tc>
          <w:tcPr>
            <w:tcW w:w="60" w:type="dxa"/>
            <w:vAlign w:val="bottom"/>
            <w:shd w:val="clear" w:color="auto" w:fill="3465B0"/>
          </w:tcPr>
          <w:p>
            <w:pPr>
              <w:spacing w:after="0"/>
              <w:rPr>
                <w:sz w:val="9"/>
                <w:szCs w:val="9"/>
                <w:color w:val="auto"/>
              </w:rPr>
            </w:pPr>
          </w:p>
        </w:tc>
        <w:tc>
          <w:tcPr>
            <w:tcW w:w="1740" w:type="dxa"/>
            <w:vAlign w:val="bottom"/>
            <w:tcBorders>
              <w:right w:val="single" w:sz="8" w:color="3465B0"/>
            </w:tcBorders>
            <w:gridSpan w:val="2"/>
            <w:vMerge w:val="restart"/>
            <w:shd w:val="clear" w:color="auto" w:fill="3465B0"/>
          </w:tcPr>
          <w:p>
            <w:pPr>
              <w:ind w:left="400"/>
              <w:spacing w:after="0"/>
              <w:rPr>
                <w:sz w:val="20"/>
                <w:szCs w:val="20"/>
                <w:color w:val="auto"/>
              </w:rPr>
            </w:pPr>
            <w:r>
              <w:rPr>
                <w:rFonts w:ascii="Arial" w:cs="Arial" w:eastAsia="Arial" w:hAnsi="Arial"/>
                <w:sz w:val="13"/>
                <w:szCs w:val="13"/>
                <w:b w:val="1"/>
                <w:bCs w:val="1"/>
                <w:color w:val="FFFFFF"/>
              </w:rPr>
              <w:t>Stock Awards</w:t>
            </w:r>
          </w:p>
        </w:tc>
        <w:tc>
          <w:tcPr>
            <w:tcW w:w="60" w:type="dxa"/>
            <w:vAlign w:val="bottom"/>
            <w:shd w:val="clear" w:color="auto" w:fill="3465B0"/>
          </w:tcPr>
          <w:p>
            <w:pPr>
              <w:spacing w:after="0"/>
              <w:rPr>
                <w:sz w:val="9"/>
                <w:szCs w:val="9"/>
                <w:color w:val="auto"/>
              </w:rPr>
            </w:pPr>
          </w:p>
        </w:tc>
        <w:tc>
          <w:tcPr>
            <w:tcW w:w="720" w:type="dxa"/>
            <w:vAlign w:val="bottom"/>
            <w:tcBorders>
              <w:right w:val="single" w:sz="8" w:color="3465B0"/>
            </w:tcBorders>
            <w:shd w:val="clear" w:color="auto" w:fill="3465B0"/>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360" w:type="dxa"/>
            <w:vAlign w:val="bottom"/>
            <w:tcBorders>
              <w:left w:val="single" w:sz="8" w:color="3465B0"/>
              <w:bottom w:val="single" w:sz="8" w:color="3465B0"/>
              <w:right w:val="single" w:sz="8" w:color="3465B0"/>
            </w:tcBorders>
            <w:shd w:val="clear" w:color="auto" w:fill="3465B0"/>
          </w:tcPr>
          <w:p>
            <w:pPr>
              <w:spacing w:after="0"/>
              <w:rPr>
                <w:sz w:val="14"/>
                <w:szCs w:val="14"/>
                <w:color w:val="auto"/>
              </w:rPr>
            </w:pPr>
          </w:p>
        </w:tc>
        <w:tc>
          <w:tcPr>
            <w:tcW w:w="40" w:type="dxa"/>
            <w:vAlign w:val="bottom"/>
            <w:tcBorders>
              <w:bottom w:val="single" w:sz="8" w:color="3465B0"/>
            </w:tcBorders>
            <w:shd w:val="clear" w:color="auto" w:fill="3465B0"/>
          </w:tcPr>
          <w:p>
            <w:pPr>
              <w:spacing w:after="0"/>
              <w:rPr>
                <w:sz w:val="14"/>
                <w:szCs w:val="14"/>
                <w:color w:val="auto"/>
              </w:rPr>
            </w:pPr>
          </w:p>
        </w:tc>
        <w:tc>
          <w:tcPr>
            <w:tcW w:w="680" w:type="dxa"/>
            <w:vAlign w:val="bottom"/>
            <w:tcBorders>
              <w:bottom w:val="single" w:sz="8" w:color="3465B0"/>
            </w:tcBorders>
            <w:shd w:val="clear" w:color="auto" w:fill="3465B0"/>
          </w:tcPr>
          <w:p>
            <w:pPr>
              <w:spacing w:after="0"/>
              <w:rPr>
                <w:sz w:val="14"/>
                <w:szCs w:val="14"/>
                <w:color w:val="auto"/>
              </w:rPr>
            </w:pPr>
          </w:p>
        </w:tc>
        <w:tc>
          <w:tcPr>
            <w:tcW w:w="100" w:type="dxa"/>
            <w:vAlign w:val="bottom"/>
            <w:tcBorders>
              <w:bottom w:val="single" w:sz="8" w:color="3465B0"/>
              <w:right w:val="single" w:sz="8" w:color="93A1D2"/>
            </w:tcBorders>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880" w:type="dxa"/>
            <w:vAlign w:val="bottom"/>
            <w:tcBorders>
              <w:bottom w:val="single" w:sz="8" w:color="3465B0"/>
              <w:right w:val="single" w:sz="8" w:color="3465B0"/>
            </w:tcBorders>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1720" w:type="dxa"/>
            <w:vAlign w:val="bottom"/>
            <w:tcBorders>
              <w:bottom w:val="single" w:sz="8" w:color="3465B0"/>
              <w:right w:val="single" w:sz="8" w:color="3465B0"/>
            </w:tcBorders>
            <w:gridSpan w:val="3"/>
            <w:vMerge w:val="continue"/>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780" w:type="dxa"/>
            <w:vAlign w:val="bottom"/>
            <w:tcBorders>
              <w:bottom w:val="single" w:sz="8" w:color="3465B0"/>
              <w:right w:val="single" w:sz="8" w:color="3465B0"/>
            </w:tcBorders>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780" w:type="dxa"/>
            <w:vAlign w:val="bottom"/>
            <w:tcBorders>
              <w:bottom w:val="single" w:sz="8" w:color="3465B0"/>
              <w:right w:val="single" w:sz="8" w:color="3465B0"/>
            </w:tcBorders>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1740" w:type="dxa"/>
            <w:vAlign w:val="bottom"/>
            <w:tcBorders>
              <w:bottom w:val="single" w:sz="8" w:color="3465B0"/>
              <w:right w:val="single" w:sz="8" w:color="3465B0"/>
            </w:tcBorders>
            <w:gridSpan w:val="2"/>
            <w:vMerge w:val="continue"/>
            <w:shd w:val="clear" w:color="auto" w:fill="3465B0"/>
          </w:tcPr>
          <w:p>
            <w:pPr>
              <w:spacing w:after="0"/>
              <w:rPr>
                <w:sz w:val="14"/>
                <w:szCs w:val="14"/>
                <w:color w:val="auto"/>
              </w:rPr>
            </w:pPr>
          </w:p>
        </w:tc>
        <w:tc>
          <w:tcPr>
            <w:tcW w:w="60" w:type="dxa"/>
            <w:vAlign w:val="bottom"/>
            <w:tcBorders>
              <w:bottom w:val="single" w:sz="8" w:color="3465B0"/>
            </w:tcBorders>
            <w:shd w:val="clear" w:color="auto" w:fill="3465B0"/>
          </w:tcPr>
          <w:p>
            <w:pPr>
              <w:spacing w:after="0"/>
              <w:rPr>
                <w:sz w:val="14"/>
                <w:szCs w:val="14"/>
                <w:color w:val="auto"/>
              </w:rPr>
            </w:pPr>
          </w:p>
        </w:tc>
        <w:tc>
          <w:tcPr>
            <w:tcW w:w="720" w:type="dxa"/>
            <w:vAlign w:val="bottom"/>
            <w:tcBorders>
              <w:bottom w:val="single" w:sz="8" w:color="3465B0"/>
              <w:right w:val="single" w:sz="8" w:color="3465B0"/>
            </w:tcBorders>
            <w:shd w:val="clear" w:color="auto" w:fill="3465B0"/>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360" w:type="dxa"/>
            <w:vAlign w:val="bottom"/>
            <w:tcBorders>
              <w:left w:val="single" w:sz="8" w:color="3465B0"/>
              <w:right w:val="single" w:sz="8" w:color="3465B0"/>
            </w:tcBorders>
            <w:shd w:val="clear" w:color="auto" w:fill="3465B0"/>
          </w:tcPr>
          <w:p>
            <w:pPr>
              <w:spacing w:after="0"/>
              <w:rPr>
                <w:sz w:val="13"/>
                <w:szCs w:val="13"/>
                <w:color w:val="auto"/>
              </w:rPr>
            </w:pPr>
          </w:p>
        </w:tc>
        <w:tc>
          <w:tcPr>
            <w:tcW w:w="40" w:type="dxa"/>
            <w:vAlign w:val="bottom"/>
            <w:shd w:val="clear" w:color="auto" w:fill="3465B0"/>
          </w:tcPr>
          <w:p>
            <w:pPr>
              <w:spacing w:after="0"/>
              <w:rPr>
                <w:sz w:val="13"/>
                <w:szCs w:val="13"/>
                <w:color w:val="auto"/>
              </w:rPr>
            </w:pPr>
          </w:p>
        </w:tc>
        <w:tc>
          <w:tcPr>
            <w:tcW w:w="680" w:type="dxa"/>
            <w:vAlign w:val="bottom"/>
            <w:shd w:val="clear" w:color="auto" w:fill="3465B0"/>
          </w:tcPr>
          <w:p>
            <w:pPr>
              <w:spacing w:after="0"/>
              <w:rPr>
                <w:sz w:val="13"/>
                <w:szCs w:val="13"/>
                <w:color w:val="auto"/>
              </w:rPr>
            </w:pPr>
          </w:p>
        </w:tc>
        <w:tc>
          <w:tcPr>
            <w:tcW w:w="10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88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102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64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78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780" w:type="dxa"/>
            <w:vAlign w:val="bottom"/>
            <w:tcBorders>
              <w:right w:val="single" w:sz="8" w:color="3465B0"/>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780" w:type="dxa"/>
            <w:vAlign w:val="bottom"/>
            <w:tcBorders>
              <w:right w:val="single" w:sz="8" w:color="93A1D2"/>
            </w:tcBorders>
            <w:shd w:val="clear" w:color="auto" w:fill="3465B0"/>
          </w:tcPr>
          <w:p>
            <w:pPr>
              <w:spacing w:after="0"/>
              <w:rPr>
                <w:sz w:val="13"/>
                <w:szCs w:val="13"/>
                <w:color w:val="auto"/>
              </w:rPr>
            </w:pPr>
          </w:p>
        </w:tc>
        <w:tc>
          <w:tcPr>
            <w:tcW w:w="960" w:type="dxa"/>
            <w:vAlign w:val="bottom"/>
            <w:tcBorders>
              <w:right w:val="single" w:sz="8" w:color="93A1D2"/>
            </w:tcBorders>
            <w:shd w:val="clear" w:color="auto" w:fill="3465B0"/>
          </w:tcPr>
          <w:p>
            <w:pPr>
              <w:spacing w:after="0"/>
              <w:rPr>
                <w:sz w:val="13"/>
                <w:szCs w:val="13"/>
                <w:color w:val="auto"/>
              </w:rPr>
            </w:pPr>
          </w:p>
        </w:tc>
        <w:tc>
          <w:tcPr>
            <w:tcW w:w="60" w:type="dxa"/>
            <w:vAlign w:val="bottom"/>
            <w:shd w:val="clear" w:color="auto" w:fill="3465B0"/>
          </w:tcPr>
          <w:p>
            <w:pPr>
              <w:spacing w:after="0"/>
              <w:rPr>
                <w:sz w:val="13"/>
                <w:szCs w:val="13"/>
                <w:color w:val="auto"/>
              </w:rPr>
            </w:pPr>
          </w:p>
        </w:tc>
        <w:tc>
          <w:tcPr>
            <w:tcW w:w="72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96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96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Plan</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96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66"/>
        </w:trPr>
        <w:tc>
          <w:tcPr>
            <w:tcW w:w="1360" w:type="dxa"/>
            <w:vAlign w:val="bottom"/>
            <w:tcBorders>
              <w:left w:val="single" w:sz="8" w:color="3465B0"/>
              <w:right w:val="single" w:sz="8" w:color="3465B0"/>
            </w:tcBorders>
            <w:shd w:val="clear" w:color="auto" w:fill="3465B0"/>
          </w:tcPr>
          <w:p>
            <w:pPr>
              <w:spacing w:after="0"/>
              <w:rPr>
                <w:sz w:val="14"/>
                <w:szCs w:val="14"/>
                <w:color w:val="auto"/>
              </w:rPr>
            </w:pPr>
          </w:p>
        </w:tc>
        <w:tc>
          <w:tcPr>
            <w:tcW w:w="40" w:type="dxa"/>
            <w:vAlign w:val="bottom"/>
            <w:shd w:val="clear" w:color="auto" w:fill="3465B0"/>
          </w:tcPr>
          <w:p>
            <w:pPr>
              <w:spacing w:after="0"/>
              <w:rPr>
                <w:sz w:val="14"/>
                <w:szCs w:val="14"/>
                <w:color w:val="auto"/>
              </w:rPr>
            </w:pPr>
          </w:p>
        </w:tc>
        <w:tc>
          <w:tcPr>
            <w:tcW w:w="680" w:type="dxa"/>
            <w:vAlign w:val="bottom"/>
            <w:shd w:val="clear" w:color="auto" w:fill="3465B0"/>
          </w:tcPr>
          <w:p>
            <w:pPr>
              <w:spacing w:after="0"/>
              <w:rPr>
                <w:sz w:val="14"/>
                <w:szCs w:val="14"/>
                <w:color w:val="auto"/>
              </w:rPr>
            </w:pPr>
          </w:p>
        </w:tc>
        <w:tc>
          <w:tcPr>
            <w:tcW w:w="10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88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102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64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780" w:type="dxa"/>
            <w:vAlign w:val="bottom"/>
            <w:tcBorders>
              <w:right w:val="single" w:sz="8" w:color="93A1D2"/>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780" w:type="dxa"/>
            <w:vAlign w:val="bottom"/>
            <w:tcBorders>
              <w:right w:val="single" w:sz="8" w:color="3465B0"/>
            </w:tcBorders>
            <w:shd w:val="clear" w:color="auto" w:fill="3465B0"/>
          </w:tcPr>
          <w:p>
            <w:pPr>
              <w:spacing w:after="0"/>
              <w:rPr>
                <w:sz w:val="14"/>
                <w:szCs w:val="14"/>
                <w:color w:val="auto"/>
              </w:rPr>
            </w:pPr>
          </w:p>
        </w:tc>
        <w:tc>
          <w:tcPr>
            <w:tcW w:w="60" w:type="dxa"/>
            <w:vAlign w:val="bottom"/>
            <w:shd w:val="clear" w:color="auto" w:fill="3465B0"/>
          </w:tcPr>
          <w:p>
            <w:pPr>
              <w:spacing w:after="0"/>
              <w:rPr>
                <w:sz w:val="14"/>
                <w:szCs w:val="14"/>
                <w:color w:val="auto"/>
              </w:rPr>
            </w:pPr>
          </w:p>
        </w:tc>
        <w:tc>
          <w:tcPr>
            <w:tcW w:w="780" w:type="dxa"/>
            <w:vAlign w:val="bottom"/>
            <w:tcBorders>
              <w:right w:val="single" w:sz="8" w:color="93A1D2"/>
            </w:tcBorders>
            <w:shd w:val="clear" w:color="auto" w:fill="3465B0"/>
          </w:tcPr>
          <w:p>
            <w:pPr>
              <w:spacing w:after="0"/>
              <w:rPr>
                <w:sz w:val="14"/>
                <w:szCs w:val="14"/>
                <w:color w:val="auto"/>
              </w:rPr>
            </w:pPr>
          </w:p>
        </w:tc>
        <w:tc>
          <w:tcPr>
            <w:tcW w:w="960" w:type="dxa"/>
            <w:vAlign w:val="bottom"/>
            <w:tcBorders>
              <w:right w:val="single" w:sz="8" w:color="93A1D2"/>
            </w:tcBorders>
            <w:shd w:val="clear" w:color="auto" w:fill="3465B0"/>
          </w:tcPr>
          <w:p>
            <w:pPr>
              <w:ind w:left="60"/>
              <w:spacing w:after="0"/>
              <w:rPr>
                <w:sz w:val="20"/>
                <w:szCs w:val="20"/>
                <w:color w:val="auto"/>
              </w:rPr>
            </w:pPr>
            <w:r>
              <w:rPr>
                <w:rFonts w:ascii="Arial" w:cs="Arial" w:eastAsia="Arial" w:hAnsi="Arial"/>
                <w:sz w:val="13"/>
                <w:szCs w:val="13"/>
                <w:b w:val="1"/>
                <w:bCs w:val="1"/>
                <w:color w:val="FFFFFF"/>
              </w:rPr>
              <w:t>Equity</w:t>
            </w:r>
          </w:p>
        </w:tc>
        <w:tc>
          <w:tcPr>
            <w:tcW w:w="60" w:type="dxa"/>
            <w:vAlign w:val="bottom"/>
            <w:shd w:val="clear" w:color="auto" w:fill="3465B0"/>
          </w:tcPr>
          <w:p>
            <w:pPr>
              <w:spacing w:after="0"/>
              <w:rPr>
                <w:sz w:val="14"/>
                <w:szCs w:val="14"/>
                <w:color w:val="auto"/>
              </w:rPr>
            </w:pPr>
          </w:p>
        </w:tc>
        <w:tc>
          <w:tcPr>
            <w:tcW w:w="72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Incentive</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Plan</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Market</w:t>
            </w: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Awards:</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Unearned</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Number of</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Number of</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Number of</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vMerge w:val="continue"/>
            <w:shd w:val="clear" w:color="auto" w:fill="3465B0"/>
          </w:tcPr>
          <w:p>
            <w:pPr>
              <w:spacing w:after="0"/>
              <w:rPr>
                <w:sz w:val="11"/>
                <w:szCs w:val="11"/>
                <w:color w:val="auto"/>
              </w:rPr>
            </w:pP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Number of</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Shares,</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Value of</w:t>
            </w: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Unearned</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Units, or</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Securities</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Securities</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Shares or</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Shares or</w:t>
            </w: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Shares,</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Other</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Underlying</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Underlying</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Option</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Units of</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Units of</w:t>
            </w: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Units, or</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Rights</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shd w:val="clear" w:color="auto" w:fill="3465B0"/>
          </w:tcPr>
          <w:p>
            <w:pPr>
              <w:spacing w:after="0"/>
              <w:rPr>
                <w:sz w:val="11"/>
                <w:szCs w:val="11"/>
                <w:color w:val="auto"/>
              </w:rPr>
            </w:pP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Unexercised</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Unexercised</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vMerge w:val="restart"/>
            <w:shd w:val="clear" w:color="auto" w:fill="3465B0"/>
          </w:tcPr>
          <w:p>
            <w:pPr>
              <w:spacing w:after="0"/>
              <w:rPr>
                <w:sz w:val="20"/>
                <w:szCs w:val="20"/>
                <w:color w:val="auto"/>
              </w:rPr>
            </w:pPr>
            <w:r>
              <w:rPr>
                <w:rFonts w:ascii="Arial" w:cs="Arial" w:eastAsia="Arial" w:hAnsi="Arial"/>
                <w:sz w:val="13"/>
                <w:szCs w:val="13"/>
                <w:b w:val="1"/>
                <w:bCs w:val="1"/>
                <w:color w:val="FFFFFF"/>
              </w:rPr>
              <w:t>Option</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Stock That</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Stock That</w:t>
            </w: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Other Rights</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That</w:t>
            </w:r>
          </w:p>
        </w:tc>
        <w:tc>
          <w:tcPr>
            <w:tcW w:w="0" w:type="dxa"/>
            <w:vAlign w:val="bottom"/>
          </w:tcPr>
          <w:p>
            <w:pPr>
              <w:spacing w:after="0"/>
              <w:rPr>
                <w:sz w:val="1"/>
                <w:szCs w:val="1"/>
                <w:color w:val="auto"/>
              </w:rPr>
            </w:pPr>
          </w:p>
        </w:tc>
      </w:tr>
      <w:tr>
        <w:trPr>
          <w:trHeight w:val="135"/>
        </w:trPr>
        <w:tc>
          <w:tcPr>
            <w:tcW w:w="1360" w:type="dxa"/>
            <w:vAlign w:val="bottom"/>
            <w:tcBorders>
              <w:left w:val="single" w:sz="8" w:color="3465B0"/>
              <w:right w:val="single" w:sz="8" w:color="3465B0"/>
            </w:tcBorders>
            <w:vMerge w:val="restart"/>
            <w:shd w:val="clear" w:color="auto" w:fill="3465B0"/>
          </w:tcPr>
          <w:p>
            <w:pPr>
              <w:ind w:left="100"/>
              <w:spacing w:after="0"/>
              <w:rPr>
                <w:sz w:val="20"/>
                <w:szCs w:val="20"/>
                <w:color w:val="auto"/>
              </w:rPr>
            </w:pPr>
            <w:r>
              <w:rPr>
                <w:rFonts w:ascii="Arial" w:cs="Arial" w:eastAsia="Arial" w:hAnsi="Arial"/>
                <w:sz w:val="13"/>
                <w:szCs w:val="13"/>
                <w:b w:val="1"/>
                <w:bCs w:val="1"/>
                <w:color w:val="FFFFFF"/>
              </w:rPr>
              <w:t>Named Executive</w:t>
            </w:r>
          </w:p>
        </w:tc>
        <w:tc>
          <w:tcPr>
            <w:tcW w:w="40" w:type="dxa"/>
            <w:vAlign w:val="bottom"/>
            <w:shd w:val="clear" w:color="auto" w:fill="3465B0"/>
          </w:tcPr>
          <w:p>
            <w:pPr>
              <w:spacing w:after="0"/>
              <w:rPr>
                <w:sz w:val="11"/>
                <w:szCs w:val="11"/>
                <w:color w:val="auto"/>
              </w:rPr>
            </w:pPr>
          </w:p>
        </w:tc>
        <w:tc>
          <w:tcPr>
            <w:tcW w:w="680" w:type="dxa"/>
            <w:vAlign w:val="bottom"/>
            <w:shd w:val="clear" w:color="auto" w:fill="3465B0"/>
          </w:tcPr>
          <w:p>
            <w:pPr>
              <w:spacing w:after="0"/>
              <w:rPr>
                <w:sz w:val="11"/>
                <w:szCs w:val="11"/>
                <w:color w:val="auto"/>
              </w:rPr>
            </w:pPr>
          </w:p>
        </w:tc>
        <w:tc>
          <w:tcPr>
            <w:tcW w:w="100" w:type="dxa"/>
            <w:vAlign w:val="bottom"/>
            <w:tcBorders>
              <w:right w:val="single" w:sz="8" w:color="93A1D2"/>
            </w:tcBorders>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8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Options</w:t>
            </w:r>
          </w:p>
        </w:tc>
        <w:tc>
          <w:tcPr>
            <w:tcW w:w="60" w:type="dxa"/>
            <w:vAlign w:val="bottom"/>
            <w:shd w:val="clear" w:color="auto" w:fill="3465B0"/>
          </w:tcPr>
          <w:p>
            <w:pPr>
              <w:spacing w:after="0"/>
              <w:rPr>
                <w:sz w:val="11"/>
                <w:szCs w:val="11"/>
                <w:color w:val="auto"/>
              </w:rPr>
            </w:pPr>
          </w:p>
        </w:tc>
        <w:tc>
          <w:tcPr>
            <w:tcW w:w="102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Options</w:t>
            </w:r>
          </w:p>
        </w:tc>
        <w:tc>
          <w:tcPr>
            <w:tcW w:w="60" w:type="dxa"/>
            <w:vAlign w:val="bottom"/>
            <w:shd w:val="clear" w:color="auto" w:fill="3465B0"/>
          </w:tcPr>
          <w:p>
            <w:pPr>
              <w:spacing w:after="0"/>
              <w:rPr>
                <w:sz w:val="11"/>
                <w:szCs w:val="11"/>
                <w:color w:val="auto"/>
              </w:rPr>
            </w:pPr>
          </w:p>
        </w:tc>
        <w:tc>
          <w:tcPr>
            <w:tcW w:w="64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Exercise</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vMerge w:val="continue"/>
            <w:shd w:val="clear" w:color="auto" w:fill="3465B0"/>
          </w:tcPr>
          <w:p>
            <w:pPr>
              <w:spacing w:after="0"/>
              <w:rPr>
                <w:sz w:val="11"/>
                <w:szCs w:val="11"/>
                <w:color w:val="auto"/>
              </w:rPr>
            </w:pPr>
          </w:p>
        </w:tc>
        <w:tc>
          <w:tcPr>
            <w:tcW w:w="60" w:type="dxa"/>
            <w:vAlign w:val="bottom"/>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Have Not</w:t>
            </w:r>
          </w:p>
        </w:tc>
        <w:tc>
          <w:tcPr>
            <w:tcW w:w="60" w:type="dxa"/>
            <w:vAlign w:val="bottom"/>
            <w:shd w:val="clear" w:color="auto" w:fill="3465B0"/>
          </w:tcPr>
          <w:p>
            <w:pPr>
              <w:spacing w:after="0"/>
              <w:rPr>
                <w:sz w:val="11"/>
                <w:szCs w:val="11"/>
                <w:color w:val="auto"/>
              </w:rPr>
            </w:pPr>
          </w:p>
        </w:tc>
        <w:tc>
          <w:tcPr>
            <w:tcW w:w="780" w:type="dxa"/>
            <w:vAlign w:val="bottom"/>
            <w:tcBorders>
              <w:right w:val="single" w:sz="8" w:color="93A1D2"/>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Have Not</w:t>
            </w:r>
          </w:p>
        </w:tc>
        <w:tc>
          <w:tcPr>
            <w:tcW w:w="960" w:type="dxa"/>
            <w:vAlign w:val="bottom"/>
            <w:tcBorders>
              <w:right w:val="single" w:sz="8" w:color="93A1D2"/>
            </w:tcBorders>
            <w:shd w:val="clear" w:color="auto" w:fill="3465B0"/>
          </w:tcPr>
          <w:p>
            <w:pPr>
              <w:ind w:left="60"/>
              <w:spacing w:after="0" w:line="135" w:lineRule="exact"/>
              <w:rPr>
                <w:sz w:val="20"/>
                <w:szCs w:val="20"/>
                <w:color w:val="auto"/>
              </w:rPr>
            </w:pPr>
            <w:r>
              <w:rPr>
                <w:rFonts w:ascii="Arial" w:cs="Arial" w:eastAsia="Arial" w:hAnsi="Arial"/>
                <w:sz w:val="13"/>
                <w:szCs w:val="13"/>
                <w:b w:val="1"/>
                <w:bCs w:val="1"/>
                <w:color w:val="FFFFFF"/>
              </w:rPr>
              <w:t>That Have</w:t>
            </w:r>
          </w:p>
        </w:tc>
        <w:tc>
          <w:tcPr>
            <w:tcW w:w="60" w:type="dxa"/>
            <w:vAlign w:val="bottom"/>
            <w:shd w:val="clear" w:color="auto" w:fill="3465B0"/>
          </w:tcPr>
          <w:p>
            <w:pPr>
              <w:spacing w:after="0"/>
              <w:rPr>
                <w:sz w:val="11"/>
                <w:szCs w:val="11"/>
                <w:color w:val="auto"/>
              </w:rPr>
            </w:pPr>
          </w:p>
        </w:tc>
        <w:tc>
          <w:tcPr>
            <w:tcW w:w="720" w:type="dxa"/>
            <w:vAlign w:val="bottom"/>
            <w:tcBorders>
              <w:right w:val="single" w:sz="8" w:color="3465B0"/>
            </w:tcBorders>
            <w:shd w:val="clear" w:color="auto" w:fill="3465B0"/>
          </w:tcPr>
          <w:p>
            <w:pPr>
              <w:spacing w:after="0" w:line="135" w:lineRule="exact"/>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144"/>
        </w:trPr>
        <w:tc>
          <w:tcPr>
            <w:tcW w:w="1360" w:type="dxa"/>
            <w:vAlign w:val="bottom"/>
            <w:tcBorders>
              <w:left w:val="single" w:sz="8" w:color="3465B0"/>
              <w:right w:val="single" w:sz="8" w:color="3465B0"/>
            </w:tcBorders>
            <w:vMerge w:val="continue"/>
            <w:shd w:val="clear" w:color="auto" w:fill="3465B0"/>
          </w:tcPr>
          <w:p>
            <w:pPr>
              <w:spacing w:after="0"/>
              <w:rPr>
                <w:sz w:val="12"/>
                <w:szCs w:val="12"/>
                <w:color w:val="auto"/>
              </w:rPr>
            </w:pPr>
          </w:p>
        </w:tc>
        <w:tc>
          <w:tcPr>
            <w:tcW w:w="40" w:type="dxa"/>
            <w:vAlign w:val="bottom"/>
            <w:shd w:val="clear" w:color="auto" w:fill="3465B0"/>
          </w:tcPr>
          <w:p>
            <w:pPr>
              <w:spacing w:after="0"/>
              <w:rPr>
                <w:sz w:val="12"/>
                <w:szCs w:val="12"/>
                <w:color w:val="auto"/>
              </w:rPr>
            </w:pPr>
          </w:p>
        </w:tc>
        <w:tc>
          <w:tcPr>
            <w:tcW w:w="680" w:type="dxa"/>
            <w:vAlign w:val="bottom"/>
            <w:vMerge w:val="restart"/>
            <w:shd w:val="clear" w:color="auto" w:fill="3465B0"/>
          </w:tcPr>
          <w:p>
            <w:pPr>
              <w:jc w:val="right"/>
              <w:spacing w:after="0"/>
              <w:rPr>
                <w:sz w:val="20"/>
                <w:szCs w:val="20"/>
                <w:color w:val="auto"/>
              </w:rPr>
            </w:pPr>
            <w:r>
              <w:rPr>
                <w:rFonts w:ascii="Arial" w:cs="Arial" w:eastAsia="Arial" w:hAnsi="Arial"/>
                <w:sz w:val="13"/>
                <w:szCs w:val="13"/>
                <w:b w:val="1"/>
                <w:bCs w:val="1"/>
                <w:color w:val="FFFFFF"/>
                <w:w w:val="93"/>
              </w:rPr>
              <w:t>Grant Date</w:t>
            </w:r>
          </w:p>
        </w:tc>
        <w:tc>
          <w:tcPr>
            <w:tcW w:w="100" w:type="dxa"/>
            <w:vAlign w:val="bottom"/>
            <w:tcBorders>
              <w:right w:val="single" w:sz="8" w:color="93A1D2"/>
            </w:tcBorders>
            <w:shd w:val="clear" w:color="auto" w:fill="3465B0"/>
          </w:tcPr>
          <w:p>
            <w:pPr>
              <w:spacing w:after="0"/>
              <w:rPr>
                <w:sz w:val="12"/>
                <w:szCs w:val="12"/>
                <w:color w:val="auto"/>
              </w:rPr>
            </w:pPr>
          </w:p>
        </w:tc>
        <w:tc>
          <w:tcPr>
            <w:tcW w:w="60" w:type="dxa"/>
            <w:vAlign w:val="bottom"/>
            <w:shd w:val="clear" w:color="auto" w:fill="3465B0"/>
          </w:tcPr>
          <w:p>
            <w:pPr>
              <w:spacing w:after="0"/>
              <w:rPr>
                <w:sz w:val="12"/>
                <w:szCs w:val="12"/>
                <w:color w:val="auto"/>
              </w:rPr>
            </w:pPr>
          </w:p>
        </w:tc>
        <w:tc>
          <w:tcPr>
            <w:tcW w:w="88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Exercisable</w:t>
            </w:r>
          </w:p>
        </w:tc>
        <w:tc>
          <w:tcPr>
            <w:tcW w:w="60" w:type="dxa"/>
            <w:vAlign w:val="bottom"/>
            <w:shd w:val="clear" w:color="auto" w:fill="3465B0"/>
          </w:tcPr>
          <w:p>
            <w:pPr>
              <w:spacing w:after="0"/>
              <w:rPr>
                <w:sz w:val="12"/>
                <w:szCs w:val="12"/>
                <w:color w:val="auto"/>
              </w:rPr>
            </w:pPr>
          </w:p>
        </w:tc>
        <w:tc>
          <w:tcPr>
            <w:tcW w:w="102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Un-exercisable</w:t>
            </w:r>
          </w:p>
        </w:tc>
        <w:tc>
          <w:tcPr>
            <w:tcW w:w="60" w:type="dxa"/>
            <w:vAlign w:val="bottom"/>
            <w:shd w:val="clear" w:color="auto" w:fill="3465B0"/>
          </w:tcPr>
          <w:p>
            <w:pPr>
              <w:spacing w:after="0"/>
              <w:rPr>
                <w:sz w:val="12"/>
                <w:szCs w:val="12"/>
                <w:color w:val="auto"/>
              </w:rPr>
            </w:pPr>
          </w:p>
        </w:tc>
        <w:tc>
          <w:tcPr>
            <w:tcW w:w="64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Price</w:t>
            </w:r>
          </w:p>
        </w:tc>
        <w:tc>
          <w:tcPr>
            <w:tcW w:w="60" w:type="dxa"/>
            <w:vAlign w:val="bottom"/>
            <w:shd w:val="clear" w:color="auto" w:fill="3465B0"/>
          </w:tcPr>
          <w:p>
            <w:pPr>
              <w:spacing w:after="0"/>
              <w:rPr>
                <w:sz w:val="12"/>
                <w:szCs w:val="12"/>
                <w:color w:val="auto"/>
              </w:rPr>
            </w:pPr>
          </w:p>
        </w:tc>
        <w:tc>
          <w:tcPr>
            <w:tcW w:w="78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Expiration</w:t>
            </w:r>
          </w:p>
        </w:tc>
        <w:tc>
          <w:tcPr>
            <w:tcW w:w="60" w:type="dxa"/>
            <w:vAlign w:val="bottom"/>
            <w:shd w:val="clear" w:color="auto" w:fill="3465B0"/>
          </w:tcPr>
          <w:p>
            <w:pPr>
              <w:spacing w:after="0"/>
              <w:rPr>
                <w:sz w:val="12"/>
                <w:szCs w:val="12"/>
                <w:color w:val="auto"/>
              </w:rPr>
            </w:pPr>
          </w:p>
        </w:tc>
        <w:tc>
          <w:tcPr>
            <w:tcW w:w="780" w:type="dxa"/>
            <w:vAlign w:val="bottom"/>
            <w:tcBorders>
              <w:right w:val="single" w:sz="8" w:color="3465B0"/>
            </w:tcBorders>
            <w:shd w:val="clear" w:color="auto" w:fill="3465B0"/>
          </w:tcPr>
          <w:p>
            <w:pPr>
              <w:spacing w:after="0" w:line="144" w:lineRule="exact"/>
              <w:rPr>
                <w:sz w:val="20"/>
                <w:szCs w:val="20"/>
                <w:color w:val="auto"/>
              </w:rPr>
            </w:pPr>
            <w:r>
              <w:rPr>
                <w:rFonts w:ascii="Arial" w:cs="Arial" w:eastAsia="Arial" w:hAnsi="Arial"/>
                <w:sz w:val="13"/>
                <w:szCs w:val="13"/>
                <w:b w:val="1"/>
                <w:bCs w:val="1"/>
                <w:color w:val="FFFFFF"/>
              </w:rPr>
              <w:t>Vested</w:t>
            </w:r>
          </w:p>
        </w:tc>
        <w:tc>
          <w:tcPr>
            <w:tcW w:w="60" w:type="dxa"/>
            <w:vAlign w:val="bottom"/>
            <w:shd w:val="clear" w:color="auto" w:fill="3465B0"/>
          </w:tcPr>
          <w:p>
            <w:pPr>
              <w:spacing w:after="0"/>
              <w:rPr>
                <w:sz w:val="12"/>
                <w:szCs w:val="12"/>
                <w:color w:val="auto"/>
              </w:rPr>
            </w:pPr>
          </w:p>
        </w:tc>
        <w:tc>
          <w:tcPr>
            <w:tcW w:w="780" w:type="dxa"/>
            <w:vAlign w:val="bottom"/>
            <w:tcBorders>
              <w:right w:val="single" w:sz="8" w:color="93A1D2"/>
            </w:tcBorders>
            <w:shd w:val="clear" w:color="auto" w:fill="3465B0"/>
          </w:tcPr>
          <w:p>
            <w:pPr>
              <w:spacing w:after="0" w:line="144"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6"/>
                <w:szCs w:val="16"/>
                <w:b w:val="1"/>
                <w:bCs w:val="1"/>
                <w:color w:val="FFFFFF"/>
                <w:vertAlign w:val="superscript"/>
              </w:rPr>
              <w:t>(1)</w:t>
            </w:r>
          </w:p>
        </w:tc>
        <w:tc>
          <w:tcPr>
            <w:tcW w:w="960" w:type="dxa"/>
            <w:vAlign w:val="bottom"/>
            <w:tcBorders>
              <w:right w:val="single" w:sz="8" w:color="93A1D2"/>
            </w:tcBorders>
            <w:shd w:val="clear" w:color="auto" w:fill="3465B0"/>
          </w:tcPr>
          <w:p>
            <w:pPr>
              <w:ind w:left="60"/>
              <w:spacing w:after="0" w:line="144" w:lineRule="exact"/>
              <w:rPr>
                <w:sz w:val="20"/>
                <w:szCs w:val="20"/>
                <w:color w:val="auto"/>
              </w:rPr>
            </w:pPr>
            <w:r>
              <w:rPr>
                <w:rFonts w:ascii="Arial" w:cs="Arial" w:eastAsia="Arial" w:hAnsi="Arial"/>
                <w:sz w:val="13"/>
                <w:szCs w:val="13"/>
                <w:b w:val="1"/>
                <w:bCs w:val="1"/>
                <w:color w:val="FFFFFF"/>
              </w:rPr>
              <w:t>Not Vested</w:t>
            </w:r>
          </w:p>
        </w:tc>
        <w:tc>
          <w:tcPr>
            <w:tcW w:w="60" w:type="dxa"/>
            <w:vAlign w:val="bottom"/>
            <w:shd w:val="clear" w:color="auto" w:fill="3465B0"/>
          </w:tcPr>
          <w:p>
            <w:pPr>
              <w:spacing w:after="0"/>
              <w:rPr>
                <w:sz w:val="12"/>
                <w:szCs w:val="12"/>
                <w:color w:val="auto"/>
              </w:rPr>
            </w:pPr>
          </w:p>
        </w:tc>
        <w:tc>
          <w:tcPr>
            <w:tcW w:w="720" w:type="dxa"/>
            <w:vAlign w:val="bottom"/>
            <w:tcBorders>
              <w:right w:val="single" w:sz="8" w:color="3465B0"/>
            </w:tcBorders>
            <w:shd w:val="clear" w:color="auto" w:fill="3465B0"/>
          </w:tcPr>
          <w:p>
            <w:pPr>
              <w:spacing w:after="0" w:line="144" w:lineRule="exact"/>
              <w:rPr>
                <w:sz w:val="20"/>
                <w:szCs w:val="20"/>
                <w:color w:val="auto"/>
              </w:rPr>
            </w:pPr>
            <w:r>
              <w:rPr>
                <w:rFonts w:ascii="Arial" w:cs="Arial" w:eastAsia="Arial" w:hAnsi="Arial"/>
                <w:sz w:val="10"/>
                <w:szCs w:val="10"/>
                <w:b w:val="1"/>
                <w:bCs w:val="1"/>
                <w:color w:val="FFFFFF"/>
              </w:rPr>
              <w:t>Vested</w:t>
            </w:r>
            <w:r>
              <w:rPr>
                <w:rFonts w:ascii="Arial" w:cs="Arial" w:eastAsia="Arial" w:hAnsi="Arial"/>
                <w:sz w:val="16"/>
                <w:szCs w:val="16"/>
                <w:b w:val="1"/>
                <w:bCs w:val="1"/>
                <w:color w:val="FFFFFF"/>
                <w:vertAlign w:val="superscript"/>
              </w:rPr>
              <w:t>(1)</w:t>
            </w:r>
          </w:p>
        </w:tc>
        <w:tc>
          <w:tcPr>
            <w:tcW w:w="0" w:type="dxa"/>
            <w:vAlign w:val="bottom"/>
          </w:tcPr>
          <w:p>
            <w:pPr>
              <w:spacing w:after="0"/>
              <w:rPr>
                <w:sz w:val="1"/>
                <w:szCs w:val="1"/>
                <w:color w:val="auto"/>
              </w:rPr>
            </w:pPr>
          </w:p>
        </w:tc>
      </w:tr>
      <w:tr>
        <w:trPr>
          <w:trHeight w:val="173"/>
        </w:trPr>
        <w:tc>
          <w:tcPr>
            <w:tcW w:w="1360" w:type="dxa"/>
            <w:vAlign w:val="bottom"/>
            <w:tcBorders>
              <w:left w:val="single" w:sz="8" w:color="3465B0"/>
              <w:bottom w:val="single" w:sz="8" w:color="3465B0"/>
              <w:right w:val="single" w:sz="8" w:color="3465B0"/>
            </w:tcBorders>
            <w:shd w:val="clear" w:color="auto" w:fill="3465B0"/>
          </w:tcPr>
          <w:p>
            <w:pPr>
              <w:ind w:left="100"/>
              <w:spacing w:after="0"/>
              <w:rPr>
                <w:sz w:val="20"/>
                <w:szCs w:val="20"/>
                <w:color w:val="auto"/>
              </w:rPr>
            </w:pPr>
            <w:r>
              <w:rPr>
                <w:rFonts w:ascii="Arial" w:cs="Arial" w:eastAsia="Arial" w:hAnsi="Arial"/>
                <w:sz w:val="13"/>
                <w:szCs w:val="13"/>
                <w:b w:val="1"/>
                <w:bCs w:val="1"/>
                <w:color w:val="FFFFFF"/>
              </w:rPr>
              <w:t>Officer</w:t>
            </w:r>
          </w:p>
        </w:tc>
        <w:tc>
          <w:tcPr>
            <w:tcW w:w="40" w:type="dxa"/>
            <w:vAlign w:val="bottom"/>
            <w:tcBorders>
              <w:bottom w:val="single" w:sz="8" w:color="3465B0"/>
            </w:tcBorders>
            <w:shd w:val="clear" w:color="auto" w:fill="3465B0"/>
          </w:tcPr>
          <w:p>
            <w:pPr>
              <w:spacing w:after="0"/>
              <w:rPr>
                <w:sz w:val="15"/>
                <w:szCs w:val="15"/>
                <w:color w:val="auto"/>
              </w:rPr>
            </w:pPr>
          </w:p>
        </w:tc>
        <w:tc>
          <w:tcPr>
            <w:tcW w:w="680" w:type="dxa"/>
            <w:vAlign w:val="bottom"/>
            <w:tcBorders>
              <w:bottom w:val="single" w:sz="8" w:color="3465B0"/>
            </w:tcBorders>
            <w:vMerge w:val="continue"/>
            <w:shd w:val="clear" w:color="auto" w:fill="3465B0"/>
          </w:tcPr>
          <w:p>
            <w:pPr>
              <w:spacing w:after="0"/>
              <w:rPr>
                <w:sz w:val="15"/>
                <w:szCs w:val="15"/>
                <w:color w:val="auto"/>
              </w:rPr>
            </w:pPr>
          </w:p>
        </w:tc>
        <w:tc>
          <w:tcPr>
            <w:tcW w:w="100" w:type="dxa"/>
            <w:vAlign w:val="bottom"/>
            <w:tcBorders>
              <w:bottom w:val="single" w:sz="8" w:color="3465B0"/>
              <w:right w:val="single" w:sz="8" w:color="93A1D2"/>
            </w:tcBorders>
            <w:shd w:val="clear" w:color="auto" w:fill="3465B0"/>
          </w:tcPr>
          <w:p>
            <w:pPr>
              <w:spacing w:after="0"/>
              <w:rPr>
                <w:sz w:val="15"/>
                <w:szCs w:val="15"/>
                <w:color w:val="auto"/>
              </w:rPr>
            </w:pPr>
          </w:p>
        </w:tc>
        <w:tc>
          <w:tcPr>
            <w:tcW w:w="940" w:type="dxa"/>
            <w:vAlign w:val="bottom"/>
            <w:tcBorders>
              <w:bottom w:val="single" w:sz="8" w:color="3465B0"/>
              <w:right w:val="single" w:sz="8" w:color="93A1D2"/>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1080" w:type="dxa"/>
            <w:vAlign w:val="bottom"/>
            <w:tcBorders>
              <w:bottom w:val="single" w:sz="8" w:color="3465B0"/>
              <w:right w:val="single" w:sz="8" w:color="93A1D2"/>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bottom w:val="single" w:sz="8" w:color="3465B0"/>
              <w:right w:val="single" w:sz="8" w:color="93A1D2"/>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60" w:type="dxa"/>
            <w:vAlign w:val="bottom"/>
            <w:tcBorders>
              <w:bottom w:val="single" w:sz="8" w:color="3465B0"/>
            </w:tcBorders>
            <w:shd w:val="clear" w:color="auto" w:fill="3465B0"/>
          </w:tcPr>
          <w:p>
            <w:pPr>
              <w:spacing w:after="0"/>
              <w:rPr>
                <w:sz w:val="15"/>
                <w:szCs w:val="15"/>
                <w:color w:val="auto"/>
              </w:rPr>
            </w:pPr>
          </w:p>
        </w:tc>
        <w:tc>
          <w:tcPr>
            <w:tcW w:w="780" w:type="dxa"/>
            <w:vAlign w:val="bottom"/>
            <w:tcBorders>
              <w:bottom w:val="single" w:sz="8" w:color="3465B0"/>
              <w:right w:val="single" w:sz="8" w:color="93A1D2"/>
            </w:tcBorders>
            <w:shd w:val="clear" w:color="auto" w:fill="3465B0"/>
          </w:tcPr>
          <w:p>
            <w:pPr>
              <w:spacing w:after="0"/>
              <w:rPr>
                <w:sz w:val="20"/>
                <w:szCs w:val="20"/>
                <w:color w:val="auto"/>
              </w:rPr>
            </w:pPr>
            <w:r>
              <w:rPr>
                <w:rFonts w:ascii="Arial" w:cs="Arial" w:eastAsia="Arial" w:hAnsi="Arial"/>
                <w:sz w:val="13"/>
                <w:szCs w:val="13"/>
                <w:b w:val="1"/>
                <w:bCs w:val="1"/>
                <w:color w:val="FFFFFF"/>
              </w:rPr>
              <w:t>Date</w:t>
            </w:r>
          </w:p>
        </w:tc>
        <w:tc>
          <w:tcPr>
            <w:tcW w:w="840" w:type="dxa"/>
            <w:vAlign w:val="bottom"/>
            <w:tcBorders>
              <w:bottom w:val="single" w:sz="8" w:color="3465B0"/>
              <w:right w:val="single" w:sz="8" w:color="3465B0"/>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bottom w:val="single" w:sz="8" w:color="3465B0"/>
              <w:right w:val="single" w:sz="8" w:color="93A1D2"/>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bottom w:val="single" w:sz="8" w:color="3465B0"/>
              <w:right w:val="single" w:sz="8" w:color="93A1D2"/>
            </w:tcBorders>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3465B0"/>
              <w:right w:val="single" w:sz="8" w:color="3465B0"/>
            </w:tcBorders>
            <w:gridSpan w:val="2"/>
            <w:shd w:val="clear" w:color="auto" w:fill="3465B0"/>
          </w:tcPr>
          <w:p>
            <w:pPr>
              <w:ind w:left="6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48"/>
        </w:trPr>
        <w:tc>
          <w:tcPr>
            <w:tcW w:w="13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4"/>
                <w:szCs w:val="14"/>
                <w:color w:val="auto"/>
              </w:rPr>
              <w:t>Patrick R. Moore</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3/1/2019</w:t>
            </w:r>
          </w:p>
        </w:tc>
        <w:tc>
          <w:tcPr>
            <w:tcW w:w="100" w:type="dxa"/>
            <w:vAlign w:val="bottom"/>
            <w:tcBorders>
              <w:right w:val="single" w:sz="8" w:color="93A1D2"/>
            </w:tcBorders>
          </w:tcPr>
          <w:p>
            <w:pPr>
              <w:spacing w:after="0"/>
              <w:rPr>
                <w:sz w:val="21"/>
                <w:szCs w:val="21"/>
                <w:color w:val="auto"/>
              </w:rPr>
            </w:pPr>
          </w:p>
        </w:tc>
        <w:tc>
          <w:tcPr>
            <w:tcW w:w="940" w:type="dxa"/>
            <w:vAlign w:val="bottom"/>
            <w:tcBorders>
              <w:right w:val="single" w:sz="8" w:color="93A1D2"/>
            </w:tcBorders>
            <w:gridSpan w:val="2"/>
          </w:tcPr>
          <w:p>
            <w:pPr>
              <w:jc w:val="right"/>
              <w:ind w:right="17"/>
              <w:spacing w:after="0"/>
              <w:rPr>
                <w:sz w:val="20"/>
                <w:szCs w:val="20"/>
                <w:color w:val="auto"/>
              </w:rPr>
            </w:pPr>
            <w:r>
              <w:rPr>
                <w:rFonts w:ascii="Arial" w:cs="Arial" w:eastAsia="Arial" w:hAnsi="Arial"/>
                <w:sz w:val="14"/>
                <w:szCs w:val="14"/>
                <w:color w:val="auto"/>
              </w:rPr>
              <w:t>21,098</w:t>
            </w:r>
          </w:p>
        </w:tc>
        <w:tc>
          <w:tcPr>
            <w:tcW w:w="60" w:type="dxa"/>
            <w:vAlign w:val="bottom"/>
          </w:tcPr>
          <w:p>
            <w:pPr>
              <w:spacing w:after="0"/>
              <w:rPr>
                <w:sz w:val="21"/>
                <w:szCs w:val="21"/>
                <w:color w:val="auto"/>
              </w:rPr>
            </w:pPr>
          </w:p>
        </w:tc>
        <w:tc>
          <w:tcPr>
            <w:tcW w:w="1020" w:type="dxa"/>
            <w:vAlign w:val="bottom"/>
            <w:tcBorders>
              <w:right w:val="single" w:sz="8" w:color="93A1D2"/>
            </w:tcBorders>
          </w:tcPr>
          <w:p>
            <w:pPr>
              <w:spacing w:after="0"/>
              <w:rPr>
                <w:sz w:val="21"/>
                <w:szCs w:val="21"/>
                <w:color w:val="auto"/>
              </w:rPr>
            </w:pPr>
          </w:p>
        </w:tc>
        <w:tc>
          <w:tcPr>
            <w:tcW w:w="700" w:type="dxa"/>
            <w:vAlign w:val="bottom"/>
            <w:tcBorders>
              <w:right w:val="single" w:sz="8" w:color="93A1D2"/>
            </w:tcBorders>
            <w:gridSpan w:val="2"/>
          </w:tcPr>
          <w:p>
            <w:pPr>
              <w:jc w:val="right"/>
              <w:ind w:right="17"/>
              <w:spacing w:after="0"/>
              <w:rPr>
                <w:sz w:val="20"/>
                <w:szCs w:val="20"/>
                <w:color w:val="auto"/>
              </w:rPr>
            </w:pPr>
            <w:r>
              <w:rPr>
                <w:rFonts w:ascii="Arial" w:cs="Arial" w:eastAsia="Arial" w:hAnsi="Arial"/>
                <w:sz w:val="14"/>
                <w:szCs w:val="14"/>
                <w:color w:val="auto"/>
              </w:rPr>
              <w:t>35.19</w:t>
            </w:r>
          </w:p>
        </w:tc>
        <w:tc>
          <w:tcPr>
            <w:tcW w:w="840" w:type="dxa"/>
            <w:vAlign w:val="bottom"/>
            <w:tcBorders>
              <w:right w:val="single" w:sz="8" w:color="93A1D2"/>
            </w:tcBorders>
            <w:gridSpan w:val="2"/>
          </w:tcPr>
          <w:p>
            <w:pPr>
              <w:jc w:val="right"/>
              <w:ind w:right="17"/>
              <w:spacing w:after="0"/>
              <w:rPr>
                <w:sz w:val="20"/>
                <w:szCs w:val="20"/>
                <w:color w:val="auto"/>
              </w:rPr>
            </w:pPr>
            <w:r>
              <w:rPr>
                <w:rFonts w:ascii="Arial" w:cs="Arial" w:eastAsia="Arial" w:hAnsi="Arial"/>
                <w:sz w:val="14"/>
                <w:szCs w:val="14"/>
                <w:color w:val="auto"/>
              </w:rPr>
              <w:t>3/1/2029</w:t>
            </w: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96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right w:val="single" w:sz="8" w:color="3465B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2/28/2020</w:t>
            </w:r>
          </w:p>
        </w:tc>
        <w:tc>
          <w:tcPr>
            <w:tcW w:w="100" w:type="dxa"/>
            <w:vAlign w:val="bottom"/>
            <w:tcBorders>
              <w:right w:val="single" w:sz="8" w:color="93A1D2"/>
            </w:tcBorders>
          </w:tcPr>
          <w:p>
            <w:pPr>
              <w:spacing w:after="0"/>
              <w:rPr>
                <w:sz w:val="18"/>
                <w:szCs w:val="18"/>
                <w:color w:val="auto"/>
              </w:rPr>
            </w:pPr>
          </w:p>
        </w:tc>
        <w:tc>
          <w:tcPr>
            <w:tcW w:w="940" w:type="dxa"/>
            <w:vAlign w:val="bottom"/>
            <w:tcBorders>
              <w:right w:val="single" w:sz="8" w:color="93A1D2"/>
            </w:tcBorders>
            <w:gridSpan w:val="2"/>
          </w:tcPr>
          <w:p>
            <w:pPr>
              <w:jc w:val="right"/>
              <w:ind w:right="17"/>
              <w:spacing w:after="0"/>
              <w:rPr>
                <w:sz w:val="20"/>
                <w:szCs w:val="20"/>
                <w:color w:val="auto"/>
              </w:rPr>
            </w:pPr>
            <w:r>
              <w:rPr>
                <w:rFonts w:ascii="Arial" w:cs="Arial" w:eastAsia="Arial" w:hAnsi="Arial"/>
                <w:sz w:val="14"/>
                <w:szCs w:val="14"/>
                <w:color w:val="auto"/>
              </w:rPr>
              <w:t>18,262</w:t>
            </w: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700" w:type="dxa"/>
            <w:vAlign w:val="bottom"/>
            <w:tcBorders>
              <w:right w:val="single" w:sz="8" w:color="93A1D2"/>
            </w:tcBorders>
            <w:gridSpan w:val="2"/>
          </w:tcPr>
          <w:p>
            <w:pPr>
              <w:jc w:val="right"/>
              <w:ind w:right="17"/>
              <w:spacing w:after="0"/>
              <w:rPr>
                <w:sz w:val="20"/>
                <w:szCs w:val="20"/>
                <w:color w:val="auto"/>
              </w:rPr>
            </w:pPr>
            <w:r>
              <w:rPr>
                <w:rFonts w:ascii="Arial" w:cs="Arial" w:eastAsia="Arial" w:hAnsi="Arial"/>
                <w:sz w:val="14"/>
                <w:szCs w:val="14"/>
                <w:color w:val="auto"/>
              </w:rPr>
              <w:t>34.82</w:t>
            </w:r>
          </w:p>
        </w:tc>
        <w:tc>
          <w:tcPr>
            <w:tcW w:w="840" w:type="dxa"/>
            <w:vAlign w:val="bottom"/>
            <w:tcBorders>
              <w:right w:val="single" w:sz="8" w:color="93A1D2"/>
            </w:tcBorders>
            <w:gridSpan w:val="2"/>
          </w:tcPr>
          <w:p>
            <w:pPr>
              <w:ind w:left="60"/>
              <w:spacing w:after="0"/>
              <w:rPr>
                <w:sz w:val="20"/>
                <w:szCs w:val="20"/>
                <w:color w:val="auto"/>
              </w:rPr>
            </w:pPr>
            <w:r>
              <w:rPr>
                <w:rFonts w:ascii="Arial" w:cs="Arial" w:eastAsia="Arial" w:hAnsi="Arial"/>
                <w:sz w:val="14"/>
                <w:szCs w:val="14"/>
                <w:color w:val="auto"/>
              </w:rPr>
              <w:t>2/28/2030</w:t>
            </w: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96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3/5/2021</w:t>
            </w:r>
          </w:p>
        </w:tc>
        <w:tc>
          <w:tcPr>
            <w:tcW w:w="100" w:type="dxa"/>
            <w:vAlign w:val="bottom"/>
            <w:tcBorders>
              <w:right w:val="single" w:sz="8" w:color="93A1D2"/>
            </w:tcBorders>
          </w:tcPr>
          <w:p>
            <w:pPr>
              <w:spacing w:after="0"/>
              <w:rPr>
                <w:sz w:val="18"/>
                <w:szCs w:val="18"/>
                <w:color w:val="auto"/>
              </w:rPr>
            </w:pPr>
          </w:p>
        </w:tc>
        <w:tc>
          <w:tcPr>
            <w:tcW w:w="940" w:type="dxa"/>
            <w:vAlign w:val="bottom"/>
            <w:tcBorders>
              <w:right w:val="single" w:sz="8" w:color="93A1D2"/>
            </w:tcBorders>
            <w:gridSpan w:val="2"/>
          </w:tcPr>
          <w:p>
            <w:pPr>
              <w:jc w:val="right"/>
              <w:ind w:right="17"/>
              <w:spacing w:after="0"/>
              <w:rPr>
                <w:sz w:val="20"/>
                <w:szCs w:val="20"/>
                <w:color w:val="auto"/>
              </w:rPr>
            </w:pPr>
            <w:r>
              <w:rPr>
                <w:rFonts w:ascii="Arial" w:cs="Arial" w:eastAsia="Arial" w:hAnsi="Arial"/>
                <w:sz w:val="14"/>
                <w:szCs w:val="14"/>
                <w:color w:val="auto"/>
              </w:rPr>
              <w:t>7,557</w:t>
            </w: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700" w:type="dxa"/>
            <w:vAlign w:val="bottom"/>
            <w:tcBorders>
              <w:right w:val="single" w:sz="8" w:color="93A1D2"/>
            </w:tcBorders>
            <w:gridSpan w:val="2"/>
          </w:tcPr>
          <w:p>
            <w:pPr>
              <w:jc w:val="right"/>
              <w:ind w:right="17"/>
              <w:spacing w:after="0"/>
              <w:rPr>
                <w:sz w:val="20"/>
                <w:szCs w:val="20"/>
                <w:color w:val="auto"/>
              </w:rPr>
            </w:pPr>
            <w:r>
              <w:rPr>
                <w:rFonts w:ascii="Arial" w:cs="Arial" w:eastAsia="Arial" w:hAnsi="Arial"/>
                <w:sz w:val="14"/>
                <w:szCs w:val="14"/>
                <w:color w:val="auto"/>
              </w:rPr>
              <w:t>45.66</w:t>
            </w:r>
          </w:p>
        </w:tc>
        <w:tc>
          <w:tcPr>
            <w:tcW w:w="840" w:type="dxa"/>
            <w:vAlign w:val="bottom"/>
            <w:tcBorders>
              <w:right w:val="single" w:sz="8" w:color="93A1D2"/>
            </w:tcBorders>
            <w:gridSpan w:val="2"/>
          </w:tcPr>
          <w:p>
            <w:pPr>
              <w:jc w:val="right"/>
              <w:ind w:right="17"/>
              <w:spacing w:after="0"/>
              <w:rPr>
                <w:sz w:val="20"/>
                <w:szCs w:val="20"/>
                <w:color w:val="auto"/>
              </w:rPr>
            </w:pPr>
            <w:r>
              <w:rPr>
                <w:rFonts w:ascii="Arial" w:cs="Arial" w:eastAsia="Arial" w:hAnsi="Arial"/>
                <w:sz w:val="14"/>
                <w:szCs w:val="14"/>
                <w:color w:val="auto"/>
              </w:rPr>
              <w:t>3/5/2031</w:t>
            </w: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960" w:type="dxa"/>
            <w:vAlign w:val="bottom"/>
            <w:tcBorders>
              <w:right w:val="single" w:sz="8" w:color="93A1D2"/>
            </w:tcBorders>
            <w:vMerge w:val="restart"/>
          </w:tcPr>
          <w:p>
            <w:pPr>
              <w:ind w:left="280"/>
              <w:spacing w:after="0"/>
              <w:rPr>
                <w:sz w:val="20"/>
                <w:szCs w:val="20"/>
                <w:color w:val="auto"/>
              </w:rPr>
            </w:pPr>
            <w:r>
              <w:rPr>
                <w:rFonts w:ascii="Arial" w:cs="Arial" w:eastAsia="Arial" w:hAnsi="Arial"/>
                <w:sz w:val="14"/>
                <w:szCs w:val="14"/>
                <w:color w:val="auto"/>
              </w:rPr>
              <w:t>67,236</w:t>
            </w:r>
            <w:r>
              <w:rPr>
                <w:rFonts w:ascii="Arial" w:cs="Arial" w:eastAsia="Arial" w:hAnsi="Arial"/>
                <w:sz w:val="23"/>
                <w:szCs w:val="23"/>
                <w:color w:val="auto"/>
                <w:vertAlign w:val="superscript"/>
              </w:rPr>
              <w:t>(2)</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60" w:type="dxa"/>
            <w:vAlign w:val="bottom"/>
            <w:tcBorders>
              <w:left w:val="single" w:sz="8" w:color="3465B0"/>
              <w:right w:val="single" w:sz="8" w:color="93A1D2"/>
            </w:tcBorders>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3/3/2023</w:t>
            </w:r>
          </w:p>
        </w:tc>
        <w:tc>
          <w:tcPr>
            <w:tcW w:w="10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93A1D2"/>
            </w:tcBorders>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840" w:type="dxa"/>
            <w:vAlign w:val="bottom"/>
            <w:tcBorders>
              <w:right w:val="single" w:sz="8" w:color="93A1D2"/>
            </w:tcBorders>
            <w:gridSpan w:val="2"/>
            <w:vMerge w:val="restart"/>
          </w:tcPr>
          <w:p>
            <w:pPr>
              <w:jc w:val="right"/>
              <w:ind w:right="17"/>
              <w:spacing w:after="0"/>
              <w:rPr>
                <w:sz w:val="20"/>
                <w:szCs w:val="20"/>
                <w:color w:val="auto"/>
              </w:rPr>
            </w:pPr>
            <w:r>
              <w:rPr>
                <w:rFonts w:ascii="Arial" w:cs="Arial" w:eastAsia="Arial" w:hAnsi="Arial"/>
                <w:sz w:val="14"/>
                <w:szCs w:val="14"/>
                <w:color w:val="auto"/>
              </w:rPr>
              <w:t>11,206</w:t>
            </w:r>
            <w:r>
              <w:rPr>
                <w:rFonts w:ascii="Arial" w:cs="Arial" w:eastAsia="Arial" w:hAnsi="Arial"/>
                <w:sz w:val="23"/>
                <w:szCs w:val="23"/>
                <w:color w:val="auto"/>
                <w:vertAlign w:val="superscript"/>
              </w:rPr>
              <w:t>(3)</w:t>
            </w:r>
          </w:p>
        </w:tc>
        <w:tc>
          <w:tcPr>
            <w:tcW w:w="60" w:type="dxa"/>
            <w:vAlign w:val="bottom"/>
          </w:tcPr>
          <w:p>
            <w:pPr>
              <w:spacing w:after="0"/>
              <w:rPr>
                <w:sz w:val="21"/>
                <w:szCs w:val="21"/>
                <w:color w:val="auto"/>
              </w:rPr>
            </w:pPr>
          </w:p>
        </w:tc>
        <w:tc>
          <w:tcPr>
            <w:tcW w:w="780" w:type="dxa"/>
            <w:vAlign w:val="bottom"/>
            <w:tcBorders>
              <w:right w:val="single" w:sz="8" w:color="93A1D2"/>
            </w:tcBorders>
          </w:tcPr>
          <w:p>
            <w:pPr>
              <w:spacing w:after="0"/>
              <w:rPr>
                <w:sz w:val="21"/>
                <w:szCs w:val="21"/>
                <w:color w:val="auto"/>
              </w:rPr>
            </w:pPr>
          </w:p>
        </w:tc>
        <w:tc>
          <w:tcPr>
            <w:tcW w:w="960" w:type="dxa"/>
            <w:vAlign w:val="bottom"/>
            <w:tcBorders>
              <w:right w:val="single" w:sz="8" w:color="93A1D2"/>
            </w:tcBorders>
            <w:vMerge w:val="continue"/>
          </w:tcPr>
          <w:p>
            <w:pPr>
              <w:spacing w:after="0"/>
              <w:rPr>
                <w:sz w:val="21"/>
                <w:szCs w:val="21"/>
                <w:color w:val="auto"/>
              </w:rPr>
            </w:pPr>
          </w:p>
        </w:tc>
        <w:tc>
          <w:tcPr>
            <w:tcW w:w="780" w:type="dxa"/>
            <w:vAlign w:val="bottom"/>
            <w:tcBorders>
              <w:right w:val="single" w:sz="8" w:color="3465B0"/>
            </w:tcBorders>
            <w:gridSpan w:val="2"/>
          </w:tcPr>
          <w:p>
            <w:pPr>
              <w:jc w:val="right"/>
              <w:ind w:right="18"/>
              <w:spacing w:after="0"/>
              <w:rPr>
                <w:sz w:val="20"/>
                <w:szCs w:val="20"/>
                <w:color w:val="auto"/>
              </w:rPr>
            </w:pPr>
            <w:r>
              <w:rPr>
                <w:rFonts w:ascii="Arial" w:cs="Arial" w:eastAsia="Arial" w:hAnsi="Arial"/>
                <w:sz w:val="14"/>
                <w:szCs w:val="14"/>
                <w:color w:val="auto"/>
              </w:rPr>
              <w:t>1,744,774</w:t>
            </w:r>
          </w:p>
        </w:tc>
        <w:tc>
          <w:tcPr>
            <w:tcW w:w="0" w:type="dxa"/>
            <w:vAlign w:val="bottom"/>
          </w:tcPr>
          <w:p>
            <w:pPr>
              <w:spacing w:after="0"/>
              <w:rPr>
                <w:sz w:val="1"/>
                <w:szCs w:val="1"/>
                <w:color w:val="auto"/>
              </w:rPr>
            </w:pPr>
          </w:p>
        </w:tc>
      </w:tr>
      <w:tr>
        <w:trPr>
          <w:trHeight w:val="216"/>
        </w:trPr>
        <w:tc>
          <w:tcPr>
            <w:tcW w:w="1360" w:type="dxa"/>
            <w:vAlign w:val="bottom"/>
            <w:tcBorders>
              <w:left w:val="single" w:sz="8" w:color="3465B0"/>
              <w:right w:val="single" w:sz="8" w:color="93A1D2"/>
            </w:tcBorders>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3/3/2023</w:t>
            </w:r>
          </w:p>
        </w:tc>
        <w:tc>
          <w:tcPr>
            <w:tcW w:w="10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right w:val="single" w:sz="8" w:color="93A1D2"/>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right w:val="single" w:sz="8" w:color="93A1D2"/>
            </w:tcBorders>
          </w:tcPr>
          <w:p>
            <w:pPr>
              <w:spacing w:after="0"/>
              <w:rPr>
                <w:sz w:val="18"/>
                <w:szCs w:val="18"/>
                <w:color w:val="auto"/>
              </w:rPr>
            </w:pPr>
          </w:p>
        </w:tc>
        <w:tc>
          <w:tcPr>
            <w:tcW w:w="840" w:type="dxa"/>
            <w:vAlign w:val="bottom"/>
            <w:tcBorders>
              <w:right w:val="single" w:sz="8" w:color="93A1D2"/>
            </w:tcBorders>
            <w:gridSpan w:val="2"/>
            <w:vMerge w:val="continue"/>
          </w:tcPr>
          <w:p>
            <w:pPr>
              <w:spacing w:after="0"/>
              <w:rPr>
                <w:sz w:val="18"/>
                <w:szCs w:val="18"/>
                <w:color w:val="auto"/>
              </w:rPr>
            </w:pPr>
          </w:p>
        </w:tc>
        <w:tc>
          <w:tcPr>
            <w:tcW w:w="840" w:type="dxa"/>
            <w:vAlign w:val="bottom"/>
            <w:tcBorders>
              <w:right w:val="single" w:sz="8" w:color="93A1D2"/>
            </w:tcBorders>
            <w:gridSpan w:val="2"/>
          </w:tcPr>
          <w:p>
            <w:pPr>
              <w:jc w:val="right"/>
              <w:ind w:right="18"/>
              <w:spacing w:after="0"/>
              <w:rPr>
                <w:sz w:val="20"/>
                <w:szCs w:val="20"/>
                <w:color w:val="auto"/>
              </w:rPr>
            </w:pPr>
            <w:r>
              <w:rPr>
                <w:rFonts w:ascii="Arial" w:cs="Arial" w:eastAsia="Arial" w:hAnsi="Arial"/>
                <w:sz w:val="14"/>
                <w:szCs w:val="14"/>
                <w:color w:val="auto"/>
              </w:rPr>
              <w:t>290,796</w:t>
            </w:r>
          </w:p>
        </w:tc>
        <w:tc>
          <w:tcPr>
            <w:tcW w:w="960" w:type="dxa"/>
            <w:vAlign w:val="bottom"/>
            <w:tcBorders>
              <w:right w:val="single" w:sz="8" w:color="93A1D2"/>
            </w:tcBorders>
            <w:vMerge w:val="restart"/>
          </w:tcPr>
          <w:p>
            <w:pPr>
              <w:ind w:left="280"/>
              <w:spacing w:after="0"/>
              <w:rPr>
                <w:sz w:val="20"/>
                <w:szCs w:val="20"/>
                <w:color w:val="auto"/>
              </w:rPr>
            </w:pPr>
            <w:r>
              <w:rPr>
                <w:rFonts w:ascii="Arial" w:cs="Arial" w:eastAsia="Arial" w:hAnsi="Arial"/>
                <w:sz w:val="14"/>
                <w:szCs w:val="14"/>
                <w:color w:val="auto"/>
              </w:rPr>
              <w:t>21,241</w:t>
            </w:r>
            <w:r>
              <w:rPr>
                <w:rFonts w:ascii="Arial" w:cs="Arial" w:eastAsia="Arial" w:hAnsi="Arial"/>
                <w:sz w:val="23"/>
                <w:szCs w:val="23"/>
                <w:color w:val="auto"/>
                <w:vertAlign w:val="superscript"/>
              </w:rPr>
              <w:t>(4)</w:t>
            </w:r>
          </w:p>
        </w:tc>
        <w:tc>
          <w:tcPr>
            <w:tcW w:w="60" w:type="dxa"/>
            <w:vAlign w:val="bottom"/>
          </w:tcPr>
          <w:p>
            <w:pPr>
              <w:spacing w:after="0"/>
              <w:rPr>
                <w:sz w:val="18"/>
                <w:szCs w:val="18"/>
                <w:color w:val="auto"/>
              </w:rPr>
            </w:pPr>
          </w:p>
        </w:tc>
        <w:tc>
          <w:tcPr>
            <w:tcW w:w="720" w:type="dxa"/>
            <w:vAlign w:val="bottom"/>
            <w:tcBorders>
              <w:right w:val="single" w:sz="8" w:color="3465B0"/>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3465B0"/>
              <w:right w:val="single" w:sz="8" w:color="93A1D2"/>
            </w:tcBorders>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3/1/2024</w:t>
            </w:r>
          </w:p>
        </w:tc>
        <w:tc>
          <w:tcPr>
            <w:tcW w:w="10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93A1D2"/>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right w:val="single" w:sz="8" w:color="93A1D2"/>
            </w:tcBorders>
          </w:tcPr>
          <w:p>
            <w:pPr>
              <w:spacing w:after="0"/>
              <w:rPr>
                <w:sz w:val="17"/>
                <w:szCs w:val="17"/>
                <w:color w:val="auto"/>
              </w:rPr>
            </w:pPr>
          </w:p>
        </w:tc>
        <w:tc>
          <w:tcPr>
            <w:tcW w:w="840" w:type="dxa"/>
            <w:vAlign w:val="bottom"/>
            <w:tcBorders>
              <w:right w:val="single" w:sz="8" w:color="93A1D2"/>
            </w:tcBorders>
            <w:gridSpan w:val="2"/>
            <w:vMerge w:val="restart"/>
          </w:tcPr>
          <w:p>
            <w:pPr>
              <w:jc w:val="right"/>
              <w:ind w:right="17"/>
              <w:spacing w:after="0"/>
              <w:rPr>
                <w:sz w:val="20"/>
                <w:szCs w:val="20"/>
                <w:color w:val="auto"/>
              </w:rPr>
            </w:pPr>
            <w:r>
              <w:rPr>
                <w:rFonts w:ascii="Arial" w:cs="Arial" w:eastAsia="Arial" w:hAnsi="Arial"/>
                <w:sz w:val="14"/>
                <w:szCs w:val="14"/>
                <w:color w:val="auto"/>
              </w:rPr>
              <w:t>14,161</w:t>
            </w:r>
            <w:r>
              <w:rPr>
                <w:rFonts w:ascii="Arial" w:cs="Arial" w:eastAsia="Arial" w:hAnsi="Arial"/>
                <w:sz w:val="23"/>
                <w:szCs w:val="23"/>
                <w:color w:val="auto"/>
                <w:vertAlign w:val="superscript"/>
              </w:rPr>
              <w:t>(5)</w:t>
            </w:r>
          </w:p>
        </w:tc>
        <w:tc>
          <w:tcPr>
            <w:tcW w:w="60" w:type="dxa"/>
            <w:vAlign w:val="bottom"/>
          </w:tcPr>
          <w:p>
            <w:pPr>
              <w:spacing w:after="0"/>
              <w:rPr>
                <w:sz w:val="17"/>
                <w:szCs w:val="17"/>
                <w:color w:val="auto"/>
              </w:rPr>
            </w:pPr>
          </w:p>
        </w:tc>
        <w:tc>
          <w:tcPr>
            <w:tcW w:w="780" w:type="dxa"/>
            <w:vAlign w:val="bottom"/>
            <w:tcBorders>
              <w:right w:val="single" w:sz="8" w:color="93A1D2"/>
            </w:tcBorders>
          </w:tcPr>
          <w:p>
            <w:pPr>
              <w:spacing w:after="0"/>
              <w:rPr>
                <w:sz w:val="17"/>
                <w:szCs w:val="17"/>
                <w:color w:val="auto"/>
              </w:rPr>
            </w:pPr>
          </w:p>
        </w:tc>
        <w:tc>
          <w:tcPr>
            <w:tcW w:w="960" w:type="dxa"/>
            <w:vAlign w:val="bottom"/>
            <w:tcBorders>
              <w:right w:val="single" w:sz="8" w:color="93A1D2"/>
            </w:tcBorders>
            <w:vMerge w:val="continue"/>
          </w:tcPr>
          <w:p>
            <w:pPr>
              <w:spacing w:after="0"/>
              <w:rPr>
                <w:sz w:val="17"/>
                <w:szCs w:val="17"/>
                <w:color w:val="auto"/>
              </w:rPr>
            </w:pPr>
          </w:p>
        </w:tc>
        <w:tc>
          <w:tcPr>
            <w:tcW w:w="780" w:type="dxa"/>
            <w:vAlign w:val="bottom"/>
            <w:tcBorders>
              <w:right w:val="single" w:sz="8" w:color="3465B0"/>
            </w:tcBorders>
            <w:gridSpan w:val="2"/>
          </w:tcPr>
          <w:p>
            <w:pPr>
              <w:jc w:val="right"/>
              <w:ind w:right="18"/>
              <w:spacing w:after="0"/>
              <w:rPr>
                <w:sz w:val="20"/>
                <w:szCs w:val="20"/>
                <w:color w:val="auto"/>
              </w:rPr>
            </w:pPr>
            <w:r>
              <w:rPr>
                <w:rFonts w:ascii="Arial" w:cs="Arial" w:eastAsia="Arial" w:hAnsi="Arial"/>
                <w:sz w:val="14"/>
                <w:szCs w:val="14"/>
                <w:color w:val="auto"/>
              </w:rPr>
              <w:t>551,204</w:t>
            </w:r>
          </w:p>
        </w:tc>
        <w:tc>
          <w:tcPr>
            <w:tcW w:w="0" w:type="dxa"/>
            <w:vAlign w:val="bottom"/>
          </w:tcPr>
          <w:p>
            <w:pPr>
              <w:spacing w:after="0"/>
              <w:rPr>
                <w:sz w:val="1"/>
                <w:szCs w:val="1"/>
                <w:color w:val="auto"/>
              </w:rPr>
            </w:pPr>
          </w:p>
        </w:tc>
      </w:tr>
      <w:tr>
        <w:trPr>
          <w:trHeight w:val="185"/>
        </w:trPr>
        <w:tc>
          <w:tcPr>
            <w:tcW w:w="1360" w:type="dxa"/>
            <w:vAlign w:val="bottom"/>
            <w:tcBorders>
              <w:left w:val="single" w:sz="8" w:color="3465B0"/>
              <w:right w:val="single" w:sz="8" w:color="93A1D2"/>
            </w:tcBorders>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3/1/2024</w:t>
            </w:r>
          </w:p>
        </w:tc>
        <w:tc>
          <w:tcPr>
            <w:tcW w:w="10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right w:val="single" w:sz="8" w:color="93A1D2"/>
            </w:tcBorders>
          </w:tcPr>
          <w:p>
            <w:pPr>
              <w:spacing w:after="0"/>
              <w:rPr>
                <w:sz w:val="16"/>
                <w:szCs w:val="16"/>
                <w:color w:val="auto"/>
              </w:rPr>
            </w:pPr>
          </w:p>
        </w:tc>
        <w:tc>
          <w:tcPr>
            <w:tcW w:w="840" w:type="dxa"/>
            <w:vAlign w:val="bottom"/>
            <w:tcBorders>
              <w:right w:val="single" w:sz="8" w:color="93A1D2"/>
            </w:tcBorders>
            <w:gridSpan w:val="2"/>
            <w:vMerge w:val="continue"/>
          </w:tcPr>
          <w:p>
            <w:pPr>
              <w:spacing w:after="0"/>
              <w:rPr>
                <w:sz w:val="16"/>
                <w:szCs w:val="16"/>
                <w:color w:val="auto"/>
              </w:rPr>
            </w:pPr>
          </w:p>
        </w:tc>
        <w:tc>
          <w:tcPr>
            <w:tcW w:w="840" w:type="dxa"/>
            <w:vAlign w:val="bottom"/>
            <w:tcBorders>
              <w:right w:val="single" w:sz="8" w:color="93A1D2"/>
            </w:tcBorders>
            <w:gridSpan w:val="2"/>
          </w:tcPr>
          <w:p>
            <w:pPr>
              <w:jc w:val="right"/>
              <w:ind w:right="18"/>
              <w:spacing w:after="0"/>
              <w:rPr>
                <w:sz w:val="20"/>
                <w:szCs w:val="20"/>
                <w:color w:val="auto"/>
              </w:rPr>
            </w:pPr>
            <w:r>
              <w:rPr>
                <w:rFonts w:ascii="Arial" w:cs="Arial" w:eastAsia="Arial" w:hAnsi="Arial"/>
                <w:sz w:val="14"/>
                <w:szCs w:val="14"/>
                <w:color w:val="auto"/>
              </w:rPr>
              <w:t>367,478</w:t>
            </w:r>
          </w:p>
        </w:tc>
        <w:tc>
          <w:tcPr>
            <w:tcW w:w="960" w:type="dxa"/>
            <w:vAlign w:val="bottom"/>
            <w:tcBorders>
              <w:right w:val="single" w:sz="8" w:color="93A1D2"/>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3465B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360" w:type="dxa"/>
            <w:vAlign w:val="bottom"/>
            <w:tcBorders>
              <w:left w:val="single" w:sz="8" w:color="3465B0"/>
              <w:right w:val="single" w:sz="8" w:color="93A1D2"/>
            </w:tcBorders>
            <w:shd w:val="clear" w:color="auto" w:fill="CCCCCC"/>
          </w:tcPr>
          <w:p>
            <w:pPr>
              <w:ind w:left="100"/>
              <w:spacing w:after="0" w:line="149" w:lineRule="exact"/>
              <w:rPr>
                <w:sz w:val="20"/>
                <w:szCs w:val="20"/>
                <w:color w:val="auto"/>
              </w:rPr>
            </w:pPr>
            <w:r>
              <w:rPr>
                <w:rFonts w:ascii="Arial" w:cs="Arial" w:eastAsia="Arial" w:hAnsi="Arial"/>
                <w:sz w:val="14"/>
                <w:szCs w:val="14"/>
                <w:color w:val="auto"/>
              </w:rPr>
              <w:t>Melissa</w:t>
            </w:r>
          </w:p>
        </w:tc>
        <w:tc>
          <w:tcPr>
            <w:tcW w:w="40" w:type="dxa"/>
            <w:vAlign w:val="bottom"/>
            <w:shd w:val="clear" w:color="auto" w:fill="CCCCCC"/>
          </w:tcPr>
          <w:p>
            <w:pPr>
              <w:spacing w:after="0"/>
              <w:rPr>
                <w:sz w:val="13"/>
                <w:szCs w:val="13"/>
                <w:color w:val="auto"/>
              </w:rPr>
            </w:pPr>
          </w:p>
        </w:tc>
        <w:tc>
          <w:tcPr>
            <w:tcW w:w="680" w:type="dxa"/>
            <w:vAlign w:val="bottom"/>
            <w:shd w:val="clear" w:color="auto" w:fill="CCCCCC"/>
          </w:tcPr>
          <w:p>
            <w:pPr>
              <w:spacing w:after="0"/>
              <w:rPr>
                <w:sz w:val="13"/>
                <w:szCs w:val="13"/>
                <w:color w:val="auto"/>
              </w:rPr>
            </w:pPr>
          </w:p>
        </w:tc>
        <w:tc>
          <w:tcPr>
            <w:tcW w:w="100" w:type="dxa"/>
            <w:vAlign w:val="bottom"/>
            <w:tcBorders>
              <w:right w:val="single" w:sz="8" w:color="93A1D2"/>
            </w:tcBorders>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880" w:type="dxa"/>
            <w:vAlign w:val="bottom"/>
            <w:tcBorders>
              <w:right w:val="single" w:sz="8" w:color="93A1D2"/>
            </w:tcBorders>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1020" w:type="dxa"/>
            <w:vAlign w:val="bottom"/>
            <w:tcBorders>
              <w:right w:val="single" w:sz="8" w:color="93A1D2"/>
            </w:tcBorders>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640" w:type="dxa"/>
            <w:vAlign w:val="bottom"/>
            <w:tcBorders>
              <w:right w:val="single" w:sz="8" w:color="93A1D2"/>
            </w:tcBorders>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780" w:type="dxa"/>
            <w:vAlign w:val="bottom"/>
            <w:tcBorders>
              <w:right w:val="single" w:sz="8" w:color="93A1D2"/>
            </w:tcBorders>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780" w:type="dxa"/>
            <w:vAlign w:val="bottom"/>
            <w:tcBorders>
              <w:right w:val="single" w:sz="8" w:color="93A1D2"/>
            </w:tcBorders>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780" w:type="dxa"/>
            <w:vAlign w:val="bottom"/>
            <w:tcBorders>
              <w:right w:val="single" w:sz="8" w:color="93A1D2"/>
            </w:tcBorders>
            <w:shd w:val="clear" w:color="auto" w:fill="CCCCCC"/>
          </w:tcPr>
          <w:p>
            <w:pPr>
              <w:spacing w:after="0"/>
              <w:rPr>
                <w:sz w:val="13"/>
                <w:szCs w:val="13"/>
                <w:color w:val="auto"/>
              </w:rPr>
            </w:pPr>
          </w:p>
        </w:tc>
        <w:tc>
          <w:tcPr>
            <w:tcW w:w="960" w:type="dxa"/>
            <w:vAlign w:val="bottom"/>
            <w:tcBorders>
              <w:right w:val="single" w:sz="8" w:color="93A1D2"/>
            </w:tcBorders>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720" w:type="dxa"/>
            <w:vAlign w:val="bottom"/>
            <w:tcBorders>
              <w:right w:val="single" w:sz="8" w:color="3465B0"/>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360" w:type="dxa"/>
            <w:vAlign w:val="bottom"/>
            <w:tcBorders>
              <w:left w:val="single" w:sz="8" w:color="3465B0"/>
              <w:bottom w:val="single" w:sz="8" w:color="3465B0"/>
              <w:right w:val="single" w:sz="8" w:color="93A1D2"/>
            </w:tcBorders>
            <w:shd w:val="clear" w:color="auto" w:fill="CCCCCC"/>
          </w:tcPr>
          <w:p>
            <w:pPr>
              <w:ind w:left="100"/>
              <w:spacing w:after="0" w:line="201" w:lineRule="exact"/>
              <w:rPr>
                <w:sz w:val="20"/>
                <w:szCs w:val="20"/>
                <w:color w:val="auto"/>
              </w:rPr>
            </w:pPr>
            <w:r>
              <w:rPr>
                <w:rFonts w:ascii="Arial" w:cs="Arial" w:eastAsia="Arial" w:hAnsi="Arial"/>
                <w:sz w:val="14"/>
                <w:szCs w:val="14"/>
                <w:color w:val="auto"/>
              </w:rPr>
              <w:t>Rasmussen</w:t>
            </w:r>
            <w:r>
              <w:rPr>
                <w:rFonts w:ascii="Arial" w:cs="Arial" w:eastAsia="Arial" w:hAnsi="Arial"/>
                <w:sz w:val="23"/>
                <w:szCs w:val="23"/>
                <w:color w:val="auto"/>
                <w:vertAlign w:val="superscript"/>
              </w:rPr>
              <w:t>(13)</w:t>
            </w:r>
          </w:p>
        </w:tc>
        <w:tc>
          <w:tcPr>
            <w:tcW w:w="40" w:type="dxa"/>
            <w:vAlign w:val="bottom"/>
            <w:tcBorders>
              <w:bottom w:val="single" w:sz="8" w:color="3465B0"/>
            </w:tcBorders>
            <w:shd w:val="clear" w:color="auto" w:fill="CCCCCC"/>
          </w:tcPr>
          <w:p>
            <w:pPr>
              <w:spacing w:after="0"/>
              <w:rPr>
                <w:sz w:val="18"/>
                <w:szCs w:val="18"/>
                <w:color w:val="auto"/>
              </w:rPr>
            </w:pPr>
          </w:p>
        </w:tc>
        <w:tc>
          <w:tcPr>
            <w:tcW w:w="680" w:type="dxa"/>
            <w:vAlign w:val="bottom"/>
            <w:tcBorders>
              <w:bottom w:val="single" w:sz="8" w:color="3465B0"/>
            </w:tcBorders>
            <w:shd w:val="clear" w:color="auto" w:fill="CCCCCC"/>
          </w:tcPr>
          <w:p>
            <w:pPr>
              <w:spacing w:after="0"/>
              <w:rPr>
                <w:sz w:val="18"/>
                <w:szCs w:val="18"/>
                <w:color w:val="auto"/>
              </w:rPr>
            </w:pPr>
          </w:p>
        </w:tc>
        <w:tc>
          <w:tcPr>
            <w:tcW w:w="100" w:type="dxa"/>
            <w:vAlign w:val="bottom"/>
            <w:tcBorders>
              <w:bottom w:val="single" w:sz="8" w:color="3465B0"/>
              <w:right w:val="single" w:sz="8" w:color="93A1D2"/>
            </w:tcBorders>
            <w:shd w:val="clear" w:color="auto" w:fill="CCCCCC"/>
          </w:tcPr>
          <w:p>
            <w:pPr>
              <w:spacing w:after="0"/>
              <w:rPr>
                <w:sz w:val="18"/>
                <w:szCs w:val="18"/>
                <w:color w:val="auto"/>
              </w:rPr>
            </w:pPr>
          </w:p>
        </w:tc>
        <w:tc>
          <w:tcPr>
            <w:tcW w:w="60" w:type="dxa"/>
            <w:vAlign w:val="bottom"/>
            <w:tcBorders>
              <w:bottom w:val="single" w:sz="8" w:color="3465B0"/>
            </w:tcBorders>
            <w:shd w:val="clear" w:color="auto" w:fill="CCCCCC"/>
          </w:tcPr>
          <w:p>
            <w:pPr>
              <w:spacing w:after="0"/>
              <w:rPr>
                <w:sz w:val="18"/>
                <w:szCs w:val="18"/>
                <w:color w:val="auto"/>
              </w:rPr>
            </w:pPr>
          </w:p>
        </w:tc>
        <w:tc>
          <w:tcPr>
            <w:tcW w:w="880" w:type="dxa"/>
            <w:vAlign w:val="bottom"/>
            <w:tcBorders>
              <w:bottom w:val="single" w:sz="8" w:color="3465B0"/>
              <w:right w:val="single" w:sz="8" w:color="93A1D2"/>
            </w:tcBorders>
            <w:shd w:val="clear" w:color="auto" w:fill="CCCCCC"/>
          </w:tcPr>
          <w:p>
            <w:pPr>
              <w:spacing w:after="0"/>
              <w:rPr>
                <w:sz w:val="18"/>
                <w:szCs w:val="18"/>
                <w:color w:val="auto"/>
              </w:rPr>
            </w:pPr>
          </w:p>
        </w:tc>
        <w:tc>
          <w:tcPr>
            <w:tcW w:w="60" w:type="dxa"/>
            <w:vAlign w:val="bottom"/>
            <w:tcBorders>
              <w:bottom w:val="single" w:sz="8" w:color="3465B0"/>
            </w:tcBorders>
            <w:shd w:val="clear" w:color="auto" w:fill="CCCCCC"/>
          </w:tcPr>
          <w:p>
            <w:pPr>
              <w:spacing w:after="0"/>
              <w:rPr>
                <w:sz w:val="18"/>
                <w:szCs w:val="18"/>
                <w:color w:val="auto"/>
              </w:rPr>
            </w:pPr>
          </w:p>
        </w:tc>
        <w:tc>
          <w:tcPr>
            <w:tcW w:w="1020" w:type="dxa"/>
            <w:vAlign w:val="bottom"/>
            <w:tcBorders>
              <w:bottom w:val="single" w:sz="8" w:color="3465B0"/>
              <w:right w:val="single" w:sz="8" w:color="93A1D2"/>
            </w:tcBorders>
            <w:shd w:val="clear" w:color="auto" w:fill="CCCCCC"/>
          </w:tcPr>
          <w:p>
            <w:pPr>
              <w:spacing w:after="0"/>
              <w:rPr>
                <w:sz w:val="18"/>
                <w:szCs w:val="18"/>
                <w:color w:val="auto"/>
              </w:rPr>
            </w:pPr>
          </w:p>
        </w:tc>
        <w:tc>
          <w:tcPr>
            <w:tcW w:w="60" w:type="dxa"/>
            <w:vAlign w:val="bottom"/>
            <w:tcBorders>
              <w:bottom w:val="single" w:sz="8" w:color="3465B0"/>
            </w:tcBorders>
            <w:shd w:val="clear" w:color="auto" w:fill="CCCCCC"/>
          </w:tcPr>
          <w:p>
            <w:pPr>
              <w:spacing w:after="0"/>
              <w:rPr>
                <w:sz w:val="18"/>
                <w:szCs w:val="18"/>
                <w:color w:val="auto"/>
              </w:rPr>
            </w:pPr>
          </w:p>
        </w:tc>
        <w:tc>
          <w:tcPr>
            <w:tcW w:w="640" w:type="dxa"/>
            <w:vAlign w:val="bottom"/>
            <w:tcBorders>
              <w:bottom w:val="single" w:sz="8" w:color="3465B0"/>
              <w:right w:val="single" w:sz="8" w:color="93A1D2"/>
            </w:tcBorders>
            <w:shd w:val="clear" w:color="auto" w:fill="CCCCCC"/>
          </w:tcPr>
          <w:p>
            <w:pPr>
              <w:spacing w:after="0"/>
              <w:rPr>
                <w:sz w:val="18"/>
                <w:szCs w:val="18"/>
                <w:color w:val="auto"/>
              </w:rPr>
            </w:pPr>
          </w:p>
        </w:tc>
        <w:tc>
          <w:tcPr>
            <w:tcW w:w="60" w:type="dxa"/>
            <w:vAlign w:val="bottom"/>
            <w:tcBorders>
              <w:bottom w:val="single" w:sz="8" w:color="3465B0"/>
            </w:tcBorders>
            <w:shd w:val="clear" w:color="auto" w:fill="CCCCCC"/>
          </w:tcPr>
          <w:p>
            <w:pPr>
              <w:spacing w:after="0"/>
              <w:rPr>
                <w:sz w:val="18"/>
                <w:szCs w:val="18"/>
                <w:color w:val="auto"/>
              </w:rPr>
            </w:pPr>
          </w:p>
        </w:tc>
        <w:tc>
          <w:tcPr>
            <w:tcW w:w="780" w:type="dxa"/>
            <w:vAlign w:val="bottom"/>
            <w:tcBorders>
              <w:bottom w:val="single" w:sz="8" w:color="3465B0"/>
              <w:right w:val="single" w:sz="8" w:color="93A1D2"/>
            </w:tcBorders>
            <w:shd w:val="clear" w:color="auto" w:fill="CCCCCC"/>
          </w:tcPr>
          <w:p>
            <w:pPr>
              <w:spacing w:after="0"/>
              <w:rPr>
                <w:sz w:val="18"/>
                <w:szCs w:val="18"/>
                <w:color w:val="auto"/>
              </w:rPr>
            </w:pPr>
          </w:p>
        </w:tc>
        <w:tc>
          <w:tcPr>
            <w:tcW w:w="60" w:type="dxa"/>
            <w:vAlign w:val="bottom"/>
            <w:tcBorders>
              <w:bottom w:val="single" w:sz="8" w:color="3465B0"/>
            </w:tcBorders>
            <w:shd w:val="clear" w:color="auto" w:fill="CCCCCC"/>
          </w:tcPr>
          <w:p>
            <w:pPr>
              <w:spacing w:after="0"/>
              <w:rPr>
                <w:sz w:val="18"/>
                <w:szCs w:val="18"/>
                <w:color w:val="auto"/>
              </w:rPr>
            </w:pPr>
          </w:p>
        </w:tc>
        <w:tc>
          <w:tcPr>
            <w:tcW w:w="780" w:type="dxa"/>
            <w:vAlign w:val="bottom"/>
            <w:tcBorders>
              <w:bottom w:val="single" w:sz="8" w:color="3465B0"/>
              <w:right w:val="single" w:sz="8" w:color="93A1D2"/>
            </w:tcBorders>
            <w:shd w:val="clear" w:color="auto" w:fill="CCCCCC"/>
          </w:tcPr>
          <w:p>
            <w:pPr>
              <w:spacing w:after="0"/>
              <w:rPr>
                <w:sz w:val="18"/>
                <w:szCs w:val="18"/>
                <w:color w:val="auto"/>
              </w:rPr>
            </w:pPr>
          </w:p>
        </w:tc>
        <w:tc>
          <w:tcPr>
            <w:tcW w:w="60" w:type="dxa"/>
            <w:vAlign w:val="bottom"/>
            <w:tcBorders>
              <w:bottom w:val="single" w:sz="8" w:color="3465B0"/>
            </w:tcBorders>
            <w:shd w:val="clear" w:color="auto" w:fill="CCCCCC"/>
          </w:tcPr>
          <w:p>
            <w:pPr>
              <w:spacing w:after="0"/>
              <w:rPr>
                <w:sz w:val="18"/>
                <w:szCs w:val="18"/>
                <w:color w:val="auto"/>
              </w:rPr>
            </w:pPr>
          </w:p>
        </w:tc>
        <w:tc>
          <w:tcPr>
            <w:tcW w:w="780" w:type="dxa"/>
            <w:vAlign w:val="bottom"/>
            <w:tcBorders>
              <w:bottom w:val="single" w:sz="8" w:color="3465B0"/>
              <w:right w:val="single" w:sz="8" w:color="93A1D2"/>
            </w:tcBorders>
            <w:shd w:val="clear" w:color="auto" w:fill="CCCCCC"/>
          </w:tcPr>
          <w:p>
            <w:pPr>
              <w:spacing w:after="0"/>
              <w:rPr>
                <w:sz w:val="18"/>
                <w:szCs w:val="18"/>
                <w:color w:val="auto"/>
              </w:rPr>
            </w:pPr>
          </w:p>
        </w:tc>
        <w:tc>
          <w:tcPr>
            <w:tcW w:w="960" w:type="dxa"/>
            <w:vAlign w:val="bottom"/>
            <w:tcBorders>
              <w:bottom w:val="single" w:sz="8" w:color="3465B0"/>
              <w:right w:val="single" w:sz="8" w:color="93A1D2"/>
            </w:tcBorders>
            <w:shd w:val="clear" w:color="auto" w:fill="CCCCCC"/>
          </w:tcPr>
          <w:p>
            <w:pPr>
              <w:spacing w:after="0"/>
              <w:rPr>
                <w:sz w:val="18"/>
                <w:szCs w:val="18"/>
                <w:color w:val="auto"/>
              </w:rPr>
            </w:pPr>
          </w:p>
        </w:tc>
        <w:tc>
          <w:tcPr>
            <w:tcW w:w="60" w:type="dxa"/>
            <w:vAlign w:val="bottom"/>
            <w:tcBorders>
              <w:bottom w:val="single" w:sz="8" w:color="3465B0"/>
            </w:tcBorders>
            <w:shd w:val="clear" w:color="auto" w:fill="CCCCCC"/>
          </w:tcPr>
          <w:p>
            <w:pPr>
              <w:spacing w:after="0"/>
              <w:rPr>
                <w:sz w:val="18"/>
                <w:szCs w:val="18"/>
                <w:color w:val="auto"/>
              </w:rPr>
            </w:pPr>
          </w:p>
        </w:tc>
        <w:tc>
          <w:tcPr>
            <w:tcW w:w="720" w:type="dxa"/>
            <w:vAlign w:val="bottom"/>
            <w:tcBorders>
              <w:bottom w:val="single" w:sz="8" w:color="3465B0"/>
              <w:right w:val="single" w:sz="8" w:color="3465B0"/>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-2791460</wp:posOffset>
            </wp:positionV>
            <wp:extent cx="4423410" cy="145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423410" cy="145415"/>
                    </a:xfrm>
                    <a:prstGeom prst="rect">
                      <a:avLst/>
                    </a:prstGeom>
                    <a:noFill/>
                  </pic:spPr>
                </pic:pic>
              </a:graphicData>
            </a:graphic>
          </wp:anchor>
        </w:drawing>
      </w:r>
    </w:p>
    <w:p>
      <w:pPr>
        <w:spacing w:after="0" w:line="130" w:lineRule="exact"/>
        <w:rPr>
          <w:sz w:val="20"/>
          <w:szCs w:val="20"/>
          <w:color w:val="auto"/>
        </w:rPr>
      </w:pPr>
    </w:p>
    <w:p>
      <w:pPr>
        <w:ind w:left="1280" w:right="960" w:hanging="348"/>
        <w:spacing w:after="0" w:line="285" w:lineRule="auto"/>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in this column were calculated by multiplying, $25.95 the closing market price of our common stock on January 2, 2026, the last trading day of the fiscal year, by the number of unvested shares or units.</w:t>
      </w:r>
    </w:p>
    <w:p>
      <w:pPr>
        <w:spacing w:after="0" w:line="49" w:lineRule="exact"/>
        <w:rPr>
          <w:rFonts w:ascii="Arial" w:cs="Arial" w:eastAsia="Arial" w:hAnsi="Arial"/>
          <w:sz w:val="14"/>
          <w:szCs w:val="14"/>
          <w:color w:val="auto"/>
        </w:rPr>
      </w:pPr>
    </w:p>
    <w:p>
      <w:pPr>
        <w:jc w:val="both"/>
        <w:ind w:left="1280" w:right="940" w:hanging="348"/>
        <w:spacing w:after="0" w:line="252" w:lineRule="auto"/>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the PSUs granted in 2023, performance through January 3, 2026 was between the applicable target and maximum levels and nearer to the maximum level and, in accordance with SEC rules, such units are included in this table at the maximum level. These PSUs were earned upon the end of the performance period on January 3, 2026, but subject to continued employment, and were payable in March 2026 upon certification of results by the compensation committee. The PSUs were settled and paid in shares on March 3, 2026, and are thus no longer outstanding.</w:t>
      </w:r>
    </w:p>
    <w:p>
      <w:pPr>
        <w:spacing w:after="0" w:line="72" w:lineRule="exact"/>
        <w:rPr>
          <w:rFonts w:ascii="Arial" w:cs="Arial" w:eastAsia="Arial" w:hAnsi="Arial"/>
          <w:sz w:val="14"/>
          <w:szCs w:val="14"/>
          <w:color w:val="auto"/>
        </w:rPr>
      </w:pPr>
    </w:p>
    <w:p>
      <w:pPr>
        <w:ind w:left="1280" w:hanging="348"/>
        <w:spacing w:after="0"/>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RSUs vested on March 3, 2026.</w:t>
      </w:r>
    </w:p>
    <w:p>
      <w:pPr>
        <w:spacing w:after="0" w:line="109" w:lineRule="exact"/>
        <w:rPr>
          <w:rFonts w:ascii="Arial" w:cs="Arial" w:eastAsia="Arial" w:hAnsi="Arial"/>
          <w:sz w:val="14"/>
          <w:szCs w:val="14"/>
          <w:color w:val="auto"/>
        </w:rPr>
      </w:pPr>
    </w:p>
    <w:p>
      <w:pPr>
        <w:ind w:left="1280" w:right="960" w:hanging="348"/>
        <w:spacing w:after="0" w:line="285" w:lineRule="auto"/>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the PSUs granted in 2024, performance through January 3, 2026, was around the applicable target level and, in accordance with SEC rules, such units are included in this table at the target level.</w:t>
      </w:r>
    </w:p>
    <w:p>
      <w:pPr>
        <w:spacing w:after="0" w:line="49" w:lineRule="exact"/>
        <w:rPr>
          <w:rFonts w:ascii="Arial" w:cs="Arial" w:eastAsia="Arial" w:hAnsi="Arial"/>
          <w:sz w:val="14"/>
          <w:szCs w:val="14"/>
          <w:color w:val="auto"/>
        </w:rPr>
      </w:pPr>
    </w:p>
    <w:p>
      <w:pPr>
        <w:ind w:left="1280" w:right="960" w:hanging="348"/>
        <w:spacing w:after="0" w:line="285" w:lineRule="auto"/>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RSUs representing one-third of the original grant that vested on February 28, 2026, as follows: Mr. Fahs (28,321), Mr. Brandman (3,540), Mr. Clark (3,363) and Mr. Moore (7,080). The remaining RSUs will vest on March 1, 2027.</w:t>
      </w:r>
    </w:p>
    <w:p>
      <w:pPr>
        <w:spacing w:after="0" w:line="49" w:lineRule="exact"/>
        <w:rPr>
          <w:rFonts w:ascii="Arial" w:cs="Arial" w:eastAsia="Arial" w:hAnsi="Arial"/>
          <w:sz w:val="14"/>
          <w:szCs w:val="14"/>
          <w:color w:val="auto"/>
        </w:rPr>
      </w:pPr>
    </w:p>
    <w:p>
      <w:pPr>
        <w:ind w:left="1280" w:right="960" w:hanging="348"/>
        <w:spacing w:after="0" w:line="285" w:lineRule="auto"/>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the PSUs granted in 2025, performance through January 3, 2026, was between the applicable target and maximum levels and nearer to the applicable maximum level and, in accordance with SEC rules, such units are included in this table at the maximum level.</w:t>
      </w:r>
    </w:p>
    <w:p>
      <w:pPr>
        <w:spacing w:after="0" w:line="49" w:lineRule="exact"/>
        <w:rPr>
          <w:rFonts w:ascii="Arial" w:cs="Arial" w:eastAsia="Arial" w:hAnsi="Arial"/>
          <w:sz w:val="14"/>
          <w:szCs w:val="14"/>
          <w:color w:val="auto"/>
        </w:rPr>
      </w:pPr>
    </w:p>
    <w:p>
      <w:pPr>
        <w:jc w:val="both"/>
        <w:ind w:left="1280" w:right="960" w:hanging="348"/>
        <w:spacing w:after="0" w:line="263" w:lineRule="auto"/>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RSUs representing one-third of the original grant that vested on March 6, 2026, as follows: Mr. Fahs (54,824), Mr. Wilkes (27,412), Mr. Banner (13,706), Mr. Brandman (10,279) and Mr. Clark (8,224). Half of the remaining RSUs will vest on each of March 7, 2027, and March 7, 2028.</w:t>
      </w:r>
    </w:p>
    <w:p>
      <w:pPr>
        <w:spacing w:after="0" w:line="64" w:lineRule="exact"/>
        <w:rPr>
          <w:rFonts w:ascii="Arial" w:cs="Arial" w:eastAsia="Arial" w:hAnsi="Arial"/>
          <w:sz w:val="14"/>
          <w:szCs w:val="14"/>
          <w:color w:val="auto"/>
        </w:rPr>
      </w:pPr>
    </w:p>
    <w:p>
      <w:pPr>
        <w:ind w:left="1280" w:hanging="348"/>
        <w:spacing w:after="0"/>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One-half of these RSUs will vest on each of August 19, 2026, and August 19, 2027.</w:t>
      </w:r>
    </w:p>
    <w:p>
      <w:pPr>
        <w:spacing w:after="0" w:line="109" w:lineRule="exact"/>
        <w:rPr>
          <w:rFonts w:ascii="Arial" w:cs="Arial" w:eastAsia="Arial" w:hAnsi="Arial"/>
          <w:sz w:val="14"/>
          <w:szCs w:val="14"/>
          <w:color w:val="auto"/>
        </w:rPr>
      </w:pPr>
    </w:p>
    <w:p>
      <w:pPr>
        <w:ind w:left="1280" w:hanging="348"/>
        <w:spacing w:after="0"/>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One -third of these RSUs will vest on each of August 1, 2026, August 1, 2027, and August 1, 2028.</w:t>
      </w:r>
    </w:p>
    <w:p>
      <w:pPr>
        <w:spacing w:after="0" w:line="109" w:lineRule="exact"/>
        <w:rPr>
          <w:rFonts w:ascii="Arial" w:cs="Arial" w:eastAsia="Arial" w:hAnsi="Arial"/>
          <w:sz w:val="14"/>
          <w:szCs w:val="14"/>
          <w:color w:val="auto"/>
        </w:rPr>
      </w:pPr>
    </w:p>
    <w:p>
      <w:pPr>
        <w:ind w:left="1280" w:right="960" w:hanging="348"/>
        <w:spacing w:after="0" w:line="285" w:lineRule="auto"/>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26,082 RSUs representing one-third of the original grant that vested on March 31, 2026. Half of the remaining RSUs will vest on each of March 31, 2027, and March 31, 2028.</w:t>
      </w:r>
    </w:p>
    <w:p>
      <w:pPr>
        <w:spacing w:after="0" w:line="49" w:lineRule="exact"/>
        <w:rPr>
          <w:rFonts w:ascii="Arial" w:cs="Arial" w:eastAsia="Arial" w:hAnsi="Arial"/>
          <w:sz w:val="14"/>
          <w:szCs w:val="14"/>
          <w:color w:val="auto"/>
        </w:rPr>
      </w:pPr>
    </w:p>
    <w:p>
      <w:pPr>
        <w:ind w:left="1280" w:hanging="348"/>
        <w:spacing w:after="0"/>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One-half of these RSUs will vest on each of July 8, 2026, and July 8, 2027.</w:t>
      </w:r>
    </w:p>
    <w:p>
      <w:pPr>
        <w:spacing w:after="0" w:line="109" w:lineRule="exact"/>
        <w:rPr>
          <w:rFonts w:ascii="Arial" w:cs="Arial" w:eastAsia="Arial" w:hAnsi="Arial"/>
          <w:sz w:val="14"/>
          <w:szCs w:val="14"/>
          <w:color w:val="auto"/>
        </w:rPr>
      </w:pPr>
    </w:p>
    <w:p>
      <w:pPr>
        <w:ind w:left="1280" w:hanging="348"/>
        <w:spacing w:after="0"/>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One-half of these RSUs will vest on each of April 29, 2026, and April 29, 2027.</w:t>
      </w:r>
    </w:p>
    <w:p>
      <w:pPr>
        <w:spacing w:after="0" w:line="109" w:lineRule="exact"/>
        <w:rPr>
          <w:rFonts w:ascii="Arial" w:cs="Arial" w:eastAsia="Arial" w:hAnsi="Arial"/>
          <w:sz w:val="14"/>
          <w:szCs w:val="14"/>
          <w:color w:val="auto"/>
        </w:rPr>
      </w:pPr>
    </w:p>
    <w:p>
      <w:pPr>
        <w:ind w:left="1280" w:right="960" w:hanging="348"/>
        <w:spacing w:after="0" w:line="285" w:lineRule="auto"/>
        <w:tabs>
          <w:tab w:leader="none" w:pos="12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Ms. Rasmussen’s then-outstanding equity awards were forfeited by their terms at or after the date of her March 3, 2025,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37465</wp:posOffset>
            </wp:positionV>
            <wp:extent cx="205740" cy="2057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53</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Option Exercises and Stock Vested in 2025</w:t>
      </w:r>
    </w:p>
    <w:p>
      <w:pPr>
        <w:spacing w:after="0" w:line="131"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following table provides information regarding options exercised by and restricted stock units or performance stock units vested for the NEOs during the fiscal year ended January 3, 2026.</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2960" w:type="dxa"/>
            <w:vAlign w:val="bottom"/>
            <w:tcBorders>
              <w:top w:val="single" w:sz="8" w:color="3465B0"/>
              <w:left w:val="single" w:sz="8" w:color="3465B0"/>
              <w:right w:val="single" w:sz="8" w:color="93A1D2"/>
            </w:tcBorders>
            <w:shd w:val="clear" w:color="auto" w:fill="3465B0"/>
          </w:tcPr>
          <w:p>
            <w:pPr>
              <w:spacing w:after="0"/>
              <w:rPr>
                <w:sz w:val="10"/>
                <w:szCs w:val="10"/>
                <w:color w:val="auto"/>
              </w:rPr>
            </w:pPr>
          </w:p>
        </w:tc>
        <w:tc>
          <w:tcPr>
            <w:tcW w:w="1400" w:type="dxa"/>
            <w:vAlign w:val="bottom"/>
            <w:tcBorders>
              <w:top w:val="single" w:sz="8" w:color="3465B0"/>
              <w:right w:val="single" w:sz="8" w:color="3465B0"/>
            </w:tcBorders>
            <w:shd w:val="clear" w:color="auto" w:fill="3465B0"/>
          </w:tcPr>
          <w:p>
            <w:pPr>
              <w:spacing w:after="0"/>
              <w:rPr>
                <w:sz w:val="10"/>
                <w:szCs w:val="10"/>
                <w:color w:val="auto"/>
              </w:rPr>
            </w:pPr>
          </w:p>
        </w:tc>
        <w:tc>
          <w:tcPr>
            <w:tcW w:w="180" w:type="dxa"/>
            <w:vAlign w:val="bottom"/>
            <w:tcBorders>
              <w:top w:val="single" w:sz="8" w:color="3465B0"/>
            </w:tcBorders>
            <w:shd w:val="clear" w:color="auto" w:fill="3465B0"/>
          </w:tcPr>
          <w:p>
            <w:pPr>
              <w:spacing w:after="0"/>
              <w:rPr>
                <w:sz w:val="10"/>
                <w:szCs w:val="10"/>
                <w:color w:val="auto"/>
              </w:rPr>
            </w:pPr>
          </w:p>
        </w:tc>
        <w:tc>
          <w:tcPr>
            <w:tcW w:w="1520" w:type="dxa"/>
            <w:vAlign w:val="bottom"/>
            <w:tcBorders>
              <w:top w:val="single" w:sz="8" w:color="3465B0"/>
              <w:right w:val="single" w:sz="8" w:color="93A1D2"/>
            </w:tcBorders>
            <w:shd w:val="clear" w:color="auto" w:fill="3465B0"/>
          </w:tcPr>
          <w:p>
            <w:pPr>
              <w:spacing w:after="0"/>
              <w:rPr>
                <w:sz w:val="10"/>
                <w:szCs w:val="10"/>
                <w:color w:val="auto"/>
              </w:rPr>
            </w:pPr>
          </w:p>
        </w:tc>
        <w:tc>
          <w:tcPr>
            <w:tcW w:w="180" w:type="dxa"/>
            <w:vAlign w:val="bottom"/>
            <w:tcBorders>
              <w:top w:val="single" w:sz="8" w:color="3465B0"/>
            </w:tcBorders>
            <w:shd w:val="clear" w:color="auto" w:fill="3465B0"/>
          </w:tcPr>
          <w:p>
            <w:pPr>
              <w:spacing w:after="0"/>
              <w:rPr>
                <w:sz w:val="10"/>
                <w:szCs w:val="10"/>
                <w:color w:val="auto"/>
              </w:rPr>
            </w:pPr>
          </w:p>
        </w:tc>
        <w:tc>
          <w:tcPr>
            <w:tcW w:w="2920" w:type="dxa"/>
            <w:vAlign w:val="bottom"/>
            <w:tcBorders>
              <w:top w:val="single" w:sz="8" w:color="3465B0"/>
              <w:right w:val="single" w:sz="8" w:color="3465B0"/>
            </w:tcBorders>
            <w:gridSpan w:val="3"/>
            <w:vMerge w:val="restart"/>
            <w:shd w:val="clear" w:color="auto" w:fill="3465B0"/>
          </w:tcPr>
          <w:p>
            <w:pPr>
              <w:jc w:val="right"/>
              <w:ind w:right="473"/>
              <w:spacing w:after="0"/>
              <w:rPr>
                <w:sz w:val="20"/>
                <w:szCs w:val="20"/>
                <w:color w:val="auto"/>
              </w:rPr>
            </w:pPr>
            <w:r>
              <w:rPr>
                <w:rFonts w:ascii="Arial" w:cs="Arial" w:eastAsia="Arial" w:hAnsi="Arial"/>
                <w:sz w:val="18"/>
                <w:szCs w:val="18"/>
                <w:b w:val="1"/>
                <w:bCs w:val="1"/>
                <w:color w:val="FFFFFF"/>
              </w:rPr>
              <w:t>Restricted Stock Units</w:t>
            </w:r>
          </w:p>
        </w:tc>
        <w:tc>
          <w:tcPr>
            <w:tcW w:w="0" w:type="dxa"/>
            <w:vAlign w:val="bottom"/>
          </w:tcPr>
          <w:p>
            <w:pPr>
              <w:spacing w:after="0"/>
              <w:rPr>
                <w:sz w:val="1"/>
                <w:szCs w:val="1"/>
                <w:color w:val="auto"/>
              </w:rPr>
            </w:pPr>
          </w:p>
        </w:tc>
      </w:tr>
      <w:tr>
        <w:trPr>
          <w:trHeight w:val="184"/>
        </w:trPr>
        <w:tc>
          <w:tcPr>
            <w:tcW w:w="2960" w:type="dxa"/>
            <w:vAlign w:val="bottom"/>
            <w:tcBorders>
              <w:left w:val="single" w:sz="8" w:color="3465B0"/>
              <w:right w:val="single" w:sz="8" w:color="93A1D2"/>
            </w:tcBorders>
            <w:shd w:val="clear" w:color="auto" w:fill="3465B0"/>
          </w:tcPr>
          <w:p>
            <w:pPr>
              <w:spacing w:after="0"/>
              <w:rPr>
                <w:sz w:val="15"/>
                <w:szCs w:val="15"/>
                <w:color w:val="auto"/>
              </w:rPr>
            </w:pPr>
          </w:p>
        </w:tc>
        <w:tc>
          <w:tcPr>
            <w:tcW w:w="1400" w:type="dxa"/>
            <w:vAlign w:val="bottom"/>
            <w:tcBorders>
              <w:right w:val="single" w:sz="8" w:color="3465B0"/>
            </w:tcBorders>
            <w:shd w:val="clear" w:color="auto" w:fill="3465B0"/>
          </w:tcPr>
          <w:p>
            <w:pPr>
              <w:spacing w:after="0"/>
              <w:rPr>
                <w:sz w:val="15"/>
                <w:szCs w:val="15"/>
                <w:color w:val="auto"/>
              </w:rPr>
            </w:pPr>
          </w:p>
        </w:tc>
        <w:tc>
          <w:tcPr>
            <w:tcW w:w="180" w:type="dxa"/>
            <w:vAlign w:val="bottom"/>
            <w:shd w:val="clear" w:color="auto" w:fill="3465B0"/>
          </w:tcPr>
          <w:p>
            <w:pPr>
              <w:spacing w:after="0"/>
              <w:rPr>
                <w:sz w:val="15"/>
                <w:szCs w:val="15"/>
                <w:color w:val="auto"/>
              </w:rPr>
            </w:pPr>
          </w:p>
        </w:tc>
        <w:tc>
          <w:tcPr>
            <w:tcW w:w="1520" w:type="dxa"/>
            <w:vAlign w:val="bottom"/>
            <w:tcBorders>
              <w:right w:val="single" w:sz="8" w:color="3465B0"/>
            </w:tcBorders>
            <w:shd w:val="clear" w:color="auto" w:fill="3465B0"/>
          </w:tcPr>
          <w:p>
            <w:pPr>
              <w:spacing w:after="0"/>
              <w:rPr>
                <w:sz w:val="15"/>
                <w:szCs w:val="15"/>
                <w:color w:val="auto"/>
              </w:rPr>
            </w:pPr>
          </w:p>
        </w:tc>
        <w:tc>
          <w:tcPr>
            <w:tcW w:w="180" w:type="dxa"/>
            <w:vAlign w:val="bottom"/>
            <w:shd w:val="clear" w:color="auto" w:fill="3465B0"/>
          </w:tcPr>
          <w:p>
            <w:pPr>
              <w:spacing w:after="0"/>
              <w:rPr>
                <w:sz w:val="15"/>
                <w:szCs w:val="15"/>
                <w:color w:val="auto"/>
              </w:rPr>
            </w:pPr>
          </w:p>
        </w:tc>
        <w:tc>
          <w:tcPr>
            <w:tcW w:w="2920" w:type="dxa"/>
            <w:vAlign w:val="bottom"/>
            <w:tcBorders>
              <w:right w:val="single" w:sz="8" w:color="3465B0"/>
            </w:tcBorders>
            <w:gridSpan w:val="3"/>
            <w:vMerge w:val="continue"/>
            <w:shd w:val="clear" w:color="auto" w:fill="3465B0"/>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960" w:type="dxa"/>
            <w:vAlign w:val="bottom"/>
            <w:tcBorders>
              <w:left w:val="single" w:sz="8" w:color="3465B0"/>
              <w:right w:val="single" w:sz="8" w:color="93A1D2"/>
            </w:tcBorders>
            <w:shd w:val="clear" w:color="auto" w:fill="3465B0"/>
          </w:tcPr>
          <w:p>
            <w:pPr>
              <w:spacing w:after="0"/>
              <w:rPr>
                <w:sz w:val="22"/>
                <w:szCs w:val="22"/>
                <w:color w:val="auto"/>
              </w:rPr>
            </w:pPr>
          </w:p>
        </w:tc>
        <w:tc>
          <w:tcPr>
            <w:tcW w:w="3100" w:type="dxa"/>
            <w:vAlign w:val="bottom"/>
            <w:tcBorders>
              <w:right w:val="single" w:sz="8" w:color="3465B0"/>
            </w:tcBorders>
            <w:gridSpan w:val="3"/>
            <w:shd w:val="clear" w:color="auto" w:fill="3465B0"/>
          </w:tcPr>
          <w:p>
            <w:pPr>
              <w:jc w:val="right"/>
              <w:ind w:right="831"/>
              <w:spacing w:after="0"/>
              <w:rPr>
                <w:sz w:val="20"/>
                <w:szCs w:val="20"/>
                <w:color w:val="auto"/>
              </w:rPr>
            </w:pPr>
            <w:r>
              <w:rPr>
                <w:rFonts w:ascii="Arial" w:cs="Arial" w:eastAsia="Arial" w:hAnsi="Arial"/>
                <w:sz w:val="18"/>
                <w:szCs w:val="18"/>
                <w:b w:val="1"/>
                <w:bCs w:val="1"/>
                <w:color w:val="FFFFFF"/>
              </w:rPr>
              <w:t>Option Awards</w:t>
            </w:r>
          </w:p>
        </w:tc>
        <w:tc>
          <w:tcPr>
            <w:tcW w:w="180" w:type="dxa"/>
            <w:vAlign w:val="bottom"/>
            <w:shd w:val="clear" w:color="auto" w:fill="3465B0"/>
          </w:tcPr>
          <w:p>
            <w:pPr>
              <w:spacing w:after="0"/>
              <w:rPr>
                <w:sz w:val="22"/>
                <w:szCs w:val="22"/>
                <w:color w:val="auto"/>
              </w:rPr>
            </w:pPr>
          </w:p>
        </w:tc>
        <w:tc>
          <w:tcPr>
            <w:tcW w:w="2920" w:type="dxa"/>
            <w:vAlign w:val="bottom"/>
            <w:tcBorders>
              <w:right w:val="single" w:sz="8" w:color="3465B0"/>
            </w:tcBorders>
            <w:gridSpan w:val="3"/>
            <w:shd w:val="clear" w:color="auto" w:fill="3465B0"/>
          </w:tcPr>
          <w:p>
            <w:pPr>
              <w:jc w:val="right"/>
              <w:ind w:right="153"/>
              <w:spacing w:after="0"/>
              <w:rPr>
                <w:sz w:val="20"/>
                <w:szCs w:val="20"/>
                <w:color w:val="auto"/>
              </w:rPr>
            </w:pPr>
            <w:r>
              <w:rPr>
                <w:rFonts w:ascii="Arial" w:cs="Arial" w:eastAsia="Arial" w:hAnsi="Arial"/>
                <w:sz w:val="18"/>
                <w:szCs w:val="18"/>
                <w:b w:val="1"/>
                <w:bCs w:val="1"/>
                <w:color w:val="FFFFFF"/>
              </w:rPr>
              <w:t>and Performance Stock Units</w:t>
            </w:r>
          </w:p>
        </w:tc>
        <w:tc>
          <w:tcPr>
            <w:tcW w:w="0" w:type="dxa"/>
            <w:vAlign w:val="bottom"/>
          </w:tcPr>
          <w:p>
            <w:pPr>
              <w:spacing w:after="0"/>
              <w:rPr>
                <w:sz w:val="1"/>
                <w:szCs w:val="1"/>
                <w:color w:val="auto"/>
              </w:rPr>
            </w:pPr>
          </w:p>
        </w:tc>
      </w:tr>
      <w:tr>
        <w:trPr>
          <w:trHeight w:val="211"/>
        </w:trPr>
        <w:tc>
          <w:tcPr>
            <w:tcW w:w="2960" w:type="dxa"/>
            <w:vAlign w:val="bottom"/>
            <w:tcBorders>
              <w:left w:val="single" w:sz="8" w:color="3465B0"/>
              <w:right w:val="single" w:sz="8" w:color="93A1D2"/>
            </w:tcBorders>
            <w:shd w:val="clear" w:color="auto" w:fill="3465B0"/>
          </w:tcPr>
          <w:p>
            <w:pPr>
              <w:spacing w:after="0"/>
              <w:rPr>
                <w:sz w:val="18"/>
                <w:szCs w:val="18"/>
                <w:color w:val="auto"/>
              </w:rPr>
            </w:pPr>
          </w:p>
        </w:tc>
        <w:tc>
          <w:tcPr>
            <w:tcW w:w="1400" w:type="dxa"/>
            <w:vAlign w:val="bottom"/>
            <w:tcBorders>
              <w:right w:val="single" w:sz="8" w:color="93A1D2"/>
            </w:tcBorders>
            <w:shd w:val="clear" w:color="auto" w:fill="3465B0"/>
          </w:tcPr>
          <w:p>
            <w:pPr>
              <w:ind w:left="180"/>
              <w:spacing w:after="0"/>
              <w:rPr>
                <w:sz w:val="20"/>
                <w:szCs w:val="20"/>
                <w:color w:val="auto"/>
              </w:rPr>
            </w:pPr>
            <w:r>
              <w:rPr>
                <w:rFonts w:ascii="Arial" w:cs="Arial" w:eastAsia="Arial" w:hAnsi="Arial"/>
                <w:sz w:val="18"/>
                <w:szCs w:val="18"/>
                <w:b w:val="1"/>
                <w:bCs w:val="1"/>
                <w:color w:val="FFFFFF"/>
              </w:rPr>
              <w:t>Number of</w:t>
            </w:r>
          </w:p>
        </w:tc>
        <w:tc>
          <w:tcPr>
            <w:tcW w:w="180" w:type="dxa"/>
            <w:vAlign w:val="bottom"/>
            <w:shd w:val="clear" w:color="auto" w:fill="3465B0"/>
          </w:tcPr>
          <w:p>
            <w:pPr>
              <w:spacing w:after="0"/>
              <w:rPr>
                <w:sz w:val="18"/>
                <w:szCs w:val="18"/>
                <w:color w:val="auto"/>
              </w:rPr>
            </w:pPr>
          </w:p>
        </w:tc>
        <w:tc>
          <w:tcPr>
            <w:tcW w:w="1520" w:type="dxa"/>
            <w:vAlign w:val="bottom"/>
            <w:tcBorders>
              <w:right w:val="single" w:sz="8" w:color="93A1D2"/>
            </w:tcBorders>
            <w:shd w:val="clear" w:color="auto" w:fill="3465B0"/>
          </w:tcPr>
          <w:p>
            <w:pPr>
              <w:spacing w:after="0"/>
              <w:rPr>
                <w:sz w:val="18"/>
                <w:szCs w:val="18"/>
                <w:color w:val="auto"/>
              </w:rPr>
            </w:pPr>
          </w:p>
        </w:tc>
        <w:tc>
          <w:tcPr>
            <w:tcW w:w="180" w:type="dxa"/>
            <w:vAlign w:val="bottom"/>
            <w:shd w:val="clear" w:color="auto" w:fill="3465B0"/>
          </w:tcPr>
          <w:p>
            <w:pPr>
              <w:spacing w:after="0"/>
              <w:rPr>
                <w:sz w:val="18"/>
                <w:szCs w:val="18"/>
                <w:color w:val="auto"/>
              </w:rPr>
            </w:pPr>
          </w:p>
        </w:tc>
        <w:tc>
          <w:tcPr>
            <w:tcW w:w="124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8"/>
                <w:szCs w:val="18"/>
                <w:b w:val="1"/>
                <w:bCs w:val="1"/>
                <w:color w:val="FFFFFF"/>
              </w:rPr>
              <w:t>Number of</w:t>
            </w:r>
          </w:p>
        </w:tc>
        <w:tc>
          <w:tcPr>
            <w:tcW w:w="200" w:type="dxa"/>
            <w:vAlign w:val="bottom"/>
            <w:shd w:val="clear" w:color="auto" w:fill="3465B0"/>
          </w:tcPr>
          <w:p>
            <w:pPr>
              <w:spacing w:after="0"/>
              <w:rPr>
                <w:sz w:val="18"/>
                <w:szCs w:val="18"/>
                <w:color w:val="auto"/>
              </w:rPr>
            </w:pPr>
          </w:p>
        </w:tc>
        <w:tc>
          <w:tcPr>
            <w:tcW w:w="1480" w:type="dxa"/>
            <w:vAlign w:val="bottom"/>
            <w:tcBorders>
              <w:right w:val="single" w:sz="8" w:color="3465B0"/>
            </w:tcBorders>
            <w:shd w:val="clear" w:color="auto" w:fill="3465B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tcBorders>
              <w:left w:val="single" w:sz="8" w:color="3465B0"/>
              <w:right w:val="single" w:sz="8" w:color="93A1D2"/>
            </w:tcBorders>
            <w:shd w:val="clear" w:color="auto" w:fill="3465B0"/>
          </w:tcPr>
          <w:p>
            <w:pPr>
              <w:spacing w:after="0"/>
              <w:rPr>
                <w:sz w:val="17"/>
                <w:szCs w:val="17"/>
                <w:color w:val="auto"/>
              </w:rPr>
            </w:pPr>
          </w:p>
        </w:tc>
        <w:tc>
          <w:tcPr>
            <w:tcW w:w="1400" w:type="dxa"/>
            <w:vAlign w:val="bottom"/>
            <w:tcBorders>
              <w:right w:val="single" w:sz="8" w:color="93A1D2"/>
            </w:tcBorders>
            <w:shd w:val="clear" w:color="auto" w:fill="3465B0"/>
          </w:tcPr>
          <w:p>
            <w:pPr>
              <w:ind w:left="180"/>
              <w:spacing w:after="0" w:line="202" w:lineRule="exact"/>
              <w:rPr>
                <w:sz w:val="20"/>
                <w:szCs w:val="20"/>
                <w:color w:val="auto"/>
              </w:rPr>
            </w:pPr>
            <w:r>
              <w:rPr>
                <w:rFonts w:ascii="Arial" w:cs="Arial" w:eastAsia="Arial" w:hAnsi="Arial"/>
                <w:sz w:val="18"/>
                <w:szCs w:val="18"/>
                <w:b w:val="1"/>
                <w:bCs w:val="1"/>
                <w:color w:val="FFFFFF"/>
              </w:rPr>
              <w:t>Shares</w:t>
            </w:r>
          </w:p>
        </w:tc>
        <w:tc>
          <w:tcPr>
            <w:tcW w:w="180" w:type="dxa"/>
            <w:vAlign w:val="bottom"/>
            <w:shd w:val="clear" w:color="auto" w:fill="3465B0"/>
          </w:tcPr>
          <w:p>
            <w:pPr>
              <w:spacing w:after="0"/>
              <w:rPr>
                <w:sz w:val="17"/>
                <w:szCs w:val="17"/>
                <w:color w:val="auto"/>
              </w:rPr>
            </w:pPr>
          </w:p>
        </w:tc>
        <w:tc>
          <w:tcPr>
            <w:tcW w:w="1520" w:type="dxa"/>
            <w:vAlign w:val="bottom"/>
            <w:tcBorders>
              <w:right w:val="single" w:sz="8" w:color="93A1D2"/>
            </w:tcBorders>
            <w:vMerge w:val="restart"/>
            <w:shd w:val="clear" w:color="auto" w:fill="3465B0"/>
          </w:tcPr>
          <w:p>
            <w:pPr>
              <w:ind w:left="20"/>
              <w:spacing w:after="0"/>
              <w:rPr>
                <w:sz w:val="20"/>
                <w:szCs w:val="20"/>
                <w:color w:val="auto"/>
              </w:rPr>
            </w:pPr>
            <w:r>
              <w:rPr>
                <w:rFonts w:ascii="Arial" w:cs="Arial" w:eastAsia="Arial" w:hAnsi="Arial"/>
                <w:sz w:val="18"/>
                <w:szCs w:val="18"/>
                <w:b w:val="1"/>
                <w:bCs w:val="1"/>
                <w:color w:val="FFFFFF"/>
              </w:rPr>
              <w:t>Value Realized</w:t>
            </w:r>
          </w:p>
        </w:tc>
        <w:tc>
          <w:tcPr>
            <w:tcW w:w="180" w:type="dxa"/>
            <w:vAlign w:val="bottom"/>
            <w:shd w:val="clear" w:color="auto" w:fill="3465B0"/>
          </w:tcPr>
          <w:p>
            <w:pPr>
              <w:spacing w:after="0"/>
              <w:rPr>
                <w:sz w:val="17"/>
                <w:szCs w:val="17"/>
                <w:color w:val="auto"/>
              </w:rPr>
            </w:pPr>
          </w:p>
        </w:tc>
        <w:tc>
          <w:tcPr>
            <w:tcW w:w="1240" w:type="dxa"/>
            <w:vAlign w:val="bottom"/>
            <w:tcBorders>
              <w:right w:val="single" w:sz="8" w:color="93A1D2"/>
            </w:tcBorders>
            <w:shd w:val="clear" w:color="auto" w:fill="3465B0"/>
          </w:tcPr>
          <w:p>
            <w:pPr>
              <w:ind w:left="20"/>
              <w:spacing w:after="0" w:line="202" w:lineRule="exact"/>
              <w:rPr>
                <w:sz w:val="20"/>
                <w:szCs w:val="20"/>
                <w:color w:val="auto"/>
              </w:rPr>
            </w:pPr>
            <w:r>
              <w:rPr>
                <w:rFonts w:ascii="Arial" w:cs="Arial" w:eastAsia="Arial" w:hAnsi="Arial"/>
                <w:sz w:val="18"/>
                <w:szCs w:val="18"/>
                <w:b w:val="1"/>
                <w:bCs w:val="1"/>
                <w:color w:val="FFFFFF"/>
              </w:rPr>
              <w:t>Shares</w:t>
            </w:r>
          </w:p>
        </w:tc>
        <w:tc>
          <w:tcPr>
            <w:tcW w:w="200" w:type="dxa"/>
            <w:vAlign w:val="bottom"/>
            <w:shd w:val="clear" w:color="auto" w:fill="3465B0"/>
          </w:tcPr>
          <w:p>
            <w:pPr>
              <w:spacing w:after="0"/>
              <w:rPr>
                <w:sz w:val="17"/>
                <w:szCs w:val="17"/>
                <w:color w:val="auto"/>
              </w:rPr>
            </w:pPr>
          </w:p>
        </w:tc>
        <w:tc>
          <w:tcPr>
            <w:tcW w:w="1480" w:type="dxa"/>
            <w:vAlign w:val="bottom"/>
            <w:tcBorders>
              <w:right w:val="single" w:sz="8" w:color="3465B0"/>
            </w:tcBorders>
            <w:vMerge w:val="restart"/>
            <w:shd w:val="clear" w:color="auto" w:fill="3465B0"/>
          </w:tcPr>
          <w:p>
            <w:pPr>
              <w:spacing w:after="0"/>
              <w:rPr>
                <w:sz w:val="20"/>
                <w:szCs w:val="20"/>
                <w:color w:val="auto"/>
              </w:rPr>
            </w:pPr>
            <w:r>
              <w:rPr>
                <w:rFonts w:ascii="Arial" w:cs="Arial" w:eastAsia="Arial" w:hAnsi="Arial"/>
                <w:sz w:val="18"/>
                <w:szCs w:val="18"/>
                <w:b w:val="1"/>
                <w:bCs w:val="1"/>
                <w:color w:val="FFFFFF"/>
              </w:rPr>
              <w:t>Value Realized</w:t>
            </w:r>
          </w:p>
        </w:tc>
        <w:tc>
          <w:tcPr>
            <w:tcW w:w="0" w:type="dxa"/>
            <w:vAlign w:val="bottom"/>
          </w:tcPr>
          <w:p>
            <w:pPr>
              <w:spacing w:after="0"/>
              <w:rPr>
                <w:sz w:val="1"/>
                <w:szCs w:val="1"/>
                <w:color w:val="auto"/>
              </w:rPr>
            </w:pPr>
          </w:p>
        </w:tc>
      </w:tr>
      <w:tr>
        <w:trPr>
          <w:trHeight w:val="181"/>
        </w:trPr>
        <w:tc>
          <w:tcPr>
            <w:tcW w:w="2960" w:type="dxa"/>
            <w:vAlign w:val="bottom"/>
            <w:tcBorders>
              <w:left w:val="single" w:sz="8" w:color="3465B0"/>
              <w:right w:val="single" w:sz="8" w:color="93A1D2"/>
            </w:tcBorders>
            <w:shd w:val="clear" w:color="auto" w:fill="3465B0"/>
          </w:tcPr>
          <w:p>
            <w:pPr>
              <w:spacing w:after="0"/>
              <w:rPr>
                <w:sz w:val="15"/>
                <w:szCs w:val="15"/>
                <w:color w:val="auto"/>
              </w:rPr>
            </w:pPr>
          </w:p>
        </w:tc>
        <w:tc>
          <w:tcPr>
            <w:tcW w:w="1400" w:type="dxa"/>
            <w:vAlign w:val="bottom"/>
            <w:tcBorders>
              <w:right w:val="single" w:sz="8" w:color="93A1D2"/>
            </w:tcBorders>
            <w:shd w:val="clear" w:color="auto" w:fill="3465B0"/>
          </w:tcPr>
          <w:p>
            <w:pPr>
              <w:ind w:left="180"/>
              <w:spacing w:after="0" w:line="181" w:lineRule="exact"/>
              <w:rPr>
                <w:sz w:val="20"/>
                <w:szCs w:val="20"/>
                <w:color w:val="auto"/>
              </w:rPr>
            </w:pPr>
            <w:r>
              <w:rPr>
                <w:rFonts w:ascii="Arial" w:cs="Arial" w:eastAsia="Arial" w:hAnsi="Arial"/>
                <w:sz w:val="18"/>
                <w:szCs w:val="18"/>
                <w:b w:val="1"/>
                <w:bCs w:val="1"/>
                <w:color w:val="FFFFFF"/>
              </w:rPr>
              <w:t>Acquired</w:t>
            </w:r>
          </w:p>
        </w:tc>
        <w:tc>
          <w:tcPr>
            <w:tcW w:w="180" w:type="dxa"/>
            <w:vAlign w:val="bottom"/>
            <w:shd w:val="clear" w:color="auto" w:fill="3465B0"/>
          </w:tcPr>
          <w:p>
            <w:pPr>
              <w:spacing w:after="0"/>
              <w:rPr>
                <w:sz w:val="15"/>
                <w:szCs w:val="15"/>
                <w:color w:val="auto"/>
              </w:rPr>
            </w:pPr>
          </w:p>
        </w:tc>
        <w:tc>
          <w:tcPr>
            <w:tcW w:w="1520" w:type="dxa"/>
            <w:vAlign w:val="bottom"/>
            <w:tcBorders>
              <w:right w:val="single" w:sz="8" w:color="93A1D2"/>
            </w:tcBorders>
            <w:vMerge w:val="continue"/>
            <w:shd w:val="clear" w:color="auto" w:fill="3465B0"/>
          </w:tcPr>
          <w:p>
            <w:pPr>
              <w:spacing w:after="0"/>
              <w:rPr>
                <w:sz w:val="15"/>
                <w:szCs w:val="15"/>
                <w:color w:val="auto"/>
              </w:rPr>
            </w:pPr>
          </w:p>
        </w:tc>
        <w:tc>
          <w:tcPr>
            <w:tcW w:w="180" w:type="dxa"/>
            <w:vAlign w:val="bottom"/>
            <w:shd w:val="clear" w:color="auto" w:fill="3465B0"/>
          </w:tcPr>
          <w:p>
            <w:pPr>
              <w:spacing w:after="0"/>
              <w:rPr>
                <w:sz w:val="15"/>
                <w:szCs w:val="15"/>
                <w:color w:val="auto"/>
              </w:rPr>
            </w:pPr>
          </w:p>
        </w:tc>
        <w:tc>
          <w:tcPr>
            <w:tcW w:w="1240" w:type="dxa"/>
            <w:vAlign w:val="bottom"/>
            <w:tcBorders>
              <w:right w:val="single" w:sz="8" w:color="93A1D2"/>
            </w:tcBorders>
            <w:shd w:val="clear" w:color="auto" w:fill="3465B0"/>
          </w:tcPr>
          <w:p>
            <w:pPr>
              <w:ind w:left="20"/>
              <w:spacing w:after="0" w:line="181" w:lineRule="exact"/>
              <w:rPr>
                <w:sz w:val="20"/>
                <w:szCs w:val="20"/>
                <w:color w:val="auto"/>
              </w:rPr>
            </w:pPr>
            <w:r>
              <w:rPr>
                <w:rFonts w:ascii="Arial" w:cs="Arial" w:eastAsia="Arial" w:hAnsi="Arial"/>
                <w:sz w:val="18"/>
                <w:szCs w:val="18"/>
                <w:b w:val="1"/>
                <w:bCs w:val="1"/>
                <w:color w:val="FFFFFF"/>
              </w:rPr>
              <w:t>Acquired</w:t>
            </w:r>
          </w:p>
        </w:tc>
        <w:tc>
          <w:tcPr>
            <w:tcW w:w="200" w:type="dxa"/>
            <w:vAlign w:val="bottom"/>
            <w:shd w:val="clear" w:color="auto" w:fill="3465B0"/>
          </w:tcPr>
          <w:p>
            <w:pPr>
              <w:spacing w:after="0"/>
              <w:rPr>
                <w:sz w:val="15"/>
                <w:szCs w:val="15"/>
                <w:color w:val="auto"/>
              </w:rPr>
            </w:pPr>
          </w:p>
        </w:tc>
        <w:tc>
          <w:tcPr>
            <w:tcW w:w="1480" w:type="dxa"/>
            <w:vAlign w:val="bottom"/>
            <w:tcBorders>
              <w:right w:val="single" w:sz="8" w:color="3465B0"/>
            </w:tcBorders>
            <w:vMerge w:val="continue"/>
            <w:shd w:val="clear" w:color="auto" w:fill="3465B0"/>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960" w:type="dxa"/>
            <w:vAlign w:val="bottom"/>
            <w:tcBorders>
              <w:left w:val="single" w:sz="8" w:color="3465B0"/>
              <w:right w:val="single" w:sz="8" w:color="93A1D2"/>
            </w:tcBorders>
            <w:shd w:val="clear" w:color="auto" w:fill="3465B0"/>
          </w:tcPr>
          <w:p>
            <w:pPr>
              <w:spacing w:after="0"/>
              <w:rPr>
                <w:sz w:val="19"/>
                <w:szCs w:val="19"/>
                <w:color w:val="auto"/>
              </w:rPr>
            </w:pPr>
          </w:p>
        </w:tc>
        <w:tc>
          <w:tcPr>
            <w:tcW w:w="1400" w:type="dxa"/>
            <w:vAlign w:val="bottom"/>
            <w:tcBorders>
              <w:right w:val="single" w:sz="8" w:color="93A1D2"/>
            </w:tcBorders>
            <w:shd w:val="clear" w:color="auto" w:fill="3465B0"/>
          </w:tcPr>
          <w:p>
            <w:pPr>
              <w:ind w:left="180"/>
              <w:spacing w:after="0"/>
              <w:rPr>
                <w:sz w:val="20"/>
                <w:szCs w:val="20"/>
                <w:color w:val="auto"/>
              </w:rPr>
            </w:pPr>
            <w:r>
              <w:rPr>
                <w:rFonts w:ascii="Arial" w:cs="Arial" w:eastAsia="Arial" w:hAnsi="Arial"/>
                <w:sz w:val="18"/>
                <w:szCs w:val="18"/>
                <w:b w:val="1"/>
                <w:bCs w:val="1"/>
                <w:color w:val="FFFFFF"/>
              </w:rPr>
              <w:t>on Exercise</w:t>
            </w:r>
          </w:p>
        </w:tc>
        <w:tc>
          <w:tcPr>
            <w:tcW w:w="180" w:type="dxa"/>
            <w:vAlign w:val="bottom"/>
            <w:shd w:val="clear" w:color="auto" w:fill="3465B0"/>
          </w:tcPr>
          <w:p>
            <w:pPr>
              <w:spacing w:after="0"/>
              <w:rPr>
                <w:sz w:val="19"/>
                <w:szCs w:val="19"/>
                <w:color w:val="auto"/>
              </w:rPr>
            </w:pPr>
          </w:p>
        </w:tc>
        <w:tc>
          <w:tcPr>
            <w:tcW w:w="1520" w:type="dxa"/>
            <w:vAlign w:val="bottom"/>
            <w:tcBorders>
              <w:right w:val="single" w:sz="8" w:color="93A1D2"/>
            </w:tcBorders>
            <w:shd w:val="clear" w:color="auto" w:fill="3465B0"/>
          </w:tcPr>
          <w:p>
            <w:pPr>
              <w:ind w:left="20"/>
              <w:spacing w:after="0" w:line="224" w:lineRule="exact"/>
              <w:rPr>
                <w:sz w:val="20"/>
                <w:szCs w:val="20"/>
                <w:color w:val="auto"/>
              </w:rPr>
            </w:pPr>
            <w:r>
              <w:rPr>
                <w:rFonts w:ascii="Arial" w:cs="Arial" w:eastAsia="Arial" w:hAnsi="Arial"/>
                <w:sz w:val="16"/>
                <w:szCs w:val="16"/>
                <w:b w:val="1"/>
                <w:bCs w:val="1"/>
                <w:color w:val="FFFFFF"/>
              </w:rPr>
              <w:t>on Exercise</w:t>
            </w:r>
            <w:r>
              <w:rPr>
                <w:rFonts w:ascii="Arial" w:cs="Arial" w:eastAsia="Arial" w:hAnsi="Arial"/>
                <w:sz w:val="25"/>
                <w:szCs w:val="25"/>
                <w:b w:val="1"/>
                <w:bCs w:val="1"/>
                <w:color w:val="FFFFFF"/>
                <w:vertAlign w:val="superscript"/>
              </w:rPr>
              <w:t>(1)</w:t>
            </w:r>
          </w:p>
        </w:tc>
        <w:tc>
          <w:tcPr>
            <w:tcW w:w="180" w:type="dxa"/>
            <w:vAlign w:val="bottom"/>
            <w:shd w:val="clear" w:color="auto" w:fill="3465B0"/>
          </w:tcPr>
          <w:p>
            <w:pPr>
              <w:spacing w:after="0"/>
              <w:rPr>
                <w:sz w:val="19"/>
                <w:szCs w:val="19"/>
                <w:color w:val="auto"/>
              </w:rPr>
            </w:pPr>
          </w:p>
        </w:tc>
        <w:tc>
          <w:tcPr>
            <w:tcW w:w="124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8"/>
                <w:szCs w:val="18"/>
                <w:b w:val="1"/>
                <w:bCs w:val="1"/>
                <w:color w:val="FFFFFF"/>
              </w:rPr>
              <w:t>on Vesting</w:t>
            </w:r>
          </w:p>
        </w:tc>
        <w:tc>
          <w:tcPr>
            <w:tcW w:w="200" w:type="dxa"/>
            <w:vAlign w:val="bottom"/>
            <w:shd w:val="clear" w:color="auto" w:fill="3465B0"/>
          </w:tcPr>
          <w:p>
            <w:pPr>
              <w:spacing w:after="0"/>
              <w:rPr>
                <w:sz w:val="19"/>
                <w:szCs w:val="19"/>
                <w:color w:val="auto"/>
              </w:rPr>
            </w:pPr>
          </w:p>
        </w:tc>
        <w:tc>
          <w:tcPr>
            <w:tcW w:w="1480" w:type="dxa"/>
            <w:vAlign w:val="bottom"/>
            <w:tcBorders>
              <w:right w:val="single" w:sz="8" w:color="3465B0"/>
            </w:tcBorders>
            <w:shd w:val="clear" w:color="auto" w:fill="3465B0"/>
          </w:tcPr>
          <w:p>
            <w:pPr>
              <w:spacing w:after="0" w:line="224" w:lineRule="exact"/>
              <w:rPr>
                <w:sz w:val="20"/>
                <w:szCs w:val="20"/>
                <w:color w:val="auto"/>
              </w:rPr>
            </w:pPr>
            <w:r>
              <w:rPr>
                <w:rFonts w:ascii="Arial" w:cs="Arial" w:eastAsia="Arial" w:hAnsi="Arial"/>
                <w:sz w:val="16"/>
                <w:szCs w:val="16"/>
                <w:b w:val="1"/>
                <w:bCs w:val="1"/>
                <w:color w:val="FFFFFF"/>
              </w:rPr>
              <w:t>on Vesting</w:t>
            </w:r>
            <w:r>
              <w:rPr>
                <w:rFonts w:ascii="Arial" w:cs="Arial" w:eastAsia="Arial" w:hAnsi="Arial"/>
                <w:sz w:val="25"/>
                <w:szCs w:val="25"/>
                <w:b w:val="1"/>
                <w:bCs w:val="1"/>
                <w:color w:val="FFFFFF"/>
                <w:vertAlign w:val="superscript"/>
              </w:rPr>
              <w:t>(2)</w:t>
            </w:r>
          </w:p>
        </w:tc>
        <w:tc>
          <w:tcPr>
            <w:tcW w:w="0" w:type="dxa"/>
            <w:vAlign w:val="bottom"/>
          </w:tcPr>
          <w:p>
            <w:pPr>
              <w:spacing w:after="0"/>
              <w:rPr>
                <w:sz w:val="1"/>
                <w:szCs w:val="1"/>
                <w:color w:val="auto"/>
              </w:rPr>
            </w:pPr>
          </w:p>
        </w:tc>
      </w:tr>
      <w:tr>
        <w:trPr>
          <w:trHeight w:val="262"/>
        </w:trPr>
        <w:tc>
          <w:tcPr>
            <w:tcW w:w="2960" w:type="dxa"/>
            <w:vAlign w:val="bottom"/>
            <w:tcBorders>
              <w:left w:val="single" w:sz="8" w:color="3465B0"/>
              <w:right w:val="single" w:sz="8" w:color="93A1D2"/>
            </w:tcBorders>
            <w:shd w:val="clear" w:color="auto" w:fill="3465B0"/>
          </w:tcPr>
          <w:p>
            <w:pPr>
              <w:ind w:left="100"/>
              <w:spacing w:after="0"/>
              <w:rPr>
                <w:sz w:val="20"/>
                <w:szCs w:val="20"/>
                <w:color w:val="auto"/>
              </w:rPr>
            </w:pPr>
            <w:r>
              <w:rPr>
                <w:rFonts w:ascii="Arial" w:cs="Arial" w:eastAsia="Arial" w:hAnsi="Arial"/>
                <w:sz w:val="18"/>
                <w:szCs w:val="18"/>
                <w:b w:val="1"/>
                <w:bCs w:val="1"/>
                <w:color w:val="FFFFFF"/>
              </w:rPr>
              <w:t>Named Executive Officer</w:t>
            </w:r>
          </w:p>
        </w:tc>
        <w:tc>
          <w:tcPr>
            <w:tcW w:w="1400" w:type="dxa"/>
            <w:vAlign w:val="bottom"/>
            <w:tcBorders>
              <w:right w:val="single" w:sz="8" w:color="93A1D2"/>
            </w:tcBorders>
            <w:shd w:val="clear" w:color="auto" w:fill="3465B0"/>
          </w:tcPr>
          <w:p>
            <w:pPr>
              <w:ind w:left="180"/>
              <w:spacing w:after="0"/>
              <w:rPr>
                <w:sz w:val="20"/>
                <w:szCs w:val="20"/>
                <w:color w:val="auto"/>
              </w:rPr>
            </w:pPr>
            <w:r>
              <w:rPr>
                <w:rFonts w:ascii="Arial" w:cs="Arial" w:eastAsia="Arial" w:hAnsi="Arial"/>
                <w:sz w:val="18"/>
                <w:szCs w:val="18"/>
                <w:b w:val="1"/>
                <w:bCs w:val="1"/>
                <w:color w:val="FFFFFF"/>
              </w:rPr>
              <w:t>(#)</w:t>
            </w:r>
          </w:p>
        </w:tc>
        <w:tc>
          <w:tcPr>
            <w:tcW w:w="1700" w:type="dxa"/>
            <w:vAlign w:val="bottom"/>
            <w:tcBorders>
              <w:right w:val="single" w:sz="8" w:color="93A1D2"/>
            </w:tcBorders>
            <w:gridSpan w:val="2"/>
            <w:shd w:val="clear" w:color="auto" w:fill="3465B0"/>
          </w:tcPr>
          <w:p>
            <w:pPr>
              <w:ind w:left="200"/>
              <w:spacing w:after="0"/>
              <w:rPr>
                <w:sz w:val="20"/>
                <w:szCs w:val="20"/>
                <w:color w:val="auto"/>
              </w:rPr>
            </w:pPr>
            <w:r>
              <w:rPr>
                <w:rFonts w:ascii="Arial" w:cs="Arial" w:eastAsia="Arial" w:hAnsi="Arial"/>
                <w:sz w:val="18"/>
                <w:szCs w:val="18"/>
                <w:b w:val="1"/>
                <w:bCs w:val="1"/>
                <w:color w:val="FFFFFF"/>
              </w:rPr>
              <w:t>($)</w:t>
            </w:r>
          </w:p>
        </w:tc>
        <w:tc>
          <w:tcPr>
            <w:tcW w:w="1420" w:type="dxa"/>
            <w:vAlign w:val="bottom"/>
            <w:tcBorders>
              <w:right w:val="single" w:sz="8" w:color="93A1D2"/>
            </w:tcBorders>
            <w:gridSpan w:val="2"/>
            <w:shd w:val="clear" w:color="auto" w:fill="3465B0"/>
          </w:tcPr>
          <w:p>
            <w:pPr>
              <w:ind w:left="200"/>
              <w:spacing w:after="0"/>
              <w:rPr>
                <w:sz w:val="20"/>
                <w:szCs w:val="20"/>
                <w:color w:val="auto"/>
              </w:rPr>
            </w:pPr>
            <w:r>
              <w:rPr>
                <w:rFonts w:ascii="Arial" w:cs="Arial" w:eastAsia="Arial" w:hAnsi="Arial"/>
                <w:sz w:val="18"/>
                <w:szCs w:val="18"/>
                <w:b w:val="1"/>
                <w:bCs w:val="1"/>
                <w:color w:val="FFFFFF"/>
              </w:rPr>
              <w:t>(#)</w:t>
            </w:r>
          </w:p>
        </w:tc>
        <w:tc>
          <w:tcPr>
            <w:tcW w:w="1680" w:type="dxa"/>
            <w:vAlign w:val="bottom"/>
            <w:tcBorders>
              <w:right w:val="single" w:sz="8" w:color="3465B0"/>
            </w:tcBorders>
            <w:gridSpan w:val="2"/>
            <w:shd w:val="clear" w:color="auto" w:fill="3465B0"/>
          </w:tcPr>
          <w:p>
            <w:pPr>
              <w:ind w:left="20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47"/>
        </w:trPr>
        <w:tc>
          <w:tcPr>
            <w:tcW w:w="29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L. Reade Fahs</w:t>
            </w:r>
          </w:p>
        </w:tc>
        <w:tc>
          <w:tcPr>
            <w:tcW w:w="1400" w:type="dxa"/>
            <w:vAlign w:val="bottom"/>
            <w:tcBorders>
              <w:right w:val="single" w:sz="8" w:color="93A1D2"/>
            </w:tcBorders>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Borders>
              <w:right w:val="single" w:sz="8" w:color="93A1D2"/>
            </w:tcBorders>
          </w:tcPr>
          <w:p>
            <w:pPr>
              <w:jc w:val="right"/>
              <w:ind w:right="131"/>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93A1D2"/>
            </w:tcBorders>
            <w:gridSpan w:val="2"/>
          </w:tcPr>
          <w:p>
            <w:pPr>
              <w:jc w:val="right"/>
              <w:ind w:right="130"/>
              <w:spacing w:after="0"/>
              <w:rPr>
                <w:sz w:val="20"/>
                <w:szCs w:val="20"/>
                <w:color w:val="auto"/>
              </w:rPr>
            </w:pPr>
            <w:r>
              <w:rPr>
                <w:rFonts w:ascii="Arial" w:cs="Arial" w:eastAsia="Arial" w:hAnsi="Arial"/>
                <w:sz w:val="18"/>
                <w:szCs w:val="18"/>
                <w:color w:val="auto"/>
              </w:rPr>
              <w:t>87,360</w:t>
            </w:r>
          </w:p>
        </w:tc>
        <w:tc>
          <w:tcPr>
            <w:tcW w:w="1680" w:type="dxa"/>
            <w:vAlign w:val="bottom"/>
            <w:tcBorders>
              <w:right w:val="single" w:sz="8" w:color="3465B0"/>
            </w:tcBorders>
            <w:gridSpan w:val="2"/>
          </w:tcPr>
          <w:p>
            <w:pPr>
              <w:jc w:val="right"/>
              <w:spacing w:after="0"/>
              <w:rPr>
                <w:sz w:val="20"/>
                <w:szCs w:val="20"/>
                <w:color w:val="auto"/>
              </w:rPr>
            </w:pPr>
            <w:r>
              <w:rPr>
                <w:rFonts w:ascii="Arial" w:cs="Arial" w:eastAsia="Arial" w:hAnsi="Arial"/>
                <w:sz w:val="18"/>
                <w:szCs w:val="18"/>
                <w:color w:val="auto"/>
              </w:rPr>
              <w:t>1,108,104</w:t>
            </w:r>
          </w:p>
        </w:tc>
        <w:tc>
          <w:tcPr>
            <w:tcW w:w="0" w:type="dxa"/>
            <w:vAlign w:val="bottom"/>
          </w:tcPr>
          <w:p>
            <w:pPr>
              <w:spacing w:after="0"/>
              <w:rPr>
                <w:sz w:val="1"/>
                <w:szCs w:val="1"/>
                <w:color w:val="auto"/>
              </w:rPr>
            </w:pPr>
          </w:p>
        </w:tc>
      </w:tr>
      <w:tr>
        <w:trPr>
          <w:trHeight w:val="23"/>
        </w:trPr>
        <w:tc>
          <w:tcPr>
            <w:tcW w:w="2960" w:type="dxa"/>
            <w:vAlign w:val="bottom"/>
            <w:tcBorders>
              <w:left w:val="single" w:sz="8" w:color="3465B0"/>
              <w:right w:val="single" w:sz="8" w:color="93A1D2"/>
            </w:tcBorders>
          </w:tcPr>
          <w:p>
            <w:pPr>
              <w:spacing w:after="0"/>
              <w:rPr>
                <w:sz w:val="2"/>
                <w:szCs w:val="2"/>
                <w:color w:val="auto"/>
              </w:rPr>
            </w:pPr>
          </w:p>
        </w:tc>
        <w:tc>
          <w:tcPr>
            <w:tcW w:w="140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right w:val="single" w:sz="8" w:color="3465B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Alexander N. Wilkes</w:t>
            </w:r>
          </w:p>
        </w:tc>
        <w:tc>
          <w:tcPr>
            <w:tcW w:w="1400" w:type="dxa"/>
            <w:vAlign w:val="bottom"/>
            <w:tcBorders>
              <w:bottom w:val="single" w:sz="8" w:color="CCCCCC"/>
              <w:right w:val="single" w:sz="8" w:color="93A1D2"/>
            </w:tcBorders>
            <w:shd w:val="clear" w:color="auto" w:fill="CCCCC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CCCC"/>
            </w:tcBorders>
            <w:shd w:val="clear" w:color="auto" w:fill="CCCCCC"/>
          </w:tcPr>
          <w:p>
            <w:pPr>
              <w:spacing w:after="0"/>
              <w:rPr>
                <w:sz w:val="21"/>
                <w:szCs w:val="21"/>
                <w:color w:val="auto"/>
              </w:rPr>
            </w:pPr>
          </w:p>
        </w:tc>
        <w:tc>
          <w:tcPr>
            <w:tcW w:w="1520" w:type="dxa"/>
            <w:vAlign w:val="bottom"/>
            <w:tcBorders>
              <w:bottom w:val="single" w:sz="8" w:color="CCCCCC"/>
              <w:right w:val="single" w:sz="8" w:color="93A1D2"/>
            </w:tcBorders>
            <w:shd w:val="clear" w:color="auto" w:fill="CCCCCC"/>
          </w:tcPr>
          <w:p>
            <w:pPr>
              <w:jc w:val="right"/>
              <w:ind w:right="1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CCCC"/>
              <w:right w:val="single" w:sz="8" w:color="93A1D2"/>
            </w:tcBorders>
            <w:gridSpan w:val="2"/>
            <w:shd w:val="clear" w:color="auto" w:fill="CCCCCC"/>
          </w:tcPr>
          <w:p>
            <w:pPr>
              <w:jc w:val="right"/>
              <w:ind w:right="130"/>
              <w:spacing w:after="0"/>
              <w:rPr>
                <w:sz w:val="20"/>
                <w:szCs w:val="20"/>
                <w:color w:val="auto"/>
              </w:rPr>
            </w:pPr>
            <w:r>
              <w:rPr>
                <w:rFonts w:ascii="Arial" w:cs="Arial" w:eastAsia="Arial" w:hAnsi="Arial"/>
                <w:sz w:val="18"/>
                <w:szCs w:val="18"/>
                <w:color w:val="auto"/>
              </w:rPr>
              <w:t>61,785</w:t>
            </w:r>
          </w:p>
        </w:tc>
        <w:tc>
          <w:tcPr>
            <w:tcW w:w="1680" w:type="dxa"/>
            <w:vAlign w:val="bottom"/>
            <w:tcBorders>
              <w:bottom w:val="single" w:sz="8" w:color="CCCCCC"/>
              <w:right w:val="single" w:sz="8" w:color="3465B0"/>
            </w:tcBorders>
            <w:gridSpan w:val="2"/>
            <w:shd w:val="clear" w:color="auto" w:fill="CCCCCC"/>
          </w:tcPr>
          <w:p>
            <w:pPr>
              <w:jc w:val="right"/>
              <w:spacing w:after="0"/>
              <w:rPr>
                <w:sz w:val="20"/>
                <w:szCs w:val="20"/>
                <w:color w:val="auto"/>
              </w:rPr>
            </w:pPr>
            <w:r>
              <w:rPr>
                <w:rFonts w:ascii="Arial" w:cs="Arial" w:eastAsia="Arial" w:hAnsi="Arial"/>
                <w:sz w:val="18"/>
                <w:szCs w:val="18"/>
                <w:color w:val="auto"/>
              </w:rPr>
              <w:t>1,458,744</w:t>
            </w:r>
          </w:p>
        </w:tc>
        <w:tc>
          <w:tcPr>
            <w:tcW w:w="0" w:type="dxa"/>
            <w:vAlign w:val="bottom"/>
          </w:tcPr>
          <w:p>
            <w:pPr>
              <w:spacing w:after="0"/>
              <w:rPr>
                <w:sz w:val="1"/>
                <w:szCs w:val="1"/>
                <w:color w:val="auto"/>
              </w:rPr>
            </w:pPr>
          </w:p>
        </w:tc>
      </w:tr>
      <w:tr>
        <w:trPr>
          <w:trHeight w:val="247"/>
        </w:trPr>
        <w:tc>
          <w:tcPr>
            <w:tcW w:w="29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Christopher J. Laden</w:t>
            </w:r>
          </w:p>
        </w:tc>
        <w:tc>
          <w:tcPr>
            <w:tcW w:w="1400" w:type="dxa"/>
            <w:vAlign w:val="bottom"/>
            <w:tcBorders>
              <w:right w:val="single" w:sz="8" w:color="93A1D2"/>
            </w:tcBorders>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Borders>
              <w:right w:val="single" w:sz="8" w:color="93A1D2"/>
            </w:tcBorders>
          </w:tcPr>
          <w:p>
            <w:pPr>
              <w:jc w:val="right"/>
              <w:ind w:right="1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960" w:type="dxa"/>
            <w:vAlign w:val="bottom"/>
            <w:tcBorders>
              <w:left w:val="single" w:sz="8" w:color="3465B0"/>
              <w:right w:val="single" w:sz="8" w:color="93A1D2"/>
            </w:tcBorders>
          </w:tcPr>
          <w:p>
            <w:pPr>
              <w:spacing w:after="0"/>
              <w:rPr>
                <w:sz w:val="2"/>
                <w:szCs w:val="2"/>
                <w:color w:val="auto"/>
              </w:rPr>
            </w:pPr>
          </w:p>
        </w:tc>
        <w:tc>
          <w:tcPr>
            <w:tcW w:w="140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right w:val="single" w:sz="8" w:color="3465B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Mark S. Banner</w:t>
            </w:r>
          </w:p>
        </w:tc>
        <w:tc>
          <w:tcPr>
            <w:tcW w:w="1400" w:type="dxa"/>
            <w:vAlign w:val="bottom"/>
            <w:tcBorders>
              <w:bottom w:val="single" w:sz="8" w:color="CCCCCC"/>
              <w:right w:val="single" w:sz="8" w:color="93A1D2"/>
            </w:tcBorders>
            <w:shd w:val="clear" w:color="auto" w:fill="CCCCC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CCCC"/>
            </w:tcBorders>
            <w:shd w:val="clear" w:color="auto" w:fill="CCCCCC"/>
          </w:tcPr>
          <w:p>
            <w:pPr>
              <w:spacing w:after="0"/>
              <w:rPr>
                <w:sz w:val="21"/>
                <w:szCs w:val="21"/>
                <w:color w:val="auto"/>
              </w:rPr>
            </w:pPr>
          </w:p>
        </w:tc>
        <w:tc>
          <w:tcPr>
            <w:tcW w:w="1520" w:type="dxa"/>
            <w:vAlign w:val="bottom"/>
            <w:tcBorders>
              <w:bottom w:val="single" w:sz="8" w:color="CCCCCC"/>
              <w:right w:val="single" w:sz="8" w:color="93A1D2"/>
            </w:tcBorders>
            <w:shd w:val="clear" w:color="auto" w:fill="CCCCCC"/>
          </w:tcPr>
          <w:p>
            <w:pPr>
              <w:jc w:val="right"/>
              <w:ind w:right="1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CCCC"/>
              <w:right w:val="single" w:sz="8" w:color="93A1D2"/>
            </w:tcBorders>
            <w:gridSpan w:val="2"/>
            <w:shd w:val="clear" w:color="auto" w:fill="CCCCCC"/>
          </w:tcPr>
          <w:p>
            <w:pPr>
              <w:jc w:val="right"/>
              <w:ind w:right="130"/>
              <w:spacing w:after="0"/>
              <w:rPr>
                <w:sz w:val="20"/>
                <w:szCs w:val="20"/>
                <w:color w:val="auto"/>
              </w:rPr>
            </w:pPr>
            <w:r>
              <w:rPr>
                <w:rFonts w:ascii="Arial" w:cs="Arial" w:eastAsia="Arial" w:hAnsi="Arial"/>
                <w:sz w:val="18"/>
                <w:szCs w:val="18"/>
                <w:color w:val="auto"/>
              </w:rPr>
              <w:t>11,728</w:t>
            </w:r>
          </w:p>
        </w:tc>
        <w:tc>
          <w:tcPr>
            <w:tcW w:w="1680" w:type="dxa"/>
            <w:vAlign w:val="bottom"/>
            <w:tcBorders>
              <w:bottom w:val="single" w:sz="8" w:color="CCCCCC"/>
              <w:right w:val="single" w:sz="8" w:color="3465B0"/>
            </w:tcBorders>
            <w:gridSpan w:val="2"/>
            <w:shd w:val="clear" w:color="auto" w:fill="CCCCCC"/>
          </w:tcPr>
          <w:p>
            <w:pPr>
              <w:jc w:val="right"/>
              <w:spacing w:after="0"/>
              <w:rPr>
                <w:sz w:val="20"/>
                <w:szCs w:val="20"/>
                <w:color w:val="auto"/>
              </w:rPr>
            </w:pPr>
            <w:r>
              <w:rPr>
                <w:rFonts w:ascii="Arial" w:cs="Arial" w:eastAsia="Arial" w:hAnsi="Arial"/>
                <w:sz w:val="18"/>
                <w:szCs w:val="18"/>
                <w:color w:val="auto"/>
              </w:rPr>
              <w:t>290,033</w:t>
            </w:r>
          </w:p>
        </w:tc>
        <w:tc>
          <w:tcPr>
            <w:tcW w:w="0" w:type="dxa"/>
            <w:vAlign w:val="bottom"/>
          </w:tcPr>
          <w:p>
            <w:pPr>
              <w:spacing w:after="0"/>
              <w:rPr>
                <w:sz w:val="1"/>
                <w:szCs w:val="1"/>
                <w:color w:val="auto"/>
              </w:rPr>
            </w:pPr>
          </w:p>
        </w:tc>
      </w:tr>
      <w:tr>
        <w:trPr>
          <w:trHeight w:val="247"/>
        </w:trPr>
        <w:tc>
          <w:tcPr>
            <w:tcW w:w="29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Jared Brandman</w:t>
            </w:r>
          </w:p>
        </w:tc>
        <w:tc>
          <w:tcPr>
            <w:tcW w:w="1400" w:type="dxa"/>
            <w:vAlign w:val="bottom"/>
            <w:tcBorders>
              <w:right w:val="single" w:sz="8" w:color="93A1D2"/>
            </w:tcBorders>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Borders>
              <w:right w:val="single" w:sz="8" w:color="93A1D2"/>
            </w:tcBorders>
          </w:tcPr>
          <w:p>
            <w:pPr>
              <w:jc w:val="right"/>
              <w:ind w:right="131"/>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93A1D2"/>
            </w:tcBorders>
            <w:gridSpan w:val="2"/>
          </w:tcPr>
          <w:p>
            <w:pPr>
              <w:jc w:val="right"/>
              <w:ind w:right="130"/>
              <w:spacing w:after="0"/>
              <w:rPr>
                <w:sz w:val="20"/>
                <w:szCs w:val="20"/>
                <w:color w:val="auto"/>
              </w:rPr>
            </w:pPr>
            <w:r>
              <w:rPr>
                <w:rFonts w:ascii="Arial" w:cs="Arial" w:eastAsia="Arial" w:hAnsi="Arial"/>
                <w:sz w:val="18"/>
                <w:szCs w:val="18"/>
                <w:color w:val="auto"/>
              </w:rPr>
              <w:t>13,857</w:t>
            </w:r>
          </w:p>
        </w:tc>
        <w:tc>
          <w:tcPr>
            <w:tcW w:w="1680" w:type="dxa"/>
            <w:vAlign w:val="bottom"/>
            <w:tcBorders>
              <w:right w:val="single" w:sz="8" w:color="3465B0"/>
            </w:tcBorders>
            <w:gridSpan w:val="2"/>
          </w:tcPr>
          <w:p>
            <w:pPr>
              <w:jc w:val="right"/>
              <w:spacing w:after="0"/>
              <w:rPr>
                <w:sz w:val="20"/>
                <w:szCs w:val="20"/>
                <w:color w:val="auto"/>
              </w:rPr>
            </w:pPr>
            <w:r>
              <w:rPr>
                <w:rFonts w:ascii="Arial" w:cs="Arial" w:eastAsia="Arial" w:hAnsi="Arial"/>
                <w:sz w:val="18"/>
                <w:szCs w:val="18"/>
                <w:color w:val="auto"/>
              </w:rPr>
              <w:t>175,012</w:t>
            </w:r>
          </w:p>
        </w:tc>
        <w:tc>
          <w:tcPr>
            <w:tcW w:w="0" w:type="dxa"/>
            <w:vAlign w:val="bottom"/>
          </w:tcPr>
          <w:p>
            <w:pPr>
              <w:spacing w:after="0"/>
              <w:rPr>
                <w:sz w:val="1"/>
                <w:szCs w:val="1"/>
                <w:color w:val="auto"/>
              </w:rPr>
            </w:pPr>
          </w:p>
        </w:tc>
      </w:tr>
      <w:tr>
        <w:trPr>
          <w:trHeight w:val="23"/>
        </w:trPr>
        <w:tc>
          <w:tcPr>
            <w:tcW w:w="2960" w:type="dxa"/>
            <w:vAlign w:val="bottom"/>
            <w:tcBorders>
              <w:left w:val="single" w:sz="8" w:color="3465B0"/>
              <w:right w:val="single" w:sz="8" w:color="93A1D2"/>
            </w:tcBorders>
          </w:tcPr>
          <w:p>
            <w:pPr>
              <w:spacing w:after="0"/>
              <w:rPr>
                <w:sz w:val="2"/>
                <w:szCs w:val="2"/>
                <w:color w:val="auto"/>
              </w:rPr>
            </w:pPr>
          </w:p>
        </w:tc>
        <w:tc>
          <w:tcPr>
            <w:tcW w:w="140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right w:val="single" w:sz="8" w:color="3465B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Bill Clark</w:t>
            </w:r>
          </w:p>
        </w:tc>
        <w:tc>
          <w:tcPr>
            <w:tcW w:w="1400" w:type="dxa"/>
            <w:vAlign w:val="bottom"/>
            <w:tcBorders>
              <w:bottom w:val="single" w:sz="8" w:color="CCCCCC"/>
              <w:right w:val="single" w:sz="8" w:color="93A1D2"/>
            </w:tcBorders>
            <w:shd w:val="clear" w:color="auto" w:fill="CCCCC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CCCC"/>
            </w:tcBorders>
            <w:shd w:val="clear" w:color="auto" w:fill="CCCCCC"/>
          </w:tcPr>
          <w:p>
            <w:pPr>
              <w:spacing w:after="0"/>
              <w:rPr>
                <w:sz w:val="21"/>
                <w:szCs w:val="21"/>
                <w:color w:val="auto"/>
              </w:rPr>
            </w:pPr>
          </w:p>
        </w:tc>
        <w:tc>
          <w:tcPr>
            <w:tcW w:w="1520" w:type="dxa"/>
            <w:vAlign w:val="bottom"/>
            <w:tcBorders>
              <w:bottom w:val="single" w:sz="8" w:color="CCCCCC"/>
              <w:right w:val="single" w:sz="8" w:color="93A1D2"/>
            </w:tcBorders>
            <w:shd w:val="clear" w:color="auto" w:fill="CCCCCC"/>
          </w:tcPr>
          <w:p>
            <w:pPr>
              <w:jc w:val="right"/>
              <w:ind w:right="13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CCCC"/>
              <w:right w:val="single" w:sz="8" w:color="93A1D2"/>
            </w:tcBorders>
            <w:gridSpan w:val="2"/>
            <w:shd w:val="clear" w:color="auto" w:fill="CCCCCC"/>
          </w:tcPr>
          <w:p>
            <w:pPr>
              <w:jc w:val="right"/>
              <w:ind w:right="130"/>
              <w:spacing w:after="0"/>
              <w:rPr>
                <w:sz w:val="20"/>
                <w:szCs w:val="20"/>
                <w:color w:val="auto"/>
              </w:rPr>
            </w:pPr>
            <w:r>
              <w:rPr>
                <w:rFonts w:ascii="Arial" w:cs="Arial" w:eastAsia="Arial" w:hAnsi="Arial"/>
                <w:sz w:val="18"/>
                <w:szCs w:val="18"/>
                <w:color w:val="auto"/>
              </w:rPr>
              <w:t>11,791</w:t>
            </w:r>
          </w:p>
        </w:tc>
        <w:tc>
          <w:tcPr>
            <w:tcW w:w="1680" w:type="dxa"/>
            <w:vAlign w:val="bottom"/>
            <w:tcBorders>
              <w:bottom w:val="single" w:sz="8" w:color="CCCCCC"/>
              <w:right w:val="single" w:sz="8" w:color="3465B0"/>
            </w:tcBorders>
            <w:gridSpan w:val="2"/>
            <w:shd w:val="clear" w:color="auto" w:fill="CCCCCC"/>
          </w:tcPr>
          <w:p>
            <w:pPr>
              <w:jc w:val="right"/>
              <w:spacing w:after="0"/>
              <w:rPr>
                <w:sz w:val="20"/>
                <w:szCs w:val="20"/>
                <w:color w:val="auto"/>
              </w:rPr>
            </w:pPr>
            <w:r>
              <w:rPr>
                <w:rFonts w:ascii="Arial" w:cs="Arial" w:eastAsia="Arial" w:hAnsi="Arial"/>
                <w:sz w:val="18"/>
                <w:szCs w:val="18"/>
                <w:color w:val="auto"/>
              </w:rPr>
              <w:t>149,546</w:t>
            </w:r>
          </w:p>
        </w:tc>
        <w:tc>
          <w:tcPr>
            <w:tcW w:w="0" w:type="dxa"/>
            <w:vAlign w:val="bottom"/>
          </w:tcPr>
          <w:p>
            <w:pPr>
              <w:spacing w:after="0"/>
              <w:rPr>
                <w:sz w:val="1"/>
                <w:szCs w:val="1"/>
                <w:color w:val="auto"/>
              </w:rPr>
            </w:pPr>
          </w:p>
        </w:tc>
      </w:tr>
      <w:tr>
        <w:trPr>
          <w:trHeight w:val="247"/>
        </w:trPr>
        <w:tc>
          <w:tcPr>
            <w:tcW w:w="296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Patrick R. Moore</w:t>
            </w:r>
          </w:p>
        </w:tc>
        <w:tc>
          <w:tcPr>
            <w:tcW w:w="1400" w:type="dxa"/>
            <w:vAlign w:val="bottom"/>
            <w:tcBorders>
              <w:right w:val="single" w:sz="8" w:color="93A1D2"/>
            </w:tcBorders>
          </w:tcPr>
          <w:p>
            <w:pPr>
              <w:jc w:val="right"/>
              <w:ind w:right="170"/>
              <w:spacing w:after="0"/>
              <w:rPr>
                <w:sz w:val="20"/>
                <w:szCs w:val="20"/>
                <w:color w:val="auto"/>
              </w:rPr>
            </w:pPr>
            <w:r>
              <w:rPr>
                <w:rFonts w:ascii="Arial" w:cs="Arial" w:eastAsia="Arial" w:hAnsi="Arial"/>
                <w:sz w:val="18"/>
                <w:szCs w:val="18"/>
                <w:color w:val="auto"/>
              </w:rPr>
              <w:t>92,443</w:t>
            </w:r>
          </w:p>
        </w:tc>
        <w:tc>
          <w:tcPr>
            <w:tcW w:w="1700" w:type="dxa"/>
            <w:vAlign w:val="bottom"/>
            <w:tcBorders>
              <w:right w:val="single" w:sz="8" w:color="93A1D2"/>
            </w:tcBorders>
            <w:gridSpan w:val="2"/>
          </w:tcPr>
          <w:p>
            <w:pPr>
              <w:jc w:val="right"/>
              <w:ind w:right="131"/>
              <w:spacing w:after="0"/>
              <w:rPr>
                <w:sz w:val="20"/>
                <w:szCs w:val="20"/>
                <w:color w:val="auto"/>
              </w:rPr>
            </w:pPr>
            <w:r>
              <w:rPr>
                <w:rFonts w:ascii="Arial" w:cs="Arial" w:eastAsia="Arial" w:hAnsi="Arial"/>
                <w:sz w:val="18"/>
                <w:szCs w:val="18"/>
                <w:color w:val="auto"/>
              </w:rPr>
              <w:t>537,732</w:t>
            </w:r>
          </w:p>
        </w:tc>
        <w:tc>
          <w:tcPr>
            <w:tcW w:w="1420" w:type="dxa"/>
            <w:vAlign w:val="bottom"/>
            <w:tcBorders>
              <w:right w:val="single" w:sz="8" w:color="93A1D2"/>
            </w:tcBorders>
            <w:gridSpan w:val="2"/>
          </w:tcPr>
          <w:p>
            <w:pPr>
              <w:jc w:val="right"/>
              <w:ind w:right="130"/>
              <w:spacing w:after="0"/>
              <w:rPr>
                <w:sz w:val="20"/>
                <w:szCs w:val="20"/>
                <w:color w:val="auto"/>
              </w:rPr>
            </w:pPr>
            <w:r>
              <w:rPr>
                <w:rFonts w:ascii="Arial" w:cs="Arial" w:eastAsia="Arial" w:hAnsi="Arial"/>
                <w:sz w:val="18"/>
                <w:szCs w:val="18"/>
                <w:color w:val="auto"/>
              </w:rPr>
              <w:t>24,238</w:t>
            </w:r>
          </w:p>
        </w:tc>
        <w:tc>
          <w:tcPr>
            <w:tcW w:w="1680" w:type="dxa"/>
            <w:vAlign w:val="bottom"/>
            <w:tcBorders>
              <w:right w:val="single" w:sz="8" w:color="3465B0"/>
            </w:tcBorders>
            <w:gridSpan w:val="2"/>
          </w:tcPr>
          <w:p>
            <w:pPr>
              <w:jc w:val="right"/>
              <w:spacing w:after="0"/>
              <w:rPr>
                <w:sz w:val="20"/>
                <w:szCs w:val="20"/>
                <w:color w:val="auto"/>
              </w:rPr>
            </w:pPr>
            <w:r>
              <w:rPr>
                <w:rFonts w:ascii="Arial" w:cs="Arial" w:eastAsia="Arial" w:hAnsi="Arial"/>
                <w:sz w:val="18"/>
                <w:szCs w:val="18"/>
                <w:color w:val="auto"/>
              </w:rPr>
              <w:t>354,191</w:t>
            </w:r>
          </w:p>
        </w:tc>
        <w:tc>
          <w:tcPr>
            <w:tcW w:w="0" w:type="dxa"/>
            <w:vAlign w:val="bottom"/>
          </w:tcPr>
          <w:p>
            <w:pPr>
              <w:spacing w:after="0"/>
              <w:rPr>
                <w:sz w:val="1"/>
                <w:szCs w:val="1"/>
                <w:color w:val="auto"/>
              </w:rPr>
            </w:pPr>
          </w:p>
        </w:tc>
      </w:tr>
      <w:tr>
        <w:trPr>
          <w:trHeight w:val="23"/>
        </w:trPr>
        <w:tc>
          <w:tcPr>
            <w:tcW w:w="2960" w:type="dxa"/>
            <w:vAlign w:val="bottom"/>
            <w:tcBorders>
              <w:left w:val="single" w:sz="8" w:color="3465B0"/>
              <w:right w:val="single" w:sz="8" w:color="93A1D2"/>
            </w:tcBorders>
          </w:tcPr>
          <w:p>
            <w:pPr>
              <w:spacing w:after="0"/>
              <w:rPr>
                <w:sz w:val="2"/>
                <w:szCs w:val="2"/>
                <w:color w:val="auto"/>
              </w:rPr>
            </w:pPr>
          </w:p>
        </w:tc>
        <w:tc>
          <w:tcPr>
            <w:tcW w:w="140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right w:val="single" w:sz="8" w:color="3465B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960" w:type="dxa"/>
            <w:vAlign w:val="bottom"/>
            <w:tcBorders>
              <w:left w:val="single" w:sz="8" w:color="3465B0"/>
              <w:bottom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Melissa Rasmussen</w:t>
            </w:r>
          </w:p>
        </w:tc>
        <w:tc>
          <w:tcPr>
            <w:tcW w:w="1400" w:type="dxa"/>
            <w:vAlign w:val="bottom"/>
            <w:tcBorders>
              <w:bottom w:val="single" w:sz="8" w:color="3465B0"/>
              <w:right w:val="single" w:sz="8" w:color="93A1D2"/>
            </w:tcBorders>
            <w:shd w:val="clear" w:color="auto" w:fill="CCCCC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3465B0"/>
            </w:tcBorders>
            <w:shd w:val="clear" w:color="auto" w:fill="CCCCCC"/>
          </w:tcPr>
          <w:p>
            <w:pPr>
              <w:spacing w:after="0"/>
              <w:rPr>
                <w:sz w:val="20"/>
                <w:szCs w:val="20"/>
                <w:color w:val="auto"/>
              </w:rPr>
            </w:pPr>
          </w:p>
        </w:tc>
        <w:tc>
          <w:tcPr>
            <w:tcW w:w="1520" w:type="dxa"/>
            <w:vAlign w:val="bottom"/>
            <w:tcBorders>
              <w:bottom w:val="single" w:sz="8" w:color="3465B0"/>
              <w:right w:val="single" w:sz="8" w:color="93A1D2"/>
            </w:tcBorders>
            <w:shd w:val="clear" w:color="auto" w:fill="CCCCCC"/>
          </w:tcPr>
          <w:p>
            <w:pPr>
              <w:jc w:val="right"/>
              <w:ind w:right="1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3465B0"/>
            </w:tcBorders>
            <w:shd w:val="clear" w:color="auto" w:fill="CCCCCC"/>
          </w:tcPr>
          <w:p>
            <w:pPr>
              <w:spacing w:after="0"/>
              <w:rPr>
                <w:sz w:val="20"/>
                <w:szCs w:val="20"/>
                <w:color w:val="auto"/>
              </w:rPr>
            </w:pPr>
          </w:p>
        </w:tc>
        <w:tc>
          <w:tcPr>
            <w:tcW w:w="1240" w:type="dxa"/>
            <w:vAlign w:val="bottom"/>
            <w:tcBorders>
              <w:bottom w:val="single" w:sz="8" w:color="3465B0"/>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11,609</w:t>
            </w:r>
          </w:p>
        </w:tc>
        <w:tc>
          <w:tcPr>
            <w:tcW w:w="200" w:type="dxa"/>
            <w:vAlign w:val="bottom"/>
            <w:tcBorders>
              <w:bottom w:val="single" w:sz="8" w:color="3465B0"/>
            </w:tcBorders>
            <w:shd w:val="clear" w:color="auto" w:fill="CCCCCC"/>
          </w:tcPr>
          <w:p>
            <w:pPr>
              <w:spacing w:after="0"/>
              <w:rPr>
                <w:sz w:val="20"/>
                <w:szCs w:val="20"/>
                <w:color w:val="auto"/>
              </w:rPr>
            </w:pPr>
          </w:p>
        </w:tc>
        <w:tc>
          <w:tcPr>
            <w:tcW w:w="1480" w:type="dxa"/>
            <w:vAlign w:val="bottom"/>
            <w:tcBorders>
              <w:bottom w:val="single" w:sz="8" w:color="3465B0"/>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147,224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-2345690</wp:posOffset>
            </wp:positionV>
            <wp:extent cx="3926205" cy="3086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26205" cy="308610"/>
                    </a:xfrm>
                    <a:prstGeom prst="rect">
                      <a:avLst/>
                    </a:prstGeom>
                    <a:noFill/>
                  </pic:spPr>
                </pic:pic>
              </a:graphicData>
            </a:graphic>
          </wp:anchor>
        </w:drawing>
      </w:r>
    </w:p>
    <w:p>
      <w:pPr>
        <w:spacing w:after="0" w:line="130" w:lineRule="exact"/>
        <w:rPr>
          <w:sz w:val="20"/>
          <w:szCs w:val="20"/>
          <w:color w:val="auto"/>
        </w:rPr>
      </w:pPr>
    </w:p>
    <w:p>
      <w:pPr>
        <w:jc w:val="both"/>
        <w:ind w:left="360" w:right="20" w:hanging="348"/>
        <w:spacing w:after="0" w:line="256" w:lineRule="auto"/>
        <w:tabs>
          <w:tab w:leader="none" w:pos="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“Value Realized on Exercise” was calculated in accordance with SEC rules by multiplying the gross number of shares underlying the exercised stock options times the difference between the closing price of our common stock on the exercise date and the exercise price of the option and, along with the “Number of Shares Acquired on Exercise,” has not been reduced to account for any shares withheld by the company to satisfy the exercise price or tax liability incident to the exercise of stock options.</w:t>
      </w:r>
    </w:p>
    <w:p>
      <w:pPr>
        <w:spacing w:after="0" w:line="69" w:lineRule="exact"/>
        <w:rPr>
          <w:rFonts w:ascii="Arial" w:cs="Arial" w:eastAsia="Arial" w:hAnsi="Arial"/>
          <w:sz w:val="14"/>
          <w:szCs w:val="14"/>
          <w:color w:val="auto"/>
        </w:rPr>
      </w:pPr>
    </w:p>
    <w:p>
      <w:pPr>
        <w:jc w:val="both"/>
        <w:ind w:left="360" w:right="20" w:hanging="348"/>
        <w:spacing w:after="0" w:line="256" w:lineRule="auto"/>
        <w:tabs>
          <w:tab w:leader="none" w:pos="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“Value Realized on Vesting” was calculated in accordance with SEC rules by multiplying the gross number of shares underlying the vested restricted stock units times the closing price of our common stock on the vesting date. The “Value Realized on Vesting” and “Number of Shares Acquired on Vesting” have not been reduced to account for any shares withheld by the company to satisfy the tax liability incident to the vesting of restricted stock units.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65B0"/>
        </w:rPr>
        <w:t>Potential Payments upon Termination or Change in Control</w:t>
      </w:r>
    </w:p>
    <w:p>
      <w:pPr>
        <w:spacing w:after="0" w:line="14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following section describes the payments and benefits that may become payable to the NEOs in connection with their termination of employment and/or a change in control. The following descriptions of potential payments to our named executive officers upon termination of employment or a change of control are qualified in their entirety by reference to the relevant policy, plan or agreement. All such payments and benefits will be paid or provided by us or National Vision, Inc.</w:t>
      </w:r>
    </w:p>
    <w:p>
      <w:pPr>
        <w:spacing w:after="0" w:line="10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A “Qualifying Termination” under the arrangements means termination of employment by the Company without cause or by the executive for good reason. “Cause” under the arrangements generally refers to specified types of serious misconduct that may harm our company. In some cases, executive officers have “good reason” to terminate their employment if there is a material negative change to their working conditions or position within our organization or if we breach the terms of the agreements. “Disability” generally means the complete and permanent inability of the executive by reason of illness or accident to perform their duties. The definitions may vary among different arrangements.</w:t>
      </w:r>
    </w:p>
    <w:p>
      <w:pPr>
        <w:spacing w:after="0" w:line="104"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A “change in control” under the 2017 Omnibus Plan generally will occur if: any person becomes the beneficial owner of securities representing 50% or more of our outstanding shares of common stock or combined voting power, including by purchase, merger, consolidation, combination or other similar transaction; specified changes occur to our incumbent board of directors; or we complete a plan of complete liquidation or dissolution or the sale or disposition of all or substantially all of our assets occurs. The complete definitions of cause, good reason, disability and change in control are set forth in the policy and agreements described herein, all of which we have filed with the SEC.</w:t>
      </w:r>
    </w:p>
    <w:p>
      <w:pPr>
        <w:spacing w:after="0" w:line="62" w:lineRule="exact"/>
        <w:rPr>
          <w:sz w:val="20"/>
          <w:szCs w:val="20"/>
          <w:color w:val="auto"/>
        </w:rPr>
      </w:pPr>
    </w:p>
    <w:p>
      <w:pPr>
        <w:ind w:left="360" w:hanging="346"/>
        <w:spacing w:after="0"/>
        <w:tabs>
          <w:tab w:leader="none" w:pos="360" w:val="left"/>
        </w:tabs>
        <w:numPr>
          <w:ilvl w:val="0"/>
          <w:numId w:val="69"/>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1" w:name="page62"/>
    <w:bookmarkEnd w:id="61"/>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3"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29"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The Executive Severance Plan provides for severance payments and benefits to eligible employees, including our NEOs, upon a Qualifying Termination. In the event of a Qualifying Termination (which is also referred to as a “covered termination” under the Executive Severance Plan), the Executive Severance Plan provides, in addition to certain accrued obligations, for the following payments and benefits:</w:t>
      </w:r>
    </w:p>
    <w:p>
      <w:pPr>
        <w:sectPr>
          <w:pgSz w:w="11900" w:h="16838" w:orient="portrait"/>
          <w:cols w:equalWidth="0" w:num="1">
            <w:col w:w="11020"/>
          </w:cols>
          <w:pgMar w:left="440" w:top="114" w:right="439" w:bottom="1440" w:gutter="0" w:footer="0" w:header="0"/>
        </w:sectPr>
      </w:pPr>
    </w:p>
    <w:p>
      <w:pPr>
        <w:spacing w:after="0" w:line="72"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lump-sum pro-rata bonus for the year of termination of employment, based on actual performance;</w:t>
      </w:r>
    </w:p>
    <w:p>
      <w:pPr>
        <w:spacing w:after="0" w:line="104" w:lineRule="exact"/>
        <w:rPr>
          <w:sz w:val="20"/>
          <w:szCs w:val="20"/>
          <w:color w:val="auto"/>
        </w:rPr>
      </w:pPr>
    </w:p>
    <w:p>
      <w:pPr>
        <w:jc w:val="both"/>
        <w:ind w:right="960"/>
        <w:spacing w:after="0" w:line="242" w:lineRule="auto"/>
        <w:rPr>
          <w:sz w:val="20"/>
          <w:szCs w:val="20"/>
          <w:color w:val="auto"/>
        </w:rPr>
      </w:pPr>
      <w:r>
        <w:rPr>
          <w:rFonts w:ascii="Arial" w:cs="Arial" w:eastAsia="Arial" w:hAnsi="Arial"/>
          <w:sz w:val="18"/>
          <w:szCs w:val="18"/>
          <w:color w:val="auto"/>
        </w:rPr>
        <w:t>An amount equal to the sum of the executive’s (x) annual base salary and (y) bonus based on target performance, which we refer to collectively as the “cash severance amount,” times the multiplier applicable to such executive, which is 2.0 for Mr. Wilkes, 1.5 for Messrs. Laden, Brandman and Moore and Ms. Rasmussen, and 1.0 for Messrs. Banner and Clark, payable over a period of 24 months for Mr. Wilkes, 18 months for Messrs. Laden, Brandman and Moore and Ms. Rasmussen, and 12 months for Messrs. Banner and Clark; and</w:t>
      </w:r>
    </w:p>
    <w:p>
      <w:pPr>
        <w:spacing w:after="0" w:line="71" w:lineRule="exact"/>
        <w:rPr>
          <w:sz w:val="20"/>
          <w:szCs w:val="20"/>
          <w:color w:val="auto"/>
        </w:rPr>
      </w:pPr>
    </w:p>
    <w:p>
      <w:pPr>
        <w:jc w:val="both"/>
        <w:ind w:right="960"/>
        <w:spacing w:after="0" w:line="247" w:lineRule="auto"/>
        <w:rPr>
          <w:sz w:val="20"/>
          <w:szCs w:val="20"/>
          <w:color w:val="auto"/>
        </w:rPr>
      </w:pPr>
      <w:r>
        <w:rPr>
          <w:rFonts w:ascii="Arial" w:cs="Arial" w:eastAsia="Arial" w:hAnsi="Arial"/>
          <w:sz w:val="18"/>
          <w:szCs w:val="18"/>
          <w:color w:val="auto"/>
        </w:rPr>
        <w:t>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Wilkes, 18 months for Messrs. Laden, Brandman and Moore and Ms. Rasmussen, and 12 months for Messrs. Banner and Clark.</w:t>
      </w:r>
    </w:p>
    <w:p>
      <w:pPr>
        <w:spacing w:after="0" w:line="106" w:lineRule="exact"/>
        <w:rPr>
          <w:sz w:val="20"/>
          <w:szCs w:val="20"/>
          <w:color w:val="auto"/>
        </w:rPr>
      </w:pPr>
    </w:p>
    <w:p>
      <w:pPr>
        <w:sectPr>
          <w:pgSz w:w="11900" w:h="16838" w:orient="portrait"/>
          <w:cols w:equalWidth="0" w:num="2">
            <w:col w:w="1320" w:space="140"/>
            <w:col w:w="9560"/>
          </w:cols>
          <w:pgMar w:left="440" w:top="114" w:right="439" w:bottom="1440" w:gutter="0" w:footer="0" w:header="0"/>
          <w:type w:val="continuous"/>
        </w:sectPr>
      </w:pPr>
    </w:p>
    <w:p>
      <w:pPr>
        <w:ind w:left="940" w:right="940"/>
        <w:spacing w:after="0" w:line="271" w:lineRule="auto"/>
        <w:rPr>
          <w:sz w:val="20"/>
          <w:szCs w:val="20"/>
          <w:color w:val="auto"/>
        </w:rPr>
      </w:pPr>
      <w:r>
        <w:rPr>
          <w:rFonts w:ascii="Arial" w:cs="Arial" w:eastAsia="Arial" w:hAnsi="Arial"/>
          <w:sz w:val="18"/>
          <w:szCs w:val="18"/>
          <w:color w:val="auto"/>
        </w:rPr>
        <w:t>Upon a Qualifying Termination that occurs within the two-year period following a change in control, the Executive Severance Plan provides, in addition to certain accrued obligations, for the following payments and benefits:</w:t>
      </w:r>
    </w:p>
    <w:p>
      <w:pPr>
        <w:sectPr>
          <w:pgSz w:w="11900" w:h="16838" w:orient="portrait"/>
          <w:cols w:equalWidth="0" w:num="1">
            <w:col w:w="11020"/>
          </w:cols>
          <w:pgMar w:left="440" w:top="114" w:right="439" w:bottom="1440" w:gutter="0" w:footer="0" w:header="0"/>
          <w:type w:val="continuous"/>
        </w:sectPr>
      </w:pPr>
    </w:p>
    <w:p>
      <w:pPr>
        <w:spacing w:after="0" w:line="51"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130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 lump-sum pro-rata bonus for the year of termination of employment, based on target performance;</w:t>
      </w:r>
    </w:p>
    <w:p>
      <w:pPr>
        <w:spacing w:after="0" w:line="104" w:lineRule="exact"/>
        <w:rPr>
          <w:sz w:val="20"/>
          <w:szCs w:val="20"/>
          <w:color w:val="auto"/>
        </w:rPr>
      </w:pPr>
    </w:p>
    <w:p>
      <w:pPr>
        <w:jc w:val="both"/>
        <w:ind w:right="960"/>
        <w:spacing w:after="0" w:line="253" w:lineRule="auto"/>
        <w:rPr>
          <w:sz w:val="20"/>
          <w:szCs w:val="20"/>
          <w:color w:val="auto"/>
        </w:rPr>
      </w:pPr>
      <w:r>
        <w:rPr>
          <w:rFonts w:ascii="Arial" w:cs="Arial" w:eastAsia="Arial" w:hAnsi="Arial"/>
          <w:sz w:val="18"/>
          <w:szCs w:val="18"/>
          <w:color w:val="auto"/>
        </w:rPr>
        <w:t>The cash severance amount, times the multiplier applicable to such executive, which is 2.5 for Mr. Wilkes, 2.0 for Messrs. Laden, Brandman and Moore and Ms. Rasmussen, and 1.5 for Messrs. Banner and Clark, payable in a lump sum within 60 days following the covered termination;</w:t>
      </w:r>
    </w:p>
    <w:p>
      <w:pPr>
        <w:spacing w:after="0" w:line="61" w:lineRule="exact"/>
        <w:rPr>
          <w:sz w:val="20"/>
          <w:szCs w:val="20"/>
          <w:color w:val="auto"/>
        </w:rPr>
      </w:pPr>
    </w:p>
    <w:p>
      <w:pPr>
        <w:jc w:val="both"/>
        <w:ind w:right="960"/>
        <w:spacing w:after="0" w:line="271" w:lineRule="auto"/>
        <w:rPr>
          <w:sz w:val="20"/>
          <w:szCs w:val="20"/>
          <w:color w:val="auto"/>
        </w:rPr>
      </w:pPr>
      <w:r>
        <w:rPr>
          <w:rFonts w:ascii="Arial" w:cs="Arial" w:eastAsia="Arial" w:hAnsi="Arial"/>
          <w:sz w:val="18"/>
          <w:szCs w:val="18"/>
          <w:color w:val="auto"/>
        </w:rPr>
        <w:t>Health and welfare benefits for a period of 30 months for Mr. Wilkes, 24 months for Messrs. Laden, Brandman and Moore and Ms. Rasmussen, and 18 months for Messrs. Banner and Clark; and</w:t>
      </w:r>
    </w:p>
    <w:p>
      <w:pPr>
        <w:spacing w:after="0" w:line="46" w:lineRule="exact"/>
        <w:rPr>
          <w:sz w:val="20"/>
          <w:szCs w:val="20"/>
          <w:color w:val="auto"/>
        </w:rPr>
      </w:pPr>
    </w:p>
    <w:p>
      <w:pPr>
        <w:jc w:val="both"/>
        <w:ind w:right="960"/>
        <w:spacing w:after="0" w:line="271" w:lineRule="auto"/>
        <w:rPr>
          <w:sz w:val="20"/>
          <w:szCs w:val="20"/>
          <w:color w:val="auto"/>
        </w:rPr>
      </w:pPr>
      <w:r>
        <w:rPr>
          <w:rFonts w:ascii="Arial" w:cs="Arial" w:eastAsia="Arial" w:hAnsi="Arial"/>
          <w:sz w:val="18"/>
          <w:szCs w:val="18"/>
          <w:color w:val="auto"/>
        </w:rPr>
        <w:t>Payment of, or reimbursement for, up to $20,000 in outplacement services within the six-month period following termination of employment.</w:t>
      </w:r>
    </w:p>
    <w:p>
      <w:pPr>
        <w:spacing w:after="0" w:line="86" w:lineRule="exact"/>
        <w:rPr>
          <w:sz w:val="20"/>
          <w:szCs w:val="20"/>
          <w:color w:val="auto"/>
        </w:rPr>
      </w:pPr>
    </w:p>
    <w:p>
      <w:pPr>
        <w:sectPr>
          <w:pgSz w:w="11900" w:h="16838" w:orient="portrait"/>
          <w:cols w:equalWidth="0" w:num="2">
            <w:col w:w="1320" w:space="140"/>
            <w:col w:w="9560"/>
          </w:cols>
          <w:pgMar w:left="440" w:top="114" w:right="439" w:bottom="1440" w:gutter="0" w:footer="0" w:header="0"/>
          <w:type w:val="continuous"/>
        </w:sectPr>
      </w:pPr>
    </w:p>
    <w:p>
      <w:pPr>
        <w:jc w:val="both"/>
        <w:ind w:left="940" w:right="940"/>
        <w:spacing w:after="0" w:line="271" w:lineRule="auto"/>
        <w:rPr>
          <w:sz w:val="20"/>
          <w:szCs w:val="20"/>
          <w:color w:val="auto"/>
        </w:rPr>
      </w:pPr>
      <w:r>
        <w:rPr>
          <w:rFonts w:ascii="Arial" w:cs="Arial" w:eastAsia="Arial" w:hAnsi="Arial"/>
          <w:sz w:val="18"/>
          <w:szCs w:val="18"/>
          <w:color w:val="auto"/>
        </w:rPr>
        <w:t>Any outstanding awards granted to NEOs under the Company’s equity plans will vest in accordance with the terms of the respective plan and the applicable award agreement, as detailed further below.</w:t>
      </w:r>
    </w:p>
    <w:p>
      <w:pPr>
        <w:spacing w:after="0" w:line="73" w:lineRule="exact"/>
        <w:rPr>
          <w:sz w:val="20"/>
          <w:szCs w:val="20"/>
          <w:color w:val="auto"/>
        </w:rPr>
      </w:pPr>
    </w:p>
    <w:p>
      <w:pPr>
        <w:jc w:val="both"/>
        <w:ind w:left="940" w:right="960"/>
        <w:spacing w:after="0" w:line="253" w:lineRule="auto"/>
        <w:rPr>
          <w:sz w:val="20"/>
          <w:szCs w:val="20"/>
          <w:color w:val="auto"/>
        </w:rPr>
      </w:pPr>
      <w:r>
        <w:rPr>
          <w:rFonts w:ascii="Arial" w:cs="Arial" w:eastAsia="Arial" w:hAnsi="Arial"/>
          <w:sz w:val="18"/>
          <w:szCs w:val="18"/>
          <w:color w:val="auto"/>
        </w:rPr>
        <w:t>Payments and benefits under the Executive Severance Plan are subject to (i) the executive’s execution and non-revocation of a release of claims in favor of the Company and (ii) continued compliance with the executive’s confidentiality, non-interference and invention assignment obligations to the Company.</w:t>
      </w:r>
    </w:p>
    <w:p>
      <w:pPr>
        <w:spacing w:after="0" w:line="144"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42"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performance stock units will be converted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restricted stock units equal to the greater of the target number of performance stock units or the number of performance stock units that would have been earned based on the actual performance as of the date of the change in control. If a successor does not assume, convert, or replace the award in connection with the change in control, or upon a Qualifying Termination within the two-year period following a change in control, the converted award will become fully vested.</w:t>
      </w:r>
    </w:p>
    <w:p>
      <w:pPr>
        <w:spacing w:after="0" w:line="111"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the outstanding and unvested performance stock units will become vested assuming a payout at 100% of the target award.</w:t>
      </w:r>
    </w:p>
    <w:p>
      <w:pPr>
        <w:spacing w:after="0" w:line="88"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performance stock units, unvested performance stock units will not become vested following termination of employment with us for any reason, including retirement or a Qualifying Termination, and any performance stock units that are unvested as of the date of termination of employment will immediately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55245</wp:posOffset>
            </wp:positionV>
            <wp:extent cx="205740" cy="2057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55</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type w:val="continuous"/>
        </w:sectPr>
      </w:pPr>
    </w:p>
    <w:bookmarkStart w:id="62" w:name="page63"/>
    <w:bookmarkEnd w:id="6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9"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i w:val="1"/>
          <w:iCs w:val="1"/>
          <w:color w:val="auto"/>
        </w:rPr>
        <w:t>Effect of Change in Control on Vesting</w:t>
      </w:r>
      <w:r>
        <w:rPr>
          <w:rFonts w:ascii="Arial" w:cs="Arial" w:eastAsia="Arial" w:hAnsi="Arial"/>
          <w:sz w:val="18"/>
          <w:szCs w:val="18"/>
          <w:color w:val="auto"/>
        </w:rPr>
        <w:t>. In the event of a Qualifying Termination within the two-year period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 change in control, unvested restricted stock units will become vested.</w:t>
      </w:r>
    </w:p>
    <w:p>
      <w:pPr>
        <w:spacing w:after="0" w:line="86"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i w:val="1"/>
          <w:iCs w:val="1"/>
          <w:color w:val="auto"/>
        </w:rPr>
        <w:t>Effect of Death or Disability on Vesting</w:t>
      </w:r>
      <w:r>
        <w:rPr>
          <w:rFonts w:ascii="Arial" w:cs="Arial" w:eastAsia="Arial" w:hAnsi="Arial"/>
          <w:sz w:val="18"/>
          <w:szCs w:val="18"/>
          <w:color w:val="auto"/>
        </w:rPr>
        <w:t>. Upon a termination of a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unvested restricted stock units will become vested.</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i w:val="1"/>
          <w:iCs w:val="1"/>
          <w:color w:val="auto"/>
        </w:rPr>
        <w:t>Effect of Retirement on Vesting</w:t>
      </w:r>
      <w:r>
        <w:rPr>
          <w:rFonts w:ascii="Arial" w:cs="Arial" w:eastAsia="Arial" w:hAnsi="Arial"/>
          <w:sz w:val="18"/>
          <w:szCs w:val="18"/>
          <w:color w:val="auto"/>
        </w:rPr>
        <w:t>. Upon a NEO’s retirement (as defined in the 2017 Omnibus Plan), a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restricted stock units that would have vested on the next vesting date following the termination date will become vested.</w:t>
      </w:r>
    </w:p>
    <w:p>
      <w:pPr>
        <w:spacing w:after="0" w:line="8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i w:val="1"/>
          <w:iCs w:val="1"/>
          <w:color w:val="auto"/>
        </w:rPr>
        <w:t>Effect of Other Terminations of Employment</w:t>
      </w:r>
      <w:r>
        <w:rPr>
          <w:rFonts w:ascii="Arial" w:cs="Arial" w:eastAsia="Arial" w:hAnsi="Arial"/>
          <w:sz w:val="18"/>
          <w:szCs w:val="18"/>
          <w:color w:val="auto"/>
        </w:rPr>
        <w:t>. 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or retirement, unvested restricted stock units will not become vested following termination of employment with us for any reason, including a Qualifying Termination, and any restricted stock units that are unvested as of the date of termination of employment will immediately be forfeited.</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Executive Chair Agreement</w:t>
      </w:r>
    </w:p>
    <w:p>
      <w:pPr>
        <w:spacing w:after="0" w:line="12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On April 28, 2025, in connection with the Succession Plan, we entered into an Executive Chair Agreement with Mr. Fahs which provides for the terms of his service as Executive Chairman. If we terminate the Executive Chair Agreement without “cause” or Mr. Fahs resigns for “good reason” (as such terms are defined in the Executive Chair Agreement) then, conditioned upon his execution and non-revocation of a general release of claims, Mr. Fahs will receive:</w:t>
      </w:r>
    </w:p>
    <w:p>
      <w:pPr>
        <w:sectPr>
          <w:pgSz w:w="11900" w:h="16838" w:orient="portrait"/>
          <w:cols w:equalWidth="0" w:num="1">
            <w:col w:w="9160"/>
          </w:cols>
          <w:pgMar w:left="1360" w:top="114" w:right="1379" w:bottom="1440" w:gutter="0" w:footer="0" w:header="0"/>
        </w:sectPr>
      </w:pPr>
    </w:p>
    <w:p>
      <w:pPr>
        <w:spacing w:after="0" w:line="74"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Severance equal to the remaining salary that he would have earned through the end of the term of the agreement, payable in installments in accordance with our normal payroll practices;</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the agreement is terminated in 2025 or 2026, a lump sum bonus for the year of termination at the target level (if any);</w:t>
      </w:r>
    </w:p>
    <w:p>
      <w:pPr>
        <w:spacing w:after="0" w:line="4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Continued health insurance coverage at substantially the same level as provided to him immediately prior to such termination for the remainder of the term of the agreement at the same cost to the Executive as is generally provided to similarly-situated active employees of the Company; and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Continued vesting of his then-outstanding equity awards.</w:t>
      </w:r>
    </w:p>
    <w:p>
      <w:pPr>
        <w:spacing w:after="0" w:line="144"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jc w:val="both"/>
        <w:ind w:left="20"/>
        <w:spacing w:after="0" w:line="247" w:lineRule="auto"/>
        <w:rPr>
          <w:sz w:val="20"/>
          <w:szCs w:val="20"/>
          <w:color w:val="auto"/>
        </w:rPr>
      </w:pPr>
      <w:r>
        <w:rPr>
          <w:rFonts w:ascii="Arial" w:cs="Arial" w:eastAsia="Arial" w:hAnsi="Arial"/>
          <w:sz w:val="18"/>
          <w:szCs w:val="18"/>
          <w:color w:val="auto"/>
        </w:rPr>
        <w:t>Upon a termination of the agreement by reason of Mr. Fahs’ death or disability, Mr. Fahs (or his estate or beneficiaries, as the case may be) shall will receive any accrued but unpaid salary, reimbursement for unreimbursed business expenses properly incurred, any employment benefits to which Mr. Fahs may be entitled, and continued vesting of his then-outstanding equity awards.</w:t>
      </w:r>
    </w:p>
    <w:p>
      <w:pPr>
        <w:spacing w:after="0" w:line="10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Any performance conditions for outstanding equity awards for which continued vesting is provided for under the agreement shall be earned based upon actual performance results over the applicable performance period. A copy of the Executive Chair Agreement is filed as an exhibit to the Company’s Annual Report on Form 10-K.</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Transition and Separation Agreement with Ms. Rasmussen</w:t>
      </w:r>
    </w:p>
    <w:p>
      <w:pPr>
        <w:spacing w:after="0" w:line="142"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Ms. Rasmussen’s employment with the Company ended on March 3, 2025. In February 2025, after concluding negotiations concerning her departure, the Company and Ms. Rasmussen entered into a transition and separation agreement under which Ms. Rasmussen agreed to remain with the Company through close of business on March 3, 2025, to continue to carry out the duties and responsibilities of the role of Chief Financial Officer during such time, including participating in the Company’s earnings calls and assisting in the preparation and filing of the Company’s annual report for the 2024 fiscal year; to actively transfer her duties and responsibilities to such persons as the Company may designate, including to her successor; and to provide such additional assistance as may be requested by the Company’s Chief Executive Officer or Board of Directors. At the end of the transition period, Ms. Rasmussen’s employment with the Company was terminated as a “covered termination” under the Company’s Executive Severance Plan, and Ms. Rasmussen received the associated severance and termination benefits thereunder which included a pro rata STIP award for fiscal year 2025, based upon two months and three days of service, and based upon actual performance; cash severance equal to 1.5 times the sum of her base salary and target STIP award for fiscal year 2025, payable over an 18-month period; and 18 months of COBRA premiums.</w:t>
      </w:r>
    </w:p>
    <w:p>
      <w:pPr>
        <w:spacing w:after="0" w:line="66" w:lineRule="exact"/>
        <w:rPr>
          <w:sz w:val="20"/>
          <w:szCs w:val="20"/>
          <w:color w:val="auto"/>
        </w:rPr>
      </w:pPr>
    </w:p>
    <w:p>
      <w:pPr>
        <w:ind w:left="360" w:hanging="346"/>
        <w:spacing w:after="0"/>
        <w:tabs>
          <w:tab w:leader="none" w:pos="360" w:val="left"/>
        </w:tabs>
        <w:numPr>
          <w:ilvl w:val="0"/>
          <w:numId w:val="70"/>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63" w:name="page64"/>
    <w:bookmarkEnd w:id="63"/>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As a condition to the receipt of these benefits, Ms. Rasmussen signed a general release and waiver of all claims and is required to continue to comply with the terms of her Confidentiality, Non-Interference, and Invention Assignment Agreement with the Company. A copy of the transition and separation agreement is filed as an exhibit to the Company’s Annual Report on Form 10-K.</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Potential Payment upon Termination of Employment</w:t>
      </w:r>
    </w:p>
    <w:p>
      <w:pPr>
        <w:spacing w:after="0" w:line="126"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The following table lists the payments and benefits that would have been triggered for each of our NEOs under the circumstances described below assuming that the applicable triggering event occurred on January 3, 2026. Consistent with SEC requirements, these estimated amounts have been calculated as if the NEO’s employment had been terminated as of January 3, 2026, the last day of fiscal 2025, and using the closing market price of our common stock on January 2, 2026, the last trading day in fiscal 2025 ($25.95 per share). All outstanding stock options were fully-vested as of January 3, 2026; accordingly, we did not include such stock options in the disclosure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940" w:type="dxa"/>
            <w:vAlign w:val="bottom"/>
            <w:tcBorders>
              <w:right w:val="single" w:sz="8" w:color="3465B0"/>
            </w:tcBorders>
          </w:tcPr>
          <w:p>
            <w:pPr>
              <w:spacing w:after="0"/>
              <w:rPr>
                <w:sz w:val="24"/>
                <w:szCs w:val="24"/>
                <w:color w:val="auto"/>
              </w:rPr>
            </w:pPr>
          </w:p>
        </w:tc>
        <w:tc>
          <w:tcPr>
            <w:tcW w:w="3400" w:type="dxa"/>
            <w:vAlign w:val="bottom"/>
            <w:tcBorders>
              <w:top w:val="single" w:sz="8" w:color="3465B0"/>
              <w:right w:val="single" w:sz="8" w:color="93A1D2"/>
            </w:tcBorders>
            <w:shd w:val="clear" w:color="auto" w:fill="3465B0"/>
          </w:tcPr>
          <w:p>
            <w:pPr>
              <w:spacing w:after="0"/>
              <w:rPr>
                <w:sz w:val="24"/>
                <w:szCs w:val="24"/>
                <w:color w:val="auto"/>
              </w:rPr>
            </w:pPr>
          </w:p>
        </w:tc>
        <w:tc>
          <w:tcPr>
            <w:tcW w:w="1300" w:type="dxa"/>
            <w:vAlign w:val="bottom"/>
            <w:tcBorders>
              <w:top w:val="single" w:sz="8" w:color="3465B0"/>
              <w:right w:val="single" w:sz="8" w:color="93A1D2"/>
            </w:tcBorders>
            <w:shd w:val="clear" w:color="auto" w:fill="3465B0"/>
          </w:tcPr>
          <w:p>
            <w:pPr>
              <w:spacing w:after="0"/>
              <w:rPr>
                <w:sz w:val="24"/>
                <w:szCs w:val="24"/>
                <w:color w:val="auto"/>
              </w:rPr>
            </w:pPr>
          </w:p>
        </w:tc>
        <w:tc>
          <w:tcPr>
            <w:tcW w:w="220" w:type="dxa"/>
            <w:vAlign w:val="bottom"/>
            <w:tcBorders>
              <w:top w:val="single" w:sz="8" w:color="3465B0"/>
            </w:tcBorders>
            <w:shd w:val="clear" w:color="auto" w:fill="3465B0"/>
          </w:tcPr>
          <w:p>
            <w:pPr>
              <w:spacing w:after="0"/>
              <w:rPr>
                <w:sz w:val="24"/>
                <w:szCs w:val="24"/>
                <w:color w:val="auto"/>
              </w:rPr>
            </w:pPr>
          </w:p>
        </w:tc>
        <w:tc>
          <w:tcPr>
            <w:tcW w:w="1280" w:type="dxa"/>
            <w:vAlign w:val="bottom"/>
            <w:tcBorders>
              <w:top w:val="single" w:sz="8" w:color="3465B0"/>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Continuation</w:t>
            </w:r>
          </w:p>
        </w:tc>
        <w:tc>
          <w:tcPr>
            <w:tcW w:w="1560" w:type="dxa"/>
            <w:vAlign w:val="bottom"/>
            <w:tcBorders>
              <w:top w:val="single" w:sz="8" w:color="3465B0"/>
              <w:right w:val="single" w:sz="8" w:color="93A1D2"/>
            </w:tcBorders>
            <w:shd w:val="clear" w:color="auto" w:fill="3465B0"/>
          </w:tcPr>
          <w:p>
            <w:pPr>
              <w:spacing w:after="0"/>
              <w:rPr>
                <w:sz w:val="24"/>
                <w:szCs w:val="24"/>
                <w:color w:val="auto"/>
              </w:rPr>
            </w:pPr>
          </w:p>
        </w:tc>
        <w:tc>
          <w:tcPr>
            <w:tcW w:w="600" w:type="dxa"/>
            <w:vAlign w:val="bottom"/>
            <w:tcBorders>
              <w:top w:val="single" w:sz="8" w:color="3465B0"/>
            </w:tcBorders>
            <w:shd w:val="clear" w:color="auto" w:fill="3465B0"/>
          </w:tcPr>
          <w:p>
            <w:pPr>
              <w:spacing w:after="0"/>
              <w:rPr>
                <w:sz w:val="24"/>
                <w:szCs w:val="24"/>
                <w:color w:val="auto"/>
              </w:rPr>
            </w:pPr>
          </w:p>
        </w:tc>
        <w:tc>
          <w:tcPr>
            <w:tcW w:w="780" w:type="dxa"/>
            <w:vAlign w:val="bottom"/>
            <w:tcBorders>
              <w:top w:val="single" w:sz="8" w:color="3465B0"/>
              <w:right w:val="single" w:sz="8" w:color="3465B0"/>
            </w:tcBorders>
            <w:shd w:val="clear" w:color="auto" w:fill="3465B0"/>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940" w:type="dxa"/>
            <w:vAlign w:val="bottom"/>
            <w:tcBorders>
              <w:right w:val="single" w:sz="8" w:color="3465B0"/>
            </w:tcBorders>
          </w:tcPr>
          <w:p>
            <w:pPr>
              <w:spacing w:after="0"/>
              <w:rPr>
                <w:sz w:val="16"/>
                <w:szCs w:val="16"/>
                <w:color w:val="auto"/>
              </w:rPr>
            </w:pPr>
          </w:p>
        </w:tc>
        <w:tc>
          <w:tcPr>
            <w:tcW w:w="3400" w:type="dxa"/>
            <w:vAlign w:val="bottom"/>
            <w:tcBorders>
              <w:right w:val="single" w:sz="8" w:color="93A1D2"/>
            </w:tcBorders>
            <w:shd w:val="clear" w:color="auto" w:fill="3465B0"/>
          </w:tcPr>
          <w:p>
            <w:pPr>
              <w:spacing w:after="0"/>
              <w:rPr>
                <w:sz w:val="16"/>
                <w:szCs w:val="16"/>
                <w:color w:val="auto"/>
              </w:rPr>
            </w:pPr>
          </w:p>
        </w:tc>
        <w:tc>
          <w:tcPr>
            <w:tcW w:w="1300" w:type="dxa"/>
            <w:vAlign w:val="bottom"/>
            <w:tcBorders>
              <w:right w:val="single" w:sz="8" w:color="93A1D2"/>
            </w:tcBorders>
            <w:shd w:val="clear" w:color="auto" w:fill="3465B0"/>
          </w:tcPr>
          <w:p>
            <w:pPr>
              <w:ind w:left="240"/>
              <w:spacing w:after="0"/>
              <w:rPr>
                <w:sz w:val="20"/>
                <w:szCs w:val="20"/>
                <w:color w:val="auto"/>
              </w:rPr>
            </w:pPr>
            <w:r>
              <w:rPr>
                <w:rFonts w:ascii="Arial" w:cs="Arial" w:eastAsia="Arial" w:hAnsi="Arial"/>
                <w:sz w:val="16"/>
                <w:szCs w:val="16"/>
                <w:b w:val="1"/>
                <w:bCs w:val="1"/>
                <w:color w:val="FFFFFF"/>
              </w:rPr>
              <w:t>Severance</w:t>
            </w:r>
          </w:p>
        </w:tc>
        <w:tc>
          <w:tcPr>
            <w:tcW w:w="220" w:type="dxa"/>
            <w:vAlign w:val="bottom"/>
            <w:shd w:val="clear" w:color="auto" w:fill="3465B0"/>
          </w:tcPr>
          <w:p>
            <w:pPr>
              <w:spacing w:after="0"/>
              <w:rPr>
                <w:sz w:val="16"/>
                <w:szCs w:val="16"/>
                <w:color w:val="auto"/>
              </w:rPr>
            </w:pPr>
          </w:p>
        </w:tc>
        <w:tc>
          <w:tcPr>
            <w:tcW w:w="128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of Health</w:t>
            </w:r>
          </w:p>
        </w:tc>
        <w:tc>
          <w:tcPr>
            <w:tcW w:w="1560" w:type="dxa"/>
            <w:vAlign w:val="bottom"/>
            <w:tcBorders>
              <w:right w:val="single" w:sz="8" w:color="93A1D2"/>
            </w:tcBorders>
            <w:shd w:val="clear" w:color="auto" w:fill="3465B0"/>
          </w:tcPr>
          <w:p>
            <w:pPr>
              <w:ind w:left="240"/>
              <w:spacing w:after="0"/>
              <w:rPr>
                <w:sz w:val="20"/>
                <w:szCs w:val="20"/>
                <w:color w:val="auto"/>
              </w:rPr>
            </w:pPr>
            <w:r>
              <w:rPr>
                <w:rFonts w:ascii="Arial" w:cs="Arial" w:eastAsia="Arial" w:hAnsi="Arial"/>
                <w:sz w:val="16"/>
                <w:szCs w:val="16"/>
                <w:b w:val="1"/>
                <w:bCs w:val="1"/>
                <w:color w:val="FFFFFF"/>
              </w:rPr>
              <w:t>Performance</w:t>
            </w:r>
          </w:p>
        </w:tc>
        <w:tc>
          <w:tcPr>
            <w:tcW w:w="1380" w:type="dxa"/>
            <w:vAlign w:val="bottom"/>
            <w:tcBorders>
              <w:right w:val="single" w:sz="8" w:color="3465B0"/>
            </w:tcBorders>
            <w:gridSpan w:val="2"/>
            <w:shd w:val="clear" w:color="auto" w:fill="3465B0"/>
          </w:tcPr>
          <w:p>
            <w:pPr>
              <w:ind w:left="240"/>
              <w:spacing w:after="0"/>
              <w:rPr>
                <w:sz w:val="20"/>
                <w:szCs w:val="20"/>
                <w:color w:val="auto"/>
              </w:rPr>
            </w:pPr>
            <w:r>
              <w:rPr>
                <w:rFonts w:ascii="Arial" w:cs="Arial" w:eastAsia="Arial" w:hAnsi="Arial"/>
                <w:sz w:val="16"/>
                <w:szCs w:val="16"/>
                <w:b w:val="1"/>
                <w:bCs w:val="1"/>
                <w:color w:val="FFFFFF"/>
              </w:rPr>
              <w:t>Restricted</w:t>
            </w:r>
          </w:p>
        </w:tc>
        <w:tc>
          <w:tcPr>
            <w:tcW w:w="940" w:type="dxa"/>
            <w:vAlign w:val="bottom"/>
          </w:tcPr>
          <w:p>
            <w:pPr>
              <w:spacing w:after="0"/>
              <w:rPr>
                <w:sz w:val="16"/>
                <w:szCs w:val="16"/>
                <w:color w:val="auto"/>
              </w:rPr>
            </w:pPr>
          </w:p>
        </w:tc>
      </w:tr>
      <w:tr>
        <w:trPr>
          <w:trHeight w:val="230"/>
        </w:trPr>
        <w:tc>
          <w:tcPr>
            <w:tcW w:w="940" w:type="dxa"/>
            <w:vAlign w:val="bottom"/>
            <w:tcBorders>
              <w:right w:val="single" w:sz="8" w:color="3465B0"/>
            </w:tcBorders>
          </w:tcPr>
          <w:p>
            <w:pPr>
              <w:spacing w:after="0"/>
              <w:rPr>
                <w:sz w:val="20"/>
                <w:szCs w:val="20"/>
                <w:color w:val="auto"/>
              </w:rPr>
            </w:pPr>
          </w:p>
        </w:tc>
        <w:tc>
          <w:tcPr>
            <w:tcW w:w="3400" w:type="dxa"/>
            <w:vAlign w:val="bottom"/>
            <w:tcBorders>
              <w:right w:val="single" w:sz="8" w:color="93A1D2"/>
            </w:tcBorders>
            <w:shd w:val="clear" w:color="auto" w:fill="3465B0"/>
          </w:tcPr>
          <w:p>
            <w:pPr>
              <w:spacing w:after="0"/>
              <w:rPr>
                <w:sz w:val="20"/>
                <w:szCs w:val="20"/>
                <w:color w:val="auto"/>
              </w:rPr>
            </w:pPr>
          </w:p>
        </w:tc>
        <w:tc>
          <w:tcPr>
            <w:tcW w:w="1300" w:type="dxa"/>
            <w:vAlign w:val="bottom"/>
            <w:tcBorders>
              <w:right w:val="single" w:sz="8" w:color="93A1D2"/>
            </w:tcBorders>
            <w:shd w:val="clear" w:color="auto" w:fill="3465B0"/>
          </w:tcPr>
          <w:p>
            <w:pPr>
              <w:ind w:left="240"/>
              <w:spacing w:after="0" w:line="230" w:lineRule="exact"/>
              <w:rPr>
                <w:sz w:val="20"/>
                <w:szCs w:val="20"/>
                <w:color w:val="auto"/>
              </w:rPr>
            </w:pPr>
            <w:r>
              <w:rPr>
                <w:rFonts w:ascii="Arial" w:cs="Arial" w:eastAsia="Arial" w:hAnsi="Arial"/>
                <w:sz w:val="16"/>
                <w:szCs w:val="16"/>
                <w:b w:val="1"/>
                <w:bCs w:val="1"/>
                <w:color w:val="FFFFFF"/>
              </w:rPr>
              <w:t>Benefit</w:t>
            </w:r>
            <w:r>
              <w:rPr>
                <w:rFonts w:ascii="Arial" w:cs="Arial" w:eastAsia="Arial" w:hAnsi="Arial"/>
                <w:sz w:val="26"/>
                <w:szCs w:val="26"/>
                <w:b w:val="1"/>
                <w:bCs w:val="1"/>
                <w:color w:val="FFFFFF"/>
                <w:vertAlign w:val="superscript"/>
              </w:rPr>
              <w:t>(1)</w:t>
            </w:r>
          </w:p>
        </w:tc>
        <w:tc>
          <w:tcPr>
            <w:tcW w:w="220" w:type="dxa"/>
            <w:vAlign w:val="bottom"/>
            <w:shd w:val="clear" w:color="auto" w:fill="3465B0"/>
          </w:tcPr>
          <w:p>
            <w:pPr>
              <w:spacing w:after="0"/>
              <w:rPr>
                <w:sz w:val="20"/>
                <w:szCs w:val="20"/>
                <w:color w:val="auto"/>
              </w:rPr>
            </w:pPr>
          </w:p>
        </w:tc>
        <w:tc>
          <w:tcPr>
            <w:tcW w:w="1280" w:type="dxa"/>
            <w:vAlign w:val="bottom"/>
            <w:tcBorders>
              <w:right w:val="single" w:sz="8" w:color="93A1D2"/>
            </w:tcBorders>
            <w:shd w:val="clear" w:color="auto" w:fill="3465B0"/>
          </w:tcPr>
          <w:p>
            <w:pPr>
              <w:ind w:left="20"/>
              <w:spacing w:after="0" w:line="230" w:lineRule="exact"/>
              <w:rPr>
                <w:sz w:val="20"/>
                <w:szCs w:val="20"/>
                <w:color w:val="auto"/>
              </w:rPr>
            </w:pPr>
            <w:r>
              <w:rPr>
                <w:rFonts w:ascii="Arial" w:cs="Arial" w:eastAsia="Arial" w:hAnsi="Arial"/>
                <w:sz w:val="16"/>
                <w:szCs w:val="16"/>
                <w:b w:val="1"/>
                <w:bCs w:val="1"/>
                <w:color w:val="FFFFFF"/>
              </w:rPr>
              <w:t>Benefits</w:t>
            </w:r>
            <w:r>
              <w:rPr>
                <w:rFonts w:ascii="Arial" w:cs="Arial" w:eastAsia="Arial" w:hAnsi="Arial"/>
                <w:sz w:val="26"/>
                <w:szCs w:val="26"/>
                <w:b w:val="1"/>
                <w:bCs w:val="1"/>
                <w:color w:val="FFFFFF"/>
                <w:vertAlign w:val="superscript"/>
              </w:rPr>
              <w:t>(2)</w:t>
            </w:r>
          </w:p>
        </w:tc>
        <w:tc>
          <w:tcPr>
            <w:tcW w:w="1560" w:type="dxa"/>
            <w:vAlign w:val="bottom"/>
            <w:tcBorders>
              <w:right w:val="single" w:sz="8" w:color="93A1D2"/>
            </w:tcBorders>
            <w:shd w:val="clear" w:color="auto" w:fill="3465B0"/>
          </w:tcPr>
          <w:p>
            <w:pPr>
              <w:jc w:val="right"/>
              <w:ind w:right="199"/>
              <w:spacing w:after="0" w:line="230" w:lineRule="exact"/>
              <w:rPr>
                <w:sz w:val="20"/>
                <w:szCs w:val="20"/>
                <w:color w:val="auto"/>
              </w:rPr>
            </w:pPr>
            <w:r>
              <w:rPr>
                <w:rFonts w:ascii="Arial" w:cs="Arial" w:eastAsia="Arial" w:hAnsi="Arial"/>
                <w:sz w:val="16"/>
                <w:szCs w:val="16"/>
                <w:b w:val="1"/>
                <w:bCs w:val="1"/>
                <w:color w:val="FFFFFF"/>
              </w:rPr>
              <w:t>Stock Units</w:t>
            </w:r>
            <w:r>
              <w:rPr>
                <w:rFonts w:ascii="Arial" w:cs="Arial" w:eastAsia="Arial" w:hAnsi="Arial"/>
                <w:sz w:val="26"/>
                <w:szCs w:val="26"/>
                <w:b w:val="1"/>
                <w:bCs w:val="1"/>
                <w:color w:val="FFFFFF"/>
                <w:vertAlign w:val="superscript"/>
              </w:rPr>
              <w:t>(3)</w:t>
            </w:r>
          </w:p>
        </w:tc>
        <w:tc>
          <w:tcPr>
            <w:tcW w:w="1380" w:type="dxa"/>
            <w:vAlign w:val="bottom"/>
            <w:tcBorders>
              <w:right w:val="single" w:sz="8" w:color="3465B0"/>
            </w:tcBorders>
            <w:gridSpan w:val="2"/>
            <w:shd w:val="clear" w:color="auto" w:fill="3465B0"/>
          </w:tcPr>
          <w:p>
            <w:pPr>
              <w:ind w:left="240"/>
              <w:spacing w:after="0" w:line="230" w:lineRule="exact"/>
              <w:rPr>
                <w:sz w:val="20"/>
                <w:szCs w:val="20"/>
                <w:color w:val="auto"/>
              </w:rPr>
            </w:pPr>
            <w:r>
              <w:rPr>
                <w:rFonts w:ascii="Arial" w:cs="Arial" w:eastAsia="Arial" w:hAnsi="Arial"/>
                <w:sz w:val="16"/>
                <w:szCs w:val="16"/>
                <w:b w:val="1"/>
                <w:bCs w:val="1"/>
                <w:color w:val="FFFFFF"/>
              </w:rPr>
              <w:t>Stock Units</w:t>
            </w:r>
            <w:r>
              <w:rPr>
                <w:rFonts w:ascii="Arial" w:cs="Arial" w:eastAsia="Arial" w:hAnsi="Arial"/>
                <w:sz w:val="26"/>
                <w:szCs w:val="26"/>
                <w:b w:val="1"/>
                <w:bCs w:val="1"/>
                <w:color w:val="FFFFFF"/>
                <w:vertAlign w:val="superscript"/>
              </w:rPr>
              <w:t>(4)</w:t>
            </w:r>
          </w:p>
        </w:tc>
        <w:tc>
          <w:tcPr>
            <w:tcW w:w="940" w:type="dxa"/>
            <w:vAlign w:val="bottom"/>
          </w:tcPr>
          <w:p>
            <w:pPr>
              <w:spacing w:after="0"/>
              <w:rPr>
                <w:sz w:val="20"/>
                <w:szCs w:val="20"/>
                <w:color w:val="auto"/>
              </w:rPr>
            </w:pPr>
          </w:p>
        </w:tc>
      </w:tr>
      <w:tr>
        <w:trPr>
          <w:trHeight w:val="217"/>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3465B0"/>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1300" w:type="dxa"/>
            <w:vAlign w:val="bottom"/>
            <w:tcBorders>
              <w:right w:val="single" w:sz="8" w:color="93A1D2"/>
            </w:tcBorders>
            <w:shd w:val="clear" w:color="auto" w:fill="3465B0"/>
          </w:tcPr>
          <w:p>
            <w:pPr>
              <w:ind w:left="240"/>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3465B0"/>
          </w:tcPr>
          <w:p>
            <w:pPr>
              <w:spacing w:after="0"/>
              <w:rPr>
                <w:sz w:val="18"/>
                <w:szCs w:val="18"/>
                <w:color w:val="auto"/>
              </w:rPr>
            </w:pPr>
          </w:p>
        </w:tc>
        <w:tc>
          <w:tcPr>
            <w:tcW w:w="128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w:t>
            </w:r>
          </w:p>
        </w:tc>
        <w:tc>
          <w:tcPr>
            <w:tcW w:w="1560" w:type="dxa"/>
            <w:vAlign w:val="bottom"/>
            <w:tcBorders>
              <w:right w:val="single" w:sz="8" w:color="93A1D2"/>
            </w:tcBorders>
            <w:shd w:val="clear" w:color="auto" w:fill="3465B0"/>
          </w:tcPr>
          <w:p>
            <w:pPr>
              <w:ind w:left="240"/>
              <w:spacing w:after="0"/>
              <w:rPr>
                <w:sz w:val="20"/>
                <w:szCs w:val="20"/>
                <w:color w:val="auto"/>
              </w:rPr>
            </w:pPr>
            <w:r>
              <w:rPr>
                <w:rFonts w:ascii="Arial" w:cs="Arial" w:eastAsia="Arial" w:hAnsi="Arial"/>
                <w:sz w:val="16"/>
                <w:szCs w:val="16"/>
                <w:b w:val="1"/>
                <w:bCs w:val="1"/>
                <w:color w:val="FFFFFF"/>
              </w:rPr>
              <w:t>($)</w:t>
            </w:r>
          </w:p>
        </w:tc>
        <w:tc>
          <w:tcPr>
            <w:tcW w:w="600" w:type="dxa"/>
            <w:vAlign w:val="bottom"/>
            <w:shd w:val="clear" w:color="auto" w:fill="3465B0"/>
          </w:tcPr>
          <w:p>
            <w:pPr>
              <w:ind w:left="240"/>
              <w:spacing w:after="0"/>
              <w:rPr>
                <w:sz w:val="20"/>
                <w:szCs w:val="20"/>
                <w:color w:val="auto"/>
              </w:rPr>
            </w:pPr>
            <w:r>
              <w:rPr>
                <w:rFonts w:ascii="Arial" w:cs="Arial" w:eastAsia="Arial" w:hAnsi="Arial"/>
                <w:sz w:val="16"/>
                <w:szCs w:val="16"/>
                <w:b w:val="1"/>
                <w:bCs w:val="1"/>
                <w:color w:val="FFFFFF"/>
              </w:rPr>
              <w:t>($)</w:t>
            </w:r>
          </w:p>
        </w:tc>
        <w:tc>
          <w:tcPr>
            <w:tcW w:w="780" w:type="dxa"/>
            <w:vAlign w:val="bottom"/>
            <w:tcBorders>
              <w:right w:val="single" w:sz="8" w:color="3465B0"/>
            </w:tcBorders>
            <w:shd w:val="clear" w:color="auto" w:fill="3465B0"/>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color w:val="auto"/>
              </w:rPr>
              <w:t>L. Reade Fahs</w:t>
            </w:r>
          </w:p>
        </w:tc>
        <w:tc>
          <w:tcPr>
            <w:tcW w:w="13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right w:val="single" w:sz="8" w:color="93A1D2"/>
            </w:tcBorders>
          </w:tcPr>
          <w:p>
            <w:pPr>
              <w:spacing w:after="0"/>
              <w:rPr>
                <w:sz w:val="18"/>
                <w:szCs w:val="18"/>
                <w:color w:val="auto"/>
              </w:rPr>
            </w:pPr>
          </w:p>
        </w:tc>
        <w:tc>
          <w:tcPr>
            <w:tcW w:w="1560" w:type="dxa"/>
            <w:vAlign w:val="bottom"/>
            <w:tcBorders>
              <w:right w:val="single" w:sz="8" w:color="93A1D2"/>
            </w:tcBorders>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Qualifying Termination of Employment</w:t>
            </w:r>
          </w:p>
        </w:tc>
        <w:tc>
          <w:tcPr>
            <w:tcW w:w="130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3,754,980</w:t>
            </w:r>
          </w:p>
        </w:tc>
        <w:tc>
          <w:tcPr>
            <w:tcW w:w="1500" w:type="dxa"/>
            <w:vAlign w:val="bottom"/>
            <w:tcBorders>
              <w:right w:val="single" w:sz="8" w:color="93A1D2"/>
            </w:tcBorders>
            <w:gridSpan w:val="2"/>
          </w:tcPr>
          <w:p>
            <w:pPr>
              <w:jc w:val="right"/>
              <w:ind w:right="199"/>
              <w:spacing w:after="0"/>
              <w:rPr>
                <w:sz w:val="20"/>
                <w:szCs w:val="20"/>
                <w:color w:val="auto"/>
              </w:rPr>
            </w:pPr>
            <w:r>
              <w:rPr>
                <w:rFonts w:ascii="Arial" w:cs="Arial" w:eastAsia="Arial" w:hAnsi="Arial"/>
                <w:sz w:val="16"/>
                <w:szCs w:val="16"/>
                <w:color w:val="auto"/>
              </w:rPr>
              <w:t>714</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780" w:type="dxa"/>
            <w:vAlign w:val="bottom"/>
            <w:tcBorders>
              <w:right w:val="single" w:sz="8" w:color="3465B0"/>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192"/>
        </w:trPr>
        <w:tc>
          <w:tcPr>
            <w:tcW w:w="940" w:type="dxa"/>
            <w:vAlign w:val="bottom"/>
            <w:tcBorders>
              <w:right w:val="single" w:sz="8" w:color="3465B0"/>
            </w:tcBorders>
          </w:tcPr>
          <w:p>
            <w:pPr>
              <w:spacing w:after="0"/>
              <w:rPr>
                <w:sz w:val="16"/>
                <w:szCs w:val="16"/>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Qualifying Termination following Change in</w:t>
            </w:r>
          </w:p>
        </w:tc>
        <w:tc>
          <w:tcPr>
            <w:tcW w:w="130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4,639,980</w:t>
            </w:r>
          </w:p>
        </w:tc>
        <w:tc>
          <w:tcPr>
            <w:tcW w:w="1500" w:type="dxa"/>
            <w:vAlign w:val="bottom"/>
            <w:tcBorders>
              <w:right w:val="single" w:sz="8" w:color="93A1D2"/>
            </w:tcBorders>
            <w:gridSpan w:val="2"/>
          </w:tcPr>
          <w:p>
            <w:pPr>
              <w:jc w:val="right"/>
              <w:ind w:right="199"/>
              <w:spacing w:after="0"/>
              <w:rPr>
                <w:sz w:val="20"/>
                <w:szCs w:val="20"/>
                <w:color w:val="auto"/>
              </w:rPr>
            </w:pPr>
            <w:r>
              <w:rPr>
                <w:rFonts w:ascii="Arial" w:cs="Arial" w:eastAsia="Arial" w:hAnsi="Arial"/>
                <w:sz w:val="16"/>
                <w:szCs w:val="16"/>
                <w:color w:val="auto"/>
              </w:rPr>
              <w:t>1,071</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13,174,088</w:t>
            </w:r>
          </w:p>
        </w:tc>
        <w:tc>
          <w:tcPr>
            <w:tcW w:w="1380" w:type="dxa"/>
            <w:vAlign w:val="bottom"/>
            <w:tcBorders>
              <w:right w:val="single" w:sz="8" w:color="3465B0"/>
            </w:tcBorders>
            <w:gridSpan w:val="2"/>
          </w:tcPr>
          <w:p>
            <w:pPr>
              <w:jc w:val="right"/>
              <w:ind w:right="79"/>
              <w:spacing w:after="0"/>
              <w:rPr>
                <w:sz w:val="20"/>
                <w:szCs w:val="20"/>
                <w:color w:val="auto"/>
              </w:rPr>
            </w:pPr>
            <w:r>
              <w:rPr>
                <w:rFonts w:ascii="Arial" w:cs="Arial" w:eastAsia="Arial" w:hAnsi="Arial"/>
                <w:sz w:val="16"/>
                <w:szCs w:val="16"/>
                <w:color w:val="auto"/>
              </w:rPr>
              <w:t>6,901,117</w:t>
            </w:r>
          </w:p>
        </w:tc>
        <w:tc>
          <w:tcPr>
            <w:tcW w:w="940" w:type="dxa"/>
            <w:vAlign w:val="bottom"/>
          </w:tcPr>
          <w:p>
            <w:pPr>
              <w:spacing w:after="0"/>
              <w:rPr>
                <w:sz w:val="16"/>
                <w:szCs w:val="16"/>
                <w:color w:val="auto"/>
              </w:rPr>
            </w:pPr>
          </w:p>
        </w:tc>
      </w:tr>
      <w:tr>
        <w:trPr>
          <w:trHeight w:val="213"/>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260"/>
              <w:spacing w:after="0"/>
              <w:rPr>
                <w:sz w:val="20"/>
                <w:szCs w:val="20"/>
                <w:color w:val="auto"/>
              </w:rPr>
            </w:pPr>
            <w:r>
              <w:rPr>
                <w:rFonts w:ascii="Arial" w:cs="Arial" w:eastAsia="Arial" w:hAnsi="Arial"/>
                <w:sz w:val="16"/>
                <w:szCs w:val="16"/>
                <w:i w:val="1"/>
                <w:iCs w:val="1"/>
                <w:color w:val="auto"/>
              </w:rPr>
              <w:t>Control</w:t>
            </w:r>
          </w:p>
        </w:tc>
        <w:tc>
          <w:tcPr>
            <w:tcW w:w="13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right w:val="single" w:sz="8" w:color="93A1D2"/>
            </w:tcBorders>
          </w:tcPr>
          <w:p>
            <w:pPr>
              <w:spacing w:after="0"/>
              <w:rPr>
                <w:sz w:val="18"/>
                <w:szCs w:val="18"/>
                <w:color w:val="auto"/>
              </w:rPr>
            </w:pPr>
          </w:p>
        </w:tc>
        <w:tc>
          <w:tcPr>
            <w:tcW w:w="1560" w:type="dxa"/>
            <w:vAlign w:val="bottom"/>
            <w:tcBorders>
              <w:right w:val="single" w:sz="8" w:color="93A1D2"/>
            </w:tcBorders>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Termination Upon Death or Disability</w:t>
            </w:r>
          </w:p>
        </w:tc>
        <w:tc>
          <w:tcPr>
            <w:tcW w:w="130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9,962,335</w:t>
            </w:r>
          </w:p>
        </w:tc>
        <w:tc>
          <w:tcPr>
            <w:tcW w:w="1380" w:type="dxa"/>
            <w:vAlign w:val="bottom"/>
            <w:tcBorders>
              <w:right w:val="single" w:sz="8" w:color="3465B0"/>
            </w:tcBorders>
            <w:gridSpan w:val="2"/>
          </w:tcPr>
          <w:p>
            <w:pPr>
              <w:jc w:val="right"/>
              <w:ind w:right="79"/>
              <w:spacing w:after="0"/>
              <w:rPr>
                <w:sz w:val="20"/>
                <w:szCs w:val="20"/>
                <w:color w:val="auto"/>
              </w:rPr>
            </w:pPr>
            <w:r>
              <w:rPr>
                <w:rFonts w:ascii="Arial" w:cs="Arial" w:eastAsia="Arial" w:hAnsi="Arial"/>
                <w:sz w:val="16"/>
                <w:szCs w:val="16"/>
                <w:color w:val="auto"/>
              </w:rPr>
              <w:t>6,901,117</w:t>
            </w:r>
          </w:p>
        </w:tc>
        <w:tc>
          <w:tcPr>
            <w:tcW w:w="940" w:type="dxa"/>
            <w:vAlign w:val="bottom"/>
          </w:tcPr>
          <w:p>
            <w:pPr>
              <w:spacing w:after="0"/>
              <w:rPr>
                <w:sz w:val="18"/>
                <w:szCs w:val="18"/>
                <w:color w:val="auto"/>
              </w:rPr>
            </w:pPr>
          </w:p>
        </w:tc>
      </w:tr>
      <w:tr>
        <w:trPr>
          <w:trHeight w:val="259"/>
        </w:trPr>
        <w:tc>
          <w:tcPr>
            <w:tcW w:w="940" w:type="dxa"/>
            <w:vAlign w:val="bottom"/>
            <w:tcBorders>
              <w:right w:val="single" w:sz="8" w:color="3465B0"/>
            </w:tcBorders>
          </w:tcPr>
          <w:p>
            <w:pPr>
              <w:spacing w:after="0"/>
              <w:rPr>
                <w:sz w:val="22"/>
                <w:szCs w:val="22"/>
                <w:color w:val="auto"/>
              </w:rPr>
            </w:pPr>
          </w:p>
        </w:tc>
        <w:tc>
          <w:tcPr>
            <w:tcW w:w="3400" w:type="dxa"/>
            <w:vAlign w:val="bottom"/>
            <w:tcBorders>
              <w:right w:val="single" w:sz="8" w:color="93A1D2"/>
            </w:tcBorders>
          </w:tcPr>
          <w:p>
            <w:pPr>
              <w:ind w:left="80"/>
              <w:spacing w:after="0" w:line="258" w:lineRule="exact"/>
              <w:rPr>
                <w:sz w:val="20"/>
                <w:szCs w:val="20"/>
                <w:color w:val="auto"/>
              </w:rPr>
            </w:pPr>
            <w:r>
              <w:rPr>
                <w:rFonts w:ascii="Arial" w:cs="Arial" w:eastAsia="Arial" w:hAnsi="Arial"/>
                <w:sz w:val="16"/>
                <w:szCs w:val="16"/>
                <w:i w:val="1"/>
                <w:iCs w:val="1"/>
                <w:color w:val="auto"/>
              </w:rPr>
              <w:t>Retirement</w:t>
            </w:r>
            <w:r>
              <w:rPr>
                <w:rFonts w:ascii="Arial" w:cs="Arial" w:eastAsia="Arial" w:hAnsi="Arial"/>
                <w:sz w:val="26"/>
                <w:szCs w:val="26"/>
                <w:i w:val="1"/>
                <w:iCs w:val="1"/>
                <w:color w:val="auto"/>
                <w:vertAlign w:val="superscript"/>
              </w:rPr>
              <w:t>(5)</w:t>
            </w:r>
          </w:p>
        </w:tc>
        <w:tc>
          <w:tcPr>
            <w:tcW w:w="130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8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3465B0"/>
            </w:tcBorders>
            <w:gridSpan w:val="2"/>
          </w:tcPr>
          <w:p>
            <w:pPr>
              <w:jc w:val="right"/>
              <w:ind w:right="79"/>
              <w:spacing w:after="0"/>
              <w:rPr>
                <w:sz w:val="20"/>
                <w:szCs w:val="20"/>
                <w:color w:val="auto"/>
              </w:rPr>
            </w:pPr>
            <w:r>
              <w:rPr>
                <w:rFonts w:ascii="Arial" w:cs="Arial" w:eastAsia="Arial" w:hAnsi="Arial"/>
                <w:sz w:val="16"/>
                <w:szCs w:val="16"/>
                <w:color w:val="auto"/>
              </w:rPr>
              <w:t>2,772,438</w:t>
            </w:r>
          </w:p>
        </w:tc>
        <w:tc>
          <w:tcPr>
            <w:tcW w:w="940" w:type="dxa"/>
            <w:vAlign w:val="bottom"/>
          </w:tcPr>
          <w:p>
            <w:pPr>
              <w:spacing w:after="0"/>
              <w:rPr>
                <w:sz w:val="22"/>
                <w:szCs w:val="22"/>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color w:val="auto"/>
              </w:rPr>
              <w:t>Alexander N. Wilkes</w:t>
            </w:r>
          </w:p>
        </w:tc>
        <w:tc>
          <w:tcPr>
            <w:tcW w:w="1300" w:type="dxa"/>
            <w:vAlign w:val="bottom"/>
            <w:tcBorders>
              <w:right w:val="single" w:sz="8" w:color="93A1D2"/>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spacing w:after="0"/>
              <w:rPr>
                <w:sz w:val="18"/>
                <w:szCs w:val="18"/>
                <w:color w:val="auto"/>
              </w:rPr>
            </w:pPr>
          </w:p>
        </w:tc>
        <w:tc>
          <w:tcPr>
            <w:tcW w:w="1560" w:type="dxa"/>
            <w:vAlign w:val="bottom"/>
            <w:tcBorders>
              <w:right w:val="single" w:sz="8" w:color="93A1D2"/>
            </w:tcBorders>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Qualifying Termination of Employment</w:t>
            </w:r>
          </w:p>
        </w:tc>
        <w:tc>
          <w:tcPr>
            <w:tcW w:w="130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4,859,468</w:t>
            </w: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25,444</w:t>
            </w:r>
          </w:p>
        </w:tc>
        <w:tc>
          <w:tcPr>
            <w:tcW w:w="156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192"/>
        </w:trPr>
        <w:tc>
          <w:tcPr>
            <w:tcW w:w="940" w:type="dxa"/>
            <w:vAlign w:val="bottom"/>
            <w:tcBorders>
              <w:right w:val="single" w:sz="8" w:color="3465B0"/>
            </w:tcBorders>
          </w:tcPr>
          <w:p>
            <w:pPr>
              <w:spacing w:after="0"/>
              <w:rPr>
                <w:sz w:val="16"/>
                <w:szCs w:val="16"/>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Qualifying Termination following Change in</w:t>
            </w:r>
          </w:p>
        </w:tc>
        <w:tc>
          <w:tcPr>
            <w:tcW w:w="130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5,779,468</w:t>
            </w:r>
          </w:p>
        </w:tc>
        <w:tc>
          <w:tcPr>
            <w:tcW w:w="220" w:type="dxa"/>
            <w:vAlign w:val="bottom"/>
            <w:shd w:val="clear" w:color="auto" w:fill="CCCCCC"/>
          </w:tcPr>
          <w:p>
            <w:pPr>
              <w:spacing w:after="0"/>
              <w:rPr>
                <w:sz w:val="16"/>
                <w:szCs w:val="16"/>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31,805</w:t>
            </w:r>
          </w:p>
        </w:tc>
        <w:tc>
          <w:tcPr>
            <w:tcW w:w="156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3,158,400</w:t>
            </w:r>
          </w:p>
        </w:tc>
        <w:tc>
          <w:tcPr>
            <w:tcW w:w="1380" w:type="dxa"/>
            <w:vAlign w:val="bottom"/>
            <w:tcBorders>
              <w:right w:val="single" w:sz="8" w:color="3465B0"/>
            </w:tcBorders>
            <w:gridSpan w:val="2"/>
            <w:shd w:val="clear" w:color="auto" w:fill="CCCCCC"/>
          </w:tcPr>
          <w:p>
            <w:pPr>
              <w:jc w:val="right"/>
              <w:ind w:right="79"/>
              <w:spacing w:after="0"/>
              <w:rPr>
                <w:sz w:val="20"/>
                <w:szCs w:val="20"/>
                <w:color w:val="auto"/>
              </w:rPr>
            </w:pPr>
            <w:r>
              <w:rPr>
                <w:rFonts w:ascii="Arial" w:cs="Arial" w:eastAsia="Arial" w:hAnsi="Arial"/>
                <w:sz w:val="16"/>
                <w:szCs w:val="16"/>
                <w:color w:val="auto"/>
              </w:rPr>
              <w:t>6,412,634</w:t>
            </w:r>
          </w:p>
        </w:tc>
        <w:tc>
          <w:tcPr>
            <w:tcW w:w="940" w:type="dxa"/>
            <w:vAlign w:val="bottom"/>
          </w:tcPr>
          <w:p>
            <w:pPr>
              <w:spacing w:after="0"/>
              <w:rPr>
                <w:sz w:val="16"/>
                <w:szCs w:val="16"/>
                <w:color w:val="auto"/>
              </w:rPr>
            </w:pPr>
          </w:p>
        </w:tc>
      </w:tr>
      <w:tr>
        <w:trPr>
          <w:trHeight w:val="213"/>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260"/>
              <w:spacing w:after="0"/>
              <w:rPr>
                <w:sz w:val="20"/>
                <w:szCs w:val="20"/>
                <w:color w:val="auto"/>
              </w:rPr>
            </w:pPr>
            <w:r>
              <w:rPr>
                <w:rFonts w:ascii="Arial" w:cs="Arial" w:eastAsia="Arial" w:hAnsi="Arial"/>
                <w:sz w:val="16"/>
                <w:szCs w:val="16"/>
                <w:i w:val="1"/>
                <w:iCs w:val="1"/>
                <w:color w:val="auto"/>
              </w:rPr>
              <w:t>Control</w:t>
            </w:r>
          </w:p>
        </w:tc>
        <w:tc>
          <w:tcPr>
            <w:tcW w:w="1300" w:type="dxa"/>
            <w:vAlign w:val="bottom"/>
            <w:tcBorders>
              <w:right w:val="single" w:sz="8" w:color="93A1D2"/>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spacing w:after="0"/>
              <w:rPr>
                <w:sz w:val="18"/>
                <w:szCs w:val="18"/>
                <w:color w:val="auto"/>
              </w:rPr>
            </w:pPr>
          </w:p>
        </w:tc>
        <w:tc>
          <w:tcPr>
            <w:tcW w:w="1560" w:type="dxa"/>
            <w:vAlign w:val="bottom"/>
            <w:tcBorders>
              <w:right w:val="single" w:sz="8" w:color="93A1D2"/>
            </w:tcBorders>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Termination Upon Death or Disability</w:t>
            </w:r>
          </w:p>
        </w:tc>
        <w:tc>
          <w:tcPr>
            <w:tcW w:w="130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2,134,050</w:t>
            </w:r>
          </w:p>
        </w:tc>
        <w:tc>
          <w:tcPr>
            <w:tcW w:w="1380" w:type="dxa"/>
            <w:vAlign w:val="bottom"/>
            <w:tcBorders>
              <w:right w:val="single" w:sz="8" w:color="3465B0"/>
            </w:tcBorders>
            <w:gridSpan w:val="2"/>
            <w:shd w:val="clear" w:color="auto" w:fill="CCCCCC"/>
          </w:tcPr>
          <w:p>
            <w:pPr>
              <w:jc w:val="right"/>
              <w:ind w:right="79"/>
              <w:spacing w:after="0"/>
              <w:rPr>
                <w:sz w:val="20"/>
                <w:szCs w:val="20"/>
                <w:color w:val="auto"/>
              </w:rPr>
            </w:pPr>
            <w:r>
              <w:rPr>
                <w:rFonts w:ascii="Arial" w:cs="Arial" w:eastAsia="Arial" w:hAnsi="Arial"/>
                <w:sz w:val="16"/>
                <w:szCs w:val="16"/>
                <w:color w:val="auto"/>
              </w:rPr>
              <w:t>6,412,634</w:t>
            </w:r>
          </w:p>
        </w:tc>
        <w:tc>
          <w:tcPr>
            <w:tcW w:w="940" w:type="dxa"/>
            <w:vAlign w:val="bottom"/>
          </w:tcPr>
          <w:p>
            <w:pPr>
              <w:spacing w:after="0"/>
              <w:rPr>
                <w:sz w:val="18"/>
                <w:szCs w:val="18"/>
                <w:color w:val="auto"/>
              </w:rPr>
            </w:pPr>
          </w:p>
        </w:tc>
      </w:tr>
      <w:tr>
        <w:trPr>
          <w:trHeight w:val="258"/>
        </w:trPr>
        <w:tc>
          <w:tcPr>
            <w:tcW w:w="940" w:type="dxa"/>
            <w:vAlign w:val="bottom"/>
            <w:tcBorders>
              <w:right w:val="single" w:sz="8" w:color="3465B0"/>
            </w:tcBorders>
          </w:tcPr>
          <w:p>
            <w:pPr>
              <w:spacing w:after="0"/>
              <w:rPr>
                <w:sz w:val="22"/>
                <w:szCs w:val="22"/>
                <w:color w:val="auto"/>
              </w:rPr>
            </w:pPr>
          </w:p>
        </w:tc>
        <w:tc>
          <w:tcPr>
            <w:tcW w:w="3400" w:type="dxa"/>
            <w:vAlign w:val="bottom"/>
            <w:tcBorders>
              <w:right w:val="single" w:sz="8" w:color="93A1D2"/>
            </w:tcBorders>
            <w:shd w:val="clear" w:color="auto" w:fill="CCCCCC"/>
          </w:tcPr>
          <w:p>
            <w:pPr>
              <w:ind w:left="80"/>
              <w:spacing w:after="0" w:line="258" w:lineRule="exact"/>
              <w:rPr>
                <w:sz w:val="20"/>
                <w:szCs w:val="20"/>
                <w:color w:val="auto"/>
              </w:rPr>
            </w:pPr>
            <w:r>
              <w:rPr>
                <w:rFonts w:ascii="Arial" w:cs="Arial" w:eastAsia="Arial" w:hAnsi="Arial"/>
                <w:sz w:val="16"/>
                <w:szCs w:val="16"/>
                <w:i w:val="1"/>
                <w:iCs w:val="1"/>
                <w:color w:val="auto"/>
              </w:rPr>
              <w:t>Retirement</w:t>
            </w:r>
            <w:r>
              <w:rPr>
                <w:rFonts w:ascii="Arial" w:cs="Arial" w:eastAsia="Arial" w:hAnsi="Arial"/>
                <w:sz w:val="26"/>
                <w:szCs w:val="26"/>
                <w:i w:val="1"/>
                <w:iCs w:val="1"/>
                <w:color w:val="auto"/>
                <w:vertAlign w:val="superscript"/>
              </w:rPr>
              <w:t>(5)</w:t>
            </w:r>
          </w:p>
        </w:tc>
        <w:tc>
          <w:tcPr>
            <w:tcW w:w="130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CCCC"/>
          </w:tcPr>
          <w:p>
            <w:pPr>
              <w:spacing w:after="0"/>
              <w:rPr>
                <w:sz w:val="22"/>
                <w:szCs w:val="22"/>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CCCC"/>
          </w:tcPr>
          <w:p>
            <w:pPr>
              <w:spacing w:after="0"/>
              <w:rPr>
                <w:sz w:val="22"/>
                <w:szCs w:val="22"/>
                <w:color w:val="auto"/>
              </w:rPr>
            </w:pPr>
          </w:p>
        </w:tc>
        <w:tc>
          <w:tcPr>
            <w:tcW w:w="780" w:type="dxa"/>
            <w:vAlign w:val="bottom"/>
            <w:tcBorders>
              <w:right w:val="single" w:sz="8" w:color="3465B0"/>
            </w:tcBorders>
            <w:shd w:val="clear" w:color="auto" w:fill="CCCCC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color w:val="auto"/>
              </w:rPr>
              <w:t>Christopher J. Laden</w:t>
            </w:r>
          </w:p>
        </w:tc>
        <w:tc>
          <w:tcPr>
            <w:tcW w:w="13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right w:val="single" w:sz="8" w:color="93A1D2"/>
            </w:tcBorders>
          </w:tcPr>
          <w:p>
            <w:pPr>
              <w:spacing w:after="0"/>
              <w:rPr>
                <w:sz w:val="18"/>
                <w:szCs w:val="18"/>
                <w:color w:val="auto"/>
              </w:rPr>
            </w:pPr>
          </w:p>
        </w:tc>
        <w:tc>
          <w:tcPr>
            <w:tcW w:w="1560" w:type="dxa"/>
            <w:vAlign w:val="bottom"/>
            <w:tcBorders>
              <w:right w:val="single" w:sz="8" w:color="93A1D2"/>
            </w:tcBorders>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Qualifying Termination of Employment</w:t>
            </w:r>
          </w:p>
        </w:tc>
        <w:tc>
          <w:tcPr>
            <w:tcW w:w="130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1,876,450</w:t>
            </w:r>
          </w:p>
        </w:tc>
        <w:tc>
          <w:tcPr>
            <w:tcW w:w="1500" w:type="dxa"/>
            <w:vAlign w:val="bottom"/>
            <w:tcBorders>
              <w:right w:val="single" w:sz="8" w:color="93A1D2"/>
            </w:tcBorders>
            <w:gridSpan w:val="2"/>
          </w:tcPr>
          <w:p>
            <w:pPr>
              <w:jc w:val="right"/>
              <w:ind w:right="199"/>
              <w:spacing w:after="0"/>
              <w:rPr>
                <w:sz w:val="20"/>
                <w:szCs w:val="20"/>
                <w:color w:val="auto"/>
              </w:rPr>
            </w:pPr>
            <w:r>
              <w:rPr>
                <w:rFonts w:ascii="Arial" w:cs="Arial" w:eastAsia="Arial" w:hAnsi="Arial"/>
                <w:sz w:val="16"/>
                <w:szCs w:val="16"/>
                <w:color w:val="auto"/>
              </w:rPr>
              <w:t>2,232</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780" w:type="dxa"/>
            <w:vAlign w:val="bottom"/>
            <w:tcBorders>
              <w:right w:val="single" w:sz="8" w:color="3465B0"/>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192"/>
        </w:trPr>
        <w:tc>
          <w:tcPr>
            <w:tcW w:w="940" w:type="dxa"/>
            <w:vAlign w:val="bottom"/>
            <w:tcBorders>
              <w:right w:val="single" w:sz="8" w:color="3465B0"/>
            </w:tcBorders>
          </w:tcPr>
          <w:p>
            <w:pPr>
              <w:spacing w:after="0"/>
              <w:rPr>
                <w:sz w:val="16"/>
                <w:szCs w:val="16"/>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Qualifying Termination following Change in</w:t>
            </w:r>
          </w:p>
        </w:tc>
        <w:tc>
          <w:tcPr>
            <w:tcW w:w="130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2,308,950</w:t>
            </w:r>
          </w:p>
        </w:tc>
        <w:tc>
          <w:tcPr>
            <w:tcW w:w="1500" w:type="dxa"/>
            <w:vAlign w:val="bottom"/>
            <w:tcBorders>
              <w:right w:val="single" w:sz="8" w:color="93A1D2"/>
            </w:tcBorders>
            <w:gridSpan w:val="2"/>
          </w:tcPr>
          <w:p>
            <w:pPr>
              <w:jc w:val="right"/>
              <w:ind w:right="199"/>
              <w:spacing w:after="0"/>
              <w:rPr>
                <w:sz w:val="20"/>
                <w:szCs w:val="20"/>
                <w:color w:val="auto"/>
              </w:rPr>
            </w:pPr>
            <w:r>
              <w:rPr>
                <w:rFonts w:ascii="Arial" w:cs="Arial" w:eastAsia="Arial" w:hAnsi="Arial"/>
                <w:sz w:val="16"/>
                <w:szCs w:val="16"/>
                <w:color w:val="auto"/>
              </w:rPr>
              <w:t>2,976</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3465B0"/>
            </w:tcBorders>
            <w:gridSpan w:val="2"/>
          </w:tcPr>
          <w:p>
            <w:pPr>
              <w:jc w:val="right"/>
              <w:ind w:right="79"/>
              <w:spacing w:after="0"/>
              <w:rPr>
                <w:sz w:val="20"/>
                <w:szCs w:val="20"/>
                <w:color w:val="auto"/>
              </w:rPr>
            </w:pPr>
            <w:r>
              <w:rPr>
                <w:rFonts w:ascii="Arial" w:cs="Arial" w:eastAsia="Arial" w:hAnsi="Arial"/>
                <w:sz w:val="16"/>
                <w:szCs w:val="16"/>
                <w:color w:val="auto"/>
              </w:rPr>
              <w:t>2,030,536</w:t>
            </w:r>
          </w:p>
        </w:tc>
        <w:tc>
          <w:tcPr>
            <w:tcW w:w="940" w:type="dxa"/>
            <w:vAlign w:val="bottom"/>
          </w:tcPr>
          <w:p>
            <w:pPr>
              <w:spacing w:after="0"/>
              <w:rPr>
                <w:sz w:val="16"/>
                <w:szCs w:val="16"/>
                <w:color w:val="auto"/>
              </w:rPr>
            </w:pPr>
          </w:p>
        </w:tc>
      </w:tr>
      <w:tr>
        <w:trPr>
          <w:trHeight w:val="213"/>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260"/>
              <w:spacing w:after="0"/>
              <w:rPr>
                <w:sz w:val="20"/>
                <w:szCs w:val="20"/>
                <w:color w:val="auto"/>
              </w:rPr>
            </w:pPr>
            <w:r>
              <w:rPr>
                <w:rFonts w:ascii="Arial" w:cs="Arial" w:eastAsia="Arial" w:hAnsi="Arial"/>
                <w:sz w:val="16"/>
                <w:szCs w:val="16"/>
                <w:i w:val="1"/>
                <w:iCs w:val="1"/>
                <w:color w:val="auto"/>
              </w:rPr>
              <w:t>Control</w:t>
            </w:r>
          </w:p>
        </w:tc>
        <w:tc>
          <w:tcPr>
            <w:tcW w:w="13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right w:val="single" w:sz="8" w:color="93A1D2"/>
            </w:tcBorders>
          </w:tcPr>
          <w:p>
            <w:pPr>
              <w:spacing w:after="0"/>
              <w:rPr>
                <w:sz w:val="18"/>
                <w:szCs w:val="18"/>
                <w:color w:val="auto"/>
              </w:rPr>
            </w:pPr>
          </w:p>
        </w:tc>
        <w:tc>
          <w:tcPr>
            <w:tcW w:w="1560" w:type="dxa"/>
            <w:vAlign w:val="bottom"/>
            <w:tcBorders>
              <w:right w:val="single" w:sz="8" w:color="93A1D2"/>
            </w:tcBorders>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Termination Upon Death or Disability</w:t>
            </w:r>
          </w:p>
        </w:tc>
        <w:tc>
          <w:tcPr>
            <w:tcW w:w="130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3465B0"/>
            </w:tcBorders>
            <w:gridSpan w:val="2"/>
          </w:tcPr>
          <w:p>
            <w:pPr>
              <w:jc w:val="right"/>
              <w:ind w:right="79"/>
              <w:spacing w:after="0"/>
              <w:rPr>
                <w:sz w:val="20"/>
                <w:szCs w:val="20"/>
                <w:color w:val="auto"/>
              </w:rPr>
            </w:pPr>
            <w:r>
              <w:rPr>
                <w:rFonts w:ascii="Arial" w:cs="Arial" w:eastAsia="Arial" w:hAnsi="Arial"/>
                <w:sz w:val="16"/>
                <w:szCs w:val="16"/>
                <w:color w:val="auto"/>
              </w:rPr>
              <w:t>2,030,536</w:t>
            </w:r>
          </w:p>
        </w:tc>
        <w:tc>
          <w:tcPr>
            <w:tcW w:w="940" w:type="dxa"/>
            <w:vAlign w:val="bottom"/>
          </w:tcPr>
          <w:p>
            <w:pPr>
              <w:spacing w:after="0"/>
              <w:rPr>
                <w:sz w:val="18"/>
                <w:szCs w:val="18"/>
                <w:color w:val="auto"/>
              </w:rPr>
            </w:pPr>
          </w:p>
        </w:tc>
      </w:tr>
      <w:tr>
        <w:trPr>
          <w:trHeight w:val="258"/>
        </w:trPr>
        <w:tc>
          <w:tcPr>
            <w:tcW w:w="940" w:type="dxa"/>
            <w:vAlign w:val="bottom"/>
            <w:tcBorders>
              <w:right w:val="single" w:sz="8" w:color="3465B0"/>
            </w:tcBorders>
          </w:tcPr>
          <w:p>
            <w:pPr>
              <w:spacing w:after="0"/>
              <w:rPr>
                <w:sz w:val="22"/>
                <w:szCs w:val="22"/>
                <w:color w:val="auto"/>
              </w:rPr>
            </w:pPr>
          </w:p>
        </w:tc>
        <w:tc>
          <w:tcPr>
            <w:tcW w:w="3400" w:type="dxa"/>
            <w:vAlign w:val="bottom"/>
            <w:tcBorders>
              <w:right w:val="single" w:sz="8" w:color="93A1D2"/>
            </w:tcBorders>
          </w:tcPr>
          <w:p>
            <w:pPr>
              <w:ind w:left="80"/>
              <w:spacing w:after="0" w:line="258" w:lineRule="exact"/>
              <w:rPr>
                <w:sz w:val="20"/>
                <w:szCs w:val="20"/>
                <w:color w:val="auto"/>
              </w:rPr>
            </w:pPr>
            <w:r>
              <w:rPr>
                <w:rFonts w:ascii="Arial" w:cs="Arial" w:eastAsia="Arial" w:hAnsi="Arial"/>
                <w:sz w:val="16"/>
                <w:szCs w:val="16"/>
                <w:i w:val="1"/>
                <w:iCs w:val="1"/>
                <w:color w:val="auto"/>
              </w:rPr>
              <w:t>Retirement</w:t>
            </w:r>
            <w:r>
              <w:rPr>
                <w:rFonts w:ascii="Arial" w:cs="Arial" w:eastAsia="Arial" w:hAnsi="Arial"/>
                <w:sz w:val="26"/>
                <w:szCs w:val="26"/>
                <w:i w:val="1"/>
                <w:iCs w:val="1"/>
                <w:color w:val="auto"/>
                <w:vertAlign w:val="superscript"/>
              </w:rPr>
              <w:t>(5)</w:t>
            </w:r>
          </w:p>
        </w:tc>
        <w:tc>
          <w:tcPr>
            <w:tcW w:w="130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8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780" w:type="dxa"/>
            <w:vAlign w:val="bottom"/>
            <w:tcBorders>
              <w:right w:val="single" w:sz="8" w:color="3465B0"/>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color w:val="auto"/>
              </w:rPr>
              <w:t>Mark S. Banner</w:t>
            </w:r>
          </w:p>
        </w:tc>
        <w:tc>
          <w:tcPr>
            <w:tcW w:w="1300" w:type="dxa"/>
            <w:vAlign w:val="bottom"/>
            <w:tcBorders>
              <w:right w:val="single" w:sz="8" w:color="93A1D2"/>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spacing w:after="0"/>
              <w:rPr>
                <w:sz w:val="18"/>
                <w:szCs w:val="18"/>
                <w:color w:val="auto"/>
              </w:rPr>
            </w:pPr>
          </w:p>
        </w:tc>
        <w:tc>
          <w:tcPr>
            <w:tcW w:w="1560" w:type="dxa"/>
            <w:vAlign w:val="bottom"/>
            <w:tcBorders>
              <w:right w:val="single" w:sz="8" w:color="93A1D2"/>
            </w:tcBorders>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Qualifying Termination of Employment</w:t>
            </w:r>
          </w:p>
        </w:tc>
        <w:tc>
          <w:tcPr>
            <w:tcW w:w="130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1,528,780</w:t>
            </w: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27,278</w:t>
            </w:r>
          </w:p>
        </w:tc>
        <w:tc>
          <w:tcPr>
            <w:tcW w:w="156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192"/>
        </w:trPr>
        <w:tc>
          <w:tcPr>
            <w:tcW w:w="940" w:type="dxa"/>
            <w:vAlign w:val="bottom"/>
            <w:tcBorders>
              <w:right w:val="single" w:sz="8" w:color="3465B0"/>
            </w:tcBorders>
          </w:tcPr>
          <w:p>
            <w:pPr>
              <w:spacing w:after="0"/>
              <w:rPr>
                <w:sz w:val="16"/>
                <w:szCs w:val="16"/>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Qualifying Termination following Change in</w:t>
            </w:r>
          </w:p>
        </w:tc>
        <w:tc>
          <w:tcPr>
            <w:tcW w:w="130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1,988,780</w:t>
            </w:r>
          </w:p>
        </w:tc>
        <w:tc>
          <w:tcPr>
            <w:tcW w:w="220" w:type="dxa"/>
            <w:vAlign w:val="bottom"/>
            <w:shd w:val="clear" w:color="auto" w:fill="CCCCCC"/>
          </w:tcPr>
          <w:p>
            <w:pPr>
              <w:spacing w:after="0"/>
              <w:rPr>
                <w:sz w:val="16"/>
                <w:szCs w:val="16"/>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40,917</w:t>
            </w:r>
          </w:p>
        </w:tc>
        <w:tc>
          <w:tcPr>
            <w:tcW w:w="156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2,492,238</w:t>
            </w:r>
          </w:p>
        </w:tc>
        <w:tc>
          <w:tcPr>
            <w:tcW w:w="1380" w:type="dxa"/>
            <w:vAlign w:val="bottom"/>
            <w:tcBorders>
              <w:right w:val="single" w:sz="8" w:color="3465B0"/>
            </w:tcBorders>
            <w:gridSpan w:val="2"/>
            <w:shd w:val="clear" w:color="auto" w:fill="CCCCCC"/>
          </w:tcPr>
          <w:p>
            <w:pPr>
              <w:jc w:val="right"/>
              <w:ind w:right="79"/>
              <w:spacing w:after="0"/>
              <w:rPr>
                <w:sz w:val="20"/>
                <w:szCs w:val="20"/>
                <w:color w:val="auto"/>
              </w:rPr>
            </w:pPr>
            <w:r>
              <w:rPr>
                <w:rFonts w:ascii="Arial" w:cs="Arial" w:eastAsia="Arial" w:hAnsi="Arial"/>
                <w:sz w:val="16"/>
                <w:szCs w:val="16"/>
                <w:color w:val="auto"/>
              </w:rPr>
              <w:t>1,675,721</w:t>
            </w:r>
          </w:p>
        </w:tc>
        <w:tc>
          <w:tcPr>
            <w:tcW w:w="940" w:type="dxa"/>
            <w:vAlign w:val="bottom"/>
          </w:tcPr>
          <w:p>
            <w:pPr>
              <w:spacing w:after="0"/>
              <w:rPr>
                <w:sz w:val="16"/>
                <w:szCs w:val="16"/>
                <w:color w:val="auto"/>
              </w:rPr>
            </w:pPr>
          </w:p>
        </w:tc>
      </w:tr>
      <w:tr>
        <w:trPr>
          <w:trHeight w:val="213"/>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260"/>
              <w:spacing w:after="0"/>
              <w:rPr>
                <w:sz w:val="20"/>
                <w:szCs w:val="20"/>
                <w:color w:val="auto"/>
              </w:rPr>
            </w:pPr>
            <w:r>
              <w:rPr>
                <w:rFonts w:ascii="Arial" w:cs="Arial" w:eastAsia="Arial" w:hAnsi="Arial"/>
                <w:sz w:val="16"/>
                <w:szCs w:val="16"/>
                <w:i w:val="1"/>
                <w:iCs w:val="1"/>
                <w:color w:val="auto"/>
              </w:rPr>
              <w:t>Control</w:t>
            </w:r>
          </w:p>
        </w:tc>
        <w:tc>
          <w:tcPr>
            <w:tcW w:w="1300" w:type="dxa"/>
            <w:vAlign w:val="bottom"/>
            <w:tcBorders>
              <w:right w:val="single" w:sz="8" w:color="93A1D2"/>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spacing w:after="0"/>
              <w:rPr>
                <w:sz w:val="18"/>
                <w:szCs w:val="18"/>
                <w:color w:val="auto"/>
              </w:rPr>
            </w:pPr>
          </w:p>
        </w:tc>
        <w:tc>
          <w:tcPr>
            <w:tcW w:w="1560" w:type="dxa"/>
            <w:vAlign w:val="bottom"/>
            <w:tcBorders>
              <w:right w:val="single" w:sz="8" w:color="93A1D2"/>
            </w:tcBorders>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Termination Upon Death or Disability</w:t>
            </w:r>
          </w:p>
        </w:tc>
        <w:tc>
          <w:tcPr>
            <w:tcW w:w="130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1,980,063</w:t>
            </w:r>
          </w:p>
        </w:tc>
        <w:tc>
          <w:tcPr>
            <w:tcW w:w="1380" w:type="dxa"/>
            <w:vAlign w:val="bottom"/>
            <w:tcBorders>
              <w:right w:val="single" w:sz="8" w:color="3465B0"/>
            </w:tcBorders>
            <w:gridSpan w:val="2"/>
            <w:shd w:val="clear" w:color="auto" w:fill="CCCCCC"/>
          </w:tcPr>
          <w:p>
            <w:pPr>
              <w:jc w:val="right"/>
              <w:ind w:right="79"/>
              <w:spacing w:after="0"/>
              <w:rPr>
                <w:sz w:val="20"/>
                <w:szCs w:val="20"/>
                <w:color w:val="auto"/>
              </w:rPr>
            </w:pPr>
            <w:r>
              <w:rPr>
                <w:rFonts w:ascii="Arial" w:cs="Arial" w:eastAsia="Arial" w:hAnsi="Arial"/>
                <w:sz w:val="16"/>
                <w:szCs w:val="16"/>
                <w:color w:val="auto"/>
              </w:rPr>
              <w:t>1,675,721</w:t>
            </w:r>
          </w:p>
        </w:tc>
        <w:tc>
          <w:tcPr>
            <w:tcW w:w="940" w:type="dxa"/>
            <w:vAlign w:val="bottom"/>
          </w:tcPr>
          <w:p>
            <w:pPr>
              <w:spacing w:after="0"/>
              <w:rPr>
                <w:sz w:val="18"/>
                <w:szCs w:val="18"/>
                <w:color w:val="auto"/>
              </w:rPr>
            </w:pPr>
          </w:p>
        </w:tc>
      </w:tr>
      <w:tr>
        <w:trPr>
          <w:trHeight w:val="258"/>
        </w:trPr>
        <w:tc>
          <w:tcPr>
            <w:tcW w:w="940" w:type="dxa"/>
            <w:vAlign w:val="bottom"/>
            <w:tcBorders>
              <w:right w:val="single" w:sz="8" w:color="3465B0"/>
            </w:tcBorders>
          </w:tcPr>
          <w:p>
            <w:pPr>
              <w:spacing w:after="0"/>
              <w:rPr>
                <w:sz w:val="22"/>
                <w:szCs w:val="22"/>
                <w:color w:val="auto"/>
              </w:rPr>
            </w:pPr>
          </w:p>
        </w:tc>
        <w:tc>
          <w:tcPr>
            <w:tcW w:w="3400" w:type="dxa"/>
            <w:vAlign w:val="bottom"/>
            <w:tcBorders>
              <w:right w:val="single" w:sz="8" w:color="93A1D2"/>
            </w:tcBorders>
            <w:shd w:val="clear" w:color="auto" w:fill="CCCCCC"/>
          </w:tcPr>
          <w:p>
            <w:pPr>
              <w:ind w:left="80"/>
              <w:spacing w:after="0" w:line="258" w:lineRule="exact"/>
              <w:rPr>
                <w:sz w:val="20"/>
                <w:szCs w:val="20"/>
                <w:color w:val="auto"/>
              </w:rPr>
            </w:pPr>
            <w:r>
              <w:rPr>
                <w:rFonts w:ascii="Arial" w:cs="Arial" w:eastAsia="Arial" w:hAnsi="Arial"/>
                <w:sz w:val="16"/>
                <w:szCs w:val="16"/>
                <w:i w:val="1"/>
                <w:iCs w:val="1"/>
                <w:color w:val="auto"/>
              </w:rPr>
              <w:t>Retirement</w:t>
            </w:r>
            <w:r>
              <w:rPr>
                <w:rFonts w:ascii="Arial" w:cs="Arial" w:eastAsia="Arial" w:hAnsi="Arial"/>
                <w:sz w:val="26"/>
                <w:szCs w:val="26"/>
                <w:i w:val="1"/>
                <w:iCs w:val="1"/>
                <w:color w:val="auto"/>
                <w:vertAlign w:val="superscript"/>
              </w:rPr>
              <w:t>(5)</w:t>
            </w:r>
          </w:p>
        </w:tc>
        <w:tc>
          <w:tcPr>
            <w:tcW w:w="130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CCCC"/>
          </w:tcPr>
          <w:p>
            <w:pPr>
              <w:spacing w:after="0"/>
              <w:rPr>
                <w:sz w:val="22"/>
                <w:szCs w:val="22"/>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CCCC"/>
          </w:tcPr>
          <w:p>
            <w:pPr>
              <w:spacing w:after="0"/>
              <w:rPr>
                <w:sz w:val="22"/>
                <w:szCs w:val="22"/>
                <w:color w:val="auto"/>
              </w:rPr>
            </w:pPr>
          </w:p>
        </w:tc>
        <w:tc>
          <w:tcPr>
            <w:tcW w:w="780" w:type="dxa"/>
            <w:vAlign w:val="bottom"/>
            <w:tcBorders>
              <w:right w:val="single" w:sz="8" w:color="3465B0"/>
            </w:tcBorders>
            <w:shd w:val="clear" w:color="auto" w:fill="CCCCC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color w:val="auto"/>
              </w:rPr>
              <w:t>Jared Brandman</w:t>
            </w:r>
          </w:p>
        </w:tc>
        <w:tc>
          <w:tcPr>
            <w:tcW w:w="13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right w:val="single" w:sz="8" w:color="93A1D2"/>
            </w:tcBorders>
          </w:tcPr>
          <w:p>
            <w:pPr>
              <w:spacing w:after="0"/>
              <w:rPr>
                <w:sz w:val="18"/>
                <w:szCs w:val="18"/>
                <w:color w:val="auto"/>
              </w:rPr>
            </w:pPr>
          </w:p>
        </w:tc>
        <w:tc>
          <w:tcPr>
            <w:tcW w:w="1560" w:type="dxa"/>
            <w:vAlign w:val="bottom"/>
            <w:tcBorders>
              <w:right w:val="single" w:sz="8" w:color="93A1D2"/>
            </w:tcBorders>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Qualifying Termination of Employment</w:t>
            </w:r>
          </w:p>
        </w:tc>
        <w:tc>
          <w:tcPr>
            <w:tcW w:w="130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2,064,095</w:t>
            </w:r>
          </w:p>
        </w:tc>
        <w:tc>
          <w:tcPr>
            <w:tcW w:w="1500" w:type="dxa"/>
            <w:vAlign w:val="bottom"/>
            <w:tcBorders>
              <w:right w:val="single" w:sz="8" w:color="93A1D2"/>
            </w:tcBorders>
            <w:gridSpan w:val="2"/>
          </w:tcPr>
          <w:p>
            <w:pPr>
              <w:jc w:val="right"/>
              <w:ind w:right="199"/>
              <w:spacing w:after="0"/>
              <w:rPr>
                <w:sz w:val="20"/>
                <w:szCs w:val="20"/>
                <w:color w:val="auto"/>
              </w:rPr>
            </w:pPr>
            <w:r>
              <w:rPr>
                <w:rFonts w:ascii="Arial" w:cs="Arial" w:eastAsia="Arial" w:hAnsi="Arial"/>
                <w:sz w:val="16"/>
                <w:szCs w:val="16"/>
                <w:color w:val="auto"/>
              </w:rPr>
              <w:t>40,917</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780" w:type="dxa"/>
            <w:vAlign w:val="bottom"/>
            <w:tcBorders>
              <w:right w:val="single" w:sz="8" w:color="3465B0"/>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192"/>
        </w:trPr>
        <w:tc>
          <w:tcPr>
            <w:tcW w:w="940" w:type="dxa"/>
            <w:vAlign w:val="bottom"/>
            <w:tcBorders>
              <w:right w:val="single" w:sz="8" w:color="3465B0"/>
            </w:tcBorders>
          </w:tcPr>
          <w:p>
            <w:pPr>
              <w:spacing w:after="0"/>
              <w:rPr>
                <w:sz w:val="16"/>
                <w:szCs w:val="16"/>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Qualifying Termination following Change in</w:t>
            </w:r>
          </w:p>
        </w:tc>
        <w:tc>
          <w:tcPr>
            <w:tcW w:w="130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2,537,845</w:t>
            </w:r>
          </w:p>
        </w:tc>
        <w:tc>
          <w:tcPr>
            <w:tcW w:w="1500" w:type="dxa"/>
            <w:vAlign w:val="bottom"/>
            <w:tcBorders>
              <w:right w:val="single" w:sz="8" w:color="93A1D2"/>
            </w:tcBorders>
            <w:gridSpan w:val="2"/>
          </w:tcPr>
          <w:p>
            <w:pPr>
              <w:jc w:val="right"/>
              <w:ind w:right="199"/>
              <w:spacing w:after="0"/>
              <w:rPr>
                <w:sz w:val="20"/>
                <w:szCs w:val="20"/>
                <w:color w:val="auto"/>
              </w:rPr>
            </w:pPr>
            <w:r>
              <w:rPr>
                <w:rFonts w:ascii="Arial" w:cs="Arial" w:eastAsia="Arial" w:hAnsi="Arial"/>
                <w:sz w:val="16"/>
                <w:szCs w:val="16"/>
                <w:color w:val="auto"/>
              </w:rPr>
              <w:t>54,556</w:t>
            </w:r>
          </w:p>
        </w:tc>
        <w:tc>
          <w:tcPr>
            <w:tcW w:w="156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2,266,239</w:t>
            </w:r>
          </w:p>
        </w:tc>
        <w:tc>
          <w:tcPr>
            <w:tcW w:w="1380" w:type="dxa"/>
            <w:vAlign w:val="bottom"/>
            <w:tcBorders>
              <w:right w:val="single" w:sz="8" w:color="3465B0"/>
            </w:tcBorders>
            <w:gridSpan w:val="2"/>
          </w:tcPr>
          <w:p>
            <w:pPr>
              <w:jc w:val="right"/>
              <w:ind w:right="79"/>
              <w:spacing w:after="0"/>
              <w:rPr>
                <w:sz w:val="20"/>
                <w:szCs w:val="20"/>
                <w:color w:val="auto"/>
              </w:rPr>
            </w:pPr>
            <w:r>
              <w:rPr>
                <w:rFonts w:ascii="Arial" w:cs="Arial" w:eastAsia="Arial" w:hAnsi="Arial"/>
                <w:sz w:val="16"/>
                <w:szCs w:val="16"/>
                <w:color w:val="auto"/>
              </w:rPr>
              <w:t>1,246,898</w:t>
            </w:r>
          </w:p>
        </w:tc>
        <w:tc>
          <w:tcPr>
            <w:tcW w:w="940" w:type="dxa"/>
            <w:vAlign w:val="bottom"/>
          </w:tcPr>
          <w:p>
            <w:pPr>
              <w:spacing w:after="0"/>
              <w:rPr>
                <w:sz w:val="16"/>
                <w:szCs w:val="16"/>
                <w:color w:val="auto"/>
              </w:rPr>
            </w:pPr>
          </w:p>
        </w:tc>
      </w:tr>
      <w:tr>
        <w:trPr>
          <w:trHeight w:val="213"/>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260"/>
              <w:spacing w:after="0"/>
              <w:rPr>
                <w:sz w:val="20"/>
                <w:szCs w:val="20"/>
                <w:color w:val="auto"/>
              </w:rPr>
            </w:pPr>
            <w:r>
              <w:rPr>
                <w:rFonts w:ascii="Arial" w:cs="Arial" w:eastAsia="Arial" w:hAnsi="Arial"/>
                <w:sz w:val="16"/>
                <w:szCs w:val="16"/>
                <w:i w:val="1"/>
                <w:iCs w:val="1"/>
                <w:color w:val="auto"/>
              </w:rPr>
              <w:t>Control</w:t>
            </w:r>
          </w:p>
        </w:tc>
        <w:tc>
          <w:tcPr>
            <w:tcW w:w="13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right w:val="single" w:sz="8" w:color="93A1D2"/>
            </w:tcBorders>
          </w:tcPr>
          <w:p>
            <w:pPr>
              <w:spacing w:after="0"/>
              <w:rPr>
                <w:sz w:val="18"/>
                <w:szCs w:val="18"/>
                <w:color w:val="auto"/>
              </w:rPr>
            </w:pPr>
          </w:p>
        </w:tc>
        <w:tc>
          <w:tcPr>
            <w:tcW w:w="1560" w:type="dxa"/>
            <w:vAlign w:val="bottom"/>
            <w:tcBorders>
              <w:right w:val="single" w:sz="8" w:color="93A1D2"/>
            </w:tcBorders>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tcPr>
          <w:p>
            <w:pPr>
              <w:ind w:left="80"/>
              <w:spacing w:after="0"/>
              <w:rPr>
                <w:sz w:val="20"/>
                <w:szCs w:val="20"/>
                <w:color w:val="auto"/>
              </w:rPr>
            </w:pPr>
            <w:r>
              <w:rPr>
                <w:rFonts w:ascii="Arial" w:cs="Arial" w:eastAsia="Arial" w:hAnsi="Arial"/>
                <w:sz w:val="16"/>
                <w:szCs w:val="16"/>
                <w:i w:val="1"/>
                <w:iCs w:val="1"/>
                <w:color w:val="auto"/>
              </w:rPr>
              <w:t>Termination Upon Death or Disability</w:t>
            </w:r>
          </w:p>
        </w:tc>
        <w:tc>
          <w:tcPr>
            <w:tcW w:w="130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1,717,345</w:t>
            </w:r>
          </w:p>
        </w:tc>
        <w:tc>
          <w:tcPr>
            <w:tcW w:w="1380" w:type="dxa"/>
            <w:vAlign w:val="bottom"/>
            <w:tcBorders>
              <w:right w:val="single" w:sz="8" w:color="3465B0"/>
            </w:tcBorders>
            <w:gridSpan w:val="2"/>
          </w:tcPr>
          <w:p>
            <w:pPr>
              <w:jc w:val="right"/>
              <w:ind w:right="79"/>
              <w:spacing w:after="0"/>
              <w:rPr>
                <w:sz w:val="20"/>
                <w:szCs w:val="20"/>
                <w:color w:val="auto"/>
              </w:rPr>
            </w:pPr>
            <w:r>
              <w:rPr>
                <w:rFonts w:ascii="Arial" w:cs="Arial" w:eastAsia="Arial" w:hAnsi="Arial"/>
                <w:sz w:val="16"/>
                <w:szCs w:val="16"/>
                <w:color w:val="auto"/>
              </w:rPr>
              <w:t>1,246,898</w:t>
            </w:r>
          </w:p>
        </w:tc>
        <w:tc>
          <w:tcPr>
            <w:tcW w:w="940" w:type="dxa"/>
            <w:vAlign w:val="bottom"/>
          </w:tcPr>
          <w:p>
            <w:pPr>
              <w:spacing w:after="0"/>
              <w:rPr>
                <w:sz w:val="18"/>
                <w:szCs w:val="18"/>
                <w:color w:val="auto"/>
              </w:rPr>
            </w:pPr>
          </w:p>
        </w:tc>
      </w:tr>
      <w:tr>
        <w:trPr>
          <w:trHeight w:val="258"/>
        </w:trPr>
        <w:tc>
          <w:tcPr>
            <w:tcW w:w="940" w:type="dxa"/>
            <w:vAlign w:val="bottom"/>
            <w:tcBorders>
              <w:right w:val="single" w:sz="8" w:color="3465B0"/>
            </w:tcBorders>
          </w:tcPr>
          <w:p>
            <w:pPr>
              <w:spacing w:after="0"/>
              <w:rPr>
                <w:sz w:val="22"/>
                <w:szCs w:val="22"/>
                <w:color w:val="auto"/>
              </w:rPr>
            </w:pPr>
          </w:p>
        </w:tc>
        <w:tc>
          <w:tcPr>
            <w:tcW w:w="3400" w:type="dxa"/>
            <w:vAlign w:val="bottom"/>
            <w:tcBorders>
              <w:right w:val="single" w:sz="8" w:color="93A1D2"/>
            </w:tcBorders>
          </w:tcPr>
          <w:p>
            <w:pPr>
              <w:ind w:left="80"/>
              <w:spacing w:after="0" w:line="258" w:lineRule="exact"/>
              <w:rPr>
                <w:sz w:val="20"/>
                <w:szCs w:val="20"/>
                <w:color w:val="auto"/>
              </w:rPr>
            </w:pPr>
            <w:r>
              <w:rPr>
                <w:rFonts w:ascii="Arial" w:cs="Arial" w:eastAsia="Arial" w:hAnsi="Arial"/>
                <w:sz w:val="16"/>
                <w:szCs w:val="16"/>
                <w:i w:val="1"/>
                <w:iCs w:val="1"/>
                <w:color w:val="auto"/>
              </w:rPr>
              <w:t>Retirement</w:t>
            </w:r>
            <w:r>
              <w:rPr>
                <w:rFonts w:ascii="Arial" w:cs="Arial" w:eastAsia="Arial" w:hAnsi="Arial"/>
                <w:sz w:val="26"/>
                <w:szCs w:val="26"/>
                <w:i w:val="1"/>
                <w:iCs w:val="1"/>
                <w:color w:val="auto"/>
                <w:vertAlign w:val="superscript"/>
              </w:rPr>
              <w:t>(5)</w:t>
            </w:r>
          </w:p>
        </w:tc>
        <w:tc>
          <w:tcPr>
            <w:tcW w:w="130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80" w:type="dxa"/>
            <w:vAlign w:val="bottom"/>
            <w:tcBorders>
              <w:right w:val="single" w:sz="8" w:color="93A1D2"/>
            </w:tcBorders>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780" w:type="dxa"/>
            <w:vAlign w:val="bottom"/>
            <w:tcBorders>
              <w:right w:val="single" w:sz="8" w:color="3465B0"/>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color w:val="auto"/>
              </w:rPr>
              <w:t>Bill Clark</w:t>
            </w:r>
          </w:p>
        </w:tc>
        <w:tc>
          <w:tcPr>
            <w:tcW w:w="1300" w:type="dxa"/>
            <w:vAlign w:val="bottom"/>
            <w:tcBorders>
              <w:right w:val="single" w:sz="8" w:color="93A1D2"/>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spacing w:after="0"/>
              <w:rPr>
                <w:sz w:val="18"/>
                <w:szCs w:val="18"/>
                <w:color w:val="auto"/>
              </w:rPr>
            </w:pPr>
          </w:p>
        </w:tc>
        <w:tc>
          <w:tcPr>
            <w:tcW w:w="1560" w:type="dxa"/>
            <w:vAlign w:val="bottom"/>
            <w:tcBorders>
              <w:right w:val="single" w:sz="8" w:color="93A1D2"/>
            </w:tcBorders>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Qualifying Termination of Employment</w:t>
            </w:r>
          </w:p>
        </w:tc>
        <w:tc>
          <w:tcPr>
            <w:tcW w:w="130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1,254,989</w:t>
            </w: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26,943</w:t>
            </w:r>
          </w:p>
        </w:tc>
        <w:tc>
          <w:tcPr>
            <w:tcW w:w="156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192"/>
        </w:trPr>
        <w:tc>
          <w:tcPr>
            <w:tcW w:w="940" w:type="dxa"/>
            <w:vAlign w:val="bottom"/>
            <w:tcBorders>
              <w:right w:val="single" w:sz="8" w:color="3465B0"/>
            </w:tcBorders>
          </w:tcPr>
          <w:p>
            <w:pPr>
              <w:spacing w:after="0"/>
              <w:rPr>
                <w:sz w:val="16"/>
                <w:szCs w:val="16"/>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Qualifying Termination following Change in</w:t>
            </w:r>
          </w:p>
        </w:tc>
        <w:tc>
          <w:tcPr>
            <w:tcW w:w="1300" w:type="dxa"/>
            <w:vAlign w:val="bottom"/>
            <w:tcBorders>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1,636,189</w:t>
            </w:r>
          </w:p>
        </w:tc>
        <w:tc>
          <w:tcPr>
            <w:tcW w:w="220" w:type="dxa"/>
            <w:vAlign w:val="bottom"/>
            <w:shd w:val="clear" w:color="auto" w:fill="CCCCCC"/>
          </w:tcPr>
          <w:p>
            <w:pPr>
              <w:spacing w:after="0"/>
              <w:rPr>
                <w:sz w:val="16"/>
                <w:szCs w:val="16"/>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40,414</w:t>
            </w:r>
          </w:p>
        </w:tc>
        <w:tc>
          <w:tcPr>
            <w:tcW w:w="156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1,868,504</w:t>
            </w:r>
          </w:p>
        </w:tc>
        <w:tc>
          <w:tcPr>
            <w:tcW w:w="600" w:type="dxa"/>
            <w:vAlign w:val="bottom"/>
            <w:shd w:val="clear" w:color="auto" w:fill="CCCCCC"/>
          </w:tcPr>
          <w:p>
            <w:pPr>
              <w:spacing w:after="0"/>
              <w:rPr>
                <w:sz w:val="16"/>
                <w:szCs w:val="16"/>
                <w:color w:val="auto"/>
              </w:rPr>
            </w:pPr>
          </w:p>
        </w:tc>
        <w:tc>
          <w:tcPr>
            <w:tcW w:w="780" w:type="dxa"/>
            <w:vAlign w:val="bottom"/>
            <w:tcBorders>
              <w:right w:val="single" w:sz="8" w:color="3465B0"/>
            </w:tcBorders>
            <w:shd w:val="clear" w:color="auto" w:fill="CCCCCC"/>
          </w:tcPr>
          <w:p>
            <w:pPr>
              <w:jc w:val="right"/>
              <w:ind w:right="79"/>
              <w:spacing w:after="0"/>
              <w:rPr>
                <w:sz w:val="20"/>
                <w:szCs w:val="20"/>
                <w:color w:val="auto"/>
              </w:rPr>
            </w:pPr>
            <w:r>
              <w:rPr>
                <w:rFonts w:ascii="Arial" w:cs="Arial" w:eastAsia="Arial" w:hAnsi="Arial"/>
                <w:sz w:val="16"/>
                <w:szCs w:val="16"/>
                <w:color w:val="auto"/>
              </w:rPr>
              <w:t>979,587</w:t>
            </w:r>
          </w:p>
        </w:tc>
        <w:tc>
          <w:tcPr>
            <w:tcW w:w="940" w:type="dxa"/>
            <w:vAlign w:val="bottom"/>
          </w:tcPr>
          <w:p>
            <w:pPr>
              <w:spacing w:after="0"/>
              <w:rPr>
                <w:sz w:val="16"/>
                <w:szCs w:val="16"/>
                <w:color w:val="auto"/>
              </w:rPr>
            </w:pPr>
          </w:p>
        </w:tc>
      </w:tr>
      <w:tr>
        <w:trPr>
          <w:trHeight w:val="213"/>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260"/>
              <w:spacing w:after="0"/>
              <w:rPr>
                <w:sz w:val="20"/>
                <w:szCs w:val="20"/>
                <w:color w:val="auto"/>
              </w:rPr>
            </w:pPr>
            <w:r>
              <w:rPr>
                <w:rFonts w:ascii="Arial" w:cs="Arial" w:eastAsia="Arial" w:hAnsi="Arial"/>
                <w:sz w:val="16"/>
                <w:szCs w:val="16"/>
                <w:i w:val="1"/>
                <w:iCs w:val="1"/>
                <w:color w:val="auto"/>
              </w:rPr>
              <w:t>Control</w:t>
            </w:r>
          </w:p>
        </w:tc>
        <w:tc>
          <w:tcPr>
            <w:tcW w:w="1300" w:type="dxa"/>
            <w:vAlign w:val="bottom"/>
            <w:tcBorders>
              <w:right w:val="single" w:sz="8" w:color="93A1D2"/>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spacing w:after="0"/>
              <w:rPr>
                <w:sz w:val="18"/>
                <w:szCs w:val="18"/>
                <w:color w:val="auto"/>
              </w:rPr>
            </w:pPr>
          </w:p>
        </w:tc>
        <w:tc>
          <w:tcPr>
            <w:tcW w:w="1560" w:type="dxa"/>
            <w:vAlign w:val="bottom"/>
            <w:tcBorders>
              <w:right w:val="single" w:sz="8" w:color="93A1D2"/>
            </w:tcBorders>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940" w:type="dxa"/>
            <w:vAlign w:val="bottom"/>
            <w:tcBorders>
              <w:right w:val="single" w:sz="8" w:color="3465B0"/>
            </w:tcBorders>
          </w:tcPr>
          <w:p>
            <w:pPr>
              <w:spacing w:after="0"/>
              <w:rPr>
                <w:sz w:val="18"/>
                <w:szCs w:val="18"/>
                <w:color w:val="auto"/>
              </w:rPr>
            </w:pPr>
          </w:p>
        </w:tc>
        <w:tc>
          <w:tcPr>
            <w:tcW w:w="3400" w:type="dxa"/>
            <w:vAlign w:val="bottom"/>
            <w:tcBorders>
              <w:right w:val="single" w:sz="8" w:color="93A1D2"/>
            </w:tcBorders>
            <w:shd w:val="clear" w:color="auto" w:fill="CCCCCC"/>
          </w:tcPr>
          <w:p>
            <w:pPr>
              <w:ind w:left="80"/>
              <w:spacing w:after="0"/>
              <w:rPr>
                <w:sz w:val="20"/>
                <w:szCs w:val="20"/>
                <w:color w:val="auto"/>
              </w:rPr>
            </w:pPr>
            <w:r>
              <w:rPr>
                <w:rFonts w:ascii="Arial" w:cs="Arial" w:eastAsia="Arial" w:hAnsi="Arial"/>
                <w:sz w:val="16"/>
                <w:szCs w:val="16"/>
                <w:i w:val="1"/>
                <w:iCs w:val="1"/>
                <w:color w:val="auto"/>
              </w:rPr>
              <w:t>Termination Upon Death or Disability</w:t>
            </w:r>
          </w:p>
        </w:tc>
        <w:tc>
          <w:tcPr>
            <w:tcW w:w="130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CCCC"/>
          </w:tcPr>
          <w:p>
            <w:pPr>
              <w:spacing w:after="0"/>
              <w:rPr>
                <w:sz w:val="18"/>
                <w:szCs w:val="18"/>
                <w:color w:val="auto"/>
              </w:rPr>
            </w:pPr>
          </w:p>
        </w:tc>
        <w:tc>
          <w:tcPr>
            <w:tcW w:w="128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1,396,421</w:t>
            </w:r>
          </w:p>
        </w:tc>
        <w:tc>
          <w:tcPr>
            <w:tcW w:w="600" w:type="dxa"/>
            <w:vAlign w:val="bottom"/>
            <w:shd w:val="clear" w:color="auto" w:fill="CCCCCC"/>
          </w:tcPr>
          <w:p>
            <w:pPr>
              <w:spacing w:after="0"/>
              <w:rPr>
                <w:sz w:val="18"/>
                <w:szCs w:val="18"/>
                <w:color w:val="auto"/>
              </w:rPr>
            </w:pPr>
          </w:p>
        </w:tc>
        <w:tc>
          <w:tcPr>
            <w:tcW w:w="780" w:type="dxa"/>
            <w:vAlign w:val="bottom"/>
            <w:tcBorders>
              <w:right w:val="single" w:sz="8" w:color="3465B0"/>
            </w:tcBorders>
            <w:shd w:val="clear" w:color="auto" w:fill="CCCCCC"/>
          </w:tcPr>
          <w:p>
            <w:pPr>
              <w:jc w:val="right"/>
              <w:ind w:right="79"/>
              <w:spacing w:after="0"/>
              <w:rPr>
                <w:sz w:val="20"/>
                <w:szCs w:val="20"/>
                <w:color w:val="auto"/>
              </w:rPr>
            </w:pPr>
            <w:r>
              <w:rPr>
                <w:rFonts w:ascii="Arial" w:cs="Arial" w:eastAsia="Arial" w:hAnsi="Arial"/>
                <w:sz w:val="16"/>
                <w:szCs w:val="16"/>
                <w:color w:val="auto"/>
              </w:rPr>
              <w:t>979,587</w:t>
            </w:r>
          </w:p>
        </w:tc>
        <w:tc>
          <w:tcPr>
            <w:tcW w:w="940" w:type="dxa"/>
            <w:vAlign w:val="bottom"/>
          </w:tcPr>
          <w:p>
            <w:pPr>
              <w:spacing w:after="0"/>
              <w:rPr>
                <w:sz w:val="18"/>
                <w:szCs w:val="18"/>
                <w:color w:val="auto"/>
              </w:rPr>
            </w:pPr>
          </w:p>
        </w:tc>
      </w:tr>
      <w:tr>
        <w:trPr>
          <w:trHeight w:val="257"/>
        </w:trPr>
        <w:tc>
          <w:tcPr>
            <w:tcW w:w="940" w:type="dxa"/>
            <w:vAlign w:val="bottom"/>
            <w:tcBorders>
              <w:right w:val="single" w:sz="8" w:color="3465B0"/>
            </w:tcBorders>
          </w:tcPr>
          <w:p>
            <w:pPr>
              <w:spacing w:after="0"/>
              <w:rPr>
                <w:sz w:val="22"/>
                <w:szCs w:val="22"/>
                <w:color w:val="auto"/>
              </w:rPr>
            </w:pPr>
          </w:p>
        </w:tc>
        <w:tc>
          <w:tcPr>
            <w:tcW w:w="3400" w:type="dxa"/>
            <w:vAlign w:val="bottom"/>
            <w:tcBorders>
              <w:bottom w:val="single" w:sz="8" w:color="3465B0"/>
              <w:right w:val="single" w:sz="8" w:color="93A1D2"/>
            </w:tcBorders>
            <w:shd w:val="clear" w:color="auto" w:fill="CCCCCC"/>
          </w:tcPr>
          <w:p>
            <w:pPr>
              <w:ind w:left="80"/>
              <w:spacing w:after="0" w:line="255" w:lineRule="exact"/>
              <w:rPr>
                <w:sz w:val="20"/>
                <w:szCs w:val="20"/>
                <w:color w:val="auto"/>
              </w:rPr>
            </w:pPr>
            <w:r>
              <w:rPr>
                <w:rFonts w:ascii="Arial" w:cs="Arial" w:eastAsia="Arial" w:hAnsi="Arial"/>
                <w:sz w:val="16"/>
                <w:szCs w:val="16"/>
                <w:i w:val="1"/>
                <w:iCs w:val="1"/>
                <w:color w:val="auto"/>
              </w:rPr>
              <w:t>Retirement</w:t>
            </w:r>
            <w:r>
              <w:rPr>
                <w:rFonts w:ascii="Arial" w:cs="Arial" w:eastAsia="Arial" w:hAnsi="Arial"/>
                <w:sz w:val="26"/>
                <w:szCs w:val="26"/>
                <w:i w:val="1"/>
                <w:iCs w:val="1"/>
                <w:color w:val="auto"/>
                <w:vertAlign w:val="superscript"/>
              </w:rPr>
              <w:t>(5)</w:t>
            </w:r>
          </w:p>
        </w:tc>
        <w:tc>
          <w:tcPr>
            <w:tcW w:w="1300" w:type="dxa"/>
            <w:vAlign w:val="bottom"/>
            <w:tcBorders>
              <w:bottom w:val="single" w:sz="8" w:color="3465B0"/>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3465B0"/>
            </w:tcBorders>
            <w:shd w:val="clear" w:color="auto" w:fill="CCCCCC"/>
          </w:tcPr>
          <w:p>
            <w:pPr>
              <w:spacing w:after="0"/>
              <w:rPr>
                <w:sz w:val="22"/>
                <w:szCs w:val="22"/>
                <w:color w:val="auto"/>
              </w:rPr>
            </w:pPr>
          </w:p>
        </w:tc>
        <w:tc>
          <w:tcPr>
            <w:tcW w:w="1280" w:type="dxa"/>
            <w:vAlign w:val="bottom"/>
            <w:tcBorders>
              <w:bottom w:val="single" w:sz="8" w:color="3465B0"/>
              <w:right w:val="single" w:sz="8" w:color="93A1D2"/>
            </w:tcBorders>
            <w:shd w:val="clear" w:color="auto" w:fill="CCCCCC"/>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3465B0"/>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3465B0"/>
            </w:tcBorders>
            <w:shd w:val="clear" w:color="auto" w:fill="CCCCCC"/>
          </w:tcPr>
          <w:p>
            <w:pPr>
              <w:spacing w:after="0"/>
              <w:rPr>
                <w:sz w:val="22"/>
                <w:szCs w:val="22"/>
                <w:color w:val="auto"/>
              </w:rPr>
            </w:pPr>
          </w:p>
        </w:tc>
        <w:tc>
          <w:tcPr>
            <w:tcW w:w="780" w:type="dxa"/>
            <w:vAlign w:val="bottom"/>
            <w:tcBorders>
              <w:bottom w:val="single" w:sz="8" w:color="3465B0"/>
              <w:right w:val="single" w:sz="8" w:color="3465B0"/>
            </w:tcBorders>
            <w:shd w:val="clear" w:color="auto" w:fill="CCCCC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r>
      <w:tr>
        <w:trPr>
          <w:trHeight w:val="420"/>
        </w:trPr>
        <w:tc>
          <w:tcPr>
            <w:tcW w:w="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gridSpan w:val="2"/>
          </w:tcPr>
          <w:p>
            <w:pPr>
              <w:ind w:left="420"/>
              <w:spacing w:after="0"/>
              <w:rPr>
                <w:sz w:val="20"/>
                <w:szCs w:val="20"/>
                <w:color w:val="auto"/>
              </w:rPr>
            </w:pPr>
            <w:r>
              <w:rPr>
                <w:rFonts w:ascii="Arial" w:cs="Arial" w:eastAsia="Arial" w:hAnsi="Arial"/>
                <w:sz w:val="16"/>
                <w:szCs w:val="16"/>
                <w:color w:val="auto"/>
                <w:w w:val="96"/>
              </w:rPr>
              <w:t>2026 Proxy Statement  </w:t>
            </w:r>
          </w:p>
        </w:tc>
        <w:tc>
          <w:tcPr>
            <w:tcW w:w="172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57</w:t>
            </w:r>
          </w:p>
        </w:tc>
      </w:tr>
      <w:tr>
        <w:trPr>
          <w:trHeight w:val="244"/>
        </w:trPr>
        <w:tc>
          <w:tcPr>
            <w:tcW w:w="94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-368300</wp:posOffset>
            </wp:positionV>
            <wp:extent cx="205740" cy="2057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8034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180340"/>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340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1320" w:type="dxa"/>
            <w:vAlign w:val="bottom"/>
            <w:tcBorders>
              <w:top w:val="single" w:sz="8" w:color="3465B0"/>
              <w:right w:val="single" w:sz="8" w:color="93A1D2"/>
            </w:tcBorders>
            <w:shd w:val="clear" w:color="auto" w:fill="3465B0"/>
          </w:tcPr>
          <w:p>
            <w:pPr>
              <w:spacing w:after="0"/>
              <w:rPr>
                <w:sz w:val="24"/>
                <w:szCs w:val="24"/>
                <w:color w:val="auto"/>
              </w:rPr>
            </w:pPr>
          </w:p>
        </w:tc>
        <w:tc>
          <w:tcPr>
            <w:tcW w:w="220" w:type="dxa"/>
            <w:vAlign w:val="bottom"/>
            <w:tcBorders>
              <w:top w:val="single" w:sz="8" w:color="3465B0"/>
            </w:tcBorders>
            <w:shd w:val="clear" w:color="auto" w:fill="3465B0"/>
          </w:tcPr>
          <w:p>
            <w:pPr>
              <w:spacing w:after="0"/>
              <w:rPr>
                <w:sz w:val="24"/>
                <w:szCs w:val="24"/>
                <w:color w:val="auto"/>
              </w:rPr>
            </w:pPr>
          </w:p>
        </w:tc>
        <w:tc>
          <w:tcPr>
            <w:tcW w:w="1300" w:type="dxa"/>
            <w:vAlign w:val="bottom"/>
            <w:tcBorders>
              <w:top w:val="single" w:sz="8" w:color="3465B0"/>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Continuation</w:t>
            </w:r>
          </w:p>
        </w:tc>
        <w:tc>
          <w:tcPr>
            <w:tcW w:w="1540" w:type="dxa"/>
            <w:vAlign w:val="bottom"/>
            <w:tcBorders>
              <w:top w:val="single" w:sz="8" w:color="3465B0"/>
              <w:right w:val="single" w:sz="8" w:color="93A1D2"/>
            </w:tcBorders>
            <w:shd w:val="clear" w:color="auto" w:fill="3465B0"/>
          </w:tcPr>
          <w:p>
            <w:pPr>
              <w:spacing w:after="0"/>
              <w:rPr>
                <w:sz w:val="24"/>
                <w:szCs w:val="24"/>
                <w:color w:val="auto"/>
              </w:rPr>
            </w:pPr>
          </w:p>
        </w:tc>
        <w:tc>
          <w:tcPr>
            <w:tcW w:w="1380" w:type="dxa"/>
            <w:vAlign w:val="bottom"/>
            <w:tcBorders>
              <w:top w:val="single" w:sz="8" w:color="3465B0"/>
              <w:right w:val="single" w:sz="8" w:color="3465B0"/>
            </w:tcBorders>
            <w:shd w:val="clear" w:color="auto" w:fill="3465B0"/>
          </w:tcPr>
          <w:p>
            <w:pPr>
              <w:spacing w:after="0"/>
              <w:rPr>
                <w:sz w:val="24"/>
                <w:szCs w:val="24"/>
                <w:color w:val="auto"/>
              </w:rPr>
            </w:pPr>
          </w:p>
        </w:tc>
      </w:tr>
      <w:tr>
        <w:trPr>
          <w:trHeight w:val="188"/>
        </w:trPr>
        <w:tc>
          <w:tcPr>
            <w:tcW w:w="3400" w:type="dxa"/>
            <w:vAlign w:val="bottom"/>
            <w:tcBorders>
              <w:left w:val="single" w:sz="8" w:color="3465B0"/>
              <w:right w:val="single" w:sz="8" w:color="93A1D2"/>
            </w:tcBorders>
            <w:shd w:val="clear" w:color="auto" w:fill="3465B0"/>
          </w:tcPr>
          <w:p>
            <w:pPr>
              <w:spacing w:after="0"/>
              <w:rPr>
                <w:sz w:val="16"/>
                <w:szCs w:val="16"/>
                <w:color w:val="auto"/>
              </w:rPr>
            </w:pPr>
          </w:p>
        </w:tc>
        <w:tc>
          <w:tcPr>
            <w:tcW w:w="1320" w:type="dxa"/>
            <w:vAlign w:val="bottom"/>
            <w:tcBorders>
              <w:right w:val="single" w:sz="8" w:color="93A1D2"/>
            </w:tcBorders>
            <w:shd w:val="clear" w:color="auto" w:fill="3465B0"/>
          </w:tcPr>
          <w:p>
            <w:pPr>
              <w:ind w:left="240"/>
              <w:spacing w:after="0"/>
              <w:rPr>
                <w:sz w:val="20"/>
                <w:szCs w:val="20"/>
                <w:color w:val="auto"/>
              </w:rPr>
            </w:pPr>
            <w:r>
              <w:rPr>
                <w:rFonts w:ascii="Arial" w:cs="Arial" w:eastAsia="Arial" w:hAnsi="Arial"/>
                <w:sz w:val="16"/>
                <w:szCs w:val="16"/>
                <w:b w:val="1"/>
                <w:bCs w:val="1"/>
                <w:color w:val="FFFFFF"/>
              </w:rPr>
              <w:t>Severance</w:t>
            </w:r>
          </w:p>
        </w:tc>
        <w:tc>
          <w:tcPr>
            <w:tcW w:w="220" w:type="dxa"/>
            <w:vAlign w:val="bottom"/>
            <w:shd w:val="clear" w:color="auto" w:fill="3465B0"/>
          </w:tcPr>
          <w:p>
            <w:pPr>
              <w:spacing w:after="0"/>
              <w:rPr>
                <w:sz w:val="16"/>
                <w:szCs w:val="16"/>
                <w:color w:val="auto"/>
              </w:rPr>
            </w:pPr>
          </w:p>
        </w:tc>
        <w:tc>
          <w:tcPr>
            <w:tcW w:w="130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of Health</w:t>
            </w:r>
          </w:p>
        </w:tc>
        <w:tc>
          <w:tcPr>
            <w:tcW w:w="1540" w:type="dxa"/>
            <w:vAlign w:val="bottom"/>
            <w:tcBorders>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Performance</w:t>
            </w:r>
          </w:p>
        </w:tc>
        <w:tc>
          <w:tcPr>
            <w:tcW w:w="1380" w:type="dxa"/>
            <w:vAlign w:val="bottom"/>
            <w:tcBorders>
              <w:right w:val="single" w:sz="8" w:color="3465B0"/>
            </w:tcBorders>
            <w:shd w:val="clear" w:color="auto" w:fill="3465B0"/>
          </w:tcPr>
          <w:p>
            <w:pPr>
              <w:ind w:left="240"/>
              <w:spacing w:after="0"/>
              <w:rPr>
                <w:sz w:val="20"/>
                <w:szCs w:val="20"/>
                <w:color w:val="auto"/>
              </w:rPr>
            </w:pPr>
            <w:r>
              <w:rPr>
                <w:rFonts w:ascii="Arial" w:cs="Arial" w:eastAsia="Arial" w:hAnsi="Arial"/>
                <w:sz w:val="16"/>
                <w:szCs w:val="16"/>
                <w:b w:val="1"/>
                <w:bCs w:val="1"/>
                <w:color w:val="FFFFFF"/>
              </w:rPr>
              <w:t>Restricted</w:t>
            </w:r>
          </w:p>
        </w:tc>
      </w:tr>
      <w:tr>
        <w:trPr>
          <w:trHeight w:val="230"/>
        </w:trPr>
        <w:tc>
          <w:tcPr>
            <w:tcW w:w="3400" w:type="dxa"/>
            <w:vAlign w:val="bottom"/>
            <w:tcBorders>
              <w:left w:val="single" w:sz="8" w:color="3465B0"/>
              <w:right w:val="single" w:sz="8" w:color="93A1D2"/>
            </w:tcBorders>
            <w:shd w:val="clear" w:color="auto" w:fill="3465B0"/>
          </w:tcPr>
          <w:p>
            <w:pPr>
              <w:spacing w:after="0"/>
              <w:rPr>
                <w:sz w:val="20"/>
                <w:szCs w:val="20"/>
                <w:color w:val="auto"/>
              </w:rPr>
            </w:pPr>
          </w:p>
        </w:tc>
        <w:tc>
          <w:tcPr>
            <w:tcW w:w="1320" w:type="dxa"/>
            <w:vAlign w:val="bottom"/>
            <w:tcBorders>
              <w:right w:val="single" w:sz="8" w:color="93A1D2"/>
            </w:tcBorders>
            <w:shd w:val="clear" w:color="auto" w:fill="3465B0"/>
          </w:tcPr>
          <w:p>
            <w:pPr>
              <w:ind w:left="240"/>
              <w:spacing w:after="0" w:line="230" w:lineRule="exact"/>
              <w:rPr>
                <w:sz w:val="20"/>
                <w:szCs w:val="20"/>
                <w:color w:val="auto"/>
              </w:rPr>
            </w:pPr>
            <w:r>
              <w:rPr>
                <w:rFonts w:ascii="Arial" w:cs="Arial" w:eastAsia="Arial" w:hAnsi="Arial"/>
                <w:sz w:val="16"/>
                <w:szCs w:val="16"/>
                <w:b w:val="1"/>
                <w:bCs w:val="1"/>
                <w:color w:val="FFFFFF"/>
              </w:rPr>
              <w:t>Benefit</w:t>
            </w:r>
            <w:r>
              <w:rPr>
                <w:rFonts w:ascii="Arial" w:cs="Arial" w:eastAsia="Arial" w:hAnsi="Arial"/>
                <w:sz w:val="26"/>
                <w:szCs w:val="26"/>
                <w:b w:val="1"/>
                <w:bCs w:val="1"/>
                <w:color w:val="FFFFFF"/>
                <w:vertAlign w:val="superscript"/>
              </w:rPr>
              <w:t>(1)</w:t>
            </w:r>
          </w:p>
        </w:tc>
        <w:tc>
          <w:tcPr>
            <w:tcW w:w="220" w:type="dxa"/>
            <w:vAlign w:val="bottom"/>
            <w:shd w:val="clear" w:color="auto" w:fill="3465B0"/>
          </w:tcPr>
          <w:p>
            <w:pPr>
              <w:spacing w:after="0"/>
              <w:rPr>
                <w:sz w:val="20"/>
                <w:szCs w:val="20"/>
                <w:color w:val="auto"/>
              </w:rPr>
            </w:pPr>
          </w:p>
        </w:tc>
        <w:tc>
          <w:tcPr>
            <w:tcW w:w="1300" w:type="dxa"/>
            <w:vAlign w:val="bottom"/>
            <w:tcBorders>
              <w:right w:val="single" w:sz="8" w:color="93A1D2"/>
            </w:tcBorders>
            <w:shd w:val="clear" w:color="auto" w:fill="3465B0"/>
          </w:tcPr>
          <w:p>
            <w:pPr>
              <w:ind w:left="20"/>
              <w:spacing w:after="0" w:line="230" w:lineRule="exact"/>
              <w:rPr>
                <w:sz w:val="20"/>
                <w:szCs w:val="20"/>
                <w:color w:val="auto"/>
              </w:rPr>
            </w:pPr>
            <w:r>
              <w:rPr>
                <w:rFonts w:ascii="Arial" w:cs="Arial" w:eastAsia="Arial" w:hAnsi="Arial"/>
                <w:sz w:val="16"/>
                <w:szCs w:val="16"/>
                <w:b w:val="1"/>
                <w:bCs w:val="1"/>
                <w:color w:val="FFFFFF"/>
              </w:rPr>
              <w:t>Benefits</w:t>
            </w:r>
            <w:r>
              <w:rPr>
                <w:rFonts w:ascii="Arial" w:cs="Arial" w:eastAsia="Arial" w:hAnsi="Arial"/>
                <w:sz w:val="26"/>
                <w:szCs w:val="26"/>
                <w:b w:val="1"/>
                <w:bCs w:val="1"/>
                <w:color w:val="FFFFFF"/>
                <w:vertAlign w:val="superscript"/>
              </w:rPr>
              <w:t>(2)</w:t>
            </w:r>
          </w:p>
        </w:tc>
        <w:tc>
          <w:tcPr>
            <w:tcW w:w="1540" w:type="dxa"/>
            <w:vAlign w:val="bottom"/>
            <w:tcBorders>
              <w:right w:val="single" w:sz="8" w:color="93A1D2"/>
            </w:tcBorders>
            <w:shd w:val="clear" w:color="auto" w:fill="3465B0"/>
          </w:tcPr>
          <w:p>
            <w:pPr>
              <w:ind w:left="220"/>
              <w:spacing w:after="0" w:line="230" w:lineRule="exact"/>
              <w:rPr>
                <w:sz w:val="20"/>
                <w:szCs w:val="20"/>
                <w:color w:val="auto"/>
              </w:rPr>
            </w:pPr>
            <w:r>
              <w:rPr>
                <w:rFonts w:ascii="Arial" w:cs="Arial" w:eastAsia="Arial" w:hAnsi="Arial"/>
                <w:sz w:val="16"/>
                <w:szCs w:val="16"/>
                <w:b w:val="1"/>
                <w:bCs w:val="1"/>
                <w:color w:val="FFFFFF"/>
              </w:rPr>
              <w:t>Stock Units</w:t>
            </w:r>
            <w:r>
              <w:rPr>
                <w:rFonts w:ascii="Arial" w:cs="Arial" w:eastAsia="Arial" w:hAnsi="Arial"/>
                <w:sz w:val="26"/>
                <w:szCs w:val="26"/>
                <w:b w:val="1"/>
                <w:bCs w:val="1"/>
                <w:color w:val="FFFFFF"/>
                <w:vertAlign w:val="superscript"/>
              </w:rPr>
              <w:t>(3)</w:t>
            </w:r>
          </w:p>
        </w:tc>
        <w:tc>
          <w:tcPr>
            <w:tcW w:w="1380" w:type="dxa"/>
            <w:vAlign w:val="bottom"/>
            <w:tcBorders>
              <w:right w:val="single" w:sz="8" w:color="3465B0"/>
            </w:tcBorders>
            <w:shd w:val="clear" w:color="auto" w:fill="3465B0"/>
          </w:tcPr>
          <w:p>
            <w:pPr>
              <w:ind w:left="240"/>
              <w:spacing w:after="0" w:line="230" w:lineRule="exact"/>
              <w:rPr>
                <w:sz w:val="20"/>
                <w:szCs w:val="20"/>
                <w:color w:val="auto"/>
              </w:rPr>
            </w:pPr>
            <w:r>
              <w:rPr>
                <w:rFonts w:ascii="Arial" w:cs="Arial" w:eastAsia="Arial" w:hAnsi="Arial"/>
                <w:sz w:val="16"/>
                <w:szCs w:val="16"/>
                <w:b w:val="1"/>
                <w:bCs w:val="1"/>
                <w:color w:val="FFFFFF"/>
              </w:rPr>
              <w:t>Stock Units</w:t>
            </w:r>
            <w:r>
              <w:rPr>
                <w:rFonts w:ascii="Arial" w:cs="Arial" w:eastAsia="Arial" w:hAnsi="Arial"/>
                <w:sz w:val="26"/>
                <w:szCs w:val="26"/>
                <w:b w:val="1"/>
                <w:bCs w:val="1"/>
                <w:color w:val="FFFFFF"/>
                <w:vertAlign w:val="superscript"/>
              </w:rPr>
              <w:t>(4)</w:t>
            </w:r>
          </w:p>
        </w:tc>
      </w:tr>
      <w:tr>
        <w:trPr>
          <w:trHeight w:val="217"/>
        </w:trPr>
        <w:tc>
          <w:tcPr>
            <w:tcW w:w="3400" w:type="dxa"/>
            <w:vAlign w:val="bottom"/>
            <w:tcBorders>
              <w:left w:val="single" w:sz="8" w:color="3465B0"/>
              <w:right w:val="single" w:sz="8" w:color="93A1D2"/>
            </w:tcBorders>
            <w:shd w:val="clear" w:color="auto" w:fill="3465B0"/>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1320" w:type="dxa"/>
            <w:vAlign w:val="bottom"/>
            <w:tcBorders>
              <w:right w:val="single" w:sz="8" w:color="93A1D2"/>
            </w:tcBorders>
            <w:shd w:val="clear" w:color="auto" w:fill="3465B0"/>
          </w:tcPr>
          <w:p>
            <w:pPr>
              <w:ind w:left="240"/>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3465B0"/>
          </w:tcPr>
          <w:p>
            <w:pPr>
              <w:spacing w:after="0"/>
              <w:rPr>
                <w:sz w:val="18"/>
                <w:szCs w:val="18"/>
                <w:color w:val="auto"/>
              </w:rPr>
            </w:pPr>
          </w:p>
        </w:tc>
        <w:tc>
          <w:tcPr>
            <w:tcW w:w="130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6"/>
                <w:szCs w:val="16"/>
                <w:b w:val="1"/>
                <w:bCs w:val="1"/>
                <w:color w:val="FFFFFF"/>
              </w:rPr>
              <w:t>($)</w:t>
            </w:r>
          </w:p>
        </w:tc>
        <w:tc>
          <w:tcPr>
            <w:tcW w:w="1540" w:type="dxa"/>
            <w:vAlign w:val="bottom"/>
            <w:tcBorders>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w:t>
            </w:r>
          </w:p>
        </w:tc>
        <w:tc>
          <w:tcPr>
            <w:tcW w:w="1380" w:type="dxa"/>
            <w:vAlign w:val="bottom"/>
            <w:tcBorders>
              <w:right w:val="single" w:sz="8" w:color="3465B0"/>
            </w:tcBorders>
            <w:shd w:val="clear" w:color="auto" w:fill="3465B0"/>
          </w:tcPr>
          <w:p>
            <w:pPr>
              <w:ind w:left="240"/>
              <w:spacing w:after="0"/>
              <w:rPr>
                <w:sz w:val="20"/>
                <w:szCs w:val="20"/>
                <w:color w:val="auto"/>
              </w:rPr>
            </w:pPr>
            <w:r>
              <w:rPr>
                <w:rFonts w:ascii="Arial" w:cs="Arial" w:eastAsia="Arial" w:hAnsi="Arial"/>
                <w:sz w:val="16"/>
                <w:szCs w:val="16"/>
                <w:b w:val="1"/>
                <w:bCs w:val="1"/>
                <w:color w:val="FFFFFF"/>
              </w:rPr>
              <w:t>($)</w:t>
            </w:r>
          </w:p>
        </w:tc>
      </w:tr>
      <w:tr>
        <w:trPr>
          <w:trHeight w:val="215"/>
        </w:trPr>
        <w:tc>
          <w:tcPr>
            <w:tcW w:w="340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color w:val="auto"/>
              </w:rPr>
              <w:t>Patrick R. Moore</w:t>
            </w:r>
          </w:p>
        </w:tc>
        <w:tc>
          <w:tcPr>
            <w:tcW w:w="132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right w:val="single" w:sz="8" w:color="93A1D2"/>
            </w:tcBorders>
          </w:tcPr>
          <w:p>
            <w:pPr>
              <w:spacing w:after="0"/>
              <w:rPr>
                <w:sz w:val="18"/>
                <w:szCs w:val="18"/>
                <w:color w:val="auto"/>
              </w:rPr>
            </w:pPr>
          </w:p>
        </w:tc>
        <w:tc>
          <w:tcPr>
            <w:tcW w:w="1540" w:type="dxa"/>
            <w:vAlign w:val="bottom"/>
            <w:tcBorders>
              <w:right w:val="single" w:sz="8" w:color="93A1D2"/>
            </w:tcBorders>
          </w:tcPr>
          <w:p>
            <w:pPr>
              <w:spacing w:after="0"/>
              <w:rPr>
                <w:sz w:val="18"/>
                <w:szCs w:val="18"/>
                <w:color w:val="auto"/>
              </w:rPr>
            </w:pPr>
          </w:p>
        </w:tc>
        <w:tc>
          <w:tcPr>
            <w:tcW w:w="1380" w:type="dxa"/>
            <w:vAlign w:val="bottom"/>
            <w:tcBorders>
              <w:right w:val="single" w:sz="8" w:color="3465B0"/>
            </w:tcBorders>
          </w:tcPr>
          <w:p>
            <w:pPr>
              <w:spacing w:after="0"/>
              <w:rPr>
                <w:sz w:val="18"/>
                <w:szCs w:val="18"/>
                <w:color w:val="auto"/>
              </w:rPr>
            </w:pPr>
          </w:p>
        </w:tc>
      </w:tr>
      <w:tr>
        <w:trPr>
          <w:trHeight w:val="215"/>
        </w:trPr>
        <w:tc>
          <w:tcPr>
            <w:tcW w:w="340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i w:val="1"/>
                <w:iCs w:val="1"/>
                <w:color w:val="auto"/>
              </w:rPr>
              <w:t>Qualifying Termination of Employment</w:t>
            </w:r>
          </w:p>
        </w:tc>
        <w:tc>
          <w:tcPr>
            <w:tcW w:w="132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18,000</w:t>
            </w:r>
          </w:p>
        </w:tc>
        <w:tc>
          <w:tcPr>
            <w:tcW w:w="1520" w:type="dxa"/>
            <w:vAlign w:val="bottom"/>
            <w:tcBorders>
              <w:right w:val="single" w:sz="8" w:color="93A1D2"/>
            </w:tcBorders>
            <w:gridSpan w:val="2"/>
          </w:tcPr>
          <w:p>
            <w:pPr>
              <w:jc w:val="right"/>
              <w:ind w:right="179"/>
              <w:spacing w:after="0"/>
              <w:rPr>
                <w:sz w:val="20"/>
                <w:szCs w:val="20"/>
                <w:color w:val="auto"/>
              </w:rPr>
            </w:pPr>
            <w:r>
              <w:rPr>
                <w:rFonts w:ascii="Arial" w:cs="Arial" w:eastAsia="Arial" w:hAnsi="Arial"/>
                <w:sz w:val="16"/>
                <w:szCs w:val="16"/>
                <w:color w:val="auto"/>
              </w:rPr>
              <w:t>38,685</w:t>
            </w:r>
          </w:p>
        </w:tc>
        <w:tc>
          <w:tcPr>
            <w:tcW w:w="1540" w:type="dxa"/>
            <w:vAlign w:val="bottom"/>
            <w:tcBorders>
              <w:right w:val="single" w:sz="8" w:color="93A1D2"/>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3465B0"/>
            </w:tcBorders>
          </w:tcPr>
          <w:p>
            <w:pPr>
              <w:jc w:val="right"/>
              <w:ind w:right="59"/>
              <w:spacing w:after="0"/>
              <w:rPr>
                <w:sz w:val="20"/>
                <w:szCs w:val="20"/>
                <w:color w:val="auto"/>
              </w:rPr>
            </w:pPr>
            <w:r>
              <w:rPr>
                <w:rFonts w:ascii="Arial" w:cs="Arial" w:eastAsia="Arial" w:hAnsi="Arial"/>
                <w:sz w:val="16"/>
                <w:szCs w:val="16"/>
                <w:color w:val="auto"/>
              </w:rPr>
              <w:t>—</w:t>
            </w:r>
          </w:p>
        </w:tc>
      </w:tr>
      <w:tr>
        <w:trPr>
          <w:trHeight w:val="192"/>
        </w:trPr>
        <w:tc>
          <w:tcPr>
            <w:tcW w:w="340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i w:val="1"/>
                <w:iCs w:val="1"/>
                <w:color w:val="auto"/>
              </w:rPr>
              <w:t>Qualifying Termination following Change</w:t>
            </w:r>
          </w:p>
        </w:tc>
        <w:tc>
          <w:tcPr>
            <w:tcW w:w="132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44,000</w:t>
            </w:r>
          </w:p>
        </w:tc>
        <w:tc>
          <w:tcPr>
            <w:tcW w:w="1520" w:type="dxa"/>
            <w:vAlign w:val="bottom"/>
            <w:tcBorders>
              <w:right w:val="single" w:sz="8" w:color="93A1D2"/>
            </w:tcBorders>
            <w:gridSpan w:val="2"/>
          </w:tcPr>
          <w:p>
            <w:pPr>
              <w:jc w:val="right"/>
              <w:ind w:right="179"/>
              <w:spacing w:after="0"/>
              <w:rPr>
                <w:sz w:val="20"/>
                <w:szCs w:val="20"/>
                <w:color w:val="auto"/>
              </w:rPr>
            </w:pPr>
            <w:r>
              <w:rPr>
                <w:rFonts w:ascii="Arial" w:cs="Arial" w:eastAsia="Arial" w:hAnsi="Arial"/>
                <w:sz w:val="16"/>
                <w:szCs w:val="16"/>
                <w:color w:val="auto"/>
              </w:rPr>
              <w:t>51,580</w:t>
            </w:r>
          </w:p>
        </w:tc>
        <w:tc>
          <w:tcPr>
            <w:tcW w:w="1540" w:type="dxa"/>
            <w:vAlign w:val="bottom"/>
            <w:tcBorders>
              <w:right w:val="single" w:sz="8" w:color="93A1D2"/>
            </w:tcBorders>
          </w:tcPr>
          <w:p>
            <w:pPr>
              <w:jc w:val="right"/>
              <w:ind w:right="159"/>
              <w:spacing w:after="0"/>
              <w:rPr>
                <w:sz w:val="20"/>
                <w:szCs w:val="20"/>
                <w:color w:val="auto"/>
              </w:rPr>
            </w:pPr>
            <w:r>
              <w:rPr>
                <w:rFonts w:ascii="Arial" w:cs="Arial" w:eastAsia="Arial" w:hAnsi="Arial"/>
                <w:sz w:val="16"/>
                <w:szCs w:val="16"/>
                <w:color w:val="auto"/>
              </w:rPr>
              <w:t>1,714,361</w:t>
            </w:r>
          </w:p>
        </w:tc>
        <w:tc>
          <w:tcPr>
            <w:tcW w:w="1380" w:type="dxa"/>
            <w:vAlign w:val="bottom"/>
            <w:tcBorders>
              <w:right w:val="single" w:sz="8" w:color="3465B0"/>
            </w:tcBorders>
          </w:tcPr>
          <w:p>
            <w:pPr>
              <w:jc w:val="right"/>
              <w:ind w:right="39"/>
              <w:spacing w:after="0"/>
              <w:rPr>
                <w:sz w:val="20"/>
                <w:szCs w:val="20"/>
                <w:color w:val="auto"/>
              </w:rPr>
            </w:pPr>
            <w:r>
              <w:rPr>
                <w:rFonts w:ascii="Arial" w:cs="Arial" w:eastAsia="Arial" w:hAnsi="Arial"/>
                <w:sz w:val="16"/>
                <w:szCs w:val="16"/>
                <w:color w:val="auto"/>
              </w:rPr>
              <w:t>658,274</w:t>
            </w:r>
          </w:p>
        </w:tc>
      </w:tr>
      <w:tr>
        <w:trPr>
          <w:trHeight w:val="213"/>
        </w:trPr>
        <w:tc>
          <w:tcPr>
            <w:tcW w:w="340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6"/>
                <w:szCs w:val="16"/>
                <w:i w:val="1"/>
                <w:iCs w:val="1"/>
                <w:color w:val="auto"/>
              </w:rPr>
              <w:t>in Control</w:t>
            </w:r>
          </w:p>
        </w:tc>
        <w:tc>
          <w:tcPr>
            <w:tcW w:w="132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right w:val="single" w:sz="8" w:color="93A1D2"/>
            </w:tcBorders>
          </w:tcPr>
          <w:p>
            <w:pPr>
              <w:spacing w:after="0"/>
              <w:rPr>
                <w:sz w:val="18"/>
                <w:szCs w:val="18"/>
                <w:color w:val="auto"/>
              </w:rPr>
            </w:pPr>
          </w:p>
        </w:tc>
        <w:tc>
          <w:tcPr>
            <w:tcW w:w="1540" w:type="dxa"/>
            <w:vAlign w:val="bottom"/>
            <w:tcBorders>
              <w:right w:val="single" w:sz="8" w:color="93A1D2"/>
            </w:tcBorders>
          </w:tcPr>
          <w:p>
            <w:pPr>
              <w:spacing w:after="0"/>
              <w:rPr>
                <w:sz w:val="18"/>
                <w:szCs w:val="18"/>
                <w:color w:val="auto"/>
              </w:rPr>
            </w:pPr>
          </w:p>
        </w:tc>
        <w:tc>
          <w:tcPr>
            <w:tcW w:w="1380" w:type="dxa"/>
            <w:vAlign w:val="bottom"/>
            <w:tcBorders>
              <w:right w:val="single" w:sz="8" w:color="3465B0"/>
            </w:tcBorders>
          </w:tcPr>
          <w:p>
            <w:pPr>
              <w:spacing w:after="0"/>
              <w:rPr>
                <w:sz w:val="18"/>
                <w:szCs w:val="18"/>
                <w:color w:val="auto"/>
              </w:rPr>
            </w:pPr>
          </w:p>
        </w:tc>
      </w:tr>
      <w:tr>
        <w:trPr>
          <w:trHeight w:val="216"/>
        </w:trPr>
        <w:tc>
          <w:tcPr>
            <w:tcW w:w="340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i w:val="1"/>
                <w:iCs w:val="1"/>
                <w:color w:val="auto"/>
              </w:rPr>
              <w:t>Termination Upon Death or Disability</w:t>
            </w:r>
          </w:p>
        </w:tc>
        <w:tc>
          <w:tcPr>
            <w:tcW w:w="1320" w:type="dxa"/>
            <w:vAlign w:val="bottom"/>
            <w:tcBorders>
              <w:right w:val="single" w:sz="8" w:color="93A1D2"/>
            </w:tcBorders>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93A1D2"/>
            </w:tcBorders>
          </w:tcPr>
          <w:p>
            <w:pPr>
              <w:jc w:val="right"/>
              <w:ind w:right="159"/>
              <w:spacing w:after="0"/>
              <w:rPr>
                <w:sz w:val="20"/>
                <w:szCs w:val="20"/>
                <w:color w:val="auto"/>
              </w:rPr>
            </w:pPr>
            <w:r>
              <w:rPr>
                <w:rFonts w:ascii="Arial" w:cs="Arial" w:eastAsia="Arial" w:hAnsi="Arial"/>
                <w:sz w:val="16"/>
                <w:szCs w:val="16"/>
                <w:color w:val="auto"/>
              </w:rPr>
              <w:t>1,423,591</w:t>
            </w:r>
          </w:p>
        </w:tc>
        <w:tc>
          <w:tcPr>
            <w:tcW w:w="1380" w:type="dxa"/>
            <w:vAlign w:val="bottom"/>
            <w:tcBorders>
              <w:right w:val="single" w:sz="8" w:color="3465B0"/>
            </w:tcBorders>
          </w:tcPr>
          <w:p>
            <w:pPr>
              <w:jc w:val="right"/>
              <w:ind w:right="39"/>
              <w:spacing w:after="0"/>
              <w:rPr>
                <w:sz w:val="20"/>
                <w:szCs w:val="20"/>
                <w:color w:val="auto"/>
              </w:rPr>
            </w:pPr>
            <w:r>
              <w:rPr>
                <w:rFonts w:ascii="Arial" w:cs="Arial" w:eastAsia="Arial" w:hAnsi="Arial"/>
                <w:sz w:val="16"/>
                <w:szCs w:val="16"/>
                <w:color w:val="auto"/>
              </w:rPr>
              <w:t>658,274</w:t>
            </w:r>
          </w:p>
        </w:tc>
      </w:tr>
      <w:tr>
        <w:trPr>
          <w:trHeight w:val="259"/>
        </w:trPr>
        <w:tc>
          <w:tcPr>
            <w:tcW w:w="3400" w:type="dxa"/>
            <w:vAlign w:val="bottom"/>
            <w:tcBorders>
              <w:left w:val="single" w:sz="8" w:color="3465B0"/>
              <w:right w:val="single" w:sz="8" w:color="93A1D2"/>
            </w:tcBorders>
          </w:tcPr>
          <w:p>
            <w:pPr>
              <w:ind w:left="100"/>
              <w:spacing w:after="0" w:line="258" w:lineRule="exact"/>
              <w:rPr>
                <w:sz w:val="20"/>
                <w:szCs w:val="20"/>
                <w:color w:val="auto"/>
              </w:rPr>
            </w:pPr>
            <w:r>
              <w:rPr>
                <w:rFonts w:ascii="Arial" w:cs="Arial" w:eastAsia="Arial" w:hAnsi="Arial"/>
                <w:sz w:val="16"/>
                <w:szCs w:val="16"/>
                <w:i w:val="1"/>
                <w:iCs w:val="1"/>
                <w:color w:val="auto"/>
              </w:rPr>
              <w:t>Retirement</w:t>
            </w:r>
            <w:r>
              <w:rPr>
                <w:rFonts w:ascii="Arial" w:cs="Arial" w:eastAsia="Arial" w:hAnsi="Arial"/>
                <w:sz w:val="26"/>
                <w:szCs w:val="26"/>
                <w:i w:val="1"/>
                <w:iCs w:val="1"/>
                <w:color w:val="auto"/>
                <w:vertAlign w:val="superscript"/>
              </w:rPr>
              <w:t>(5)</w:t>
            </w:r>
          </w:p>
        </w:tc>
        <w:tc>
          <w:tcPr>
            <w:tcW w:w="1320" w:type="dxa"/>
            <w:vAlign w:val="bottom"/>
            <w:tcBorders>
              <w:right w:val="single" w:sz="8" w:color="93A1D2"/>
            </w:tcBorders>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00" w:type="dxa"/>
            <w:vAlign w:val="bottom"/>
            <w:tcBorders>
              <w:right w:val="single" w:sz="8" w:color="93A1D2"/>
            </w:tcBorders>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93A1D2"/>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3465B0"/>
            </w:tcBorders>
          </w:tcPr>
          <w:p>
            <w:pPr>
              <w:jc w:val="right"/>
              <w:ind w:right="39"/>
              <w:spacing w:after="0"/>
              <w:rPr>
                <w:sz w:val="20"/>
                <w:szCs w:val="20"/>
                <w:color w:val="auto"/>
              </w:rPr>
            </w:pPr>
            <w:r>
              <w:rPr>
                <w:rFonts w:ascii="Arial" w:cs="Arial" w:eastAsia="Arial" w:hAnsi="Arial"/>
                <w:sz w:val="16"/>
                <w:szCs w:val="16"/>
                <w:color w:val="auto"/>
              </w:rPr>
              <w:t>398,836</w:t>
            </w:r>
          </w:p>
        </w:tc>
      </w:tr>
      <w:tr>
        <w:trPr>
          <w:trHeight w:val="256"/>
        </w:trPr>
        <w:tc>
          <w:tcPr>
            <w:tcW w:w="3400" w:type="dxa"/>
            <w:vAlign w:val="bottom"/>
            <w:tcBorders>
              <w:left w:val="single" w:sz="8" w:color="3465B0"/>
              <w:right w:val="single" w:sz="8" w:color="93A1D2"/>
            </w:tcBorders>
            <w:shd w:val="clear" w:color="auto" w:fill="CCCCCC"/>
          </w:tcPr>
          <w:p>
            <w:pPr>
              <w:ind w:left="100"/>
              <w:spacing w:after="0" w:line="256" w:lineRule="exact"/>
              <w:rPr>
                <w:sz w:val="20"/>
                <w:szCs w:val="20"/>
                <w:color w:val="auto"/>
              </w:rPr>
            </w:pPr>
            <w:r>
              <w:rPr>
                <w:rFonts w:ascii="Arial" w:cs="Arial" w:eastAsia="Arial" w:hAnsi="Arial"/>
                <w:sz w:val="16"/>
                <w:szCs w:val="16"/>
                <w:color w:val="auto"/>
              </w:rPr>
              <w:t>Melissa Rasmussen</w:t>
            </w:r>
            <w:r>
              <w:rPr>
                <w:rFonts w:ascii="Arial" w:cs="Arial" w:eastAsia="Arial" w:hAnsi="Arial"/>
                <w:sz w:val="26"/>
                <w:szCs w:val="26"/>
                <w:color w:val="auto"/>
                <w:vertAlign w:val="superscript"/>
              </w:rPr>
              <w:t>(6)</w:t>
            </w:r>
          </w:p>
        </w:tc>
        <w:tc>
          <w:tcPr>
            <w:tcW w:w="1320" w:type="dxa"/>
            <w:vAlign w:val="bottom"/>
            <w:tcBorders>
              <w:right w:val="single" w:sz="8" w:color="93A1D2"/>
            </w:tcBorders>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300" w:type="dxa"/>
            <w:vAlign w:val="bottom"/>
            <w:tcBorders>
              <w:right w:val="single" w:sz="8" w:color="93A1D2"/>
            </w:tcBorders>
            <w:shd w:val="clear" w:color="auto" w:fill="CCCCCC"/>
          </w:tcPr>
          <w:p>
            <w:pPr>
              <w:spacing w:after="0"/>
              <w:rPr>
                <w:sz w:val="22"/>
                <w:szCs w:val="22"/>
                <w:color w:val="auto"/>
              </w:rPr>
            </w:pPr>
          </w:p>
        </w:tc>
        <w:tc>
          <w:tcPr>
            <w:tcW w:w="1540" w:type="dxa"/>
            <w:vAlign w:val="bottom"/>
            <w:tcBorders>
              <w:right w:val="single" w:sz="8" w:color="93A1D2"/>
            </w:tcBorders>
            <w:shd w:val="clear" w:color="auto" w:fill="CCCCCC"/>
          </w:tcPr>
          <w:p>
            <w:pPr>
              <w:spacing w:after="0"/>
              <w:rPr>
                <w:sz w:val="22"/>
                <w:szCs w:val="22"/>
                <w:color w:val="auto"/>
              </w:rPr>
            </w:pPr>
          </w:p>
        </w:tc>
        <w:tc>
          <w:tcPr>
            <w:tcW w:w="1380" w:type="dxa"/>
            <w:vAlign w:val="bottom"/>
            <w:tcBorders>
              <w:right w:val="single" w:sz="8" w:color="3465B0"/>
            </w:tcBorders>
            <w:shd w:val="clear" w:color="auto" w:fill="CCCCCC"/>
          </w:tcPr>
          <w:p>
            <w:pPr>
              <w:spacing w:after="0"/>
              <w:rPr>
                <w:sz w:val="22"/>
                <w:szCs w:val="22"/>
                <w:color w:val="auto"/>
              </w:rPr>
            </w:pPr>
          </w:p>
        </w:tc>
      </w:tr>
      <w:tr>
        <w:trPr>
          <w:trHeight w:val="213"/>
        </w:trPr>
        <w:tc>
          <w:tcPr>
            <w:tcW w:w="3400" w:type="dxa"/>
            <w:vAlign w:val="bottom"/>
            <w:tcBorders>
              <w:left w:val="single" w:sz="8" w:color="3465B0"/>
              <w:bottom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6"/>
                <w:szCs w:val="16"/>
                <w:i w:val="1"/>
                <w:iCs w:val="1"/>
                <w:color w:val="auto"/>
              </w:rPr>
              <w:t>Qualifying Termination of Employment</w:t>
            </w:r>
          </w:p>
        </w:tc>
        <w:tc>
          <w:tcPr>
            <w:tcW w:w="1320" w:type="dxa"/>
            <w:vAlign w:val="bottom"/>
            <w:tcBorders>
              <w:bottom w:val="single" w:sz="8" w:color="3465B0"/>
              <w:right w:val="single" w:sz="8" w:color="93A1D2"/>
            </w:tcBorders>
            <w:shd w:val="clear" w:color="auto" w:fill="CCCCCC"/>
          </w:tcPr>
          <w:p>
            <w:pPr>
              <w:jc w:val="right"/>
              <w:ind w:right="159"/>
              <w:spacing w:after="0"/>
              <w:rPr>
                <w:sz w:val="20"/>
                <w:szCs w:val="20"/>
                <w:color w:val="auto"/>
              </w:rPr>
            </w:pPr>
            <w:r>
              <w:rPr>
                <w:rFonts w:ascii="Arial" w:cs="Arial" w:eastAsia="Arial" w:hAnsi="Arial"/>
                <w:sz w:val="16"/>
                <w:szCs w:val="16"/>
                <w:color w:val="auto"/>
              </w:rPr>
              <w:t>1,237,500</w:t>
            </w:r>
          </w:p>
        </w:tc>
        <w:tc>
          <w:tcPr>
            <w:tcW w:w="220" w:type="dxa"/>
            <w:vAlign w:val="bottom"/>
            <w:tcBorders>
              <w:bottom w:val="single" w:sz="8" w:color="3465B0"/>
            </w:tcBorders>
            <w:shd w:val="clear" w:color="auto" w:fill="CCCCCC"/>
          </w:tcPr>
          <w:p>
            <w:pPr>
              <w:spacing w:after="0"/>
              <w:rPr>
                <w:sz w:val="18"/>
                <w:szCs w:val="18"/>
                <w:color w:val="auto"/>
              </w:rPr>
            </w:pPr>
          </w:p>
        </w:tc>
        <w:tc>
          <w:tcPr>
            <w:tcW w:w="1300" w:type="dxa"/>
            <w:vAlign w:val="bottom"/>
            <w:tcBorders>
              <w:bottom w:val="single" w:sz="8" w:color="3465B0"/>
              <w:right w:val="single" w:sz="8" w:color="93A1D2"/>
            </w:tcBorders>
            <w:shd w:val="clear" w:color="auto" w:fill="CCCCCC"/>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3465B0"/>
              <w:right w:val="single" w:sz="8" w:color="93A1D2"/>
            </w:tcBorders>
            <w:shd w:val="clear" w:color="auto" w:fill="CCCCCC"/>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3465B0"/>
              <w:right w:val="single" w:sz="8" w:color="3465B0"/>
            </w:tcBorders>
            <w:shd w:val="clear" w:color="auto" w:fill="CCCCCC"/>
          </w:tcPr>
          <w:p>
            <w:pPr>
              <w:jc w:val="right"/>
              <w:ind w:right="5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5765165</wp:posOffset>
            </wp:positionH>
            <wp:positionV relativeFrom="paragraph">
              <wp:posOffset>-18415</wp:posOffset>
            </wp:positionV>
            <wp:extent cx="342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0" w:lineRule="exact"/>
        <w:rPr>
          <w:sz w:val="20"/>
          <w:szCs w:val="20"/>
          <w:color w:val="auto"/>
        </w:rPr>
      </w:pPr>
    </w:p>
    <w:p>
      <w:pPr>
        <w:jc w:val="both"/>
        <w:ind w:left="360" w:hanging="348"/>
        <w:spacing w:after="0" w:line="247"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reported represent (i) upon a Qualifying Termination of employment (A) a lump-sum pro-rata bonus for the year of termination, based on actual performance and (B) the cash severance amount, times the multiplier applicable to such executive (2.0 for Mr. Wilkes, 1.5 for Messrs. Laden, Brandman, and Moore, and 1.0 for Messrs. Banner and Clark, payable over a period of 24 months for Mr. Wilkes, 18 months for Messrs. Laden, Brandman, and Moore, and 12 months for Mssrs. Banner and Clark) and (ii) upon a Qualifying Termination of employment in the two-year period following a change in control (A) a lump-sum pro-rata bonus for the year of termination, based on target performance, (B) the cash severance amount, times the multiplier applicable to such executive (2.5 for Mr. Wilkes, 2.0 for Messrs. Laden, Brandman, and Moore, and 1.5 for Mssrs. Banner and Clark), in a lump sum and (C) payment of, or reimbursement for, up to $20,000 in outplacement services within the six-month period following termination of employment.</w:t>
      </w:r>
    </w:p>
    <w:p>
      <w:pPr>
        <w:spacing w:after="0" w:line="78" w:lineRule="exact"/>
        <w:rPr>
          <w:rFonts w:ascii="Arial" w:cs="Arial" w:eastAsia="Arial" w:hAnsi="Arial"/>
          <w:sz w:val="14"/>
          <w:szCs w:val="14"/>
          <w:color w:val="auto"/>
        </w:rPr>
      </w:pPr>
    </w:p>
    <w:p>
      <w:pPr>
        <w:jc w:val="both"/>
        <w:ind w:left="360" w:hanging="348"/>
        <w:spacing w:after="0" w:line="256"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represent the cost of providing each applicable NEO with the welfare benefit (i) upon a Qualifying Termination of employment, for a period of 24 months for Mr. Wilkes, 18 months for Messrs. Laden, Brandman and Moore, and 12 months for Mssrs. Banner and Clark and (ii) upon a Qualifying Termination of employment in the two-year period following a change in control, for a period of 30 months for Mr. Wilkes, 24 months for Messrs. Laden, Brandman and Moore, and 18 months for Mssrs Banner and Clark.</w:t>
      </w:r>
    </w:p>
    <w:p>
      <w:pPr>
        <w:spacing w:after="0" w:line="69" w:lineRule="exact"/>
        <w:rPr>
          <w:rFonts w:ascii="Arial" w:cs="Arial" w:eastAsia="Arial" w:hAnsi="Arial"/>
          <w:sz w:val="14"/>
          <w:szCs w:val="14"/>
          <w:color w:val="auto"/>
        </w:rPr>
      </w:pPr>
    </w:p>
    <w:p>
      <w:pPr>
        <w:jc w:val="both"/>
        <w:ind w:left="360" w:right="20" w:hanging="348"/>
        <w:spacing w:after="0" w:line="263"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represent vesting of PSUs upon a Qualifying Termination of employment, a Qualifying Termination of employment following a change in control, and as a result of termination upon death or disability, as applicable, and are based on the closing price of our common stock of $25.95 per share on January 2, 2026, the last trading day in fiscal 2025.</w:t>
      </w:r>
    </w:p>
    <w:p>
      <w:pPr>
        <w:spacing w:after="0" w:line="64" w:lineRule="exact"/>
        <w:rPr>
          <w:rFonts w:ascii="Arial" w:cs="Arial" w:eastAsia="Arial" w:hAnsi="Arial"/>
          <w:sz w:val="14"/>
          <w:szCs w:val="14"/>
          <w:color w:val="auto"/>
        </w:rPr>
      </w:pPr>
    </w:p>
    <w:p>
      <w:pPr>
        <w:jc w:val="both"/>
        <w:ind w:left="360" w:hanging="348"/>
        <w:spacing w:after="0" w:line="263"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reported represent vesting of RSUs upon a Qualifying Termination of employment, a Qualifying Termination of employment following a change in control, as a result of termination upon death or disability, and upon retirement as applicable, and are based on the closing price of our common stock of $25.95 per share on January 2, 2026, the last trading day in fiscal 2025.</w:t>
      </w:r>
    </w:p>
    <w:p>
      <w:pPr>
        <w:spacing w:after="0" w:line="64" w:lineRule="exact"/>
        <w:rPr>
          <w:rFonts w:ascii="Arial" w:cs="Arial" w:eastAsia="Arial" w:hAnsi="Arial"/>
          <w:sz w:val="14"/>
          <w:szCs w:val="14"/>
          <w:color w:val="auto"/>
        </w:rPr>
      </w:pPr>
    </w:p>
    <w:p>
      <w:pPr>
        <w:jc w:val="both"/>
        <w:ind w:left="360" w:right="20" w:hanging="348"/>
        <w:spacing w:after="0" w:line="263"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Retirement as used in the grant agreements means the participant’s voluntary resignation from employment, other than while grounds for Cause exist, when (1) (x) the participant’s age is at least (60) years old and (y) the participant’s number of years with the Company and its predecessors is at least (10) years or (2) the participants age is at least sixty-five (65)) years old.</w:t>
      </w:r>
    </w:p>
    <w:p>
      <w:pPr>
        <w:spacing w:after="0" w:line="64" w:lineRule="exact"/>
        <w:rPr>
          <w:rFonts w:ascii="Arial" w:cs="Arial" w:eastAsia="Arial" w:hAnsi="Arial"/>
          <w:sz w:val="14"/>
          <w:szCs w:val="14"/>
          <w:color w:val="auto"/>
        </w:rPr>
      </w:pPr>
    </w:p>
    <w:p>
      <w:pPr>
        <w:jc w:val="both"/>
        <w:ind w:left="360" w:right="20" w:hanging="348"/>
        <w:spacing w:after="0" w:line="256"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Rasmussen’s employment with the Company was terminated on March 3, 2025, and she received the severance benefits described herein for a Qualifying Termination of Employment as of that date. The amounts shown in this table for a Qualifying Termination of Employment represent the actual amounts she received. See “Transition and Separation Agreement with Ms. Rasmussen” for a description of her transition and separation agreement.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55"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18"/>
          <w:szCs w:val="18"/>
          <w:color w:val="auto"/>
        </w:rPr>
        <w:t>During the fiscal year ended January 3, 2026, none of the members of our compensation committee has at any time been one of our executive officers or employees or, other than as noted herein and in the Transactions with Related Persons section above, had any relationship requiring disclosure by the Company. During the same period, none of our executive officers served as a member of the compensation committee (or other committee serving an equivalent function) or as a director of any other entity whose executive officers served on our Board or compensation committee.</w:t>
      </w:r>
    </w:p>
    <w:p>
      <w:pPr>
        <w:spacing w:after="0" w:line="56" w:lineRule="exact"/>
        <w:rPr>
          <w:sz w:val="20"/>
          <w:szCs w:val="20"/>
          <w:color w:val="auto"/>
        </w:rPr>
      </w:pPr>
    </w:p>
    <w:p>
      <w:pPr>
        <w:ind w:left="360" w:hanging="346"/>
        <w:spacing w:after="0"/>
        <w:tabs>
          <w:tab w:leader="none" w:pos="360" w:val="left"/>
        </w:tabs>
        <w:numPr>
          <w:ilvl w:val="0"/>
          <w:numId w:val="72"/>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65" w:name="page66"/>
    <w:bookmarkEnd w:id="65"/>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803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803265" cy="180340"/>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8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All numbers in the following table are as of January 3, 2026.</w:t>
      </w:r>
    </w:p>
    <w:p>
      <w:pPr>
        <w:spacing w:after="0" w:line="140" w:lineRule="exact"/>
        <w:rPr>
          <w:sz w:val="20"/>
          <w:szCs w:val="20"/>
          <w:color w:val="auto"/>
        </w:rPr>
      </w:pPr>
    </w:p>
    <w:tbl>
      <w:tblPr>
        <w:tblLayout w:type="fixed"/>
        <w:tblInd w:w="930" w:type="dxa"/>
        <w:tblCellMar>
          <w:top w:w="0" w:type="dxa"/>
          <w:left w:w="0" w:type="dxa"/>
          <w:bottom w:w="0" w:type="dxa"/>
          <w:right w:w="0" w:type="dxa"/>
        </w:tblCellMar>
      </w:tblPr>
      <w:tr>
        <w:trPr>
          <w:trHeight w:val="300"/>
        </w:trPr>
        <w:tc>
          <w:tcPr>
            <w:tcW w:w="320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2060" w:type="dxa"/>
            <w:vAlign w:val="bottom"/>
            <w:tcBorders>
              <w:top w:val="single" w:sz="8" w:color="3465B0"/>
              <w:right w:val="single" w:sz="8" w:color="93A1D2"/>
            </w:tcBorders>
            <w:shd w:val="clear" w:color="auto" w:fill="3465B0"/>
          </w:tcPr>
          <w:p>
            <w:pPr>
              <w:spacing w:after="0"/>
              <w:rPr>
                <w:sz w:val="24"/>
                <w:szCs w:val="24"/>
                <w:color w:val="auto"/>
              </w:rPr>
            </w:pPr>
          </w:p>
        </w:tc>
        <w:tc>
          <w:tcPr>
            <w:tcW w:w="1800" w:type="dxa"/>
            <w:vAlign w:val="bottom"/>
            <w:tcBorders>
              <w:top w:val="single" w:sz="8" w:color="3465B0"/>
              <w:right w:val="single" w:sz="8" w:color="93A1D2"/>
            </w:tcBorders>
            <w:shd w:val="clear" w:color="auto" w:fill="3465B0"/>
          </w:tcPr>
          <w:p>
            <w:pPr>
              <w:spacing w:after="0"/>
              <w:rPr>
                <w:sz w:val="24"/>
                <w:szCs w:val="24"/>
                <w:color w:val="auto"/>
              </w:rPr>
            </w:pPr>
          </w:p>
        </w:tc>
        <w:tc>
          <w:tcPr>
            <w:tcW w:w="220" w:type="dxa"/>
            <w:vAlign w:val="bottom"/>
            <w:tcBorders>
              <w:top w:val="single" w:sz="8" w:color="3465B0"/>
            </w:tcBorders>
            <w:shd w:val="clear" w:color="auto" w:fill="3465B0"/>
          </w:tcPr>
          <w:p>
            <w:pPr>
              <w:spacing w:after="0"/>
              <w:rPr>
                <w:sz w:val="24"/>
                <w:szCs w:val="24"/>
                <w:color w:val="auto"/>
              </w:rPr>
            </w:pPr>
          </w:p>
        </w:tc>
        <w:tc>
          <w:tcPr>
            <w:tcW w:w="1880" w:type="dxa"/>
            <w:vAlign w:val="bottom"/>
            <w:tcBorders>
              <w:top w:val="single" w:sz="8" w:color="3465B0"/>
              <w:right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Number of securities</w:t>
            </w:r>
          </w:p>
        </w:tc>
      </w:tr>
      <w:tr>
        <w:trPr>
          <w:trHeight w:val="189"/>
        </w:trPr>
        <w:tc>
          <w:tcPr>
            <w:tcW w:w="3200" w:type="dxa"/>
            <w:vAlign w:val="bottom"/>
            <w:tcBorders>
              <w:left w:val="single" w:sz="8" w:color="3465B0"/>
              <w:right w:val="single" w:sz="8" w:color="93A1D2"/>
            </w:tcBorders>
            <w:shd w:val="clear" w:color="auto" w:fill="3465B0"/>
          </w:tcPr>
          <w:p>
            <w:pPr>
              <w:spacing w:after="0"/>
              <w:rPr>
                <w:sz w:val="16"/>
                <w:szCs w:val="16"/>
                <w:color w:val="auto"/>
              </w:rPr>
            </w:pPr>
          </w:p>
        </w:tc>
        <w:tc>
          <w:tcPr>
            <w:tcW w:w="2060" w:type="dxa"/>
            <w:vAlign w:val="bottom"/>
            <w:tcBorders>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Number of</w:t>
            </w:r>
          </w:p>
        </w:tc>
        <w:tc>
          <w:tcPr>
            <w:tcW w:w="1800" w:type="dxa"/>
            <w:vAlign w:val="bottom"/>
            <w:tcBorders>
              <w:right w:val="single" w:sz="8" w:color="93A1D2"/>
            </w:tcBorders>
            <w:shd w:val="clear" w:color="auto" w:fill="3465B0"/>
          </w:tcPr>
          <w:p>
            <w:pPr>
              <w:ind w:left="200"/>
              <w:spacing w:after="0"/>
              <w:rPr>
                <w:sz w:val="20"/>
                <w:szCs w:val="20"/>
                <w:color w:val="auto"/>
              </w:rPr>
            </w:pPr>
            <w:r>
              <w:rPr>
                <w:rFonts w:ascii="Arial" w:cs="Arial" w:eastAsia="Arial" w:hAnsi="Arial"/>
                <w:sz w:val="16"/>
                <w:szCs w:val="16"/>
                <w:b w:val="1"/>
                <w:bCs w:val="1"/>
                <w:color w:val="FFFFFF"/>
              </w:rPr>
              <w:t>Weighted-</w:t>
            </w:r>
          </w:p>
        </w:tc>
        <w:tc>
          <w:tcPr>
            <w:tcW w:w="220" w:type="dxa"/>
            <w:vAlign w:val="bottom"/>
            <w:shd w:val="clear" w:color="auto" w:fill="3465B0"/>
          </w:tcPr>
          <w:p>
            <w:pPr>
              <w:spacing w:after="0"/>
              <w:rPr>
                <w:sz w:val="16"/>
                <w:szCs w:val="16"/>
                <w:color w:val="auto"/>
              </w:rPr>
            </w:pPr>
          </w:p>
        </w:tc>
        <w:tc>
          <w:tcPr>
            <w:tcW w:w="188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remaining available</w:t>
            </w:r>
          </w:p>
        </w:tc>
      </w:tr>
      <w:tr>
        <w:trPr>
          <w:trHeight w:val="189"/>
        </w:trPr>
        <w:tc>
          <w:tcPr>
            <w:tcW w:w="3200" w:type="dxa"/>
            <w:vAlign w:val="bottom"/>
            <w:tcBorders>
              <w:left w:val="single" w:sz="8" w:color="3465B0"/>
              <w:right w:val="single" w:sz="8" w:color="93A1D2"/>
            </w:tcBorders>
            <w:shd w:val="clear" w:color="auto" w:fill="3465B0"/>
          </w:tcPr>
          <w:p>
            <w:pPr>
              <w:spacing w:after="0"/>
              <w:rPr>
                <w:sz w:val="16"/>
                <w:szCs w:val="16"/>
                <w:color w:val="auto"/>
              </w:rPr>
            </w:pPr>
          </w:p>
        </w:tc>
        <w:tc>
          <w:tcPr>
            <w:tcW w:w="2060" w:type="dxa"/>
            <w:vAlign w:val="bottom"/>
            <w:tcBorders>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securities to be</w:t>
            </w:r>
          </w:p>
        </w:tc>
        <w:tc>
          <w:tcPr>
            <w:tcW w:w="1800" w:type="dxa"/>
            <w:vAlign w:val="bottom"/>
            <w:tcBorders>
              <w:right w:val="single" w:sz="8" w:color="93A1D2"/>
            </w:tcBorders>
            <w:shd w:val="clear" w:color="auto" w:fill="3465B0"/>
          </w:tcPr>
          <w:p>
            <w:pPr>
              <w:ind w:left="200"/>
              <w:spacing w:after="0"/>
              <w:rPr>
                <w:sz w:val="20"/>
                <w:szCs w:val="20"/>
                <w:color w:val="auto"/>
              </w:rPr>
            </w:pPr>
            <w:r>
              <w:rPr>
                <w:rFonts w:ascii="Arial" w:cs="Arial" w:eastAsia="Arial" w:hAnsi="Arial"/>
                <w:sz w:val="16"/>
                <w:szCs w:val="16"/>
                <w:b w:val="1"/>
                <w:bCs w:val="1"/>
                <w:color w:val="FFFFFF"/>
              </w:rPr>
              <w:t>average exercise</w:t>
            </w:r>
          </w:p>
        </w:tc>
        <w:tc>
          <w:tcPr>
            <w:tcW w:w="220" w:type="dxa"/>
            <w:vAlign w:val="bottom"/>
            <w:shd w:val="clear" w:color="auto" w:fill="3465B0"/>
          </w:tcPr>
          <w:p>
            <w:pPr>
              <w:spacing w:after="0"/>
              <w:rPr>
                <w:sz w:val="16"/>
                <w:szCs w:val="16"/>
                <w:color w:val="auto"/>
              </w:rPr>
            </w:pPr>
          </w:p>
        </w:tc>
        <w:tc>
          <w:tcPr>
            <w:tcW w:w="188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for future issuance</w:t>
            </w:r>
          </w:p>
        </w:tc>
      </w:tr>
      <w:tr>
        <w:trPr>
          <w:trHeight w:val="189"/>
        </w:trPr>
        <w:tc>
          <w:tcPr>
            <w:tcW w:w="3200" w:type="dxa"/>
            <w:vAlign w:val="bottom"/>
            <w:tcBorders>
              <w:left w:val="single" w:sz="8" w:color="3465B0"/>
              <w:right w:val="single" w:sz="8" w:color="93A1D2"/>
            </w:tcBorders>
            <w:shd w:val="clear" w:color="auto" w:fill="3465B0"/>
          </w:tcPr>
          <w:p>
            <w:pPr>
              <w:spacing w:after="0"/>
              <w:rPr>
                <w:sz w:val="16"/>
                <w:szCs w:val="16"/>
                <w:color w:val="auto"/>
              </w:rPr>
            </w:pPr>
          </w:p>
        </w:tc>
        <w:tc>
          <w:tcPr>
            <w:tcW w:w="2060" w:type="dxa"/>
            <w:vAlign w:val="bottom"/>
            <w:tcBorders>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issued upon</w:t>
            </w:r>
          </w:p>
        </w:tc>
        <w:tc>
          <w:tcPr>
            <w:tcW w:w="1800" w:type="dxa"/>
            <w:vAlign w:val="bottom"/>
            <w:tcBorders>
              <w:right w:val="single" w:sz="8" w:color="93A1D2"/>
            </w:tcBorders>
            <w:shd w:val="clear" w:color="auto" w:fill="3465B0"/>
          </w:tcPr>
          <w:p>
            <w:pPr>
              <w:ind w:left="200"/>
              <w:spacing w:after="0"/>
              <w:rPr>
                <w:sz w:val="20"/>
                <w:szCs w:val="20"/>
                <w:color w:val="auto"/>
              </w:rPr>
            </w:pPr>
            <w:r>
              <w:rPr>
                <w:rFonts w:ascii="Arial" w:cs="Arial" w:eastAsia="Arial" w:hAnsi="Arial"/>
                <w:sz w:val="16"/>
                <w:szCs w:val="16"/>
                <w:b w:val="1"/>
                <w:bCs w:val="1"/>
                <w:color w:val="FFFFFF"/>
              </w:rPr>
              <w:t>price of</w:t>
            </w:r>
          </w:p>
        </w:tc>
        <w:tc>
          <w:tcPr>
            <w:tcW w:w="220" w:type="dxa"/>
            <w:vAlign w:val="bottom"/>
            <w:shd w:val="clear" w:color="auto" w:fill="3465B0"/>
          </w:tcPr>
          <w:p>
            <w:pPr>
              <w:spacing w:after="0"/>
              <w:rPr>
                <w:sz w:val="16"/>
                <w:szCs w:val="16"/>
                <w:color w:val="auto"/>
              </w:rPr>
            </w:pPr>
          </w:p>
        </w:tc>
        <w:tc>
          <w:tcPr>
            <w:tcW w:w="188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under equity</w:t>
            </w:r>
          </w:p>
        </w:tc>
      </w:tr>
      <w:tr>
        <w:trPr>
          <w:trHeight w:val="189"/>
        </w:trPr>
        <w:tc>
          <w:tcPr>
            <w:tcW w:w="3200" w:type="dxa"/>
            <w:vAlign w:val="bottom"/>
            <w:tcBorders>
              <w:left w:val="single" w:sz="8" w:color="3465B0"/>
              <w:right w:val="single" w:sz="8" w:color="93A1D2"/>
            </w:tcBorders>
            <w:shd w:val="clear" w:color="auto" w:fill="3465B0"/>
          </w:tcPr>
          <w:p>
            <w:pPr>
              <w:spacing w:after="0"/>
              <w:rPr>
                <w:sz w:val="16"/>
                <w:szCs w:val="16"/>
                <w:color w:val="auto"/>
              </w:rPr>
            </w:pPr>
          </w:p>
        </w:tc>
        <w:tc>
          <w:tcPr>
            <w:tcW w:w="2060" w:type="dxa"/>
            <w:vAlign w:val="bottom"/>
            <w:tcBorders>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exercise of</w:t>
            </w:r>
          </w:p>
        </w:tc>
        <w:tc>
          <w:tcPr>
            <w:tcW w:w="1800" w:type="dxa"/>
            <w:vAlign w:val="bottom"/>
            <w:tcBorders>
              <w:right w:val="single" w:sz="8" w:color="93A1D2"/>
            </w:tcBorders>
            <w:shd w:val="clear" w:color="auto" w:fill="3465B0"/>
          </w:tcPr>
          <w:p>
            <w:pPr>
              <w:ind w:left="200"/>
              <w:spacing w:after="0"/>
              <w:rPr>
                <w:sz w:val="20"/>
                <w:szCs w:val="20"/>
                <w:color w:val="auto"/>
              </w:rPr>
            </w:pPr>
            <w:r>
              <w:rPr>
                <w:rFonts w:ascii="Arial" w:cs="Arial" w:eastAsia="Arial" w:hAnsi="Arial"/>
                <w:sz w:val="16"/>
                <w:szCs w:val="16"/>
                <w:b w:val="1"/>
                <w:bCs w:val="1"/>
                <w:color w:val="FFFFFF"/>
              </w:rPr>
              <w:t>outstanding</w:t>
            </w:r>
          </w:p>
        </w:tc>
        <w:tc>
          <w:tcPr>
            <w:tcW w:w="220" w:type="dxa"/>
            <w:vAlign w:val="bottom"/>
            <w:shd w:val="clear" w:color="auto" w:fill="3465B0"/>
          </w:tcPr>
          <w:p>
            <w:pPr>
              <w:spacing w:after="0"/>
              <w:rPr>
                <w:sz w:val="16"/>
                <w:szCs w:val="16"/>
                <w:color w:val="auto"/>
              </w:rPr>
            </w:pPr>
          </w:p>
        </w:tc>
        <w:tc>
          <w:tcPr>
            <w:tcW w:w="188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compensation plans</w:t>
            </w:r>
          </w:p>
        </w:tc>
      </w:tr>
      <w:tr>
        <w:trPr>
          <w:trHeight w:val="189"/>
        </w:trPr>
        <w:tc>
          <w:tcPr>
            <w:tcW w:w="3200" w:type="dxa"/>
            <w:vAlign w:val="bottom"/>
            <w:tcBorders>
              <w:left w:val="single" w:sz="8" w:color="3465B0"/>
              <w:right w:val="single" w:sz="8" w:color="93A1D2"/>
            </w:tcBorders>
            <w:shd w:val="clear" w:color="auto" w:fill="3465B0"/>
          </w:tcPr>
          <w:p>
            <w:pPr>
              <w:spacing w:after="0"/>
              <w:rPr>
                <w:sz w:val="16"/>
                <w:szCs w:val="16"/>
                <w:color w:val="auto"/>
              </w:rPr>
            </w:pPr>
          </w:p>
        </w:tc>
        <w:tc>
          <w:tcPr>
            <w:tcW w:w="2060" w:type="dxa"/>
            <w:vAlign w:val="bottom"/>
            <w:tcBorders>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outstanding options,</w:t>
            </w:r>
          </w:p>
        </w:tc>
        <w:tc>
          <w:tcPr>
            <w:tcW w:w="1800" w:type="dxa"/>
            <w:vAlign w:val="bottom"/>
            <w:tcBorders>
              <w:right w:val="single" w:sz="8" w:color="93A1D2"/>
            </w:tcBorders>
            <w:shd w:val="clear" w:color="auto" w:fill="3465B0"/>
          </w:tcPr>
          <w:p>
            <w:pPr>
              <w:ind w:left="200"/>
              <w:spacing w:after="0"/>
              <w:rPr>
                <w:sz w:val="20"/>
                <w:szCs w:val="20"/>
                <w:color w:val="auto"/>
              </w:rPr>
            </w:pPr>
            <w:r>
              <w:rPr>
                <w:rFonts w:ascii="Arial" w:cs="Arial" w:eastAsia="Arial" w:hAnsi="Arial"/>
                <w:sz w:val="16"/>
                <w:szCs w:val="16"/>
                <w:b w:val="1"/>
                <w:bCs w:val="1"/>
                <w:color w:val="FFFFFF"/>
              </w:rPr>
              <w:t>options, warrants</w:t>
            </w:r>
          </w:p>
        </w:tc>
        <w:tc>
          <w:tcPr>
            <w:tcW w:w="220" w:type="dxa"/>
            <w:vAlign w:val="bottom"/>
            <w:shd w:val="clear" w:color="auto" w:fill="3465B0"/>
          </w:tcPr>
          <w:p>
            <w:pPr>
              <w:spacing w:after="0"/>
              <w:rPr>
                <w:sz w:val="16"/>
                <w:szCs w:val="16"/>
                <w:color w:val="auto"/>
              </w:rPr>
            </w:pPr>
          </w:p>
        </w:tc>
        <w:tc>
          <w:tcPr>
            <w:tcW w:w="188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(excluding securities</w:t>
            </w:r>
          </w:p>
        </w:tc>
      </w:tr>
      <w:tr>
        <w:trPr>
          <w:trHeight w:val="189"/>
        </w:trPr>
        <w:tc>
          <w:tcPr>
            <w:tcW w:w="3200" w:type="dxa"/>
            <w:vAlign w:val="bottom"/>
            <w:tcBorders>
              <w:left w:val="single" w:sz="8" w:color="3465B0"/>
              <w:right w:val="single" w:sz="8" w:color="93A1D2"/>
            </w:tcBorders>
            <w:shd w:val="clear" w:color="auto" w:fill="3465B0"/>
          </w:tcPr>
          <w:p>
            <w:pPr>
              <w:spacing w:after="0"/>
              <w:rPr>
                <w:sz w:val="16"/>
                <w:szCs w:val="16"/>
                <w:color w:val="auto"/>
              </w:rPr>
            </w:pPr>
          </w:p>
        </w:tc>
        <w:tc>
          <w:tcPr>
            <w:tcW w:w="2060" w:type="dxa"/>
            <w:vAlign w:val="bottom"/>
            <w:tcBorders>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warrants and rights</w:t>
            </w:r>
          </w:p>
        </w:tc>
        <w:tc>
          <w:tcPr>
            <w:tcW w:w="1800" w:type="dxa"/>
            <w:vAlign w:val="bottom"/>
            <w:tcBorders>
              <w:right w:val="single" w:sz="8" w:color="93A1D2"/>
            </w:tcBorders>
            <w:shd w:val="clear" w:color="auto" w:fill="3465B0"/>
          </w:tcPr>
          <w:p>
            <w:pPr>
              <w:ind w:left="200"/>
              <w:spacing w:after="0"/>
              <w:rPr>
                <w:sz w:val="20"/>
                <w:szCs w:val="20"/>
                <w:color w:val="auto"/>
              </w:rPr>
            </w:pPr>
            <w:r>
              <w:rPr>
                <w:rFonts w:ascii="Arial" w:cs="Arial" w:eastAsia="Arial" w:hAnsi="Arial"/>
                <w:sz w:val="16"/>
                <w:szCs w:val="16"/>
                <w:b w:val="1"/>
                <w:bCs w:val="1"/>
                <w:color w:val="FFFFFF"/>
              </w:rPr>
              <w:t>and rights</w:t>
            </w:r>
          </w:p>
        </w:tc>
        <w:tc>
          <w:tcPr>
            <w:tcW w:w="220" w:type="dxa"/>
            <w:vAlign w:val="bottom"/>
            <w:shd w:val="clear" w:color="auto" w:fill="3465B0"/>
          </w:tcPr>
          <w:p>
            <w:pPr>
              <w:spacing w:after="0"/>
              <w:rPr>
                <w:sz w:val="16"/>
                <w:szCs w:val="16"/>
                <w:color w:val="auto"/>
              </w:rPr>
            </w:pPr>
          </w:p>
        </w:tc>
        <w:tc>
          <w:tcPr>
            <w:tcW w:w="1880" w:type="dxa"/>
            <w:vAlign w:val="bottom"/>
            <w:tcBorders>
              <w:right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reflected in column (a))</w:t>
            </w:r>
          </w:p>
        </w:tc>
      </w:tr>
      <w:tr>
        <w:trPr>
          <w:trHeight w:val="224"/>
        </w:trPr>
        <w:tc>
          <w:tcPr>
            <w:tcW w:w="3200" w:type="dxa"/>
            <w:vAlign w:val="bottom"/>
            <w:tcBorders>
              <w:left w:val="single" w:sz="8" w:color="3465B0"/>
              <w:bottom w:val="single" w:sz="8" w:color="3465B0"/>
              <w:right w:val="single" w:sz="8" w:color="93A1D2"/>
            </w:tcBorders>
            <w:shd w:val="clear" w:color="auto" w:fill="3465B0"/>
          </w:tcPr>
          <w:p>
            <w:pPr>
              <w:ind w:left="100"/>
              <w:spacing w:after="0"/>
              <w:rPr>
                <w:sz w:val="20"/>
                <w:szCs w:val="20"/>
                <w:color w:val="auto"/>
              </w:rPr>
            </w:pPr>
            <w:r>
              <w:rPr>
                <w:rFonts w:ascii="Arial" w:cs="Arial" w:eastAsia="Arial" w:hAnsi="Arial"/>
                <w:sz w:val="16"/>
                <w:szCs w:val="16"/>
                <w:b w:val="1"/>
                <w:bCs w:val="1"/>
                <w:color w:val="FFFFFF"/>
              </w:rPr>
              <w:t>Plan category</w:t>
            </w:r>
          </w:p>
        </w:tc>
        <w:tc>
          <w:tcPr>
            <w:tcW w:w="2060" w:type="dxa"/>
            <w:vAlign w:val="bottom"/>
            <w:tcBorders>
              <w:bottom w:val="single" w:sz="8" w:color="3465B0"/>
              <w:right w:val="single" w:sz="8" w:color="93A1D2"/>
            </w:tcBorders>
            <w:shd w:val="clear" w:color="auto" w:fill="3465B0"/>
          </w:tcPr>
          <w:p>
            <w:pPr>
              <w:ind w:left="220"/>
              <w:spacing w:after="0"/>
              <w:rPr>
                <w:sz w:val="20"/>
                <w:szCs w:val="20"/>
                <w:color w:val="auto"/>
              </w:rPr>
            </w:pPr>
            <w:r>
              <w:rPr>
                <w:rFonts w:ascii="Arial" w:cs="Arial" w:eastAsia="Arial" w:hAnsi="Arial"/>
                <w:sz w:val="16"/>
                <w:szCs w:val="16"/>
                <w:b w:val="1"/>
                <w:bCs w:val="1"/>
                <w:color w:val="FFFFFF"/>
              </w:rPr>
              <w:t>(a)</w:t>
            </w:r>
          </w:p>
        </w:tc>
        <w:tc>
          <w:tcPr>
            <w:tcW w:w="1800" w:type="dxa"/>
            <w:vAlign w:val="bottom"/>
            <w:tcBorders>
              <w:bottom w:val="single" w:sz="8" w:color="3465B0"/>
              <w:right w:val="single" w:sz="8" w:color="93A1D2"/>
            </w:tcBorders>
            <w:shd w:val="clear" w:color="auto" w:fill="3465B0"/>
          </w:tcPr>
          <w:p>
            <w:pPr>
              <w:ind w:left="200"/>
              <w:spacing w:after="0"/>
              <w:rPr>
                <w:sz w:val="20"/>
                <w:szCs w:val="20"/>
                <w:color w:val="auto"/>
              </w:rPr>
            </w:pPr>
            <w:r>
              <w:rPr>
                <w:rFonts w:ascii="Arial" w:cs="Arial" w:eastAsia="Arial" w:hAnsi="Arial"/>
                <w:sz w:val="16"/>
                <w:szCs w:val="16"/>
                <w:b w:val="1"/>
                <w:bCs w:val="1"/>
                <w:color w:val="FFFFFF"/>
              </w:rPr>
              <w:t>(b)</w:t>
            </w:r>
          </w:p>
        </w:tc>
        <w:tc>
          <w:tcPr>
            <w:tcW w:w="220" w:type="dxa"/>
            <w:vAlign w:val="bottom"/>
            <w:tcBorders>
              <w:bottom w:val="single" w:sz="8" w:color="3465B0"/>
            </w:tcBorders>
            <w:shd w:val="clear" w:color="auto" w:fill="3465B0"/>
          </w:tcPr>
          <w:p>
            <w:pPr>
              <w:spacing w:after="0"/>
              <w:rPr>
                <w:sz w:val="19"/>
                <w:szCs w:val="19"/>
                <w:color w:val="auto"/>
              </w:rPr>
            </w:pPr>
          </w:p>
        </w:tc>
        <w:tc>
          <w:tcPr>
            <w:tcW w:w="1880" w:type="dxa"/>
            <w:vAlign w:val="bottom"/>
            <w:tcBorders>
              <w:bottom w:val="single" w:sz="8" w:color="3465B0"/>
              <w:right w:val="single" w:sz="8" w:color="3465B0"/>
            </w:tcBorders>
            <w:shd w:val="clear" w:color="auto" w:fill="3465B0"/>
          </w:tcPr>
          <w:p>
            <w:pPr>
              <w:spacing w:after="0"/>
              <w:rPr>
                <w:sz w:val="20"/>
                <w:szCs w:val="20"/>
                <w:color w:val="auto"/>
              </w:rPr>
            </w:pPr>
            <w:r>
              <w:rPr>
                <w:rFonts w:ascii="Arial" w:cs="Arial" w:eastAsia="Arial" w:hAnsi="Arial"/>
                <w:sz w:val="16"/>
                <w:szCs w:val="16"/>
                <w:b w:val="1"/>
                <w:bCs w:val="1"/>
                <w:color w:val="FFFFFF"/>
              </w:rPr>
              <w:t>(c)</w:t>
            </w:r>
          </w:p>
        </w:tc>
      </w:tr>
      <w:tr>
        <w:trPr>
          <w:trHeight w:val="211"/>
        </w:trPr>
        <w:tc>
          <w:tcPr>
            <w:tcW w:w="320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Equity compensation plans</w:t>
            </w:r>
          </w:p>
        </w:tc>
        <w:tc>
          <w:tcPr>
            <w:tcW w:w="2060" w:type="dxa"/>
            <w:vAlign w:val="bottom"/>
            <w:tcBorders>
              <w:right w:val="single" w:sz="8" w:color="93A1D2"/>
            </w:tcBorders>
          </w:tcPr>
          <w:p>
            <w:pPr>
              <w:spacing w:after="0"/>
              <w:rPr>
                <w:sz w:val="18"/>
                <w:szCs w:val="18"/>
                <w:color w:val="auto"/>
              </w:rPr>
            </w:pPr>
          </w:p>
        </w:tc>
        <w:tc>
          <w:tcPr>
            <w:tcW w:w="18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Borders>
              <w:right w:val="single" w:sz="8" w:color="3465B0"/>
            </w:tcBorders>
          </w:tcPr>
          <w:p>
            <w:pPr>
              <w:spacing w:after="0"/>
              <w:rPr>
                <w:sz w:val="18"/>
                <w:szCs w:val="18"/>
                <w:color w:val="auto"/>
              </w:rPr>
            </w:pPr>
          </w:p>
        </w:tc>
      </w:tr>
      <w:tr>
        <w:trPr>
          <w:trHeight w:val="239"/>
        </w:trPr>
        <w:tc>
          <w:tcPr>
            <w:tcW w:w="320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8"/>
                <w:szCs w:val="18"/>
                <w:color w:val="auto"/>
              </w:rPr>
              <w:t>approved by security holders</w:t>
            </w:r>
          </w:p>
        </w:tc>
        <w:tc>
          <w:tcPr>
            <w:tcW w:w="2060" w:type="dxa"/>
            <w:vAlign w:val="bottom"/>
            <w:tcBorders>
              <w:right w:val="single" w:sz="8" w:color="93A1D2"/>
            </w:tcBorders>
          </w:tcPr>
          <w:p>
            <w:pPr>
              <w:jc w:val="right"/>
              <w:ind w:right="176"/>
              <w:spacing w:after="0"/>
              <w:rPr>
                <w:sz w:val="20"/>
                <w:szCs w:val="20"/>
                <w:color w:val="auto"/>
              </w:rPr>
            </w:pPr>
            <w:r>
              <w:rPr>
                <w:rFonts w:ascii="Arial" w:cs="Arial" w:eastAsia="Arial" w:hAnsi="Arial"/>
                <w:sz w:val="18"/>
                <w:szCs w:val="18"/>
                <w:color w:val="auto"/>
              </w:rPr>
              <w:t>3,483,094</w:t>
            </w:r>
          </w:p>
        </w:tc>
        <w:tc>
          <w:tcPr>
            <w:tcW w:w="1800" w:type="dxa"/>
            <w:vAlign w:val="bottom"/>
            <w:tcBorders>
              <w:right w:val="single" w:sz="8" w:color="93A1D2"/>
            </w:tcBorders>
          </w:tcPr>
          <w:p>
            <w:pPr>
              <w:jc w:val="right"/>
              <w:ind w:right="156"/>
              <w:spacing w:after="0"/>
              <w:rPr>
                <w:sz w:val="20"/>
                <w:szCs w:val="20"/>
                <w:color w:val="auto"/>
              </w:rPr>
            </w:pPr>
            <w:r>
              <w:rPr>
                <w:rFonts w:ascii="Arial" w:cs="Arial" w:eastAsia="Arial" w:hAnsi="Arial"/>
                <w:sz w:val="18"/>
                <w:szCs w:val="18"/>
                <w:color w:val="auto"/>
              </w:rPr>
              <w:t>$29.82</w:t>
            </w:r>
          </w:p>
        </w:tc>
        <w:tc>
          <w:tcPr>
            <w:tcW w:w="2100" w:type="dxa"/>
            <w:vAlign w:val="bottom"/>
            <w:tcBorders>
              <w:right w:val="single" w:sz="8" w:color="3465B0"/>
            </w:tcBorders>
            <w:gridSpan w:val="2"/>
          </w:tcPr>
          <w:p>
            <w:pPr>
              <w:jc w:val="right"/>
              <w:ind w:right="18"/>
              <w:spacing w:after="0"/>
              <w:rPr>
                <w:sz w:val="20"/>
                <w:szCs w:val="20"/>
                <w:color w:val="auto"/>
              </w:rPr>
            </w:pPr>
            <w:r>
              <w:rPr>
                <w:rFonts w:ascii="Arial" w:cs="Arial" w:eastAsia="Arial" w:hAnsi="Arial"/>
                <w:sz w:val="18"/>
                <w:szCs w:val="18"/>
                <w:color w:val="auto"/>
              </w:rPr>
              <w:t>4,670,612</w:t>
            </w:r>
          </w:p>
        </w:tc>
      </w:tr>
      <w:tr>
        <w:trPr>
          <w:trHeight w:val="23"/>
        </w:trPr>
        <w:tc>
          <w:tcPr>
            <w:tcW w:w="3200" w:type="dxa"/>
            <w:vAlign w:val="bottom"/>
            <w:tcBorders>
              <w:left w:val="single" w:sz="8" w:color="3465B0"/>
              <w:right w:val="single" w:sz="8" w:color="93A1D2"/>
            </w:tcBorders>
          </w:tcPr>
          <w:p>
            <w:pPr>
              <w:spacing w:after="0"/>
              <w:rPr>
                <w:sz w:val="2"/>
                <w:szCs w:val="2"/>
                <w:color w:val="auto"/>
              </w:rPr>
            </w:pPr>
          </w:p>
        </w:tc>
        <w:tc>
          <w:tcPr>
            <w:tcW w:w="2060" w:type="dxa"/>
            <w:vAlign w:val="bottom"/>
            <w:tcBorders>
              <w:right w:val="single" w:sz="8" w:color="93A1D2"/>
            </w:tcBorders>
          </w:tcPr>
          <w:p>
            <w:pPr>
              <w:spacing w:after="0"/>
              <w:rPr>
                <w:sz w:val="2"/>
                <w:szCs w:val="2"/>
                <w:color w:val="auto"/>
              </w:rPr>
            </w:pPr>
          </w:p>
        </w:tc>
        <w:tc>
          <w:tcPr>
            <w:tcW w:w="180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right w:val="single" w:sz="8" w:color="3465B0"/>
            </w:tcBorders>
          </w:tcPr>
          <w:p>
            <w:pPr>
              <w:spacing w:after="0"/>
              <w:rPr>
                <w:sz w:val="2"/>
                <w:szCs w:val="2"/>
                <w:color w:val="auto"/>
              </w:rPr>
            </w:pPr>
          </w:p>
        </w:tc>
      </w:tr>
      <w:tr>
        <w:trPr>
          <w:trHeight w:val="211"/>
        </w:trPr>
        <w:tc>
          <w:tcPr>
            <w:tcW w:w="320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Equity compensation plans not</w:t>
            </w:r>
          </w:p>
        </w:tc>
        <w:tc>
          <w:tcPr>
            <w:tcW w:w="2060" w:type="dxa"/>
            <w:vAlign w:val="bottom"/>
            <w:tcBorders>
              <w:right w:val="single" w:sz="8" w:color="93A1D2"/>
            </w:tcBorders>
            <w:shd w:val="clear" w:color="auto" w:fill="CCCCCC"/>
          </w:tcPr>
          <w:p>
            <w:pPr>
              <w:spacing w:after="0"/>
              <w:rPr>
                <w:sz w:val="18"/>
                <w:szCs w:val="18"/>
                <w:color w:val="auto"/>
              </w:rPr>
            </w:pPr>
          </w:p>
        </w:tc>
        <w:tc>
          <w:tcPr>
            <w:tcW w:w="1800" w:type="dxa"/>
            <w:vAlign w:val="bottom"/>
            <w:tcBorders>
              <w:right w:val="single" w:sz="8" w:color="93A1D2"/>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1880" w:type="dxa"/>
            <w:vAlign w:val="bottom"/>
            <w:tcBorders>
              <w:right w:val="single" w:sz="8" w:color="3465B0"/>
            </w:tcBorders>
            <w:shd w:val="clear" w:color="auto" w:fill="CCCCCC"/>
          </w:tcPr>
          <w:p>
            <w:pPr>
              <w:spacing w:after="0"/>
              <w:rPr>
                <w:sz w:val="18"/>
                <w:szCs w:val="18"/>
                <w:color w:val="auto"/>
              </w:rPr>
            </w:pPr>
          </w:p>
        </w:tc>
      </w:tr>
      <w:tr>
        <w:trPr>
          <w:trHeight w:val="242"/>
        </w:trPr>
        <w:tc>
          <w:tcPr>
            <w:tcW w:w="3200" w:type="dxa"/>
            <w:vAlign w:val="bottom"/>
            <w:tcBorders>
              <w:left w:val="single" w:sz="8" w:color="3465B0"/>
              <w:bottom w:val="single" w:sz="8" w:color="CCCCCC"/>
              <w:right w:val="single" w:sz="8" w:color="93A1D2"/>
            </w:tcBorders>
            <w:shd w:val="clear" w:color="auto" w:fill="CCCCCC"/>
          </w:tcPr>
          <w:p>
            <w:pPr>
              <w:ind w:left="280"/>
              <w:spacing w:after="0"/>
              <w:rPr>
                <w:sz w:val="20"/>
                <w:szCs w:val="20"/>
                <w:color w:val="auto"/>
              </w:rPr>
            </w:pPr>
            <w:r>
              <w:rPr>
                <w:rFonts w:ascii="Arial" w:cs="Arial" w:eastAsia="Arial" w:hAnsi="Arial"/>
                <w:sz w:val="18"/>
                <w:szCs w:val="18"/>
                <w:color w:val="auto"/>
              </w:rPr>
              <w:t>approved by security holders</w:t>
            </w:r>
          </w:p>
        </w:tc>
        <w:tc>
          <w:tcPr>
            <w:tcW w:w="2060" w:type="dxa"/>
            <w:vAlign w:val="bottom"/>
            <w:tcBorders>
              <w:bottom w:val="single" w:sz="8" w:color="CCCCCC"/>
              <w:right w:val="single" w:sz="8" w:color="93A1D2"/>
            </w:tcBorders>
            <w:shd w:val="clear" w:color="auto" w:fill="CCCCCC"/>
          </w:tcPr>
          <w:p>
            <w:pPr>
              <w:jc w:val="right"/>
              <w:ind w:right="176"/>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CCCC"/>
              <w:right w:val="single" w:sz="8" w:color="93A1D2"/>
            </w:tcBorders>
            <w:shd w:val="clear" w:color="auto" w:fill="CCCCCC"/>
          </w:tcPr>
          <w:p>
            <w:pPr>
              <w:jc w:val="right"/>
              <w:ind w:right="1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CCCC"/>
            </w:tcBorders>
            <w:shd w:val="clear" w:color="auto" w:fill="CCCCCC"/>
          </w:tcPr>
          <w:p>
            <w:pPr>
              <w:spacing w:after="0"/>
              <w:rPr>
                <w:sz w:val="21"/>
                <w:szCs w:val="21"/>
                <w:color w:val="auto"/>
              </w:rPr>
            </w:pPr>
          </w:p>
        </w:tc>
        <w:tc>
          <w:tcPr>
            <w:tcW w:w="1880" w:type="dxa"/>
            <w:vAlign w:val="bottom"/>
            <w:tcBorders>
              <w:bottom w:val="single" w:sz="8" w:color="CCCCCC"/>
              <w:right w:val="single" w:sz="8" w:color="3465B0"/>
            </w:tcBorders>
            <w:shd w:val="clear" w:color="auto" w:fill="CCCCCC"/>
          </w:tcPr>
          <w:p>
            <w:pPr>
              <w:jc w:val="right"/>
              <w:ind w:right="18"/>
              <w:spacing w:after="0"/>
              <w:rPr>
                <w:sz w:val="20"/>
                <w:szCs w:val="20"/>
                <w:color w:val="auto"/>
              </w:rPr>
            </w:pPr>
            <w:r>
              <w:rPr>
                <w:rFonts w:ascii="Arial" w:cs="Arial" w:eastAsia="Arial" w:hAnsi="Arial"/>
                <w:sz w:val="18"/>
                <w:szCs w:val="18"/>
                <w:color w:val="auto"/>
              </w:rPr>
              <w:t>—</w:t>
            </w:r>
          </w:p>
        </w:tc>
      </w:tr>
      <w:tr>
        <w:trPr>
          <w:trHeight w:val="240"/>
        </w:trPr>
        <w:tc>
          <w:tcPr>
            <w:tcW w:w="3200" w:type="dxa"/>
            <w:vAlign w:val="bottom"/>
            <w:tcBorders>
              <w:left w:val="single" w:sz="8" w:color="3465B0"/>
              <w:bottom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3465B0"/>
              <w:right w:val="single" w:sz="8" w:color="93A1D2"/>
            </w:tcBorders>
          </w:tcPr>
          <w:p>
            <w:pPr>
              <w:jc w:val="right"/>
              <w:ind w:right="176"/>
              <w:spacing w:after="0"/>
              <w:rPr>
                <w:sz w:val="20"/>
                <w:szCs w:val="20"/>
                <w:color w:val="auto"/>
              </w:rPr>
            </w:pPr>
            <w:r>
              <w:rPr>
                <w:rFonts w:ascii="Arial" w:cs="Arial" w:eastAsia="Arial" w:hAnsi="Arial"/>
                <w:sz w:val="18"/>
                <w:szCs w:val="18"/>
                <w:color w:val="auto"/>
              </w:rPr>
              <w:t>3,483,094</w:t>
            </w:r>
          </w:p>
        </w:tc>
        <w:tc>
          <w:tcPr>
            <w:tcW w:w="1800" w:type="dxa"/>
            <w:vAlign w:val="bottom"/>
            <w:tcBorders>
              <w:bottom w:val="single" w:sz="8" w:color="3465B0"/>
              <w:right w:val="single" w:sz="8" w:color="93A1D2"/>
            </w:tcBorders>
          </w:tcPr>
          <w:p>
            <w:pPr>
              <w:jc w:val="right"/>
              <w:ind w:right="156"/>
              <w:spacing w:after="0"/>
              <w:rPr>
                <w:sz w:val="20"/>
                <w:szCs w:val="20"/>
                <w:color w:val="auto"/>
              </w:rPr>
            </w:pPr>
            <w:r>
              <w:rPr>
                <w:rFonts w:ascii="Arial" w:cs="Arial" w:eastAsia="Arial" w:hAnsi="Arial"/>
                <w:sz w:val="18"/>
                <w:szCs w:val="18"/>
                <w:color w:val="auto"/>
              </w:rPr>
              <w:t>$29.82</w:t>
            </w:r>
          </w:p>
        </w:tc>
        <w:tc>
          <w:tcPr>
            <w:tcW w:w="2100" w:type="dxa"/>
            <w:vAlign w:val="bottom"/>
            <w:tcBorders>
              <w:bottom w:val="single" w:sz="8" w:color="3465B0"/>
              <w:right w:val="single" w:sz="8" w:color="3465B0"/>
            </w:tcBorders>
            <w:gridSpan w:val="2"/>
          </w:tcPr>
          <w:p>
            <w:pPr>
              <w:jc w:val="right"/>
              <w:ind w:right="18"/>
              <w:spacing w:after="0"/>
              <w:rPr>
                <w:sz w:val="20"/>
                <w:szCs w:val="20"/>
                <w:color w:val="auto"/>
              </w:rPr>
            </w:pPr>
            <w:r>
              <w:rPr>
                <w:rFonts w:ascii="Arial" w:cs="Arial" w:eastAsia="Arial" w:hAnsi="Arial"/>
                <w:sz w:val="18"/>
                <w:szCs w:val="18"/>
                <w:color w:val="auto"/>
              </w:rPr>
              <w:t>4,670,612</w:t>
            </w:r>
          </w:p>
        </w:tc>
      </w:tr>
    </w:tbl>
    <w:p>
      <w:pPr>
        <w:spacing w:after="0" w:line="150" w:lineRule="exact"/>
        <w:rPr>
          <w:sz w:val="20"/>
          <w:szCs w:val="20"/>
          <w:color w:val="auto"/>
        </w:rPr>
      </w:pPr>
    </w:p>
    <w:p>
      <w:pPr>
        <w:jc w:val="both"/>
        <w:ind w:left="1280" w:right="940" w:hanging="348"/>
        <w:spacing w:after="0" w:line="252" w:lineRule="auto"/>
        <w:tabs>
          <w:tab w:leader="none" w:pos="12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288,378 shares issuable under the 2014 Stock Incentive Plan. Included within the 288,378 shares are 137,069 shares that could be issued upon vesting of RSU awards. The weighted-average exercise price of such options within this plan is $15.65. Includes 3,194,716 shares issuable under the 2017 Omnibus Incentive Plan. Included within the 3,194,716 shares are 1,018,842 shares that could be issued upon the vesting of PSU awards, assuming target level of achievement, other than for the 2021 PSU awards which have been incorporated here at their actual level of achievement. The weighted-average exercise price of such options within this plan is $36.94.</w:t>
      </w:r>
    </w:p>
    <w:p>
      <w:pPr>
        <w:spacing w:after="0" w:line="72" w:lineRule="exact"/>
        <w:rPr>
          <w:rFonts w:ascii="Arial" w:cs="Arial" w:eastAsia="Arial" w:hAnsi="Arial"/>
          <w:sz w:val="14"/>
          <w:szCs w:val="14"/>
          <w:color w:val="auto"/>
        </w:rPr>
      </w:pPr>
    </w:p>
    <w:p>
      <w:pPr>
        <w:ind w:left="1280" w:hanging="348"/>
        <w:spacing w:after="0"/>
        <w:tabs>
          <w:tab w:leader="none" w:pos="12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weighted-average exercise price excludes shares in of common stock that may be issued upon the settlement of RSUs or PSUs.</w:t>
      </w:r>
    </w:p>
    <w:p>
      <w:pPr>
        <w:spacing w:after="0" w:line="109" w:lineRule="exact"/>
        <w:rPr>
          <w:rFonts w:ascii="Arial" w:cs="Arial" w:eastAsia="Arial" w:hAnsi="Arial"/>
          <w:sz w:val="14"/>
          <w:szCs w:val="14"/>
          <w:color w:val="auto"/>
        </w:rPr>
      </w:pPr>
    </w:p>
    <w:p>
      <w:pPr>
        <w:jc w:val="both"/>
        <w:ind w:left="1280" w:right="960" w:hanging="348"/>
        <w:spacing w:after="0" w:line="252" w:lineRule="auto"/>
        <w:tabs>
          <w:tab w:leader="none" w:pos="12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4,195,305 shares that can be issued pursuant to future awards under the 2017 Omnibus Incentive Plan and 475,307 shares that can be issued under our ASPP. Total does not include (i) 10,190 shares purchased during our ASPP offering period ended February 29, 2026, and (ii) 10,204 shares subject to purchase during our current ASPP offering period ending May 31, 2026, which are estimated based on the closing price of the Company’s common stock of $26.93 on March 1, 2026, the first day in the current ASPP offering period, including the 10%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52070</wp:posOffset>
            </wp:positionV>
            <wp:extent cx="205740" cy="2057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59</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8034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80340"/>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Dodd-Frank Wall Street Reform Act and Consumer Protection Act of 2010 and the compensation disclosure rules of the SEC require the Company to disclose the ratio of the annual total compensation of Mr. Wilkes, our CEO, to the median of the annual total compensation of the employees of the Company (other than our CEO) (the “CEO Pay Ratio”).</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fiscal 2025:</w:t>
      </w:r>
    </w:p>
    <w:p>
      <w:pPr>
        <w:sectPr>
          <w:pgSz w:w="11900" w:h="16838" w:orient="portrait"/>
          <w:cols w:equalWidth="0" w:num="1">
            <w:col w:w="9160"/>
          </w:cols>
          <w:pgMar w:left="1360" w:top="114" w:right="1379" w:bottom="1440" w:gutter="0" w:footer="0" w:header="0"/>
        </w:sectPr>
      </w:pPr>
    </w:p>
    <w:p>
      <w:pPr>
        <w:spacing w:after="0" w:line="109"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median of the annual total compensation of all our employees (other than Mr. Wilkes, our CEO), was $30,168; and</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annual total compensation of Mr. Wilkes, our CEO, as reported in the Summary Compensation Table was $5,198,863.</w:t>
      </w:r>
    </w:p>
    <w:p>
      <w:pPr>
        <w:spacing w:after="0" w:line="86"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jc w:val="both"/>
        <w:ind w:left="20" w:right="20"/>
        <w:spacing w:after="0" w:line="271" w:lineRule="auto"/>
        <w:rPr>
          <w:sz w:val="20"/>
          <w:szCs w:val="20"/>
          <w:color w:val="auto"/>
        </w:rPr>
      </w:pPr>
      <w:r>
        <w:rPr>
          <w:rFonts w:ascii="Arial" w:cs="Arial" w:eastAsia="Arial" w:hAnsi="Arial"/>
          <w:sz w:val="18"/>
          <w:szCs w:val="18"/>
          <w:color w:val="auto"/>
        </w:rPr>
        <w:t>Based on this information, the ratio of the annual total compensation of our CEO to the median of the annual total compensation of all our employees was 172:1.</w:t>
      </w:r>
    </w:p>
    <w:p>
      <w:pPr>
        <w:spacing w:after="0" w:line="73" w:lineRule="exact"/>
        <w:rPr>
          <w:sz w:val="20"/>
          <w:szCs w:val="20"/>
          <w:color w:val="auto"/>
        </w:rPr>
      </w:pPr>
    </w:p>
    <w:p>
      <w:pPr>
        <w:jc w:val="both"/>
        <w:ind w:left="20" w:right="20"/>
        <w:spacing w:after="0" w:line="239" w:lineRule="auto"/>
        <w:rPr>
          <w:sz w:val="20"/>
          <w:szCs w:val="20"/>
          <w:color w:val="auto"/>
        </w:rPr>
      </w:pPr>
      <w:r>
        <w:rPr>
          <w:rFonts w:ascii="Arial" w:cs="Arial" w:eastAsia="Arial" w:hAnsi="Arial"/>
          <w:sz w:val="18"/>
          <w:szCs w:val="18"/>
          <w:color w:val="auto"/>
        </w:rPr>
        <w:t>To determine this pay ratio, we identified our median employee using our employee population as of November 1, 2025, which consisted of approximately 13,249 full-time and part-time employees, with 100% of these individuals located in the United States. To identify our median employee, we used salary/wages and annual incentive/bonus from our payroll records in fiscal 2025 as our consistently applied compensation measure. In making this determination, we annualized the compensation of full-time and part-time employees who were hired or separated in fiscal 2025 but did not work for us for the entire fiscal year. This methodology of identifying the median employee was the same as the methodology we used in determining our pay ratio disclosure for fiscal 2024. After identifying our median employee, we calculated the median employee’s compensation for fiscal 2025 in accordance with the requirements of Item 402(c)(2)(x) of Regulation S-K of the Exchange Act. Compensation amounts were determined from our human resources and payroll systems of record.</w:t>
      </w:r>
    </w:p>
    <w:p>
      <w:pPr>
        <w:spacing w:after="0" w:line="112"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Our CEO Pay Ratio is a reasonable estimate calculated in a manner consistent with Item 402(u) of Regulation S-K. Due to the flexibility afforded by Item 402(u) in allowing companies to adopt a wide range of methodologies and to make reasonable estimates and assumptions that reflect their compensation practices to identify the median employee and calculate the CEO Pay Ratio, our CEO Pay Ratio may not be comparable to the CEO pay ratios reported by other companies.</w:t>
      </w:r>
    </w:p>
    <w:p>
      <w:pPr>
        <w:spacing w:after="0" w:line="53" w:lineRule="exact"/>
        <w:rPr>
          <w:sz w:val="20"/>
          <w:szCs w:val="20"/>
          <w:color w:val="auto"/>
        </w:rPr>
      </w:pPr>
    </w:p>
    <w:p>
      <w:pPr>
        <w:ind w:left="360" w:hanging="346"/>
        <w:spacing w:after="0"/>
        <w:tabs>
          <w:tab w:leader="none" w:pos="360" w:val="left"/>
        </w:tabs>
        <w:numPr>
          <w:ilvl w:val="0"/>
          <w:numId w:val="74"/>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67" w:name="page68"/>
    <w:bookmarkEnd w:id="6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803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803265" cy="180340"/>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The Dodd-Frank Wall Street Reform Act and Consumer Protection Act of 2010 and the compensation disclosure rules of the SEC require us to disclose the following information regarding “compensation actually paid” to our NEOs and certain financial performance measures. The dollar amounts for “compensation actually paid” are calculated in accordance with Item 402(v) of Regulation S-K and do not necessarily reflect the actual amount of compensation earned by or paid to our NEOs in the applicable year. For information on our compensation policies and decisions regarding our named executive officers, including how we align executive compensation with Company performance, see “Compensation Discussion and Analysis.”</w:t>
      </w:r>
    </w:p>
    <w:p>
      <w:pPr>
        <w:spacing w:after="0" w:line="86" w:lineRule="exact"/>
        <w:rPr>
          <w:sz w:val="20"/>
          <w:szCs w:val="20"/>
          <w:color w:val="auto"/>
        </w:rPr>
      </w:pPr>
    </w:p>
    <w:tbl>
      <w:tblPr>
        <w:tblLayout w:type="fixed"/>
        <w:tblInd w:w="750" w:type="dxa"/>
        <w:tblCellMar>
          <w:top w:w="0" w:type="dxa"/>
          <w:left w:w="0" w:type="dxa"/>
          <w:bottom w:w="0" w:type="dxa"/>
          <w:right w:w="0" w:type="dxa"/>
        </w:tblCellMar>
      </w:tblPr>
      <w:tr>
        <w:trPr>
          <w:trHeight w:val="125"/>
        </w:trPr>
        <w:tc>
          <w:tcPr>
            <w:tcW w:w="180" w:type="dxa"/>
            <w:vAlign w:val="bottom"/>
            <w:tcBorders>
              <w:top w:val="single" w:sz="8" w:color="3465B0"/>
              <w:left w:val="single" w:sz="8" w:color="3465B0"/>
            </w:tcBorders>
            <w:shd w:val="clear" w:color="auto" w:fill="3465B0"/>
          </w:tcPr>
          <w:p>
            <w:pPr>
              <w:spacing w:after="0"/>
              <w:rPr>
                <w:sz w:val="10"/>
                <w:szCs w:val="10"/>
                <w:color w:val="auto"/>
              </w:rPr>
            </w:pPr>
          </w:p>
        </w:tc>
        <w:tc>
          <w:tcPr>
            <w:tcW w:w="320" w:type="dxa"/>
            <w:vAlign w:val="bottom"/>
            <w:tcBorders>
              <w:top w:val="single" w:sz="8" w:color="3465B0"/>
              <w:right w:val="single" w:sz="8" w:color="93A1D2"/>
            </w:tcBorders>
            <w:shd w:val="clear" w:color="auto" w:fill="3465B0"/>
          </w:tcPr>
          <w:p>
            <w:pPr>
              <w:spacing w:after="0"/>
              <w:rPr>
                <w:sz w:val="10"/>
                <w:szCs w:val="10"/>
                <w:color w:val="auto"/>
              </w:rPr>
            </w:pPr>
          </w:p>
        </w:tc>
        <w:tc>
          <w:tcPr>
            <w:tcW w:w="1020" w:type="dxa"/>
            <w:vAlign w:val="bottom"/>
            <w:tcBorders>
              <w:top w:val="single" w:sz="8" w:color="3465B0"/>
              <w:right w:val="single" w:sz="8" w:color="3465B0"/>
            </w:tcBorders>
            <w:shd w:val="clear" w:color="auto" w:fill="3465B0"/>
          </w:tcPr>
          <w:p>
            <w:pPr>
              <w:spacing w:after="0"/>
              <w:rPr>
                <w:sz w:val="10"/>
                <w:szCs w:val="10"/>
                <w:color w:val="auto"/>
              </w:rPr>
            </w:pPr>
          </w:p>
        </w:tc>
        <w:tc>
          <w:tcPr>
            <w:tcW w:w="960" w:type="dxa"/>
            <w:vAlign w:val="bottom"/>
            <w:tcBorders>
              <w:top w:val="single" w:sz="8" w:color="3465B0"/>
              <w:right w:val="single" w:sz="8" w:color="93A1D2"/>
            </w:tcBorders>
            <w:shd w:val="clear" w:color="auto" w:fill="3465B0"/>
          </w:tcPr>
          <w:p>
            <w:pPr>
              <w:spacing w:after="0"/>
              <w:rPr>
                <w:sz w:val="10"/>
                <w:szCs w:val="10"/>
                <w:color w:val="auto"/>
              </w:rPr>
            </w:pPr>
          </w:p>
        </w:tc>
        <w:tc>
          <w:tcPr>
            <w:tcW w:w="960" w:type="dxa"/>
            <w:vAlign w:val="bottom"/>
            <w:tcBorders>
              <w:top w:val="single" w:sz="8" w:color="3465B0"/>
              <w:right w:val="single" w:sz="8" w:color="93A1D2"/>
            </w:tcBorders>
            <w:shd w:val="clear" w:color="auto" w:fill="3465B0"/>
          </w:tcPr>
          <w:p>
            <w:pPr>
              <w:spacing w:after="0"/>
              <w:rPr>
                <w:sz w:val="10"/>
                <w:szCs w:val="10"/>
                <w:color w:val="auto"/>
              </w:rPr>
            </w:pPr>
          </w:p>
        </w:tc>
        <w:tc>
          <w:tcPr>
            <w:tcW w:w="1000" w:type="dxa"/>
            <w:vAlign w:val="bottom"/>
            <w:tcBorders>
              <w:top w:val="single" w:sz="8" w:color="3465B0"/>
              <w:right w:val="single" w:sz="8" w:color="93A1D2"/>
            </w:tcBorders>
            <w:shd w:val="clear" w:color="auto" w:fill="3465B0"/>
          </w:tcPr>
          <w:p>
            <w:pPr>
              <w:spacing w:after="0"/>
              <w:rPr>
                <w:sz w:val="10"/>
                <w:szCs w:val="10"/>
                <w:color w:val="auto"/>
              </w:rPr>
            </w:pPr>
          </w:p>
        </w:tc>
        <w:tc>
          <w:tcPr>
            <w:tcW w:w="980" w:type="dxa"/>
            <w:vAlign w:val="bottom"/>
            <w:tcBorders>
              <w:top w:val="single" w:sz="8" w:color="3465B0"/>
              <w:right w:val="single" w:sz="8" w:color="93A1D2"/>
            </w:tcBorders>
            <w:vMerge w:val="restart"/>
            <w:shd w:val="clear" w:color="auto" w:fill="3465B0"/>
          </w:tcPr>
          <w:p>
            <w:pPr>
              <w:ind w:left="20"/>
              <w:spacing w:after="0"/>
              <w:rPr>
                <w:sz w:val="20"/>
                <w:szCs w:val="20"/>
                <w:color w:val="auto"/>
              </w:rPr>
            </w:pPr>
            <w:r>
              <w:rPr>
                <w:rFonts w:ascii="Arial" w:cs="Arial" w:eastAsia="Arial" w:hAnsi="Arial"/>
                <w:sz w:val="13"/>
                <w:szCs w:val="13"/>
                <w:b w:val="1"/>
                <w:bCs w:val="1"/>
                <w:color w:val="FFFFFF"/>
              </w:rPr>
              <w:t>Average</w:t>
            </w:r>
          </w:p>
        </w:tc>
        <w:tc>
          <w:tcPr>
            <w:tcW w:w="1040" w:type="dxa"/>
            <w:vAlign w:val="bottom"/>
            <w:tcBorders>
              <w:top w:val="single" w:sz="8" w:color="3465B0"/>
              <w:right w:val="single" w:sz="8" w:color="93A1D2"/>
            </w:tcBorders>
            <w:vMerge w:val="restart"/>
            <w:shd w:val="clear" w:color="auto" w:fill="3465B0"/>
          </w:tcPr>
          <w:p>
            <w:pPr>
              <w:ind w:left="20"/>
              <w:spacing w:after="0"/>
              <w:rPr>
                <w:sz w:val="20"/>
                <w:szCs w:val="20"/>
                <w:color w:val="auto"/>
              </w:rPr>
            </w:pPr>
            <w:r>
              <w:rPr>
                <w:rFonts w:ascii="Arial" w:cs="Arial" w:eastAsia="Arial" w:hAnsi="Arial"/>
                <w:sz w:val="13"/>
                <w:szCs w:val="13"/>
                <w:b w:val="1"/>
                <w:bCs w:val="1"/>
                <w:color w:val="FFFFFF"/>
              </w:rPr>
              <w:t>Average</w:t>
            </w:r>
          </w:p>
        </w:tc>
        <w:tc>
          <w:tcPr>
            <w:tcW w:w="1600" w:type="dxa"/>
            <w:vAlign w:val="bottom"/>
            <w:tcBorders>
              <w:top w:val="single" w:sz="8" w:color="3465B0"/>
            </w:tcBorders>
            <w:gridSpan w:val="2"/>
            <w:vMerge w:val="restart"/>
            <w:shd w:val="clear" w:color="auto" w:fill="3465B0"/>
          </w:tcPr>
          <w:p>
            <w:pPr>
              <w:jc w:val="center"/>
              <w:spacing w:after="0"/>
              <w:rPr>
                <w:sz w:val="20"/>
                <w:szCs w:val="20"/>
                <w:color w:val="auto"/>
              </w:rPr>
            </w:pPr>
            <w:r>
              <w:rPr>
                <w:rFonts w:ascii="Arial" w:cs="Arial" w:eastAsia="Arial" w:hAnsi="Arial"/>
                <w:sz w:val="13"/>
                <w:szCs w:val="13"/>
                <w:b w:val="1"/>
                <w:bCs w:val="1"/>
                <w:color w:val="FFFFFF"/>
                <w:w w:val="97"/>
              </w:rPr>
              <w:t>Value of Initial Fixed</w:t>
            </w:r>
          </w:p>
        </w:tc>
        <w:tc>
          <w:tcPr>
            <w:tcW w:w="680" w:type="dxa"/>
            <w:vAlign w:val="bottom"/>
            <w:tcBorders>
              <w:top w:val="single" w:sz="8" w:color="3465B0"/>
              <w:left w:val="single" w:sz="8" w:color="93A1D2"/>
              <w:right w:val="single" w:sz="8" w:color="93A1D2"/>
            </w:tcBorders>
            <w:shd w:val="clear" w:color="auto" w:fill="3465B0"/>
          </w:tcPr>
          <w:p>
            <w:pPr>
              <w:spacing w:after="0"/>
              <w:rPr>
                <w:sz w:val="10"/>
                <w:szCs w:val="10"/>
                <w:color w:val="auto"/>
              </w:rPr>
            </w:pPr>
          </w:p>
        </w:tc>
        <w:tc>
          <w:tcPr>
            <w:tcW w:w="780" w:type="dxa"/>
            <w:vAlign w:val="bottom"/>
            <w:tcBorders>
              <w:top w:val="single" w:sz="8" w:color="3465B0"/>
              <w:right w:val="single" w:sz="8" w:color="3465B0"/>
            </w:tcBorders>
            <w:shd w:val="clear" w:color="auto" w:fill="3465B0"/>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 w:type="dxa"/>
            <w:vAlign w:val="bottom"/>
            <w:tcBorders>
              <w:left w:val="single" w:sz="8" w:color="3465B0"/>
            </w:tcBorders>
            <w:shd w:val="clear" w:color="auto" w:fill="3465B0"/>
          </w:tcPr>
          <w:p>
            <w:pPr>
              <w:spacing w:after="0"/>
              <w:rPr>
                <w:sz w:val="10"/>
                <w:szCs w:val="10"/>
                <w:color w:val="auto"/>
              </w:rPr>
            </w:pPr>
          </w:p>
        </w:tc>
        <w:tc>
          <w:tcPr>
            <w:tcW w:w="320" w:type="dxa"/>
            <w:vAlign w:val="bottom"/>
            <w:tcBorders>
              <w:right w:val="single" w:sz="8" w:color="93A1D2"/>
            </w:tcBorders>
            <w:shd w:val="clear" w:color="auto" w:fill="3465B0"/>
          </w:tcPr>
          <w:p>
            <w:pPr>
              <w:spacing w:after="0"/>
              <w:rPr>
                <w:sz w:val="10"/>
                <w:szCs w:val="10"/>
                <w:color w:val="auto"/>
              </w:rPr>
            </w:pPr>
          </w:p>
        </w:tc>
        <w:tc>
          <w:tcPr>
            <w:tcW w:w="1020" w:type="dxa"/>
            <w:vAlign w:val="bottom"/>
            <w:tcBorders>
              <w:right w:val="single" w:sz="8" w:color="3465B0"/>
            </w:tcBorders>
            <w:shd w:val="clear" w:color="auto" w:fill="3465B0"/>
          </w:tcPr>
          <w:p>
            <w:pPr>
              <w:spacing w:after="0"/>
              <w:rPr>
                <w:sz w:val="10"/>
                <w:szCs w:val="10"/>
                <w:color w:val="auto"/>
              </w:rPr>
            </w:pPr>
          </w:p>
        </w:tc>
        <w:tc>
          <w:tcPr>
            <w:tcW w:w="960" w:type="dxa"/>
            <w:vAlign w:val="bottom"/>
            <w:tcBorders>
              <w:right w:val="single" w:sz="8" w:color="93A1D2"/>
            </w:tcBorders>
            <w:shd w:val="clear" w:color="auto" w:fill="3465B0"/>
          </w:tcPr>
          <w:p>
            <w:pPr>
              <w:spacing w:after="0"/>
              <w:rPr>
                <w:sz w:val="10"/>
                <w:szCs w:val="10"/>
                <w:color w:val="auto"/>
              </w:rPr>
            </w:pPr>
          </w:p>
        </w:tc>
        <w:tc>
          <w:tcPr>
            <w:tcW w:w="960" w:type="dxa"/>
            <w:vAlign w:val="bottom"/>
            <w:tcBorders>
              <w:right w:val="single" w:sz="8" w:color="93A1D2"/>
            </w:tcBorders>
            <w:shd w:val="clear" w:color="auto" w:fill="3465B0"/>
          </w:tcPr>
          <w:p>
            <w:pPr>
              <w:spacing w:after="0"/>
              <w:rPr>
                <w:sz w:val="10"/>
                <w:szCs w:val="10"/>
                <w:color w:val="auto"/>
              </w:rPr>
            </w:pPr>
          </w:p>
        </w:tc>
        <w:tc>
          <w:tcPr>
            <w:tcW w:w="1000" w:type="dxa"/>
            <w:vAlign w:val="bottom"/>
            <w:tcBorders>
              <w:right w:val="single" w:sz="8" w:color="93A1D2"/>
            </w:tcBorders>
            <w:shd w:val="clear" w:color="auto" w:fill="3465B0"/>
          </w:tcPr>
          <w:p>
            <w:pPr>
              <w:spacing w:after="0"/>
              <w:rPr>
                <w:sz w:val="10"/>
                <w:szCs w:val="10"/>
                <w:color w:val="auto"/>
              </w:rPr>
            </w:pPr>
          </w:p>
        </w:tc>
        <w:tc>
          <w:tcPr>
            <w:tcW w:w="980" w:type="dxa"/>
            <w:vAlign w:val="bottom"/>
            <w:tcBorders>
              <w:right w:val="single" w:sz="8" w:color="93A1D2"/>
            </w:tcBorders>
            <w:vMerge w:val="continue"/>
            <w:shd w:val="clear" w:color="auto" w:fill="3465B0"/>
          </w:tcPr>
          <w:p>
            <w:pPr>
              <w:spacing w:after="0"/>
              <w:rPr>
                <w:sz w:val="10"/>
                <w:szCs w:val="10"/>
                <w:color w:val="auto"/>
              </w:rPr>
            </w:pPr>
          </w:p>
        </w:tc>
        <w:tc>
          <w:tcPr>
            <w:tcW w:w="1040" w:type="dxa"/>
            <w:vAlign w:val="bottom"/>
            <w:tcBorders>
              <w:right w:val="single" w:sz="8" w:color="93A1D2"/>
            </w:tcBorders>
            <w:vMerge w:val="continue"/>
            <w:shd w:val="clear" w:color="auto" w:fill="3465B0"/>
          </w:tcPr>
          <w:p>
            <w:pPr>
              <w:spacing w:after="0"/>
              <w:rPr>
                <w:sz w:val="10"/>
                <w:szCs w:val="10"/>
                <w:color w:val="auto"/>
              </w:rPr>
            </w:pPr>
          </w:p>
        </w:tc>
        <w:tc>
          <w:tcPr>
            <w:tcW w:w="1600" w:type="dxa"/>
            <w:vAlign w:val="bottom"/>
            <w:gridSpan w:val="2"/>
            <w:vMerge w:val="continue"/>
            <w:shd w:val="clear" w:color="auto" w:fill="3465B0"/>
          </w:tcPr>
          <w:p>
            <w:pPr>
              <w:spacing w:after="0"/>
              <w:rPr>
                <w:sz w:val="10"/>
                <w:szCs w:val="10"/>
                <w:color w:val="auto"/>
              </w:rPr>
            </w:pPr>
          </w:p>
        </w:tc>
        <w:tc>
          <w:tcPr>
            <w:tcW w:w="680" w:type="dxa"/>
            <w:vAlign w:val="bottom"/>
            <w:tcBorders>
              <w:left w:val="single" w:sz="8" w:color="3465B0"/>
              <w:right w:val="single" w:sz="8" w:color="93A1D2"/>
            </w:tcBorders>
            <w:shd w:val="clear" w:color="auto" w:fill="3465B0"/>
          </w:tcPr>
          <w:p>
            <w:pPr>
              <w:spacing w:after="0"/>
              <w:rPr>
                <w:sz w:val="10"/>
                <w:szCs w:val="10"/>
                <w:color w:val="auto"/>
              </w:rPr>
            </w:pPr>
          </w:p>
        </w:tc>
        <w:tc>
          <w:tcPr>
            <w:tcW w:w="780" w:type="dxa"/>
            <w:vAlign w:val="bottom"/>
            <w:tcBorders>
              <w:right w:val="single" w:sz="8" w:color="3465B0"/>
            </w:tcBorders>
            <w:shd w:val="clear" w:color="auto" w:fill="3465B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 w:type="dxa"/>
            <w:vAlign w:val="bottom"/>
            <w:tcBorders>
              <w:left w:val="single" w:sz="8" w:color="3465B0"/>
            </w:tcBorders>
            <w:shd w:val="clear" w:color="auto" w:fill="3465B0"/>
          </w:tcPr>
          <w:p>
            <w:pPr>
              <w:spacing w:after="0"/>
              <w:rPr>
                <w:sz w:val="10"/>
                <w:szCs w:val="10"/>
                <w:color w:val="auto"/>
              </w:rPr>
            </w:pPr>
          </w:p>
        </w:tc>
        <w:tc>
          <w:tcPr>
            <w:tcW w:w="320" w:type="dxa"/>
            <w:vAlign w:val="bottom"/>
            <w:tcBorders>
              <w:right w:val="single" w:sz="8" w:color="93A1D2"/>
            </w:tcBorders>
            <w:shd w:val="clear" w:color="auto" w:fill="3465B0"/>
          </w:tcPr>
          <w:p>
            <w:pPr>
              <w:spacing w:after="0"/>
              <w:rPr>
                <w:sz w:val="10"/>
                <w:szCs w:val="10"/>
                <w:color w:val="auto"/>
              </w:rPr>
            </w:pPr>
          </w:p>
        </w:tc>
        <w:tc>
          <w:tcPr>
            <w:tcW w:w="1020" w:type="dxa"/>
            <w:vAlign w:val="bottom"/>
            <w:tcBorders>
              <w:right w:val="single" w:sz="8" w:color="3465B0"/>
            </w:tcBorders>
            <w:shd w:val="clear" w:color="auto" w:fill="3465B0"/>
          </w:tcPr>
          <w:p>
            <w:pPr>
              <w:spacing w:after="0"/>
              <w:rPr>
                <w:sz w:val="10"/>
                <w:szCs w:val="10"/>
                <w:color w:val="auto"/>
              </w:rPr>
            </w:pPr>
          </w:p>
        </w:tc>
        <w:tc>
          <w:tcPr>
            <w:tcW w:w="960" w:type="dxa"/>
            <w:vAlign w:val="bottom"/>
            <w:tcBorders>
              <w:right w:val="single" w:sz="8" w:color="93A1D2"/>
            </w:tcBorders>
            <w:shd w:val="clear" w:color="auto" w:fill="3465B0"/>
          </w:tcPr>
          <w:p>
            <w:pPr>
              <w:spacing w:after="0"/>
              <w:rPr>
                <w:sz w:val="10"/>
                <w:szCs w:val="10"/>
                <w:color w:val="auto"/>
              </w:rPr>
            </w:pPr>
          </w:p>
        </w:tc>
        <w:tc>
          <w:tcPr>
            <w:tcW w:w="960" w:type="dxa"/>
            <w:vAlign w:val="bottom"/>
            <w:tcBorders>
              <w:right w:val="single" w:sz="8" w:color="93A1D2"/>
            </w:tcBorders>
            <w:shd w:val="clear" w:color="auto" w:fill="3465B0"/>
          </w:tcPr>
          <w:p>
            <w:pPr>
              <w:spacing w:after="0"/>
              <w:rPr>
                <w:sz w:val="10"/>
                <w:szCs w:val="10"/>
                <w:color w:val="auto"/>
              </w:rPr>
            </w:pPr>
          </w:p>
        </w:tc>
        <w:tc>
          <w:tcPr>
            <w:tcW w:w="1000" w:type="dxa"/>
            <w:vAlign w:val="bottom"/>
            <w:tcBorders>
              <w:right w:val="single" w:sz="8" w:color="93A1D2"/>
            </w:tcBorders>
            <w:shd w:val="clear" w:color="auto" w:fill="3465B0"/>
          </w:tcPr>
          <w:p>
            <w:pPr>
              <w:spacing w:after="0"/>
              <w:rPr>
                <w:sz w:val="10"/>
                <w:szCs w:val="10"/>
                <w:color w:val="auto"/>
              </w:rPr>
            </w:pPr>
          </w:p>
        </w:tc>
        <w:tc>
          <w:tcPr>
            <w:tcW w:w="980" w:type="dxa"/>
            <w:vAlign w:val="bottom"/>
            <w:tcBorders>
              <w:right w:val="single" w:sz="8" w:color="93A1D2"/>
            </w:tcBorders>
            <w:shd w:val="clear" w:color="auto" w:fill="3465B0"/>
          </w:tcPr>
          <w:p>
            <w:pPr>
              <w:ind w:left="20"/>
              <w:spacing w:after="0" w:line="126" w:lineRule="exact"/>
              <w:rPr>
                <w:sz w:val="20"/>
                <w:szCs w:val="20"/>
                <w:color w:val="auto"/>
              </w:rPr>
            </w:pPr>
            <w:r>
              <w:rPr>
                <w:rFonts w:ascii="Arial" w:cs="Arial" w:eastAsia="Arial" w:hAnsi="Arial"/>
                <w:sz w:val="13"/>
                <w:szCs w:val="13"/>
                <w:b w:val="1"/>
                <w:bCs w:val="1"/>
                <w:color w:val="FFFFFF"/>
              </w:rPr>
              <w:t>Summary</w:t>
            </w:r>
          </w:p>
        </w:tc>
        <w:tc>
          <w:tcPr>
            <w:tcW w:w="1040" w:type="dxa"/>
            <w:vAlign w:val="bottom"/>
            <w:tcBorders>
              <w:right w:val="single" w:sz="8" w:color="93A1D2"/>
            </w:tcBorders>
            <w:vMerge w:val="continue"/>
            <w:shd w:val="clear" w:color="auto" w:fill="3465B0"/>
          </w:tcPr>
          <w:p>
            <w:pPr>
              <w:spacing w:after="0"/>
              <w:rPr>
                <w:sz w:val="10"/>
                <w:szCs w:val="10"/>
                <w:color w:val="auto"/>
              </w:rPr>
            </w:pPr>
          </w:p>
        </w:tc>
        <w:tc>
          <w:tcPr>
            <w:tcW w:w="1600" w:type="dxa"/>
            <w:vAlign w:val="bottom"/>
            <w:gridSpan w:val="2"/>
            <w:shd w:val="clear" w:color="auto" w:fill="3465B0"/>
          </w:tcPr>
          <w:p>
            <w:pPr>
              <w:jc w:val="center"/>
              <w:spacing w:after="0" w:line="126" w:lineRule="exact"/>
              <w:rPr>
                <w:sz w:val="20"/>
                <w:szCs w:val="20"/>
                <w:color w:val="auto"/>
              </w:rPr>
            </w:pPr>
            <w:r>
              <w:rPr>
                <w:rFonts w:ascii="Arial" w:cs="Arial" w:eastAsia="Arial" w:hAnsi="Arial"/>
                <w:sz w:val="13"/>
                <w:szCs w:val="13"/>
                <w:b w:val="1"/>
                <w:bCs w:val="1"/>
                <w:color w:val="FFFFFF"/>
                <w:w w:val="96"/>
              </w:rPr>
              <w:t>$100 Investment</w:t>
            </w:r>
          </w:p>
        </w:tc>
        <w:tc>
          <w:tcPr>
            <w:tcW w:w="680" w:type="dxa"/>
            <w:vAlign w:val="bottom"/>
            <w:tcBorders>
              <w:left w:val="single" w:sz="8" w:color="3465B0"/>
              <w:right w:val="single" w:sz="8" w:color="93A1D2"/>
            </w:tcBorders>
            <w:shd w:val="clear" w:color="auto" w:fill="3465B0"/>
          </w:tcPr>
          <w:p>
            <w:pPr>
              <w:spacing w:after="0"/>
              <w:rPr>
                <w:sz w:val="10"/>
                <w:szCs w:val="10"/>
                <w:color w:val="auto"/>
              </w:rPr>
            </w:pPr>
          </w:p>
        </w:tc>
        <w:tc>
          <w:tcPr>
            <w:tcW w:w="780" w:type="dxa"/>
            <w:vAlign w:val="bottom"/>
            <w:tcBorders>
              <w:right w:val="single" w:sz="8" w:color="3465B0"/>
            </w:tcBorders>
            <w:shd w:val="clear" w:color="auto" w:fill="3465B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3465B0"/>
            </w:tcBorders>
            <w:shd w:val="clear" w:color="auto" w:fill="3465B0"/>
          </w:tcPr>
          <w:p>
            <w:pPr>
              <w:spacing w:after="0"/>
              <w:rPr>
                <w:sz w:val="11"/>
                <w:szCs w:val="11"/>
                <w:color w:val="auto"/>
              </w:rPr>
            </w:pPr>
          </w:p>
        </w:tc>
        <w:tc>
          <w:tcPr>
            <w:tcW w:w="320" w:type="dxa"/>
            <w:vAlign w:val="bottom"/>
            <w:tcBorders>
              <w:right w:val="single" w:sz="8" w:color="93A1D2"/>
            </w:tcBorders>
            <w:shd w:val="clear" w:color="auto" w:fill="3465B0"/>
          </w:tcPr>
          <w:p>
            <w:pPr>
              <w:spacing w:after="0"/>
              <w:rPr>
                <w:sz w:val="11"/>
                <w:szCs w:val="11"/>
                <w:color w:val="auto"/>
              </w:rPr>
            </w:pPr>
          </w:p>
        </w:tc>
        <w:tc>
          <w:tcPr>
            <w:tcW w:w="1020" w:type="dxa"/>
            <w:vAlign w:val="bottom"/>
            <w:tcBorders>
              <w:right w:val="single" w:sz="8" w:color="3465B0"/>
            </w:tcBorders>
            <w:shd w:val="clear" w:color="auto" w:fill="3465B0"/>
          </w:tcPr>
          <w:p>
            <w:pPr>
              <w:spacing w:after="0"/>
              <w:rPr>
                <w:sz w:val="11"/>
                <w:szCs w:val="11"/>
                <w:color w:val="auto"/>
              </w:rPr>
            </w:pPr>
          </w:p>
        </w:tc>
        <w:tc>
          <w:tcPr>
            <w:tcW w:w="960" w:type="dxa"/>
            <w:vAlign w:val="bottom"/>
            <w:tcBorders>
              <w:right w:val="single" w:sz="8" w:color="93A1D2"/>
            </w:tcBorders>
            <w:shd w:val="clear" w:color="auto" w:fill="3465B0"/>
          </w:tcPr>
          <w:p>
            <w:pPr>
              <w:spacing w:after="0"/>
              <w:rPr>
                <w:sz w:val="11"/>
                <w:szCs w:val="11"/>
                <w:color w:val="auto"/>
              </w:rPr>
            </w:pPr>
          </w:p>
        </w:tc>
        <w:tc>
          <w:tcPr>
            <w:tcW w:w="960" w:type="dxa"/>
            <w:vAlign w:val="bottom"/>
            <w:tcBorders>
              <w:right w:val="single" w:sz="8" w:color="93A1D2"/>
            </w:tcBorders>
            <w:shd w:val="clear" w:color="auto" w:fill="3465B0"/>
          </w:tcPr>
          <w:p>
            <w:pPr>
              <w:spacing w:after="0"/>
              <w:rPr>
                <w:sz w:val="11"/>
                <w:szCs w:val="11"/>
                <w:color w:val="auto"/>
              </w:rPr>
            </w:pPr>
          </w:p>
        </w:tc>
        <w:tc>
          <w:tcPr>
            <w:tcW w:w="1000" w:type="dxa"/>
            <w:vAlign w:val="bottom"/>
            <w:tcBorders>
              <w:right w:val="single" w:sz="8" w:color="93A1D2"/>
            </w:tcBorders>
            <w:shd w:val="clear" w:color="auto" w:fill="3465B0"/>
          </w:tcPr>
          <w:p>
            <w:pPr>
              <w:spacing w:after="0"/>
              <w:rPr>
                <w:sz w:val="11"/>
                <w:szCs w:val="11"/>
                <w:color w:val="auto"/>
              </w:rPr>
            </w:pPr>
          </w:p>
        </w:tc>
        <w:tc>
          <w:tcPr>
            <w:tcW w:w="98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Compensation</w:t>
            </w:r>
          </w:p>
        </w:tc>
        <w:tc>
          <w:tcPr>
            <w:tcW w:w="104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Compensation</w:t>
            </w:r>
          </w:p>
        </w:tc>
        <w:tc>
          <w:tcPr>
            <w:tcW w:w="1600" w:type="dxa"/>
            <w:vAlign w:val="bottom"/>
            <w:gridSpan w:val="2"/>
            <w:shd w:val="clear" w:color="auto" w:fill="3465B0"/>
          </w:tcPr>
          <w:p>
            <w:pPr>
              <w:jc w:val="center"/>
              <w:spacing w:after="0" w:line="135" w:lineRule="exact"/>
              <w:rPr>
                <w:sz w:val="20"/>
                <w:szCs w:val="20"/>
                <w:color w:val="auto"/>
              </w:rPr>
            </w:pPr>
            <w:r>
              <w:rPr>
                <w:rFonts w:ascii="Arial" w:cs="Arial" w:eastAsia="Arial" w:hAnsi="Arial"/>
                <w:sz w:val="10"/>
                <w:szCs w:val="10"/>
                <w:b w:val="1"/>
                <w:bCs w:val="1"/>
                <w:color w:val="FFFFFF"/>
              </w:rPr>
              <w:t>Based On:</w:t>
            </w:r>
            <w:r>
              <w:rPr>
                <w:rFonts w:ascii="Arial" w:cs="Arial" w:eastAsia="Arial" w:hAnsi="Arial"/>
                <w:sz w:val="15"/>
                <w:szCs w:val="15"/>
                <w:b w:val="1"/>
                <w:bCs w:val="1"/>
                <w:color w:val="FFFFFF"/>
                <w:vertAlign w:val="superscript"/>
              </w:rPr>
              <w:t>(5)</w:t>
            </w:r>
          </w:p>
        </w:tc>
        <w:tc>
          <w:tcPr>
            <w:tcW w:w="680" w:type="dxa"/>
            <w:vAlign w:val="bottom"/>
            <w:tcBorders>
              <w:left w:val="single" w:sz="8" w:color="3465B0"/>
              <w:right w:val="single" w:sz="8" w:color="93A1D2"/>
            </w:tcBorders>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3465B0"/>
            </w:tcBorders>
            <w:shd w:val="clear" w:color="auto" w:fill="3465B0"/>
          </w:tcPr>
          <w:p>
            <w:pPr>
              <w:spacing w:after="0"/>
              <w:rPr>
                <w:sz w:val="11"/>
                <w:szCs w:val="11"/>
                <w:color w:val="auto"/>
              </w:rPr>
            </w:pPr>
          </w:p>
        </w:tc>
        <w:tc>
          <w:tcPr>
            <w:tcW w:w="320" w:type="dxa"/>
            <w:vAlign w:val="bottom"/>
            <w:tcBorders>
              <w:right w:val="single" w:sz="8" w:color="93A1D2"/>
            </w:tcBorders>
            <w:shd w:val="clear" w:color="auto" w:fill="3465B0"/>
          </w:tcPr>
          <w:p>
            <w:pPr>
              <w:spacing w:after="0"/>
              <w:rPr>
                <w:sz w:val="11"/>
                <w:szCs w:val="11"/>
                <w:color w:val="auto"/>
              </w:rPr>
            </w:pPr>
          </w:p>
        </w:tc>
        <w:tc>
          <w:tcPr>
            <w:tcW w:w="1020" w:type="dxa"/>
            <w:vAlign w:val="bottom"/>
            <w:tcBorders>
              <w:right w:val="single" w:sz="8" w:color="3465B0"/>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Summary</w:t>
            </w:r>
          </w:p>
        </w:tc>
        <w:tc>
          <w:tcPr>
            <w:tcW w:w="96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w w:val="99"/>
              </w:rPr>
              <w:t>Compensation</w:t>
            </w:r>
          </w:p>
        </w:tc>
        <w:tc>
          <w:tcPr>
            <w:tcW w:w="96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Summary</w:t>
            </w:r>
          </w:p>
        </w:tc>
        <w:tc>
          <w:tcPr>
            <w:tcW w:w="100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Compensation</w:t>
            </w:r>
          </w:p>
        </w:tc>
        <w:tc>
          <w:tcPr>
            <w:tcW w:w="98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Table Total for</w:t>
            </w:r>
          </w:p>
        </w:tc>
        <w:tc>
          <w:tcPr>
            <w:tcW w:w="104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Actually Paid to</w:t>
            </w:r>
          </w:p>
        </w:tc>
        <w:tc>
          <w:tcPr>
            <w:tcW w:w="800" w:type="dxa"/>
            <w:vAlign w:val="bottom"/>
            <w:tcBorders>
              <w:right w:val="single" w:sz="8" w:color="3465B0"/>
            </w:tcBorders>
            <w:shd w:val="clear" w:color="auto" w:fill="3465B0"/>
          </w:tcPr>
          <w:p>
            <w:pPr>
              <w:spacing w:after="0"/>
              <w:rPr>
                <w:sz w:val="11"/>
                <w:szCs w:val="11"/>
                <w:color w:val="auto"/>
              </w:rPr>
            </w:pPr>
          </w:p>
        </w:tc>
        <w:tc>
          <w:tcPr>
            <w:tcW w:w="800" w:type="dxa"/>
            <w:vAlign w:val="bottom"/>
            <w:vMerge w:val="restart"/>
            <w:shd w:val="clear" w:color="auto" w:fill="3465B0"/>
          </w:tcPr>
          <w:p>
            <w:pPr>
              <w:ind w:left="20"/>
              <w:spacing w:after="0"/>
              <w:rPr>
                <w:sz w:val="20"/>
                <w:szCs w:val="20"/>
                <w:color w:val="auto"/>
              </w:rPr>
            </w:pPr>
            <w:r>
              <w:rPr>
                <w:rFonts w:ascii="Arial" w:cs="Arial" w:eastAsia="Arial" w:hAnsi="Arial"/>
                <w:sz w:val="13"/>
                <w:szCs w:val="13"/>
                <w:b w:val="1"/>
                <w:bCs w:val="1"/>
                <w:color w:val="FFFFFF"/>
              </w:rPr>
              <w:t>Peer Group</w:t>
            </w:r>
          </w:p>
        </w:tc>
        <w:tc>
          <w:tcPr>
            <w:tcW w:w="680" w:type="dxa"/>
            <w:vAlign w:val="bottom"/>
            <w:tcBorders>
              <w:left w:val="single" w:sz="8" w:color="3465B0"/>
              <w:right w:val="single" w:sz="8" w:color="93A1D2"/>
            </w:tcBorders>
            <w:shd w:val="clear" w:color="auto" w:fill="3465B0"/>
          </w:tcPr>
          <w:p>
            <w:pPr>
              <w:spacing w:after="0"/>
              <w:rPr>
                <w:sz w:val="11"/>
                <w:szCs w:val="11"/>
                <w:color w:val="auto"/>
              </w:rPr>
            </w:pPr>
          </w:p>
        </w:tc>
        <w:tc>
          <w:tcPr>
            <w:tcW w:w="780" w:type="dxa"/>
            <w:vAlign w:val="bottom"/>
            <w:tcBorders>
              <w:right w:val="single" w:sz="8" w:color="3465B0"/>
            </w:tcBorders>
            <w:vMerge w:val="restart"/>
            <w:shd w:val="clear" w:color="auto" w:fill="3465B0"/>
          </w:tcPr>
          <w:p>
            <w:pPr>
              <w:ind w:left="20"/>
              <w:spacing w:after="0"/>
              <w:rPr>
                <w:sz w:val="20"/>
                <w:szCs w:val="20"/>
                <w:color w:val="auto"/>
              </w:rPr>
            </w:pPr>
            <w:r>
              <w:rPr>
                <w:rFonts w:ascii="Arial" w:cs="Arial" w:eastAsia="Arial" w:hAnsi="Arial"/>
                <w:sz w:val="13"/>
                <w:szCs w:val="13"/>
                <w:b w:val="1"/>
                <w:bCs w:val="1"/>
                <w:color w:val="FFFFFF"/>
              </w:rPr>
              <w:t>Adjusted</w:t>
            </w:r>
          </w:p>
        </w:tc>
        <w:tc>
          <w:tcPr>
            <w:tcW w:w="0" w:type="dxa"/>
            <w:vAlign w:val="bottom"/>
          </w:tcPr>
          <w:p>
            <w:pPr>
              <w:spacing w:after="0"/>
              <w:rPr>
                <w:sz w:val="1"/>
                <w:szCs w:val="1"/>
                <w:color w:val="auto"/>
              </w:rPr>
            </w:pPr>
          </w:p>
        </w:tc>
      </w:tr>
      <w:tr>
        <w:trPr>
          <w:trHeight w:val="135"/>
        </w:trPr>
        <w:tc>
          <w:tcPr>
            <w:tcW w:w="180" w:type="dxa"/>
            <w:vAlign w:val="bottom"/>
            <w:tcBorders>
              <w:left w:val="single" w:sz="8" w:color="3465B0"/>
            </w:tcBorders>
            <w:shd w:val="clear" w:color="auto" w:fill="3465B0"/>
          </w:tcPr>
          <w:p>
            <w:pPr>
              <w:spacing w:after="0"/>
              <w:rPr>
                <w:sz w:val="11"/>
                <w:szCs w:val="11"/>
                <w:color w:val="auto"/>
              </w:rPr>
            </w:pPr>
          </w:p>
        </w:tc>
        <w:tc>
          <w:tcPr>
            <w:tcW w:w="320" w:type="dxa"/>
            <w:vAlign w:val="bottom"/>
            <w:tcBorders>
              <w:right w:val="single" w:sz="8" w:color="93A1D2"/>
            </w:tcBorders>
            <w:shd w:val="clear" w:color="auto" w:fill="3465B0"/>
          </w:tcPr>
          <w:p>
            <w:pPr>
              <w:spacing w:after="0"/>
              <w:rPr>
                <w:sz w:val="11"/>
                <w:szCs w:val="11"/>
                <w:color w:val="auto"/>
              </w:rPr>
            </w:pPr>
          </w:p>
        </w:tc>
        <w:tc>
          <w:tcPr>
            <w:tcW w:w="1020" w:type="dxa"/>
            <w:vAlign w:val="bottom"/>
            <w:tcBorders>
              <w:right w:val="single" w:sz="8" w:color="3465B0"/>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Compensation</w:t>
            </w:r>
          </w:p>
        </w:tc>
        <w:tc>
          <w:tcPr>
            <w:tcW w:w="96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Actually Paid</w:t>
            </w:r>
          </w:p>
        </w:tc>
        <w:tc>
          <w:tcPr>
            <w:tcW w:w="96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w w:val="99"/>
              </w:rPr>
              <w:t>Compensation</w:t>
            </w:r>
          </w:p>
        </w:tc>
        <w:tc>
          <w:tcPr>
            <w:tcW w:w="100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Actually Paid</w:t>
            </w:r>
          </w:p>
        </w:tc>
        <w:tc>
          <w:tcPr>
            <w:tcW w:w="98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Non-PEO</w:t>
            </w:r>
          </w:p>
        </w:tc>
        <w:tc>
          <w:tcPr>
            <w:tcW w:w="104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Non-PEO</w:t>
            </w:r>
          </w:p>
        </w:tc>
        <w:tc>
          <w:tcPr>
            <w:tcW w:w="800" w:type="dxa"/>
            <w:vAlign w:val="bottom"/>
            <w:tcBorders>
              <w:right w:val="single" w:sz="8" w:color="93A1D2"/>
            </w:tcBorders>
            <w:vMerge w:val="restart"/>
            <w:shd w:val="clear" w:color="auto" w:fill="3465B0"/>
          </w:tcPr>
          <w:p>
            <w:pPr>
              <w:ind w:left="20"/>
              <w:spacing w:after="0"/>
              <w:rPr>
                <w:sz w:val="20"/>
                <w:szCs w:val="20"/>
                <w:color w:val="auto"/>
              </w:rPr>
            </w:pPr>
            <w:r>
              <w:rPr>
                <w:rFonts w:ascii="Arial" w:cs="Arial" w:eastAsia="Arial" w:hAnsi="Arial"/>
                <w:sz w:val="13"/>
                <w:szCs w:val="13"/>
                <w:b w:val="1"/>
                <w:bCs w:val="1"/>
                <w:color w:val="FFFFFF"/>
              </w:rPr>
              <w:t>Total</w:t>
            </w:r>
          </w:p>
        </w:tc>
        <w:tc>
          <w:tcPr>
            <w:tcW w:w="800" w:type="dxa"/>
            <w:vAlign w:val="bottom"/>
            <w:vMerge w:val="continue"/>
            <w:shd w:val="clear" w:color="auto" w:fill="3465B0"/>
          </w:tcPr>
          <w:p>
            <w:pPr>
              <w:spacing w:after="0"/>
              <w:rPr>
                <w:sz w:val="11"/>
                <w:szCs w:val="11"/>
                <w:color w:val="auto"/>
              </w:rPr>
            </w:pPr>
          </w:p>
        </w:tc>
        <w:tc>
          <w:tcPr>
            <w:tcW w:w="680" w:type="dxa"/>
            <w:vAlign w:val="bottom"/>
            <w:tcBorders>
              <w:left w:val="single" w:sz="8" w:color="93A1D2"/>
              <w:right w:val="single" w:sz="8" w:color="93A1D2"/>
            </w:tcBorders>
            <w:vMerge w:val="restart"/>
            <w:shd w:val="clear" w:color="auto" w:fill="3465B0"/>
          </w:tcPr>
          <w:p>
            <w:pPr>
              <w:ind w:left="40"/>
              <w:spacing w:after="0"/>
              <w:rPr>
                <w:sz w:val="20"/>
                <w:szCs w:val="20"/>
                <w:color w:val="auto"/>
              </w:rPr>
            </w:pPr>
            <w:r>
              <w:rPr>
                <w:rFonts w:ascii="Arial" w:cs="Arial" w:eastAsia="Arial" w:hAnsi="Arial"/>
                <w:sz w:val="13"/>
                <w:szCs w:val="13"/>
                <w:b w:val="1"/>
                <w:bCs w:val="1"/>
                <w:color w:val="FFFFFF"/>
              </w:rPr>
              <w:t>Net</w:t>
            </w:r>
          </w:p>
        </w:tc>
        <w:tc>
          <w:tcPr>
            <w:tcW w:w="780" w:type="dxa"/>
            <w:vAlign w:val="bottom"/>
            <w:tcBorders>
              <w:right w:val="single" w:sz="8" w:color="3465B0"/>
            </w:tcBorders>
            <w:vMerge w:val="continue"/>
            <w:shd w:val="clear" w:color="auto" w:fill="3465B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3465B0"/>
            </w:tcBorders>
            <w:shd w:val="clear" w:color="auto" w:fill="3465B0"/>
          </w:tcPr>
          <w:p>
            <w:pPr>
              <w:spacing w:after="0"/>
              <w:rPr>
                <w:sz w:val="11"/>
                <w:szCs w:val="11"/>
                <w:color w:val="auto"/>
              </w:rPr>
            </w:pPr>
          </w:p>
        </w:tc>
        <w:tc>
          <w:tcPr>
            <w:tcW w:w="320" w:type="dxa"/>
            <w:vAlign w:val="bottom"/>
            <w:tcBorders>
              <w:right w:val="single" w:sz="8" w:color="93A1D2"/>
            </w:tcBorders>
            <w:shd w:val="clear" w:color="auto" w:fill="3465B0"/>
          </w:tcPr>
          <w:p>
            <w:pPr>
              <w:spacing w:after="0"/>
              <w:rPr>
                <w:sz w:val="11"/>
                <w:szCs w:val="11"/>
                <w:color w:val="auto"/>
              </w:rPr>
            </w:pPr>
          </w:p>
        </w:tc>
        <w:tc>
          <w:tcPr>
            <w:tcW w:w="1020" w:type="dxa"/>
            <w:vAlign w:val="bottom"/>
            <w:tcBorders>
              <w:right w:val="single" w:sz="8" w:color="3465B0"/>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Table Total for</w:t>
            </w:r>
          </w:p>
        </w:tc>
        <w:tc>
          <w:tcPr>
            <w:tcW w:w="96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to PEO</w:t>
            </w:r>
          </w:p>
        </w:tc>
        <w:tc>
          <w:tcPr>
            <w:tcW w:w="96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Table Total for</w:t>
            </w:r>
          </w:p>
        </w:tc>
        <w:tc>
          <w:tcPr>
            <w:tcW w:w="100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to PEO</w:t>
            </w:r>
          </w:p>
        </w:tc>
        <w:tc>
          <w:tcPr>
            <w:tcW w:w="98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Named</w:t>
            </w:r>
          </w:p>
        </w:tc>
        <w:tc>
          <w:tcPr>
            <w:tcW w:w="104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Named</w:t>
            </w:r>
          </w:p>
        </w:tc>
        <w:tc>
          <w:tcPr>
            <w:tcW w:w="800" w:type="dxa"/>
            <w:vAlign w:val="bottom"/>
            <w:tcBorders>
              <w:right w:val="single" w:sz="8" w:color="93A1D2"/>
            </w:tcBorders>
            <w:vMerge w:val="continue"/>
            <w:shd w:val="clear" w:color="auto" w:fill="3465B0"/>
          </w:tcPr>
          <w:p>
            <w:pPr>
              <w:spacing w:after="0"/>
              <w:rPr>
                <w:sz w:val="11"/>
                <w:szCs w:val="11"/>
                <w:color w:val="auto"/>
              </w:rPr>
            </w:pPr>
          </w:p>
        </w:tc>
        <w:tc>
          <w:tcPr>
            <w:tcW w:w="800" w:type="dxa"/>
            <w:vAlign w:val="bottom"/>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Total</w:t>
            </w:r>
          </w:p>
        </w:tc>
        <w:tc>
          <w:tcPr>
            <w:tcW w:w="680" w:type="dxa"/>
            <w:vAlign w:val="bottom"/>
            <w:tcBorders>
              <w:left w:val="single" w:sz="8" w:color="93A1D2"/>
              <w:right w:val="single" w:sz="8" w:color="93A1D2"/>
            </w:tcBorders>
            <w:vMerge w:val="continue"/>
            <w:shd w:val="clear" w:color="auto" w:fill="3465B0"/>
          </w:tcPr>
          <w:p>
            <w:pPr>
              <w:spacing w:after="0"/>
              <w:rPr>
                <w:sz w:val="11"/>
                <w:szCs w:val="11"/>
                <w:color w:val="auto"/>
              </w:rPr>
            </w:pPr>
          </w:p>
        </w:tc>
        <w:tc>
          <w:tcPr>
            <w:tcW w:w="780" w:type="dxa"/>
            <w:vAlign w:val="bottom"/>
            <w:tcBorders>
              <w:right w:val="single" w:sz="8" w:color="3465B0"/>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Operating</w:t>
            </w:r>
          </w:p>
        </w:tc>
        <w:tc>
          <w:tcPr>
            <w:tcW w:w="0" w:type="dxa"/>
            <w:vAlign w:val="bottom"/>
          </w:tcPr>
          <w:p>
            <w:pPr>
              <w:spacing w:after="0"/>
              <w:rPr>
                <w:sz w:val="1"/>
                <w:szCs w:val="1"/>
                <w:color w:val="auto"/>
              </w:rPr>
            </w:pPr>
          </w:p>
        </w:tc>
      </w:tr>
      <w:tr>
        <w:trPr>
          <w:trHeight w:val="135"/>
        </w:trPr>
        <w:tc>
          <w:tcPr>
            <w:tcW w:w="180" w:type="dxa"/>
            <w:vAlign w:val="bottom"/>
            <w:tcBorders>
              <w:left w:val="single" w:sz="8" w:color="3465B0"/>
            </w:tcBorders>
            <w:shd w:val="clear" w:color="auto" w:fill="3465B0"/>
          </w:tcPr>
          <w:p>
            <w:pPr>
              <w:spacing w:after="0"/>
              <w:rPr>
                <w:sz w:val="11"/>
                <w:szCs w:val="11"/>
                <w:color w:val="auto"/>
              </w:rPr>
            </w:pPr>
          </w:p>
        </w:tc>
        <w:tc>
          <w:tcPr>
            <w:tcW w:w="320" w:type="dxa"/>
            <w:vAlign w:val="bottom"/>
            <w:tcBorders>
              <w:right w:val="single" w:sz="8" w:color="93A1D2"/>
            </w:tcBorders>
            <w:shd w:val="clear" w:color="auto" w:fill="3465B0"/>
          </w:tcPr>
          <w:p>
            <w:pPr>
              <w:spacing w:after="0"/>
              <w:rPr>
                <w:sz w:val="11"/>
                <w:szCs w:val="11"/>
                <w:color w:val="auto"/>
              </w:rPr>
            </w:pPr>
          </w:p>
        </w:tc>
        <w:tc>
          <w:tcPr>
            <w:tcW w:w="1020" w:type="dxa"/>
            <w:vAlign w:val="bottom"/>
            <w:tcBorders>
              <w:right w:val="single" w:sz="8" w:color="3465B0"/>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PEO Alexander</w:t>
            </w:r>
          </w:p>
        </w:tc>
        <w:tc>
          <w:tcPr>
            <w:tcW w:w="96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Alexander N.</w:t>
            </w:r>
          </w:p>
        </w:tc>
        <w:tc>
          <w:tcPr>
            <w:tcW w:w="96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PEO L. Reade</w:t>
            </w:r>
          </w:p>
        </w:tc>
        <w:tc>
          <w:tcPr>
            <w:tcW w:w="100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L. Reade</w:t>
            </w:r>
          </w:p>
        </w:tc>
        <w:tc>
          <w:tcPr>
            <w:tcW w:w="98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Executive</w:t>
            </w:r>
          </w:p>
        </w:tc>
        <w:tc>
          <w:tcPr>
            <w:tcW w:w="104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rPr>
              <w:t>Executive</w:t>
            </w:r>
          </w:p>
        </w:tc>
        <w:tc>
          <w:tcPr>
            <w:tcW w:w="800" w:type="dxa"/>
            <w:vAlign w:val="bottom"/>
            <w:tcBorders>
              <w:right w:val="single" w:sz="8" w:color="93A1D2"/>
            </w:tcBorders>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w w:val="97"/>
              </w:rPr>
              <w:t>Shareholder</w:t>
            </w:r>
          </w:p>
        </w:tc>
        <w:tc>
          <w:tcPr>
            <w:tcW w:w="800" w:type="dxa"/>
            <w:vAlign w:val="bottom"/>
            <w:shd w:val="clear" w:color="auto" w:fill="3465B0"/>
          </w:tcPr>
          <w:p>
            <w:pPr>
              <w:ind w:left="20"/>
              <w:spacing w:after="0" w:line="135" w:lineRule="exact"/>
              <w:rPr>
                <w:sz w:val="20"/>
                <w:szCs w:val="20"/>
                <w:color w:val="auto"/>
              </w:rPr>
            </w:pPr>
            <w:r>
              <w:rPr>
                <w:rFonts w:ascii="Arial" w:cs="Arial" w:eastAsia="Arial" w:hAnsi="Arial"/>
                <w:sz w:val="13"/>
                <w:szCs w:val="13"/>
                <w:b w:val="1"/>
                <w:bCs w:val="1"/>
                <w:color w:val="FFFFFF"/>
                <w:w w:val="97"/>
              </w:rPr>
              <w:t>Shareholder</w:t>
            </w:r>
          </w:p>
        </w:tc>
        <w:tc>
          <w:tcPr>
            <w:tcW w:w="680" w:type="dxa"/>
            <w:vAlign w:val="bottom"/>
            <w:tcBorders>
              <w:left w:val="single" w:sz="8" w:color="93A1D2"/>
              <w:right w:val="single" w:sz="8" w:color="93A1D2"/>
            </w:tcBorders>
            <w:shd w:val="clear" w:color="auto" w:fill="3465B0"/>
          </w:tcPr>
          <w:p>
            <w:pPr>
              <w:ind w:left="40"/>
              <w:spacing w:after="0" w:line="135" w:lineRule="exact"/>
              <w:rPr>
                <w:sz w:val="20"/>
                <w:szCs w:val="20"/>
                <w:color w:val="auto"/>
              </w:rPr>
            </w:pPr>
            <w:r>
              <w:rPr>
                <w:rFonts w:ascii="Arial" w:cs="Arial" w:eastAsia="Arial" w:hAnsi="Arial"/>
                <w:sz w:val="10"/>
                <w:szCs w:val="10"/>
                <w:b w:val="1"/>
                <w:bCs w:val="1"/>
                <w:color w:val="FFFFFF"/>
              </w:rPr>
              <w:t>Income</w:t>
            </w:r>
            <w:r>
              <w:rPr>
                <w:rFonts w:ascii="Arial" w:cs="Arial" w:eastAsia="Arial" w:hAnsi="Arial"/>
                <w:sz w:val="15"/>
                <w:szCs w:val="15"/>
                <w:b w:val="1"/>
                <w:bCs w:val="1"/>
                <w:color w:val="FFFFFF"/>
                <w:vertAlign w:val="superscript"/>
              </w:rPr>
              <w:t>(6)</w:t>
            </w:r>
          </w:p>
        </w:tc>
        <w:tc>
          <w:tcPr>
            <w:tcW w:w="780" w:type="dxa"/>
            <w:vAlign w:val="bottom"/>
            <w:tcBorders>
              <w:right w:val="single" w:sz="8" w:color="3465B0"/>
            </w:tcBorders>
            <w:shd w:val="clear" w:color="auto" w:fill="3465B0"/>
          </w:tcPr>
          <w:p>
            <w:pPr>
              <w:ind w:left="20"/>
              <w:spacing w:after="0" w:line="135" w:lineRule="exact"/>
              <w:rPr>
                <w:sz w:val="20"/>
                <w:szCs w:val="20"/>
                <w:color w:val="auto"/>
              </w:rPr>
            </w:pPr>
            <w:r>
              <w:rPr>
                <w:rFonts w:ascii="Arial" w:cs="Arial" w:eastAsia="Arial" w:hAnsi="Arial"/>
                <w:sz w:val="10"/>
                <w:szCs w:val="10"/>
                <w:b w:val="1"/>
                <w:bCs w:val="1"/>
                <w:color w:val="FFFFFF"/>
              </w:rPr>
              <w:t>Income</w:t>
            </w:r>
            <w:r>
              <w:rPr>
                <w:rFonts w:ascii="Arial" w:cs="Arial" w:eastAsia="Arial" w:hAnsi="Arial"/>
                <w:sz w:val="15"/>
                <w:szCs w:val="15"/>
                <w:b w:val="1"/>
                <w:bCs w:val="1"/>
                <w:color w:val="FFFFFF"/>
                <w:vertAlign w:val="superscript"/>
              </w:rPr>
              <w:t>(6)(7)</w:t>
            </w:r>
          </w:p>
        </w:tc>
        <w:tc>
          <w:tcPr>
            <w:tcW w:w="0" w:type="dxa"/>
            <w:vAlign w:val="bottom"/>
          </w:tcPr>
          <w:p>
            <w:pPr>
              <w:spacing w:after="0"/>
              <w:rPr>
                <w:sz w:val="1"/>
                <w:szCs w:val="1"/>
                <w:color w:val="auto"/>
              </w:rPr>
            </w:pPr>
          </w:p>
        </w:tc>
      </w:tr>
      <w:tr>
        <w:trPr>
          <w:trHeight w:val="156"/>
        </w:trPr>
        <w:tc>
          <w:tcPr>
            <w:tcW w:w="500" w:type="dxa"/>
            <w:vAlign w:val="bottom"/>
            <w:tcBorders>
              <w:left w:val="single" w:sz="8" w:color="3465B0"/>
              <w:right w:val="single" w:sz="8" w:color="93A1D2"/>
            </w:tcBorders>
            <w:gridSpan w:val="2"/>
            <w:shd w:val="clear" w:color="auto" w:fill="3465B0"/>
          </w:tcPr>
          <w:p>
            <w:pPr>
              <w:ind w:left="340"/>
              <w:spacing w:after="0"/>
              <w:rPr>
                <w:sz w:val="20"/>
                <w:szCs w:val="20"/>
                <w:color w:val="auto"/>
              </w:rPr>
            </w:pPr>
            <w:r>
              <w:rPr>
                <w:rFonts w:ascii="Arial" w:cs="Arial" w:eastAsia="Arial" w:hAnsi="Arial"/>
                <w:sz w:val="10"/>
                <w:szCs w:val="10"/>
                <w:b w:val="1"/>
                <w:bCs w:val="1"/>
                <w:color w:val="FFFFFF"/>
                <w:w w:val="97"/>
              </w:rPr>
              <w:t>(1)</w:t>
            </w:r>
          </w:p>
        </w:tc>
        <w:tc>
          <w:tcPr>
            <w:tcW w:w="1020" w:type="dxa"/>
            <w:vAlign w:val="bottom"/>
            <w:tcBorders>
              <w:right w:val="single" w:sz="8" w:color="3465B0"/>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N. Wilkes</w:t>
            </w:r>
          </w:p>
        </w:tc>
        <w:tc>
          <w:tcPr>
            <w:tcW w:w="960" w:type="dxa"/>
            <w:vAlign w:val="bottom"/>
            <w:tcBorders>
              <w:right w:val="single" w:sz="8" w:color="93A1D2"/>
            </w:tcBorders>
            <w:shd w:val="clear" w:color="auto" w:fill="3465B0"/>
          </w:tcPr>
          <w:p>
            <w:pPr>
              <w:ind w:left="20"/>
              <w:spacing w:after="0" w:line="156" w:lineRule="exact"/>
              <w:rPr>
                <w:sz w:val="20"/>
                <w:szCs w:val="20"/>
                <w:color w:val="auto"/>
              </w:rPr>
            </w:pPr>
            <w:r>
              <w:rPr>
                <w:rFonts w:ascii="Arial" w:cs="Arial" w:eastAsia="Arial" w:hAnsi="Arial"/>
                <w:sz w:val="12"/>
                <w:szCs w:val="12"/>
                <w:b w:val="1"/>
                <w:bCs w:val="1"/>
                <w:color w:val="FFFFFF"/>
              </w:rPr>
              <w:t>Wilkes</w:t>
            </w:r>
            <w:r>
              <w:rPr>
                <w:rFonts w:ascii="Arial" w:cs="Arial" w:eastAsia="Arial" w:hAnsi="Arial"/>
                <w:sz w:val="18"/>
                <w:szCs w:val="18"/>
                <w:b w:val="1"/>
                <w:bCs w:val="1"/>
                <w:color w:val="FFFFFF"/>
                <w:vertAlign w:val="superscript"/>
              </w:rPr>
              <w:t>(2)(4)</w:t>
            </w:r>
          </w:p>
        </w:tc>
        <w:tc>
          <w:tcPr>
            <w:tcW w:w="96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Fahs</w:t>
            </w:r>
          </w:p>
        </w:tc>
        <w:tc>
          <w:tcPr>
            <w:tcW w:w="1000" w:type="dxa"/>
            <w:vAlign w:val="bottom"/>
            <w:tcBorders>
              <w:right w:val="single" w:sz="8" w:color="93A1D2"/>
            </w:tcBorders>
            <w:shd w:val="clear" w:color="auto" w:fill="3465B0"/>
          </w:tcPr>
          <w:p>
            <w:pPr>
              <w:ind w:left="20"/>
              <w:spacing w:after="0" w:line="156" w:lineRule="exact"/>
              <w:rPr>
                <w:sz w:val="20"/>
                <w:szCs w:val="20"/>
                <w:color w:val="auto"/>
              </w:rPr>
            </w:pPr>
            <w:r>
              <w:rPr>
                <w:rFonts w:ascii="Arial" w:cs="Arial" w:eastAsia="Arial" w:hAnsi="Arial"/>
                <w:sz w:val="18"/>
                <w:szCs w:val="18"/>
                <w:b w:val="1"/>
                <w:bCs w:val="1"/>
                <w:color w:val="FFFFFF"/>
                <w:vertAlign w:val="subscript"/>
              </w:rPr>
              <w:t>Fahs</w:t>
            </w:r>
            <w:r>
              <w:rPr>
                <w:rFonts w:ascii="Arial" w:cs="Arial" w:eastAsia="Arial" w:hAnsi="Arial"/>
                <w:sz w:val="9"/>
                <w:szCs w:val="9"/>
                <w:b w:val="1"/>
                <w:bCs w:val="1"/>
                <w:color w:val="FFFFFF"/>
              </w:rPr>
              <w:t>(2)(3)</w:t>
            </w:r>
          </w:p>
        </w:tc>
        <w:tc>
          <w:tcPr>
            <w:tcW w:w="98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Officers</w:t>
            </w:r>
          </w:p>
        </w:tc>
        <w:tc>
          <w:tcPr>
            <w:tcW w:w="1040" w:type="dxa"/>
            <w:vAlign w:val="bottom"/>
            <w:tcBorders>
              <w:right w:val="single" w:sz="8" w:color="93A1D2"/>
            </w:tcBorders>
            <w:shd w:val="clear" w:color="auto" w:fill="3465B0"/>
          </w:tcPr>
          <w:p>
            <w:pPr>
              <w:ind w:left="20"/>
              <w:spacing w:after="0" w:line="156" w:lineRule="exact"/>
              <w:rPr>
                <w:sz w:val="20"/>
                <w:szCs w:val="20"/>
                <w:color w:val="auto"/>
              </w:rPr>
            </w:pPr>
            <w:r>
              <w:rPr>
                <w:rFonts w:ascii="Arial" w:cs="Arial" w:eastAsia="Arial" w:hAnsi="Arial"/>
                <w:sz w:val="12"/>
                <w:szCs w:val="12"/>
                <w:b w:val="1"/>
                <w:bCs w:val="1"/>
                <w:color w:val="FFFFFF"/>
              </w:rPr>
              <w:t>Officers</w:t>
            </w:r>
            <w:r>
              <w:rPr>
                <w:rFonts w:ascii="Arial" w:cs="Arial" w:eastAsia="Arial" w:hAnsi="Arial"/>
                <w:sz w:val="18"/>
                <w:szCs w:val="18"/>
                <w:b w:val="1"/>
                <w:bCs w:val="1"/>
                <w:color w:val="FFFFFF"/>
                <w:vertAlign w:val="superscript"/>
              </w:rPr>
              <w:t>(2)(4)</w:t>
            </w:r>
          </w:p>
        </w:tc>
        <w:tc>
          <w:tcPr>
            <w:tcW w:w="80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Return</w:t>
            </w:r>
          </w:p>
        </w:tc>
        <w:tc>
          <w:tcPr>
            <w:tcW w:w="800" w:type="dxa"/>
            <w:vAlign w:val="bottom"/>
            <w:shd w:val="clear" w:color="auto" w:fill="3465B0"/>
          </w:tcPr>
          <w:p>
            <w:pPr>
              <w:ind w:left="20"/>
              <w:spacing w:after="0"/>
              <w:rPr>
                <w:sz w:val="20"/>
                <w:szCs w:val="20"/>
                <w:color w:val="auto"/>
              </w:rPr>
            </w:pPr>
            <w:r>
              <w:rPr>
                <w:rFonts w:ascii="Arial" w:cs="Arial" w:eastAsia="Arial" w:hAnsi="Arial"/>
                <w:sz w:val="13"/>
                <w:szCs w:val="13"/>
                <w:b w:val="1"/>
                <w:bCs w:val="1"/>
                <w:color w:val="FFFFFF"/>
              </w:rPr>
              <w:t>Return</w:t>
            </w:r>
          </w:p>
        </w:tc>
        <w:tc>
          <w:tcPr>
            <w:tcW w:w="680" w:type="dxa"/>
            <w:vAlign w:val="bottom"/>
            <w:tcBorders>
              <w:left w:val="single" w:sz="8" w:color="93A1D2"/>
              <w:right w:val="single" w:sz="8" w:color="93A1D2"/>
            </w:tcBorders>
            <w:shd w:val="clear" w:color="auto" w:fill="3465B0"/>
          </w:tcPr>
          <w:p>
            <w:pPr>
              <w:ind w:left="40"/>
              <w:spacing w:after="0"/>
              <w:rPr>
                <w:sz w:val="20"/>
                <w:szCs w:val="20"/>
                <w:color w:val="auto"/>
              </w:rPr>
            </w:pPr>
            <w:r>
              <w:rPr>
                <w:rFonts w:ascii="Arial" w:cs="Arial" w:eastAsia="Arial" w:hAnsi="Arial"/>
                <w:sz w:val="13"/>
                <w:szCs w:val="13"/>
                <w:b w:val="1"/>
                <w:bCs w:val="1"/>
                <w:color w:val="FFFFFF"/>
              </w:rPr>
              <w:t>(000s)</w:t>
            </w:r>
          </w:p>
        </w:tc>
        <w:tc>
          <w:tcPr>
            <w:tcW w:w="780" w:type="dxa"/>
            <w:vAlign w:val="bottom"/>
            <w:tcBorders>
              <w:right w:val="single" w:sz="8" w:color="3465B0"/>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(000s)</w:t>
            </w:r>
          </w:p>
        </w:tc>
        <w:tc>
          <w:tcPr>
            <w:tcW w:w="0" w:type="dxa"/>
            <w:vAlign w:val="bottom"/>
          </w:tcPr>
          <w:p>
            <w:pPr>
              <w:spacing w:after="0"/>
              <w:rPr>
                <w:sz w:val="1"/>
                <w:szCs w:val="1"/>
                <w:color w:val="auto"/>
              </w:rPr>
            </w:pPr>
          </w:p>
        </w:tc>
      </w:tr>
      <w:tr>
        <w:trPr>
          <w:trHeight w:val="181"/>
        </w:trPr>
        <w:tc>
          <w:tcPr>
            <w:tcW w:w="500" w:type="dxa"/>
            <w:vAlign w:val="bottom"/>
            <w:tcBorders>
              <w:left w:val="single" w:sz="8" w:color="3465B0"/>
              <w:right w:val="single" w:sz="8" w:color="93A1D2"/>
            </w:tcBorders>
            <w:gridSpan w:val="2"/>
            <w:shd w:val="clear" w:color="auto" w:fill="3465B0"/>
          </w:tcPr>
          <w:p>
            <w:pPr>
              <w:ind w:left="80"/>
              <w:spacing w:after="0"/>
              <w:rPr>
                <w:sz w:val="20"/>
                <w:szCs w:val="20"/>
                <w:color w:val="auto"/>
              </w:rPr>
            </w:pPr>
            <w:r>
              <w:rPr>
                <w:rFonts w:ascii="Arial" w:cs="Arial" w:eastAsia="Arial" w:hAnsi="Arial"/>
                <w:sz w:val="13"/>
                <w:szCs w:val="13"/>
                <w:b w:val="1"/>
                <w:bCs w:val="1"/>
                <w:color w:val="FFFFFF"/>
              </w:rPr>
              <w:t>Year</w:t>
            </w:r>
          </w:p>
        </w:tc>
        <w:tc>
          <w:tcPr>
            <w:tcW w:w="1020" w:type="dxa"/>
            <w:vAlign w:val="bottom"/>
            <w:tcBorders>
              <w:right w:val="single" w:sz="8" w:color="3465B0"/>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right w:val="single" w:sz="8" w:color="93A1D2"/>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left w:val="single" w:sz="8" w:color="93A1D2"/>
              <w:right w:val="single" w:sz="8" w:color="93A1D2"/>
            </w:tcBorders>
            <w:shd w:val="clear" w:color="auto" w:fill="3465B0"/>
          </w:tcPr>
          <w:p>
            <w:pPr>
              <w:ind w:left="40"/>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right w:val="single" w:sz="8" w:color="3465B0"/>
            </w:tcBorders>
            <w:shd w:val="clear" w:color="auto" w:fill="3465B0"/>
          </w:tcPr>
          <w:p>
            <w:pPr>
              <w:ind w:left="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88"/>
        </w:trPr>
        <w:tc>
          <w:tcPr>
            <w:tcW w:w="500" w:type="dxa"/>
            <w:vAlign w:val="bottom"/>
            <w:tcBorders>
              <w:left w:val="single" w:sz="8" w:color="3465B0"/>
              <w:right w:val="single" w:sz="8" w:color="93A1D2"/>
            </w:tcBorders>
            <w:gridSpan w:val="2"/>
          </w:tcPr>
          <w:p>
            <w:pPr>
              <w:ind w:left="80"/>
              <w:spacing w:after="0"/>
              <w:rPr>
                <w:sz w:val="20"/>
                <w:szCs w:val="20"/>
                <w:color w:val="auto"/>
              </w:rPr>
            </w:pPr>
            <w:r>
              <w:rPr>
                <w:rFonts w:ascii="Arial" w:cs="Arial" w:eastAsia="Arial" w:hAnsi="Arial"/>
                <w:sz w:val="13"/>
                <w:szCs w:val="13"/>
                <w:color w:val="auto"/>
              </w:rPr>
              <w:t>2025</w:t>
            </w:r>
          </w:p>
        </w:tc>
        <w:tc>
          <w:tcPr>
            <w:tcW w:w="1020" w:type="dxa"/>
            <w:vAlign w:val="bottom"/>
            <w:tcBorders>
              <w:right w:val="single" w:sz="8" w:color="93A1D2"/>
            </w:tcBorders>
          </w:tcPr>
          <w:p>
            <w:pPr>
              <w:ind w:left="400"/>
              <w:spacing w:after="0"/>
              <w:rPr>
                <w:sz w:val="20"/>
                <w:szCs w:val="20"/>
                <w:color w:val="auto"/>
              </w:rPr>
            </w:pPr>
            <w:r>
              <w:rPr>
                <w:rFonts w:ascii="Arial" w:cs="Arial" w:eastAsia="Arial" w:hAnsi="Arial"/>
                <w:sz w:val="13"/>
                <w:szCs w:val="13"/>
                <w:color w:val="auto"/>
              </w:rPr>
              <w:t>5,198,862</w:t>
            </w:r>
          </w:p>
        </w:tc>
        <w:tc>
          <w:tcPr>
            <w:tcW w:w="960" w:type="dxa"/>
            <w:vAlign w:val="bottom"/>
            <w:tcBorders>
              <w:right w:val="single" w:sz="8" w:color="93A1D2"/>
            </w:tcBorders>
          </w:tcPr>
          <w:p>
            <w:pPr>
              <w:ind w:left="280"/>
              <w:spacing w:after="0"/>
              <w:rPr>
                <w:sz w:val="20"/>
                <w:szCs w:val="20"/>
                <w:color w:val="auto"/>
              </w:rPr>
            </w:pPr>
            <w:r>
              <w:rPr>
                <w:rFonts w:ascii="Arial" w:cs="Arial" w:eastAsia="Arial" w:hAnsi="Arial"/>
                <w:sz w:val="13"/>
                <w:szCs w:val="13"/>
                <w:color w:val="auto"/>
                <w:w w:val="98"/>
              </w:rPr>
              <w:t>12,082,023</w:t>
            </w:r>
          </w:p>
        </w:tc>
        <w:tc>
          <w:tcPr>
            <w:tcW w:w="960" w:type="dxa"/>
            <w:vAlign w:val="bottom"/>
            <w:tcBorders>
              <w:right w:val="single" w:sz="8" w:color="93A1D2"/>
            </w:tcBorders>
          </w:tcPr>
          <w:p>
            <w:pPr>
              <w:ind w:left="360"/>
              <w:spacing w:after="0"/>
              <w:rPr>
                <w:sz w:val="20"/>
                <w:szCs w:val="20"/>
                <w:color w:val="auto"/>
              </w:rPr>
            </w:pPr>
            <w:r>
              <w:rPr>
                <w:rFonts w:ascii="Arial" w:cs="Arial" w:eastAsia="Arial" w:hAnsi="Arial"/>
                <w:sz w:val="13"/>
                <w:szCs w:val="13"/>
                <w:color w:val="auto"/>
                <w:w w:val="96"/>
              </w:rPr>
              <w:t>7,290,696</w:t>
            </w:r>
          </w:p>
        </w:tc>
        <w:tc>
          <w:tcPr>
            <w:tcW w:w="1000" w:type="dxa"/>
            <w:vAlign w:val="bottom"/>
            <w:tcBorders>
              <w:right w:val="single" w:sz="8" w:color="93A1D2"/>
            </w:tcBorders>
          </w:tcPr>
          <w:p>
            <w:pPr>
              <w:jc w:val="right"/>
              <w:spacing w:after="0"/>
              <w:rPr>
                <w:sz w:val="20"/>
                <w:szCs w:val="20"/>
                <w:color w:val="auto"/>
              </w:rPr>
            </w:pPr>
            <w:r>
              <w:rPr>
                <w:rFonts w:ascii="Arial" w:cs="Arial" w:eastAsia="Arial" w:hAnsi="Arial"/>
                <w:sz w:val="13"/>
                <w:szCs w:val="13"/>
                <w:color w:val="auto"/>
              </w:rPr>
              <w:t>21,995,496</w:t>
            </w:r>
          </w:p>
        </w:tc>
        <w:tc>
          <w:tcPr>
            <w:tcW w:w="980" w:type="dxa"/>
            <w:vAlign w:val="bottom"/>
            <w:tcBorders>
              <w:right w:val="single" w:sz="8" w:color="93A1D2"/>
            </w:tcBorders>
          </w:tcPr>
          <w:p>
            <w:pPr>
              <w:ind w:left="360"/>
              <w:spacing w:after="0"/>
              <w:rPr>
                <w:sz w:val="20"/>
                <w:szCs w:val="20"/>
                <w:color w:val="auto"/>
              </w:rPr>
            </w:pPr>
            <w:r>
              <w:rPr>
                <w:rFonts w:ascii="Arial" w:cs="Arial" w:eastAsia="Arial" w:hAnsi="Arial"/>
                <w:sz w:val="13"/>
                <w:szCs w:val="13"/>
                <w:color w:val="auto"/>
              </w:rPr>
              <w:t>1,630,787</w:t>
            </w:r>
          </w:p>
        </w:tc>
        <w:tc>
          <w:tcPr>
            <w:tcW w:w="1040" w:type="dxa"/>
            <w:vAlign w:val="bottom"/>
            <w:tcBorders>
              <w:right w:val="single" w:sz="8" w:color="93A1D2"/>
            </w:tcBorders>
          </w:tcPr>
          <w:p>
            <w:pPr>
              <w:jc w:val="right"/>
              <w:spacing w:after="0"/>
              <w:rPr>
                <w:sz w:val="20"/>
                <w:szCs w:val="20"/>
                <w:color w:val="auto"/>
              </w:rPr>
            </w:pPr>
            <w:r>
              <w:rPr>
                <w:rFonts w:ascii="Arial" w:cs="Arial" w:eastAsia="Arial" w:hAnsi="Arial"/>
                <w:sz w:val="13"/>
                <w:szCs w:val="13"/>
                <w:color w:val="auto"/>
              </w:rPr>
              <w:t>2,815,883</w:t>
            </w:r>
          </w:p>
        </w:tc>
        <w:tc>
          <w:tcPr>
            <w:tcW w:w="800" w:type="dxa"/>
            <w:vAlign w:val="bottom"/>
            <w:tcBorders>
              <w:right w:val="single" w:sz="8" w:color="93A1D2"/>
            </w:tcBorders>
          </w:tcPr>
          <w:p>
            <w:pPr>
              <w:jc w:val="right"/>
              <w:spacing w:after="0"/>
              <w:rPr>
                <w:sz w:val="20"/>
                <w:szCs w:val="20"/>
                <w:color w:val="auto"/>
              </w:rPr>
            </w:pPr>
            <w:r>
              <w:rPr>
                <w:rFonts w:ascii="Arial" w:cs="Arial" w:eastAsia="Arial" w:hAnsi="Arial"/>
                <w:sz w:val="13"/>
                <w:szCs w:val="13"/>
                <w:color w:val="auto"/>
              </w:rPr>
              <w:t>57.30</w:t>
            </w:r>
          </w:p>
        </w:tc>
        <w:tc>
          <w:tcPr>
            <w:tcW w:w="800" w:type="dxa"/>
            <w:vAlign w:val="bottom"/>
          </w:tcPr>
          <w:p>
            <w:pPr>
              <w:jc w:val="right"/>
              <w:spacing w:after="0"/>
              <w:rPr>
                <w:sz w:val="20"/>
                <w:szCs w:val="20"/>
                <w:color w:val="auto"/>
              </w:rPr>
            </w:pPr>
            <w:r>
              <w:rPr>
                <w:rFonts w:ascii="Arial" w:cs="Arial" w:eastAsia="Arial" w:hAnsi="Arial"/>
                <w:sz w:val="13"/>
                <w:szCs w:val="13"/>
                <w:color w:val="auto"/>
              </w:rPr>
              <w:t>159.07</w:t>
            </w:r>
          </w:p>
        </w:tc>
        <w:tc>
          <w:tcPr>
            <w:tcW w:w="680" w:type="dxa"/>
            <w:vAlign w:val="bottom"/>
            <w:tcBorders>
              <w:left w:val="single" w:sz="8" w:color="93A1D2"/>
              <w:right w:val="single" w:sz="8" w:color="93A1D2"/>
            </w:tcBorders>
          </w:tcPr>
          <w:p>
            <w:pPr>
              <w:jc w:val="right"/>
              <w:spacing w:after="0"/>
              <w:rPr>
                <w:sz w:val="20"/>
                <w:szCs w:val="20"/>
                <w:color w:val="auto"/>
              </w:rPr>
            </w:pPr>
            <w:r>
              <w:rPr>
                <w:rFonts w:ascii="Arial" w:cs="Arial" w:eastAsia="Arial" w:hAnsi="Arial"/>
                <w:sz w:val="13"/>
                <w:szCs w:val="13"/>
                <w:color w:val="auto"/>
              </w:rPr>
              <w:t>29,600</w:t>
            </w:r>
          </w:p>
        </w:tc>
        <w:tc>
          <w:tcPr>
            <w:tcW w:w="780" w:type="dxa"/>
            <w:vAlign w:val="bottom"/>
            <w:tcBorders>
              <w:right w:val="single" w:sz="8" w:color="3465B0"/>
            </w:tcBorders>
          </w:tcPr>
          <w:p>
            <w:pPr>
              <w:jc w:val="right"/>
              <w:ind w:right="38"/>
              <w:spacing w:after="0"/>
              <w:rPr>
                <w:sz w:val="20"/>
                <w:szCs w:val="20"/>
                <w:color w:val="auto"/>
              </w:rPr>
            </w:pPr>
            <w:r>
              <w:rPr>
                <w:rFonts w:ascii="Arial" w:cs="Arial" w:eastAsia="Arial" w:hAnsi="Arial"/>
                <w:sz w:val="13"/>
                <w:szCs w:val="13"/>
                <w:color w:val="auto"/>
              </w:rPr>
              <w:t>102,468</w:t>
            </w:r>
          </w:p>
        </w:tc>
        <w:tc>
          <w:tcPr>
            <w:tcW w:w="0" w:type="dxa"/>
            <w:vAlign w:val="bottom"/>
          </w:tcPr>
          <w:p>
            <w:pPr>
              <w:spacing w:after="0"/>
              <w:rPr>
                <w:sz w:val="1"/>
                <w:szCs w:val="1"/>
                <w:color w:val="auto"/>
              </w:rPr>
            </w:pPr>
          </w:p>
        </w:tc>
      </w:tr>
      <w:tr>
        <w:trPr>
          <w:trHeight w:val="28"/>
        </w:trPr>
        <w:tc>
          <w:tcPr>
            <w:tcW w:w="180" w:type="dxa"/>
            <w:vAlign w:val="bottom"/>
            <w:tcBorders>
              <w:left w:val="single" w:sz="8" w:color="3465B0"/>
            </w:tcBorders>
          </w:tcPr>
          <w:p>
            <w:pPr>
              <w:spacing w:after="0"/>
              <w:rPr>
                <w:sz w:val="2"/>
                <w:szCs w:val="2"/>
                <w:color w:val="auto"/>
              </w:rPr>
            </w:pPr>
          </w:p>
        </w:tc>
        <w:tc>
          <w:tcPr>
            <w:tcW w:w="320" w:type="dxa"/>
            <w:vAlign w:val="bottom"/>
            <w:tcBorders>
              <w:right w:val="single" w:sz="8" w:color="93A1D2"/>
            </w:tcBorders>
          </w:tcPr>
          <w:p>
            <w:pPr>
              <w:spacing w:after="0"/>
              <w:rPr>
                <w:sz w:val="2"/>
                <w:szCs w:val="2"/>
                <w:color w:val="auto"/>
              </w:rPr>
            </w:pPr>
          </w:p>
        </w:tc>
        <w:tc>
          <w:tcPr>
            <w:tcW w:w="1020" w:type="dxa"/>
            <w:vAlign w:val="bottom"/>
            <w:tcBorders>
              <w:right w:val="single" w:sz="8" w:color="93A1D2"/>
            </w:tcBorders>
          </w:tcPr>
          <w:p>
            <w:pPr>
              <w:spacing w:after="0"/>
              <w:rPr>
                <w:sz w:val="2"/>
                <w:szCs w:val="2"/>
                <w:color w:val="auto"/>
              </w:rPr>
            </w:pPr>
          </w:p>
        </w:tc>
        <w:tc>
          <w:tcPr>
            <w:tcW w:w="960" w:type="dxa"/>
            <w:vAlign w:val="bottom"/>
            <w:tcBorders>
              <w:right w:val="single" w:sz="8" w:color="93A1D2"/>
            </w:tcBorders>
          </w:tcPr>
          <w:p>
            <w:pPr>
              <w:spacing w:after="0"/>
              <w:rPr>
                <w:sz w:val="2"/>
                <w:szCs w:val="2"/>
                <w:color w:val="auto"/>
              </w:rPr>
            </w:pPr>
          </w:p>
        </w:tc>
        <w:tc>
          <w:tcPr>
            <w:tcW w:w="960" w:type="dxa"/>
            <w:vAlign w:val="bottom"/>
            <w:tcBorders>
              <w:right w:val="single" w:sz="8" w:color="93A1D2"/>
            </w:tcBorders>
          </w:tcPr>
          <w:p>
            <w:pPr>
              <w:spacing w:after="0"/>
              <w:rPr>
                <w:sz w:val="2"/>
                <w:szCs w:val="2"/>
                <w:color w:val="auto"/>
              </w:rPr>
            </w:pPr>
          </w:p>
        </w:tc>
        <w:tc>
          <w:tcPr>
            <w:tcW w:w="1000" w:type="dxa"/>
            <w:vAlign w:val="bottom"/>
            <w:tcBorders>
              <w:right w:val="single" w:sz="8" w:color="93A1D2"/>
            </w:tcBorders>
          </w:tcPr>
          <w:p>
            <w:pPr>
              <w:spacing w:after="0"/>
              <w:rPr>
                <w:sz w:val="2"/>
                <w:szCs w:val="2"/>
                <w:color w:val="auto"/>
              </w:rPr>
            </w:pPr>
          </w:p>
        </w:tc>
        <w:tc>
          <w:tcPr>
            <w:tcW w:w="980" w:type="dxa"/>
            <w:vAlign w:val="bottom"/>
            <w:tcBorders>
              <w:right w:val="single" w:sz="8" w:color="93A1D2"/>
            </w:tcBorders>
          </w:tcPr>
          <w:p>
            <w:pPr>
              <w:spacing w:after="0"/>
              <w:rPr>
                <w:sz w:val="2"/>
                <w:szCs w:val="2"/>
                <w:color w:val="auto"/>
              </w:rPr>
            </w:pPr>
          </w:p>
        </w:tc>
        <w:tc>
          <w:tcPr>
            <w:tcW w:w="1040" w:type="dxa"/>
            <w:vAlign w:val="bottom"/>
            <w:tcBorders>
              <w:right w:val="single" w:sz="8" w:color="93A1D2"/>
            </w:tcBorders>
          </w:tcPr>
          <w:p>
            <w:pPr>
              <w:spacing w:after="0"/>
              <w:rPr>
                <w:sz w:val="2"/>
                <w:szCs w:val="2"/>
                <w:color w:val="auto"/>
              </w:rPr>
            </w:pPr>
          </w:p>
        </w:tc>
        <w:tc>
          <w:tcPr>
            <w:tcW w:w="800" w:type="dxa"/>
            <w:vAlign w:val="bottom"/>
            <w:tcBorders>
              <w:right w:val="single" w:sz="8" w:color="93A1D2"/>
            </w:tcBorders>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Borders>
              <w:left w:val="single" w:sz="8" w:color="93A1D2"/>
              <w:right w:val="single" w:sz="8" w:color="93A1D2"/>
            </w:tcBorders>
          </w:tcPr>
          <w:p>
            <w:pPr>
              <w:spacing w:after="0"/>
              <w:rPr>
                <w:sz w:val="2"/>
                <w:szCs w:val="2"/>
                <w:color w:val="auto"/>
              </w:rPr>
            </w:pPr>
          </w:p>
        </w:tc>
        <w:tc>
          <w:tcPr>
            <w:tcW w:w="780" w:type="dxa"/>
            <w:vAlign w:val="bottom"/>
            <w:tcBorders>
              <w:right w:val="single" w:sz="8" w:color="3465B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Borders>
              <w:left w:val="single" w:sz="8" w:color="3465B0"/>
              <w:bottom w:val="single" w:sz="8" w:color="CCCCCC"/>
              <w:right w:val="single" w:sz="8" w:color="93A1D2"/>
            </w:tcBorders>
            <w:gridSpan w:val="2"/>
            <w:shd w:val="clear" w:color="auto" w:fill="CCCCCC"/>
          </w:tcPr>
          <w:p>
            <w:pPr>
              <w:ind w:left="80"/>
              <w:spacing w:after="0"/>
              <w:rPr>
                <w:sz w:val="20"/>
                <w:szCs w:val="20"/>
                <w:color w:val="auto"/>
              </w:rPr>
            </w:pPr>
            <w:r>
              <w:rPr>
                <w:rFonts w:ascii="Arial" w:cs="Arial" w:eastAsia="Arial" w:hAnsi="Arial"/>
                <w:sz w:val="13"/>
                <w:szCs w:val="13"/>
                <w:color w:val="auto"/>
              </w:rPr>
              <w:t>2024</w:t>
            </w:r>
          </w:p>
        </w:tc>
        <w:tc>
          <w:tcPr>
            <w:tcW w:w="1020" w:type="dxa"/>
            <w:vAlign w:val="bottom"/>
            <w:tcBorders>
              <w:bottom w:val="single" w:sz="8" w:color="CCCCCC"/>
              <w:right w:val="single" w:sz="8" w:color="93A1D2"/>
            </w:tcBorders>
            <w:shd w:val="clear" w:color="auto" w:fill="CCCCCC"/>
          </w:tcPr>
          <w:p>
            <w:pPr>
              <w:spacing w:after="0"/>
              <w:rPr>
                <w:sz w:val="15"/>
                <w:szCs w:val="15"/>
                <w:color w:val="auto"/>
              </w:rPr>
            </w:pPr>
          </w:p>
        </w:tc>
        <w:tc>
          <w:tcPr>
            <w:tcW w:w="960" w:type="dxa"/>
            <w:vAlign w:val="bottom"/>
            <w:tcBorders>
              <w:bottom w:val="single" w:sz="8" w:color="CCCCCC"/>
              <w:right w:val="single" w:sz="8" w:color="93A1D2"/>
            </w:tcBorders>
            <w:shd w:val="clear" w:color="auto" w:fill="CCCCCC"/>
          </w:tcPr>
          <w:p>
            <w:pPr>
              <w:spacing w:after="0"/>
              <w:rPr>
                <w:sz w:val="15"/>
                <w:szCs w:val="15"/>
                <w:color w:val="auto"/>
              </w:rPr>
            </w:pPr>
          </w:p>
        </w:tc>
        <w:tc>
          <w:tcPr>
            <w:tcW w:w="960" w:type="dxa"/>
            <w:vAlign w:val="bottom"/>
            <w:tcBorders>
              <w:bottom w:val="single" w:sz="8" w:color="CCCCCC"/>
              <w:right w:val="single" w:sz="8" w:color="93A1D2"/>
            </w:tcBorders>
            <w:shd w:val="clear" w:color="auto" w:fill="CCCCCC"/>
          </w:tcPr>
          <w:p>
            <w:pPr>
              <w:ind w:left="360"/>
              <w:spacing w:after="0"/>
              <w:rPr>
                <w:sz w:val="20"/>
                <w:szCs w:val="20"/>
                <w:color w:val="auto"/>
              </w:rPr>
            </w:pPr>
            <w:r>
              <w:rPr>
                <w:rFonts w:ascii="Arial" w:cs="Arial" w:eastAsia="Arial" w:hAnsi="Arial"/>
                <w:sz w:val="13"/>
                <w:szCs w:val="13"/>
                <w:color w:val="auto"/>
                <w:w w:val="96"/>
              </w:rPr>
              <w:t>5,052,663</w:t>
            </w:r>
          </w:p>
        </w:tc>
        <w:tc>
          <w:tcPr>
            <w:tcW w:w="10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3"/>
                <w:szCs w:val="13"/>
                <w:color w:val="auto"/>
              </w:rPr>
              <w:t>(818,685)</w:t>
            </w:r>
          </w:p>
        </w:tc>
        <w:tc>
          <w:tcPr>
            <w:tcW w:w="980" w:type="dxa"/>
            <w:vAlign w:val="bottom"/>
            <w:tcBorders>
              <w:bottom w:val="single" w:sz="8" w:color="CCCCCC"/>
              <w:right w:val="single" w:sz="8" w:color="93A1D2"/>
            </w:tcBorders>
            <w:shd w:val="clear" w:color="auto" w:fill="CCCCCC"/>
          </w:tcPr>
          <w:p>
            <w:pPr>
              <w:ind w:left="360"/>
              <w:spacing w:after="0"/>
              <w:rPr>
                <w:sz w:val="20"/>
                <w:szCs w:val="20"/>
                <w:color w:val="auto"/>
              </w:rPr>
            </w:pPr>
            <w:r>
              <w:rPr>
                <w:rFonts w:ascii="Arial" w:cs="Arial" w:eastAsia="Arial" w:hAnsi="Arial"/>
                <w:sz w:val="13"/>
                <w:szCs w:val="13"/>
                <w:color w:val="auto"/>
              </w:rPr>
              <w:t>1,681,528</w:t>
            </w:r>
          </w:p>
        </w:tc>
        <w:tc>
          <w:tcPr>
            <w:tcW w:w="10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3"/>
                <w:szCs w:val="13"/>
                <w:color w:val="auto"/>
              </w:rPr>
              <w:t>992,290</w:t>
            </w:r>
          </w:p>
        </w:tc>
        <w:tc>
          <w:tcPr>
            <w:tcW w:w="8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3"/>
                <w:szCs w:val="13"/>
                <w:color w:val="auto"/>
              </w:rPr>
              <w:t>31.93</w:t>
            </w:r>
          </w:p>
        </w:tc>
        <w:tc>
          <w:tcPr>
            <w:tcW w:w="8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146.87</w:t>
            </w:r>
          </w:p>
        </w:tc>
        <w:tc>
          <w:tcPr>
            <w:tcW w:w="680" w:type="dxa"/>
            <w:vAlign w:val="bottom"/>
            <w:tcBorders>
              <w:left w:val="single" w:sz="8" w:color="93A1D2"/>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3"/>
                <w:szCs w:val="13"/>
                <w:color w:val="auto"/>
              </w:rPr>
              <w:t>(27,165)</w:t>
            </w:r>
          </w:p>
        </w:tc>
        <w:tc>
          <w:tcPr>
            <w:tcW w:w="780" w:type="dxa"/>
            <w:vAlign w:val="bottom"/>
            <w:tcBorders>
              <w:bottom w:val="single" w:sz="8" w:color="CCCCCC"/>
              <w:right w:val="single" w:sz="8" w:color="3465B0"/>
            </w:tcBorders>
            <w:shd w:val="clear" w:color="auto" w:fill="CCCCCC"/>
          </w:tcPr>
          <w:p>
            <w:pPr>
              <w:jc w:val="right"/>
              <w:ind w:right="38"/>
              <w:spacing w:after="0"/>
              <w:rPr>
                <w:sz w:val="20"/>
                <w:szCs w:val="20"/>
                <w:color w:val="auto"/>
              </w:rPr>
            </w:pPr>
            <w:r>
              <w:rPr>
                <w:rFonts w:ascii="Arial" w:cs="Arial" w:eastAsia="Arial" w:hAnsi="Arial"/>
                <w:sz w:val="13"/>
                <w:szCs w:val="13"/>
                <w:color w:val="auto"/>
              </w:rPr>
              <w:t>65,489</w:t>
            </w:r>
          </w:p>
        </w:tc>
        <w:tc>
          <w:tcPr>
            <w:tcW w:w="0" w:type="dxa"/>
            <w:vAlign w:val="bottom"/>
          </w:tcPr>
          <w:p>
            <w:pPr>
              <w:spacing w:after="0"/>
              <w:rPr>
                <w:sz w:val="1"/>
                <w:szCs w:val="1"/>
                <w:color w:val="auto"/>
              </w:rPr>
            </w:pPr>
          </w:p>
        </w:tc>
      </w:tr>
      <w:tr>
        <w:trPr>
          <w:trHeight w:val="175"/>
        </w:trPr>
        <w:tc>
          <w:tcPr>
            <w:tcW w:w="500" w:type="dxa"/>
            <w:vAlign w:val="bottom"/>
            <w:tcBorders>
              <w:left w:val="single" w:sz="8" w:color="3465B0"/>
              <w:right w:val="single" w:sz="8" w:color="93A1D2"/>
            </w:tcBorders>
            <w:gridSpan w:val="2"/>
          </w:tcPr>
          <w:p>
            <w:pPr>
              <w:ind w:left="80"/>
              <w:spacing w:after="0"/>
              <w:rPr>
                <w:sz w:val="20"/>
                <w:szCs w:val="20"/>
                <w:color w:val="auto"/>
              </w:rPr>
            </w:pPr>
            <w:r>
              <w:rPr>
                <w:rFonts w:ascii="Arial" w:cs="Arial" w:eastAsia="Arial" w:hAnsi="Arial"/>
                <w:sz w:val="13"/>
                <w:szCs w:val="13"/>
                <w:color w:val="auto"/>
              </w:rPr>
              <w:t>2023</w:t>
            </w:r>
          </w:p>
        </w:tc>
        <w:tc>
          <w:tcPr>
            <w:tcW w:w="1020" w:type="dxa"/>
            <w:vAlign w:val="bottom"/>
            <w:tcBorders>
              <w:right w:val="single" w:sz="8" w:color="93A1D2"/>
            </w:tcBorders>
          </w:tcPr>
          <w:p>
            <w:pPr>
              <w:spacing w:after="0"/>
              <w:rPr>
                <w:sz w:val="15"/>
                <w:szCs w:val="15"/>
                <w:color w:val="auto"/>
              </w:rPr>
            </w:pPr>
          </w:p>
        </w:tc>
        <w:tc>
          <w:tcPr>
            <w:tcW w:w="960" w:type="dxa"/>
            <w:vAlign w:val="bottom"/>
            <w:tcBorders>
              <w:right w:val="single" w:sz="8" w:color="93A1D2"/>
            </w:tcBorders>
          </w:tcPr>
          <w:p>
            <w:pPr>
              <w:spacing w:after="0"/>
              <w:rPr>
                <w:sz w:val="15"/>
                <w:szCs w:val="15"/>
                <w:color w:val="auto"/>
              </w:rPr>
            </w:pPr>
          </w:p>
        </w:tc>
        <w:tc>
          <w:tcPr>
            <w:tcW w:w="960" w:type="dxa"/>
            <w:vAlign w:val="bottom"/>
            <w:tcBorders>
              <w:right w:val="single" w:sz="8" w:color="93A1D2"/>
            </w:tcBorders>
          </w:tcPr>
          <w:p>
            <w:pPr>
              <w:ind w:left="360"/>
              <w:spacing w:after="0"/>
              <w:rPr>
                <w:sz w:val="20"/>
                <w:szCs w:val="20"/>
                <w:color w:val="auto"/>
              </w:rPr>
            </w:pPr>
            <w:r>
              <w:rPr>
                <w:rFonts w:ascii="Arial" w:cs="Arial" w:eastAsia="Arial" w:hAnsi="Arial"/>
                <w:sz w:val="13"/>
                <w:szCs w:val="13"/>
                <w:color w:val="auto"/>
                <w:w w:val="96"/>
              </w:rPr>
              <w:t>8,617,438</w:t>
            </w:r>
          </w:p>
        </w:tc>
        <w:tc>
          <w:tcPr>
            <w:tcW w:w="1000" w:type="dxa"/>
            <w:vAlign w:val="bottom"/>
            <w:tcBorders>
              <w:right w:val="single" w:sz="8" w:color="93A1D2"/>
            </w:tcBorders>
          </w:tcPr>
          <w:p>
            <w:pPr>
              <w:jc w:val="right"/>
              <w:spacing w:after="0"/>
              <w:rPr>
                <w:sz w:val="20"/>
                <w:szCs w:val="20"/>
                <w:color w:val="auto"/>
              </w:rPr>
            </w:pPr>
            <w:r>
              <w:rPr>
                <w:rFonts w:ascii="Arial" w:cs="Arial" w:eastAsia="Arial" w:hAnsi="Arial"/>
                <w:sz w:val="13"/>
                <w:szCs w:val="13"/>
                <w:color w:val="auto"/>
              </w:rPr>
              <w:t>6,765,366</w:t>
            </w:r>
          </w:p>
        </w:tc>
        <w:tc>
          <w:tcPr>
            <w:tcW w:w="980" w:type="dxa"/>
            <w:vAlign w:val="bottom"/>
            <w:tcBorders>
              <w:right w:val="single" w:sz="8" w:color="93A1D2"/>
            </w:tcBorders>
          </w:tcPr>
          <w:p>
            <w:pPr>
              <w:ind w:left="360"/>
              <w:spacing w:after="0"/>
              <w:rPr>
                <w:sz w:val="20"/>
                <w:szCs w:val="20"/>
                <w:color w:val="auto"/>
              </w:rPr>
            </w:pPr>
            <w:r>
              <w:rPr>
                <w:rFonts w:ascii="Arial" w:cs="Arial" w:eastAsia="Arial" w:hAnsi="Arial"/>
                <w:sz w:val="13"/>
                <w:szCs w:val="13"/>
                <w:color w:val="auto"/>
              </w:rPr>
              <w:t>1,966,566</w:t>
            </w:r>
          </w:p>
        </w:tc>
        <w:tc>
          <w:tcPr>
            <w:tcW w:w="1040" w:type="dxa"/>
            <w:vAlign w:val="bottom"/>
            <w:tcBorders>
              <w:right w:val="single" w:sz="8" w:color="93A1D2"/>
            </w:tcBorders>
          </w:tcPr>
          <w:p>
            <w:pPr>
              <w:jc w:val="right"/>
              <w:spacing w:after="0"/>
              <w:rPr>
                <w:sz w:val="20"/>
                <w:szCs w:val="20"/>
                <w:color w:val="auto"/>
              </w:rPr>
            </w:pPr>
            <w:r>
              <w:rPr>
                <w:rFonts w:ascii="Arial" w:cs="Arial" w:eastAsia="Arial" w:hAnsi="Arial"/>
                <w:sz w:val="13"/>
                <w:szCs w:val="13"/>
                <w:color w:val="auto"/>
              </w:rPr>
              <w:t>1,578,640</w:t>
            </w:r>
          </w:p>
        </w:tc>
        <w:tc>
          <w:tcPr>
            <w:tcW w:w="800" w:type="dxa"/>
            <w:vAlign w:val="bottom"/>
            <w:tcBorders>
              <w:right w:val="single" w:sz="8" w:color="93A1D2"/>
            </w:tcBorders>
          </w:tcPr>
          <w:p>
            <w:pPr>
              <w:jc w:val="right"/>
              <w:spacing w:after="0"/>
              <w:rPr>
                <w:sz w:val="20"/>
                <w:szCs w:val="20"/>
                <w:color w:val="auto"/>
              </w:rPr>
            </w:pPr>
            <w:r>
              <w:rPr>
                <w:rFonts w:ascii="Arial" w:cs="Arial" w:eastAsia="Arial" w:hAnsi="Arial"/>
                <w:sz w:val="13"/>
                <w:szCs w:val="13"/>
                <w:color w:val="auto"/>
              </w:rPr>
              <w:t>63.23</w:t>
            </w:r>
          </w:p>
        </w:tc>
        <w:tc>
          <w:tcPr>
            <w:tcW w:w="800" w:type="dxa"/>
            <w:vAlign w:val="bottom"/>
          </w:tcPr>
          <w:p>
            <w:pPr>
              <w:jc w:val="right"/>
              <w:spacing w:after="0"/>
              <w:rPr>
                <w:sz w:val="20"/>
                <w:szCs w:val="20"/>
                <w:color w:val="auto"/>
              </w:rPr>
            </w:pPr>
            <w:r>
              <w:rPr>
                <w:rFonts w:ascii="Arial" w:cs="Arial" w:eastAsia="Arial" w:hAnsi="Arial"/>
                <w:sz w:val="13"/>
                <w:szCs w:val="13"/>
                <w:color w:val="auto"/>
              </w:rPr>
              <w:t>216.96</w:t>
            </w:r>
          </w:p>
        </w:tc>
        <w:tc>
          <w:tcPr>
            <w:tcW w:w="680" w:type="dxa"/>
            <w:vAlign w:val="bottom"/>
            <w:tcBorders>
              <w:left w:val="single" w:sz="8" w:color="93A1D2"/>
              <w:right w:val="single" w:sz="8" w:color="93A1D2"/>
            </w:tcBorders>
          </w:tcPr>
          <w:p>
            <w:pPr>
              <w:jc w:val="right"/>
              <w:spacing w:after="0"/>
              <w:rPr>
                <w:sz w:val="20"/>
                <w:szCs w:val="20"/>
                <w:color w:val="auto"/>
              </w:rPr>
            </w:pPr>
            <w:r>
              <w:rPr>
                <w:rFonts w:ascii="Arial" w:cs="Arial" w:eastAsia="Arial" w:hAnsi="Arial"/>
                <w:sz w:val="13"/>
                <w:szCs w:val="13"/>
                <w:color w:val="auto"/>
              </w:rPr>
              <w:t>(65,901)</w:t>
            </w:r>
          </w:p>
        </w:tc>
        <w:tc>
          <w:tcPr>
            <w:tcW w:w="780" w:type="dxa"/>
            <w:vAlign w:val="bottom"/>
            <w:tcBorders>
              <w:right w:val="single" w:sz="8" w:color="3465B0"/>
            </w:tcBorders>
          </w:tcPr>
          <w:p>
            <w:pPr>
              <w:jc w:val="right"/>
              <w:ind w:right="38"/>
              <w:spacing w:after="0"/>
              <w:rPr>
                <w:sz w:val="20"/>
                <w:szCs w:val="20"/>
                <w:color w:val="auto"/>
              </w:rPr>
            </w:pPr>
            <w:r>
              <w:rPr>
                <w:rFonts w:ascii="Arial" w:cs="Arial" w:eastAsia="Arial" w:hAnsi="Arial"/>
                <w:sz w:val="13"/>
                <w:szCs w:val="13"/>
                <w:color w:val="auto"/>
              </w:rPr>
              <w:t>72,321</w:t>
            </w:r>
          </w:p>
        </w:tc>
        <w:tc>
          <w:tcPr>
            <w:tcW w:w="0" w:type="dxa"/>
            <w:vAlign w:val="bottom"/>
          </w:tcPr>
          <w:p>
            <w:pPr>
              <w:spacing w:after="0"/>
              <w:rPr>
                <w:sz w:val="1"/>
                <w:szCs w:val="1"/>
                <w:color w:val="auto"/>
              </w:rPr>
            </w:pPr>
          </w:p>
        </w:tc>
      </w:tr>
      <w:tr>
        <w:trPr>
          <w:trHeight w:val="28"/>
        </w:trPr>
        <w:tc>
          <w:tcPr>
            <w:tcW w:w="180" w:type="dxa"/>
            <w:vAlign w:val="bottom"/>
            <w:tcBorders>
              <w:left w:val="single" w:sz="8" w:color="3465B0"/>
            </w:tcBorders>
          </w:tcPr>
          <w:p>
            <w:pPr>
              <w:spacing w:after="0"/>
              <w:rPr>
                <w:sz w:val="2"/>
                <w:szCs w:val="2"/>
                <w:color w:val="auto"/>
              </w:rPr>
            </w:pPr>
          </w:p>
        </w:tc>
        <w:tc>
          <w:tcPr>
            <w:tcW w:w="320" w:type="dxa"/>
            <w:vAlign w:val="bottom"/>
            <w:tcBorders>
              <w:right w:val="single" w:sz="8" w:color="93A1D2"/>
            </w:tcBorders>
          </w:tcPr>
          <w:p>
            <w:pPr>
              <w:spacing w:after="0"/>
              <w:rPr>
                <w:sz w:val="2"/>
                <w:szCs w:val="2"/>
                <w:color w:val="auto"/>
              </w:rPr>
            </w:pPr>
          </w:p>
        </w:tc>
        <w:tc>
          <w:tcPr>
            <w:tcW w:w="1020" w:type="dxa"/>
            <w:vAlign w:val="bottom"/>
            <w:tcBorders>
              <w:right w:val="single" w:sz="8" w:color="93A1D2"/>
            </w:tcBorders>
          </w:tcPr>
          <w:p>
            <w:pPr>
              <w:spacing w:after="0"/>
              <w:rPr>
                <w:sz w:val="2"/>
                <w:szCs w:val="2"/>
                <w:color w:val="auto"/>
              </w:rPr>
            </w:pPr>
          </w:p>
        </w:tc>
        <w:tc>
          <w:tcPr>
            <w:tcW w:w="960" w:type="dxa"/>
            <w:vAlign w:val="bottom"/>
            <w:tcBorders>
              <w:right w:val="single" w:sz="8" w:color="93A1D2"/>
            </w:tcBorders>
          </w:tcPr>
          <w:p>
            <w:pPr>
              <w:spacing w:after="0"/>
              <w:rPr>
                <w:sz w:val="2"/>
                <w:szCs w:val="2"/>
                <w:color w:val="auto"/>
              </w:rPr>
            </w:pPr>
          </w:p>
        </w:tc>
        <w:tc>
          <w:tcPr>
            <w:tcW w:w="960" w:type="dxa"/>
            <w:vAlign w:val="bottom"/>
            <w:tcBorders>
              <w:right w:val="single" w:sz="8" w:color="93A1D2"/>
            </w:tcBorders>
          </w:tcPr>
          <w:p>
            <w:pPr>
              <w:spacing w:after="0"/>
              <w:rPr>
                <w:sz w:val="2"/>
                <w:szCs w:val="2"/>
                <w:color w:val="auto"/>
              </w:rPr>
            </w:pPr>
          </w:p>
        </w:tc>
        <w:tc>
          <w:tcPr>
            <w:tcW w:w="1000" w:type="dxa"/>
            <w:vAlign w:val="bottom"/>
            <w:tcBorders>
              <w:right w:val="single" w:sz="8" w:color="93A1D2"/>
            </w:tcBorders>
          </w:tcPr>
          <w:p>
            <w:pPr>
              <w:spacing w:after="0"/>
              <w:rPr>
                <w:sz w:val="2"/>
                <w:szCs w:val="2"/>
                <w:color w:val="auto"/>
              </w:rPr>
            </w:pPr>
          </w:p>
        </w:tc>
        <w:tc>
          <w:tcPr>
            <w:tcW w:w="980" w:type="dxa"/>
            <w:vAlign w:val="bottom"/>
            <w:tcBorders>
              <w:right w:val="single" w:sz="8" w:color="93A1D2"/>
            </w:tcBorders>
          </w:tcPr>
          <w:p>
            <w:pPr>
              <w:spacing w:after="0"/>
              <w:rPr>
                <w:sz w:val="2"/>
                <w:szCs w:val="2"/>
                <w:color w:val="auto"/>
              </w:rPr>
            </w:pPr>
          </w:p>
        </w:tc>
        <w:tc>
          <w:tcPr>
            <w:tcW w:w="1040" w:type="dxa"/>
            <w:vAlign w:val="bottom"/>
            <w:tcBorders>
              <w:right w:val="single" w:sz="8" w:color="93A1D2"/>
            </w:tcBorders>
          </w:tcPr>
          <w:p>
            <w:pPr>
              <w:spacing w:after="0"/>
              <w:rPr>
                <w:sz w:val="2"/>
                <w:szCs w:val="2"/>
                <w:color w:val="auto"/>
              </w:rPr>
            </w:pPr>
          </w:p>
        </w:tc>
        <w:tc>
          <w:tcPr>
            <w:tcW w:w="800" w:type="dxa"/>
            <w:vAlign w:val="bottom"/>
            <w:tcBorders>
              <w:right w:val="single" w:sz="8" w:color="93A1D2"/>
            </w:tcBorders>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Borders>
              <w:left w:val="single" w:sz="8" w:color="93A1D2"/>
              <w:right w:val="single" w:sz="8" w:color="93A1D2"/>
            </w:tcBorders>
          </w:tcPr>
          <w:p>
            <w:pPr>
              <w:spacing w:after="0"/>
              <w:rPr>
                <w:sz w:val="2"/>
                <w:szCs w:val="2"/>
                <w:color w:val="auto"/>
              </w:rPr>
            </w:pPr>
          </w:p>
        </w:tc>
        <w:tc>
          <w:tcPr>
            <w:tcW w:w="780" w:type="dxa"/>
            <w:vAlign w:val="bottom"/>
            <w:tcBorders>
              <w:right w:val="single" w:sz="8" w:color="3465B0"/>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Borders>
              <w:left w:val="single" w:sz="8" w:color="3465B0"/>
              <w:bottom w:val="single" w:sz="8" w:color="CCCCCC"/>
              <w:right w:val="single" w:sz="8" w:color="93A1D2"/>
            </w:tcBorders>
            <w:gridSpan w:val="2"/>
            <w:shd w:val="clear" w:color="auto" w:fill="CCCCCC"/>
          </w:tcPr>
          <w:p>
            <w:pPr>
              <w:ind w:left="80"/>
              <w:spacing w:after="0"/>
              <w:rPr>
                <w:sz w:val="20"/>
                <w:szCs w:val="20"/>
                <w:color w:val="auto"/>
              </w:rPr>
            </w:pPr>
            <w:r>
              <w:rPr>
                <w:rFonts w:ascii="Arial" w:cs="Arial" w:eastAsia="Arial" w:hAnsi="Arial"/>
                <w:sz w:val="13"/>
                <w:szCs w:val="13"/>
                <w:color w:val="auto"/>
              </w:rPr>
              <w:t>2022</w:t>
            </w:r>
          </w:p>
        </w:tc>
        <w:tc>
          <w:tcPr>
            <w:tcW w:w="1020" w:type="dxa"/>
            <w:vAlign w:val="bottom"/>
            <w:tcBorders>
              <w:bottom w:val="single" w:sz="8" w:color="CCCCCC"/>
              <w:right w:val="single" w:sz="8" w:color="93A1D2"/>
            </w:tcBorders>
            <w:shd w:val="clear" w:color="auto" w:fill="CCCCCC"/>
          </w:tcPr>
          <w:p>
            <w:pPr>
              <w:spacing w:after="0"/>
              <w:rPr>
                <w:sz w:val="15"/>
                <w:szCs w:val="15"/>
                <w:color w:val="auto"/>
              </w:rPr>
            </w:pPr>
          </w:p>
        </w:tc>
        <w:tc>
          <w:tcPr>
            <w:tcW w:w="960" w:type="dxa"/>
            <w:vAlign w:val="bottom"/>
            <w:tcBorders>
              <w:bottom w:val="single" w:sz="8" w:color="CCCCCC"/>
              <w:right w:val="single" w:sz="8" w:color="93A1D2"/>
            </w:tcBorders>
            <w:shd w:val="clear" w:color="auto" w:fill="CCCCCC"/>
          </w:tcPr>
          <w:p>
            <w:pPr>
              <w:spacing w:after="0"/>
              <w:rPr>
                <w:sz w:val="15"/>
                <w:szCs w:val="15"/>
                <w:color w:val="auto"/>
              </w:rPr>
            </w:pPr>
          </w:p>
        </w:tc>
        <w:tc>
          <w:tcPr>
            <w:tcW w:w="960" w:type="dxa"/>
            <w:vAlign w:val="bottom"/>
            <w:tcBorders>
              <w:bottom w:val="single" w:sz="8" w:color="CCCCCC"/>
              <w:right w:val="single" w:sz="8" w:color="93A1D2"/>
            </w:tcBorders>
            <w:shd w:val="clear" w:color="auto" w:fill="CCCCCC"/>
          </w:tcPr>
          <w:p>
            <w:pPr>
              <w:ind w:left="360"/>
              <w:spacing w:after="0"/>
              <w:rPr>
                <w:sz w:val="20"/>
                <w:szCs w:val="20"/>
                <w:color w:val="auto"/>
              </w:rPr>
            </w:pPr>
            <w:r>
              <w:rPr>
                <w:rFonts w:ascii="Arial" w:cs="Arial" w:eastAsia="Arial" w:hAnsi="Arial"/>
                <w:sz w:val="13"/>
                <w:szCs w:val="13"/>
                <w:color w:val="auto"/>
                <w:w w:val="96"/>
              </w:rPr>
              <w:t>4,273,302</w:t>
            </w:r>
          </w:p>
        </w:tc>
        <w:tc>
          <w:tcPr>
            <w:tcW w:w="10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3"/>
                <w:szCs w:val="13"/>
                <w:color w:val="auto"/>
              </w:rPr>
              <w:t>757,212</w:t>
            </w:r>
          </w:p>
        </w:tc>
        <w:tc>
          <w:tcPr>
            <w:tcW w:w="980" w:type="dxa"/>
            <w:vAlign w:val="bottom"/>
            <w:tcBorders>
              <w:bottom w:val="single" w:sz="8" w:color="CCCCCC"/>
              <w:right w:val="single" w:sz="8" w:color="93A1D2"/>
            </w:tcBorders>
            <w:shd w:val="clear" w:color="auto" w:fill="CCCCCC"/>
          </w:tcPr>
          <w:p>
            <w:pPr>
              <w:ind w:left="360"/>
              <w:spacing w:after="0"/>
              <w:rPr>
                <w:sz w:val="20"/>
                <w:szCs w:val="20"/>
                <w:color w:val="auto"/>
              </w:rPr>
            </w:pPr>
            <w:r>
              <w:rPr>
                <w:rFonts w:ascii="Arial" w:cs="Arial" w:eastAsia="Arial" w:hAnsi="Arial"/>
                <w:sz w:val="13"/>
                <w:szCs w:val="13"/>
                <w:color w:val="auto"/>
              </w:rPr>
              <w:t>1,083,585</w:t>
            </w:r>
          </w:p>
        </w:tc>
        <w:tc>
          <w:tcPr>
            <w:tcW w:w="10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3"/>
                <w:szCs w:val="13"/>
                <w:color w:val="auto"/>
              </w:rPr>
              <w:t>184,561</w:t>
            </w:r>
          </w:p>
        </w:tc>
        <w:tc>
          <w:tcPr>
            <w:tcW w:w="8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3"/>
                <w:szCs w:val="13"/>
                <w:color w:val="auto"/>
              </w:rPr>
              <w:t>117.10</w:t>
            </w:r>
          </w:p>
        </w:tc>
        <w:tc>
          <w:tcPr>
            <w:tcW w:w="8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182.73</w:t>
            </w:r>
          </w:p>
        </w:tc>
        <w:tc>
          <w:tcPr>
            <w:tcW w:w="680" w:type="dxa"/>
            <w:vAlign w:val="bottom"/>
            <w:tcBorders>
              <w:left w:val="single" w:sz="8" w:color="93A1D2"/>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3"/>
                <w:szCs w:val="13"/>
                <w:color w:val="auto"/>
              </w:rPr>
              <w:t>42,122</w:t>
            </w:r>
          </w:p>
        </w:tc>
        <w:tc>
          <w:tcPr>
            <w:tcW w:w="780" w:type="dxa"/>
            <w:vAlign w:val="bottom"/>
            <w:tcBorders>
              <w:bottom w:val="single" w:sz="8" w:color="CCCCCC"/>
              <w:right w:val="single" w:sz="8" w:color="3465B0"/>
            </w:tcBorders>
            <w:shd w:val="clear" w:color="auto" w:fill="CCCCCC"/>
          </w:tcPr>
          <w:p>
            <w:pPr>
              <w:jc w:val="right"/>
              <w:ind w:right="38"/>
              <w:spacing w:after="0"/>
              <w:rPr>
                <w:sz w:val="20"/>
                <w:szCs w:val="20"/>
                <w:color w:val="auto"/>
              </w:rPr>
            </w:pPr>
            <w:r>
              <w:rPr>
                <w:rFonts w:ascii="Arial" w:cs="Arial" w:eastAsia="Arial" w:hAnsi="Arial"/>
                <w:sz w:val="13"/>
                <w:szCs w:val="13"/>
                <w:color w:val="auto"/>
              </w:rPr>
              <w:t>87,795</w:t>
            </w:r>
          </w:p>
        </w:tc>
        <w:tc>
          <w:tcPr>
            <w:tcW w:w="0" w:type="dxa"/>
            <w:vAlign w:val="bottom"/>
          </w:tcPr>
          <w:p>
            <w:pPr>
              <w:spacing w:after="0"/>
              <w:rPr>
                <w:sz w:val="1"/>
                <w:szCs w:val="1"/>
                <w:color w:val="auto"/>
              </w:rPr>
            </w:pPr>
          </w:p>
        </w:tc>
      </w:tr>
      <w:tr>
        <w:trPr>
          <w:trHeight w:val="172"/>
        </w:trPr>
        <w:tc>
          <w:tcPr>
            <w:tcW w:w="500" w:type="dxa"/>
            <w:vAlign w:val="bottom"/>
            <w:tcBorders>
              <w:left w:val="single" w:sz="8" w:color="3465B0"/>
              <w:bottom w:val="single" w:sz="8" w:color="3465B0"/>
              <w:right w:val="single" w:sz="8" w:color="93A1D2"/>
            </w:tcBorders>
            <w:gridSpan w:val="2"/>
          </w:tcPr>
          <w:p>
            <w:pPr>
              <w:ind w:left="80"/>
              <w:spacing w:after="0"/>
              <w:rPr>
                <w:sz w:val="20"/>
                <w:szCs w:val="20"/>
                <w:color w:val="auto"/>
              </w:rPr>
            </w:pPr>
            <w:r>
              <w:rPr>
                <w:rFonts w:ascii="Arial" w:cs="Arial" w:eastAsia="Arial" w:hAnsi="Arial"/>
                <w:sz w:val="13"/>
                <w:szCs w:val="13"/>
                <w:color w:val="auto"/>
              </w:rPr>
              <w:t>2021</w:t>
            </w:r>
          </w:p>
        </w:tc>
        <w:tc>
          <w:tcPr>
            <w:tcW w:w="1020" w:type="dxa"/>
            <w:vAlign w:val="bottom"/>
            <w:tcBorders>
              <w:bottom w:val="single" w:sz="8" w:color="3465B0"/>
              <w:right w:val="single" w:sz="8" w:color="93A1D2"/>
            </w:tcBorders>
          </w:tcPr>
          <w:p>
            <w:pPr>
              <w:spacing w:after="0"/>
              <w:rPr>
                <w:sz w:val="14"/>
                <w:szCs w:val="14"/>
                <w:color w:val="auto"/>
              </w:rPr>
            </w:pPr>
          </w:p>
        </w:tc>
        <w:tc>
          <w:tcPr>
            <w:tcW w:w="960" w:type="dxa"/>
            <w:vAlign w:val="bottom"/>
            <w:tcBorders>
              <w:bottom w:val="single" w:sz="8" w:color="3465B0"/>
              <w:right w:val="single" w:sz="8" w:color="93A1D2"/>
            </w:tcBorders>
          </w:tcPr>
          <w:p>
            <w:pPr>
              <w:spacing w:after="0"/>
              <w:rPr>
                <w:sz w:val="14"/>
                <w:szCs w:val="14"/>
                <w:color w:val="auto"/>
              </w:rPr>
            </w:pPr>
          </w:p>
        </w:tc>
        <w:tc>
          <w:tcPr>
            <w:tcW w:w="960" w:type="dxa"/>
            <w:vAlign w:val="bottom"/>
            <w:tcBorders>
              <w:bottom w:val="single" w:sz="8" w:color="3465B0"/>
              <w:right w:val="single" w:sz="8" w:color="93A1D2"/>
            </w:tcBorders>
          </w:tcPr>
          <w:p>
            <w:pPr>
              <w:ind w:left="360"/>
              <w:spacing w:after="0"/>
              <w:rPr>
                <w:sz w:val="20"/>
                <w:szCs w:val="20"/>
                <w:color w:val="auto"/>
              </w:rPr>
            </w:pPr>
            <w:r>
              <w:rPr>
                <w:rFonts w:ascii="Arial" w:cs="Arial" w:eastAsia="Arial" w:hAnsi="Arial"/>
                <w:sz w:val="13"/>
                <w:szCs w:val="13"/>
                <w:color w:val="auto"/>
                <w:w w:val="96"/>
              </w:rPr>
              <w:t>5,728,490</w:t>
            </w:r>
          </w:p>
        </w:tc>
        <w:tc>
          <w:tcPr>
            <w:tcW w:w="1000" w:type="dxa"/>
            <w:vAlign w:val="bottom"/>
            <w:tcBorders>
              <w:bottom w:val="single" w:sz="8" w:color="3465B0"/>
              <w:right w:val="single" w:sz="8" w:color="93A1D2"/>
            </w:tcBorders>
          </w:tcPr>
          <w:p>
            <w:pPr>
              <w:jc w:val="right"/>
              <w:spacing w:after="0"/>
              <w:rPr>
                <w:sz w:val="20"/>
                <w:szCs w:val="20"/>
                <w:color w:val="auto"/>
              </w:rPr>
            </w:pPr>
            <w:r>
              <w:rPr>
                <w:rFonts w:ascii="Arial" w:cs="Arial" w:eastAsia="Arial" w:hAnsi="Arial"/>
                <w:sz w:val="13"/>
                <w:szCs w:val="13"/>
                <w:color w:val="auto"/>
              </w:rPr>
              <w:t>6,667,573</w:t>
            </w:r>
          </w:p>
        </w:tc>
        <w:tc>
          <w:tcPr>
            <w:tcW w:w="980" w:type="dxa"/>
            <w:vAlign w:val="bottom"/>
            <w:tcBorders>
              <w:bottom w:val="single" w:sz="8" w:color="3465B0"/>
              <w:right w:val="single" w:sz="8" w:color="93A1D2"/>
            </w:tcBorders>
          </w:tcPr>
          <w:p>
            <w:pPr>
              <w:ind w:left="360"/>
              <w:spacing w:after="0"/>
              <w:rPr>
                <w:sz w:val="20"/>
                <w:szCs w:val="20"/>
                <w:color w:val="auto"/>
              </w:rPr>
            </w:pPr>
            <w:r>
              <w:rPr>
                <w:rFonts w:ascii="Arial" w:cs="Arial" w:eastAsia="Arial" w:hAnsi="Arial"/>
                <w:sz w:val="13"/>
                <w:szCs w:val="13"/>
                <w:color w:val="auto"/>
              </w:rPr>
              <w:t>1,465,467</w:t>
            </w:r>
          </w:p>
        </w:tc>
        <w:tc>
          <w:tcPr>
            <w:tcW w:w="1040" w:type="dxa"/>
            <w:vAlign w:val="bottom"/>
            <w:tcBorders>
              <w:bottom w:val="single" w:sz="8" w:color="3465B0"/>
              <w:right w:val="single" w:sz="8" w:color="93A1D2"/>
            </w:tcBorders>
          </w:tcPr>
          <w:p>
            <w:pPr>
              <w:jc w:val="right"/>
              <w:spacing w:after="0"/>
              <w:rPr>
                <w:sz w:val="20"/>
                <w:szCs w:val="20"/>
                <w:color w:val="auto"/>
              </w:rPr>
            </w:pPr>
            <w:r>
              <w:rPr>
                <w:rFonts w:ascii="Arial" w:cs="Arial" w:eastAsia="Arial" w:hAnsi="Arial"/>
                <w:sz w:val="13"/>
                <w:szCs w:val="13"/>
                <w:color w:val="auto"/>
              </w:rPr>
              <w:t>1,644,163</w:t>
            </w:r>
          </w:p>
        </w:tc>
        <w:tc>
          <w:tcPr>
            <w:tcW w:w="800" w:type="dxa"/>
            <w:vAlign w:val="bottom"/>
            <w:tcBorders>
              <w:bottom w:val="single" w:sz="8" w:color="3465B0"/>
              <w:right w:val="single" w:sz="8" w:color="93A1D2"/>
            </w:tcBorders>
          </w:tcPr>
          <w:p>
            <w:pPr>
              <w:jc w:val="right"/>
              <w:spacing w:after="0"/>
              <w:rPr>
                <w:sz w:val="20"/>
                <w:szCs w:val="20"/>
                <w:color w:val="auto"/>
              </w:rPr>
            </w:pPr>
            <w:r>
              <w:rPr>
                <w:rFonts w:ascii="Arial" w:cs="Arial" w:eastAsia="Arial" w:hAnsi="Arial"/>
                <w:sz w:val="13"/>
                <w:szCs w:val="13"/>
                <w:color w:val="auto"/>
              </w:rPr>
              <w:t>144.98</w:t>
            </w:r>
          </w:p>
        </w:tc>
        <w:tc>
          <w:tcPr>
            <w:tcW w:w="800" w:type="dxa"/>
            <w:vAlign w:val="bottom"/>
            <w:tcBorders>
              <w:bottom w:val="single" w:sz="8" w:color="3465B0"/>
            </w:tcBorders>
          </w:tcPr>
          <w:p>
            <w:pPr>
              <w:jc w:val="right"/>
              <w:spacing w:after="0"/>
              <w:rPr>
                <w:sz w:val="20"/>
                <w:szCs w:val="20"/>
                <w:color w:val="auto"/>
              </w:rPr>
            </w:pPr>
            <w:r>
              <w:rPr>
                <w:rFonts w:ascii="Arial" w:cs="Arial" w:eastAsia="Arial" w:hAnsi="Arial"/>
                <w:sz w:val="13"/>
                <w:szCs w:val="13"/>
                <w:color w:val="auto"/>
              </w:rPr>
              <w:t>132.30</w:t>
            </w:r>
          </w:p>
        </w:tc>
        <w:tc>
          <w:tcPr>
            <w:tcW w:w="680" w:type="dxa"/>
            <w:vAlign w:val="bottom"/>
            <w:tcBorders>
              <w:left w:val="single" w:sz="8" w:color="93A1D2"/>
              <w:bottom w:val="single" w:sz="8" w:color="3465B0"/>
              <w:right w:val="single" w:sz="8" w:color="93A1D2"/>
            </w:tcBorders>
          </w:tcPr>
          <w:p>
            <w:pPr>
              <w:jc w:val="right"/>
              <w:spacing w:after="0"/>
              <w:rPr>
                <w:sz w:val="20"/>
                <w:szCs w:val="20"/>
                <w:color w:val="auto"/>
              </w:rPr>
            </w:pPr>
            <w:r>
              <w:rPr>
                <w:rFonts w:ascii="Arial" w:cs="Arial" w:eastAsia="Arial" w:hAnsi="Arial"/>
                <w:sz w:val="13"/>
                <w:szCs w:val="13"/>
                <w:color w:val="auto"/>
              </w:rPr>
              <w:t>128,244</w:t>
            </w:r>
          </w:p>
        </w:tc>
        <w:tc>
          <w:tcPr>
            <w:tcW w:w="780" w:type="dxa"/>
            <w:vAlign w:val="bottom"/>
            <w:tcBorders>
              <w:bottom w:val="single" w:sz="8" w:color="3465B0"/>
              <w:right w:val="single" w:sz="8" w:color="3465B0"/>
            </w:tcBorders>
          </w:tcPr>
          <w:p>
            <w:pPr>
              <w:jc w:val="right"/>
              <w:ind w:right="38"/>
              <w:spacing w:after="0"/>
              <w:rPr>
                <w:sz w:val="20"/>
                <w:szCs w:val="20"/>
                <w:color w:val="auto"/>
              </w:rPr>
            </w:pPr>
            <w:r>
              <w:rPr>
                <w:rFonts w:ascii="Arial" w:cs="Arial" w:eastAsia="Arial" w:hAnsi="Arial"/>
                <w:sz w:val="13"/>
                <w:szCs w:val="13"/>
                <w:color w:val="auto"/>
              </w:rPr>
              <w:t>204,749</w:t>
            </w:r>
          </w:p>
        </w:tc>
        <w:tc>
          <w:tcPr>
            <w:tcW w:w="0" w:type="dxa"/>
            <w:vAlign w:val="bottom"/>
          </w:tcPr>
          <w:p>
            <w:pPr>
              <w:spacing w:after="0"/>
              <w:rPr>
                <w:sz w:val="1"/>
                <w:szCs w:val="1"/>
                <w:color w:val="auto"/>
              </w:rPr>
            </w:pPr>
          </w:p>
        </w:tc>
      </w:tr>
      <w:tr>
        <w:trPr>
          <w:trHeight w:val="51"/>
        </w:trPr>
        <w:tc>
          <w:tcPr>
            <w:tcW w:w="1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-1495425</wp:posOffset>
            </wp:positionV>
            <wp:extent cx="1041400" cy="3429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41400" cy="342900"/>
                    </a:xfrm>
                    <a:prstGeom prst="rect">
                      <a:avLst/>
                    </a:prstGeom>
                    <a:noFill/>
                  </pic:spPr>
                </pic:pic>
              </a:graphicData>
            </a:graphic>
          </wp:anchor>
        </w:drawing>
      </w:r>
    </w:p>
    <w:p>
      <w:pPr>
        <w:spacing w:after="0" w:line="133" w:lineRule="exact"/>
        <w:rPr>
          <w:sz w:val="20"/>
          <w:szCs w:val="20"/>
          <w:color w:val="auto"/>
        </w:rPr>
      </w:pPr>
    </w:p>
    <w:p>
      <w:pPr>
        <w:ind w:left="1280" w:hanging="348"/>
        <w:spacing w:after="0"/>
        <w:tabs>
          <w:tab w:leader="none" w:pos="12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table below shows who were the Principal Executive Officer (“PEO”) and Non-PEO NEOs for the indicated year:</w:t>
      </w:r>
    </w:p>
    <w:p>
      <w:pPr>
        <w:spacing w:after="0" w:line="108" w:lineRule="exact"/>
        <w:rPr>
          <w:sz w:val="20"/>
          <w:szCs w:val="20"/>
          <w:color w:val="auto"/>
        </w:rPr>
      </w:pPr>
    </w:p>
    <w:tbl>
      <w:tblPr>
        <w:tblLayout w:type="fixed"/>
        <w:tblInd w:w="1290" w:type="dxa"/>
        <w:tblCellMar>
          <w:top w:w="0" w:type="dxa"/>
          <w:left w:w="0" w:type="dxa"/>
          <w:bottom w:w="0" w:type="dxa"/>
          <w:right w:w="0" w:type="dxa"/>
        </w:tblCellMar>
      </w:tblPr>
      <w:tr>
        <w:trPr>
          <w:trHeight w:val="327"/>
        </w:trPr>
        <w:tc>
          <w:tcPr>
            <w:tcW w:w="80" w:type="dxa"/>
            <w:vAlign w:val="bottom"/>
            <w:tcBorders>
              <w:top w:val="single" w:sz="8" w:color="3465B0"/>
              <w:left w:val="single" w:sz="8" w:color="3465B0"/>
            </w:tcBorders>
            <w:shd w:val="clear" w:color="auto" w:fill="3465B0"/>
          </w:tcPr>
          <w:p>
            <w:pPr>
              <w:spacing w:after="0"/>
              <w:rPr>
                <w:sz w:val="24"/>
                <w:szCs w:val="24"/>
                <w:color w:val="auto"/>
              </w:rPr>
            </w:pPr>
          </w:p>
        </w:tc>
        <w:tc>
          <w:tcPr>
            <w:tcW w:w="700" w:type="dxa"/>
            <w:vAlign w:val="bottom"/>
            <w:tcBorders>
              <w:top w:val="single" w:sz="8" w:color="3465B0"/>
              <w:right w:val="single" w:sz="8" w:color="93A1D2"/>
            </w:tcBorders>
            <w:shd w:val="clear" w:color="auto" w:fill="3465B0"/>
          </w:tcPr>
          <w:p>
            <w:pPr>
              <w:ind w:left="40"/>
              <w:spacing w:after="0"/>
              <w:rPr>
                <w:sz w:val="20"/>
                <w:szCs w:val="20"/>
                <w:color w:val="auto"/>
              </w:rPr>
            </w:pPr>
            <w:r>
              <w:rPr>
                <w:rFonts w:ascii="Arial" w:cs="Arial" w:eastAsia="Arial" w:hAnsi="Arial"/>
                <w:sz w:val="14"/>
                <w:szCs w:val="14"/>
                <w:b w:val="1"/>
                <w:bCs w:val="1"/>
                <w:color w:val="FFFFFF"/>
              </w:rPr>
              <w:t>Year</w:t>
            </w:r>
          </w:p>
        </w:tc>
        <w:tc>
          <w:tcPr>
            <w:tcW w:w="520" w:type="dxa"/>
            <w:vAlign w:val="bottom"/>
            <w:tcBorders>
              <w:top w:val="single" w:sz="8" w:color="3465B0"/>
            </w:tcBorders>
            <w:shd w:val="clear" w:color="auto" w:fill="3465B0"/>
          </w:tcPr>
          <w:p>
            <w:pPr>
              <w:spacing w:after="0"/>
              <w:rPr>
                <w:sz w:val="24"/>
                <w:szCs w:val="24"/>
                <w:color w:val="auto"/>
              </w:rPr>
            </w:pPr>
          </w:p>
        </w:tc>
        <w:tc>
          <w:tcPr>
            <w:tcW w:w="1100" w:type="dxa"/>
            <w:vAlign w:val="bottom"/>
            <w:tcBorders>
              <w:top w:val="single" w:sz="8" w:color="3465B0"/>
              <w:right w:val="single" w:sz="8" w:color="93A1D2"/>
            </w:tcBorders>
            <w:shd w:val="clear" w:color="auto" w:fill="3465B0"/>
          </w:tcPr>
          <w:p>
            <w:pPr>
              <w:jc w:val="center"/>
              <w:ind w:right="488"/>
              <w:spacing w:after="0"/>
              <w:rPr>
                <w:sz w:val="20"/>
                <w:szCs w:val="20"/>
                <w:color w:val="auto"/>
              </w:rPr>
            </w:pPr>
            <w:r>
              <w:rPr>
                <w:rFonts w:ascii="Arial" w:cs="Arial" w:eastAsia="Arial" w:hAnsi="Arial"/>
                <w:sz w:val="14"/>
                <w:szCs w:val="14"/>
                <w:b w:val="1"/>
                <w:bCs w:val="1"/>
                <w:color w:val="FFFFFF"/>
              </w:rPr>
              <w:t>PEO</w:t>
            </w:r>
          </w:p>
        </w:tc>
        <w:tc>
          <w:tcPr>
            <w:tcW w:w="6400" w:type="dxa"/>
            <w:vAlign w:val="bottom"/>
            <w:tcBorders>
              <w:top w:val="single" w:sz="8" w:color="3465B0"/>
              <w:right w:val="single" w:sz="8" w:color="3465B0"/>
            </w:tcBorders>
            <w:shd w:val="clear" w:color="auto" w:fill="3465B0"/>
          </w:tcPr>
          <w:p>
            <w:pPr>
              <w:jc w:val="center"/>
              <w:spacing w:after="0"/>
              <w:rPr>
                <w:sz w:val="20"/>
                <w:szCs w:val="20"/>
                <w:color w:val="auto"/>
              </w:rPr>
            </w:pPr>
            <w:r>
              <w:rPr>
                <w:rFonts w:ascii="Arial" w:cs="Arial" w:eastAsia="Arial" w:hAnsi="Arial"/>
                <w:sz w:val="14"/>
                <w:szCs w:val="14"/>
                <w:b w:val="1"/>
                <w:bCs w:val="1"/>
                <w:color w:val="FFFFFF"/>
              </w:rPr>
              <w:t>Non-PEO NEOs</w:t>
            </w:r>
          </w:p>
        </w:tc>
      </w:tr>
      <w:tr>
        <w:trPr>
          <w:trHeight w:val="190"/>
        </w:trPr>
        <w:tc>
          <w:tcPr>
            <w:tcW w:w="780" w:type="dxa"/>
            <w:vAlign w:val="bottom"/>
            <w:tcBorders>
              <w:left w:val="single" w:sz="8" w:color="3465B0"/>
              <w:right w:val="single" w:sz="8" w:color="93A1D2"/>
            </w:tcBorders>
            <w:gridSpan w:val="2"/>
          </w:tcPr>
          <w:p>
            <w:pPr>
              <w:ind w:left="120"/>
              <w:spacing w:after="0"/>
              <w:rPr>
                <w:sz w:val="20"/>
                <w:szCs w:val="20"/>
                <w:color w:val="auto"/>
              </w:rPr>
            </w:pPr>
            <w:r>
              <w:rPr>
                <w:rFonts w:ascii="Arial" w:cs="Arial" w:eastAsia="Arial" w:hAnsi="Arial"/>
                <w:sz w:val="14"/>
                <w:szCs w:val="14"/>
                <w:color w:val="auto"/>
              </w:rPr>
              <w:t>2025</w:t>
            </w:r>
          </w:p>
        </w:tc>
        <w:tc>
          <w:tcPr>
            <w:tcW w:w="1620" w:type="dxa"/>
            <w:vAlign w:val="bottom"/>
            <w:tcBorders>
              <w:right w:val="single" w:sz="8" w:color="93A1D2"/>
            </w:tcBorders>
            <w:gridSpan w:val="2"/>
          </w:tcPr>
          <w:p>
            <w:pPr>
              <w:jc w:val="center"/>
              <w:spacing w:after="0"/>
              <w:rPr>
                <w:sz w:val="20"/>
                <w:szCs w:val="20"/>
                <w:color w:val="auto"/>
              </w:rPr>
            </w:pPr>
            <w:r>
              <w:rPr>
                <w:rFonts w:ascii="Arial" w:cs="Arial" w:eastAsia="Arial" w:hAnsi="Arial"/>
                <w:sz w:val="14"/>
                <w:szCs w:val="14"/>
                <w:color w:val="auto"/>
              </w:rPr>
              <w:t>L. Reade Fahs,</w:t>
            </w:r>
          </w:p>
        </w:tc>
        <w:tc>
          <w:tcPr>
            <w:tcW w:w="6400" w:type="dxa"/>
            <w:vAlign w:val="bottom"/>
            <w:tcBorders>
              <w:right w:val="single" w:sz="8" w:color="3465B0"/>
            </w:tcBorders>
          </w:tcPr>
          <w:p>
            <w:pPr>
              <w:jc w:val="center"/>
              <w:ind w:right="28"/>
              <w:spacing w:after="0"/>
              <w:rPr>
                <w:sz w:val="20"/>
                <w:szCs w:val="20"/>
                <w:color w:val="auto"/>
              </w:rPr>
            </w:pPr>
            <w:r>
              <w:rPr>
                <w:rFonts w:ascii="Arial" w:cs="Arial" w:eastAsia="Arial" w:hAnsi="Arial"/>
                <w:sz w:val="14"/>
                <w:szCs w:val="14"/>
                <w:color w:val="auto"/>
              </w:rPr>
              <w:t>Christopher J. Laden, Mark S. Banner, Jared Brandman, Bill Clark, Patrick R. Moore,</w:t>
            </w:r>
          </w:p>
        </w:tc>
      </w:tr>
      <w:tr>
        <w:trPr>
          <w:trHeight w:val="242"/>
        </w:trPr>
        <w:tc>
          <w:tcPr>
            <w:tcW w:w="80" w:type="dxa"/>
            <w:vAlign w:val="bottom"/>
            <w:tcBorders>
              <w:left w:val="single" w:sz="8" w:color="3465B0"/>
            </w:tcBorders>
          </w:tcPr>
          <w:p>
            <w:pPr>
              <w:spacing w:after="0"/>
              <w:rPr>
                <w:sz w:val="21"/>
                <w:szCs w:val="21"/>
                <w:color w:val="auto"/>
              </w:rPr>
            </w:pPr>
          </w:p>
        </w:tc>
        <w:tc>
          <w:tcPr>
            <w:tcW w:w="700" w:type="dxa"/>
            <w:vAlign w:val="bottom"/>
            <w:tcBorders>
              <w:right w:val="single" w:sz="8" w:color="93A1D2"/>
            </w:tcBorders>
          </w:tcPr>
          <w:p>
            <w:pPr>
              <w:spacing w:after="0"/>
              <w:rPr>
                <w:sz w:val="21"/>
                <w:szCs w:val="21"/>
                <w:color w:val="auto"/>
              </w:rPr>
            </w:pPr>
          </w:p>
        </w:tc>
        <w:tc>
          <w:tcPr>
            <w:tcW w:w="1620" w:type="dxa"/>
            <w:vAlign w:val="bottom"/>
            <w:tcBorders>
              <w:right w:val="single" w:sz="8" w:color="93A1D2"/>
            </w:tcBorders>
            <w:gridSpan w:val="2"/>
          </w:tcPr>
          <w:p>
            <w:pPr>
              <w:jc w:val="center"/>
              <w:spacing w:after="0" w:line="242" w:lineRule="exact"/>
              <w:rPr>
                <w:sz w:val="20"/>
                <w:szCs w:val="20"/>
                <w:color w:val="auto"/>
              </w:rPr>
            </w:pPr>
            <w:r>
              <w:rPr>
                <w:rFonts w:ascii="Arial" w:cs="Arial" w:eastAsia="Arial" w:hAnsi="Arial"/>
                <w:sz w:val="14"/>
                <w:szCs w:val="14"/>
                <w:color w:val="auto"/>
                <w:w w:val="99"/>
              </w:rPr>
              <w:t>Alexander N. Wilkes</w:t>
            </w:r>
            <w:r>
              <w:rPr>
                <w:rFonts w:ascii="Arial" w:cs="Arial" w:eastAsia="Arial" w:hAnsi="Arial"/>
                <w:sz w:val="23"/>
                <w:szCs w:val="23"/>
                <w:color w:val="auto"/>
                <w:w w:val="99"/>
                <w:vertAlign w:val="superscript"/>
              </w:rPr>
              <w:t>(a)</w:t>
            </w:r>
          </w:p>
        </w:tc>
        <w:tc>
          <w:tcPr>
            <w:tcW w:w="6400" w:type="dxa"/>
            <w:vAlign w:val="bottom"/>
            <w:tcBorders>
              <w:right w:val="single" w:sz="8" w:color="3465B0"/>
            </w:tcBorders>
          </w:tcPr>
          <w:p>
            <w:pPr>
              <w:jc w:val="center"/>
              <w:spacing w:after="0"/>
              <w:rPr>
                <w:sz w:val="20"/>
                <w:szCs w:val="20"/>
                <w:color w:val="auto"/>
              </w:rPr>
            </w:pPr>
            <w:r>
              <w:rPr>
                <w:rFonts w:ascii="Arial" w:cs="Arial" w:eastAsia="Arial" w:hAnsi="Arial"/>
                <w:sz w:val="14"/>
                <w:szCs w:val="14"/>
                <w:color w:val="auto"/>
              </w:rPr>
              <w:t>Melissa Rasmussen</w:t>
            </w:r>
          </w:p>
        </w:tc>
      </w:tr>
      <w:tr>
        <w:trPr>
          <w:trHeight w:val="209"/>
        </w:trPr>
        <w:tc>
          <w:tcPr>
            <w:tcW w:w="780" w:type="dxa"/>
            <w:vAlign w:val="bottom"/>
            <w:tcBorders>
              <w:left w:val="single" w:sz="8" w:color="3465B0"/>
              <w:bottom w:val="single" w:sz="8" w:color="CCCCCC"/>
              <w:right w:val="single" w:sz="8" w:color="93A1D2"/>
            </w:tcBorders>
            <w:gridSpan w:val="2"/>
            <w:shd w:val="clear" w:color="auto" w:fill="CCCCCC"/>
          </w:tcPr>
          <w:p>
            <w:pPr>
              <w:ind w:left="120"/>
              <w:spacing w:after="0"/>
              <w:rPr>
                <w:sz w:val="20"/>
                <w:szCs w:val="20"/>
                <w:color w:val="auto"/>
              </w:rPr>
            </w:pPr>
            <w:r>
              <w:rPr>
                <w:rFonts w:ascii="Arial" w:cs="Arial" w:eastAsia="Arial" w:hAnsi="Arial"/>
                <w:sz w:val="14"/>
                <w:szCs w:val="14"/>
                <w:color w:val="auto"/>
              </w:rPr>
              <w:t>2024</w:t>
            </w:r>
          </w:p>
        </w:tc>
        <w:tc>
          <w:tcPr>
            <w:tcW w:w="1620" w:type="dxa"/>
            <w:vAlign w:val="bottom"/>
            <w:tcBorders>
              <w:bottom w:val="single" w:sz="8" w:color="CCCCCC"/>
              <w:right w:val="single" w:sz="8" w:color="93A1D2"/>
            </w:tcBorders>
            <w:gridSpan w:val="2"/>
            <w:shd w:val="clear" w:color="auto" w:fill="CCCCCC"/>
          </w:tcPr>
          <w:p>
            <w:pPr>
              <w:jc w:val="center"/>
              <w:spacing w:after="0"/>
              <w:rPr>
                <w:sz w:val="20"/>
                <w:szCs w:val="20"/>
                <w:color w:val="auto"/>
              </w:rPr>
            </w:pPr>
            <w:r>
              <w:rPr>
                <w:rFonts w:ascii="Arial" w:cs="Arial" w:eastAsia="Arial" w:hAnsi="Arial"/>
                <w:sz w:val="14"/>
                <w:szCs w:val="14"/>
                <w:color w:val="auto"/>
              </w:rPr>
              <w:t>L. Reade Fahs</w:t>
            </w:r>
          </w:p>
        </w:tc>
        <w:tc>
          <w:tcPr>
            <w:tcW w:w="6400" w:type="dxa"/>
            <w:vAlign w:val="bottom"/>
            <w:tcBorders>
              <w:bottom w:val="single" w:sz="8" w:color="CCCCCC"/>
              <w:right w:val="single" w:sz="8" w:color="3465B0"/>
            </w:tcBorders>
            <w:shd w:val="clear" w:color="auto" w:fill="CCCCCC"/>
          </w:tcPr>
          <w:p>
            <w:pPr>
              <w:jc w:val="center"/>
              <w:spacing w:after="0"/>
              <w:rPr>
                <w:sz w:val="20"/>
                <w:szCs w:val="20"/>
                <w:color w:val="auto"/>
              </w:rPr>
            </w:pPr>
            <w:r>
              <w:rPr>
                <w:rFonts w:ascii="Arial" w:cs="Arial" w:eastAsia="Arial" w:hAnsi="Arial"/>
                <w:sz w:val="14"/>
                <w:szCs w:val="14"/>
                <w:color w:val="auto"/>
              </w:rPr>
              <w:t>Melissa Rasmussen, Alexander N. Wilkes, Patrick R. Moore, Mark S. Banner</w:t>
            </w:r>
          </w:p>
        </w:tc>
      </w:tr>
      <w:tr>
        <w:trPr>
          <w:trHeight w:val="208"/>
        </w:trPr>
        <w:tc>
          <w:tcPr>
            <w:tcW w:w="780" w:type="dxa"/>
            <w:vAlign w:val="bottom"/>
            <w:tcBorders>
              <w:left w:val="single" w:sz="8" w:color="3465B0"/>
              <w:right w:val="single" w:sz="8" w:color="93A1D2"/>
            </w:tcBorders>
            <w:gridSpan w:val="2"/>
          </w:tcPr>
          <w:p>
            <w:pPr>
              <w:ind w:left="120"/>
              <w:spacing w:after="0"/>
              <w:rPr>
                <w:sz w:val="20"/>
                <w:szCs w:val="20"/>
                <w:color w:val="auto"/>
              </w:rPr>
            </w:pPr>
            <w:r>
              <w:rPr>
                <w:rFonts w:ascii="Arial" w:cs="Arial" w:eastAsia="Arial" w:hAnsi="Arial"/>
                <w:sz w:val="14"/>
                <w:szCs w:val="14"/>
                <w:color w:val="auto"/>
              </w:rPr>
              <w:t>2023</w:t>
            </w:r>
          </w:p>
        </w:tc>
        <w:tc>
          <w:tcPr>
            <w:tcW w:w="1620" w:type="dxa"/>
            <w:vAlign w:val="bottom"/>
            <w:tcBorders>
              <w:right w:val="single" w:sz="8" w:color="93A1D2"/>
            </w:tcBorders>
            <w:gridSpan w:val="2"/>
          </w:tcPr>
          <w:p>
            <w:pPr>
              <w:jc w:val="center"/>
              <w:spacing w:after="0"/>
              <w:rPr>
                <w:sz w:val="20"/>
                <w:szCs w:val="20"/>
                <w:color w:val="auto"/>
              </w:rPr>
            </w:pPr>
            <w:r>
              <w:rPr>
                <w:rFonts w:ascii="Arial" w:cs="Arial" w:eastAsia="Arial" w:hAnsi="Arial"/>
                <w:sz w:val="14"/>
                <w:szCs w:val="14"/>
                <w:color w:val="auto"/>
              </w:rPr>
              <w:t>L. Reade Fahs</w:t>
            </w:r>
          </w:p>
        </w:tc>
        <w:tc>
          <w:tcPr>
            <w:tcW w:w="6400" w:type="dxa"/>
            <w:vAlign w:val="bottom"/>
            <w:tcBorders>
              <w:right w:val="single" w:sz="8" w:color="3465B0"/>
            </w:tcBorders>
          </w:tcPr>
          <w:p>
            <w:pPr>
              <w:jc w:val="center"/>
              <w:spacing w:after="0"/>
              <w:rPr>
                <w:sz w:val="20"/>
                <w:szCs w:val="20"/>
                <w:color w:val="auto"/>
              </w:rPr>
            </w:pPr>
            <w:r>
              <w:rPr>
                <w:rFonts w:ascii="Arial" w:cs="Arial" w:eastAsia="Arial" w:hAnsi="Arial"/>
                <w:sz w:val="14"/>
                <w:szCs w:val="14"/>
                <w:color w:val="auto"/>
              </w:rPr>
              <w:t>Melissa Rasmussen, Patrick R. Moore, Jared Brandman, Bill Clark</w:t>
            </w:r>
          </w:p>
        </w:tc>
      </w:tr>
      <w:tr>
        <w:trPr>
          <w:trHeight w:val="22"/>
        </w:trPr>
        <w:tc>
          <w:tcPr>
            <w:tcW w:w="780" w:type="dxa"/>
            <w:vAlign w:val="bottom"/>
            <w:tcBorders>
              <w:left w:val="single" w:sz="8" w:color="3465B0"/>
              <w:right w:val="single" w:sz="8" w:color="93A1D2"/>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Borders>
              <w:right w:val="single" w:sz="8" w:color="93A1D2"/>
            </w:tcBorders>
          </w:tcPr>
          <w:p>
            <w:pPr>
              <w:spacing w:after="0" w:line="20" w:lineRule="exact"/>
              <w:rPr>
                <w:sz w:val="1"/>
                <w:szCs w:val="1"/>
                <w:color w:val="auto"/>
              </w:rPr>
            </w:pPr>
          </w:p>
        </w:tc>
        <w:tc>
          <w:tcPr>
            <w:tcW w:w="6400" w:type="dxa"/>
            <w:vAlign w:val="bottom"/>
            <w:tcBorders>
              <w:right w:val="single" w:sz="8" w:color="3465B0"/>
            </w:tcBorders>
          </w:tcPr>
          <w:p>
            <w:pPr>
              <w:spacing w:after="0" w:line="20" w:lineRule="exact"/>
              <w:rPr>
                <w:sz w:val="1"/>
                <w:szCs w:val="1"/>
                <w:color w:val="auto"/>
              </w:rPr>
            </w:pPr>
          </w:p>
        </w:tc>
      </w:tr>
      <w:tr>
        <w:trPr>
          <w:trHeight w:val="209"/>
        </w:trPr>
        <w:tc>
          <w:tcPr>
            <w:tcW w:w="780" w:type="dxa"/>
            <w:vAlign w:val="bottom"/>
            <w:tcBorders>
              <w:left w:val="single" w:sz="8" w:color="3465B0"/>
              <w:bottom w:val="single" w:sz="8" w:color="CCCCCC"/>
              <w:right w:val="single" w:sz="8" w:color="93A1D2"/>
            </w:tcBorders>
            <w:gridSpan w:val="2"/>
            <w:shd w:val="clear" w:color="auto" w:fill="CCCCCC"/>
          </w:tcPr>
          <w:p>
            <w:pPr>
              <w:ind w:left="120"/>
              <w:spacing w:after="0"/>
              <w:rPr>
                <w:sz w:val="20"/>
                <w:szCs w:val="20"/>
                <w:color w:val="auto"/>
              </w:rPr>
            </w:pPr>
            <w:r>
              <w:rPr>
                <w:rFonts w:ascii="Arial" w:cs="Arial" w:eastAsia="Arial" w:hAnsi="Arial"/>
                <w:sz w:val="14"/>
                <w:szCs w:val="14"/>
                <w:color w:val="auto"/>
              </w:rPr>
              <w:t>2022</w:t>
            </w:r>
          </w:p>
        </w:tc>
        <w:tc>
          <w:tcPr>
            <w:tcW w:w="1620" w:type="dxa"/>
            <w:vAlign w:val="bottom"/>
            <w:tcBorders>
              <w:bottom w:val="single" w:sz="8" w:color="CCCCCC"/>
              <w:right w:val="single" w:sz="8" w:color="93A1D2"/>
            </w:tcBorders>
            <w:gridSpan w:val="2"/>
            <w:shd w:val="clear" w:color="auto" w:fill="CCCCCC"/>
          </w:tcPr>
          <w:p>
            <w:pPr>
              <w:jc w:val="center"/>
              <w:spacing w:after="0"/>
              <w:rPr>
                <w:sz w:val="20"/>
                <w:szCs w:val="20"/>
                <w:color w:val="auto"/>
              </w:rPr>
            </w:pPr>
            <w:r>
              <w:rPr>
                <w:rFonts w:ascii="Arial" w:cs="Arial" w:eastAsia="Arial" w:hAnsi="Arial"/>
                <w:sz w:val="14"/>
                <w:szCs w:val="14"/>
                <w:color w:val="auto"/>
              </w:rPr>
              <w:t>L. Reade Fahs</w:t>
            </w:r>
          </w:p>
        </w:tc>
        <w:tc>
          <w:tcPr>
            <w:tcW w:w="6400" w:type="dxa"/>
            <w:vAlign w:val="bottom"/>
            <w:tcBorders>
              <w:bottom w:val="single" w:sz="8" w:color="CCCCCC"/>
              <w:right w:val="single" w:sz="8" w:color="3465B0"/>
            </w:tcBorders>
            <w:shd w:val="clear" w:color="auto" w:fill="CCCCCC"/>
          </w:tcPr>
          <w:p>
            <w:pPr>
              <w:jc w:val="center"/>
              <w:spacing w:after="0"/>
              <w:rPr>
                <w:sz w:val="20"/>
                <w:szCs w:val="20"/>
                <w:color w:val="auto"/>
              </w:rPr>
            </w:pPr>
            <w:r>
              <w:rPr>
                <w:rFonts w:ascii="Arial" w:cs="Arial" w:eastAsia="Arial" w:hAnsi="Arial"/>
                <w:sz w:val="14"/>
                <w:szCs w:val="14"/>
                <w:color w:val="auto"/>
              </w:rPr>
              <w:t>Patrick R. Moore, Jared Brandman, Bill Clark, Joseph VanDette, Roger Francis</w:t>
            </w:r>
          </w:p>
        </w:tc>
      </w:tr>
      <w:tr>
        <w:trPr>
          <w:trHeight w:val="199"/>
        </w:trPr>
        <w:tc>
          <w:tcPr>
            <w:tcW w:w="780" w:type="dxa"/>
            <w:vAlign w:val="bottom"/>
            <w:tcBorders>
              <w:left w:val="single" w:sz="8" w:color="3465B0"/>
              <w:bottom w:val="single" w:sz="8" w:color="3465B0"/>
              <w:right w:val="single" w:sz="8" w:color="93A1D2"/>
            </w:tcBorders>
            <w:gridSpan w:val="2"/>
          </w:tcPr>
          <w:p>
            <w:pPr>
              <w:ind w:left="120"/>
              <w:spacing w:after="0"/>
              <w:rPr>
                <w:sz w:val="20"/>
                <w:szCs w:val="20"/>
                <w:color w:val="auto"/>
              </w:rPr>
            </w:pPr>
            <w:r>
              <w:rPr>
                <w:rFonts w:ascii="Arial" w:cs="Arial" w:eastAsia="Arial" w:hAnsi="Arial"/>
                <w:sz w:val="14"/>
                <w:szCs w:val="14"/>
                <w:color w:val="auto"/>
              </w:rPr>
              <w:t>2021</w:t>
            </w:r>
          </w:p>
        </w:tc>
        <w:tc>
          <w:tcPr>
            <w:tcW w:w="1620" w:type="dxa"/>
            <w:vAlign w:val="bottom"/>
            <w:tcBorders>
              <w:bottom w:val="single" w:sz="8" w:color="3465B0"/>
              <w:right w:val="single" w:sz="8" w:color="93A1D2"/>
            </w:tcBorders>
            <w:gridSpan w:val="2"/>
          </w:tcPr>
          <w:p>
            <w:pPr>
              <w:jc w:val="center"/>
              <w:spacing w:after="0"/>
              <w:rPr>
                <w:sz w:val="20"/>
                <w:szCs w:val="20"/>
                <w:color w:val="auto"/>
              </w:rPr>
            </w:pPr>
            <w:r>
              <w:rPr>
                <w:rFonts w:ascii="Arial" w:cs="Arial" w:eastAsia="Arial" w:hAnsi="Arial"/>
                <w:sz w:val="14"/>
                <w:szCs w:val="14"/>
                <w:color w:val="auto"/>
              </w:rPr>
              <w:t>L. Reade Fahs</w:t>
            </w:r>
          </w:p>
        </w:tc>
        <w:tc>
          <w:tcPr>
            <w:tcW w:w="6400" w:type="dxa"/>
            <w:vAlign w:val="bottom"/>
            <w:tcBorders>
              <w:bottom w:val="single" w:sz="8" w:color="3465B0"/>
              <w:right w:val="single" w:sz="8" w:color="3465B0"/>
            </w:tcBorders>
          </w:tcPr>
          <w:p>
            <w:pPr>
              <w:jc w:val="center"/>
              <w:ind w:right="8"/>
              <w:spacing w:after="0"/>
              <w:rPr>
                <w:sz w:val="20"/>
                <w:szCs w:val="20"/>
                <w:color w:val="auto"/>
              </w:rPr>
            </w:pPr>
            <w:r>
              <w:rPr>
                <w:rFonts w:ascii="Arial" w:cs="Arial" w:eastAsia="Arial" w:hAnsi="Arial"/>
                <w:sz w:val="14"/>
                <w:szCs w:val="14"/>
                <w:color w:val="auto"/>
              </w:rPr>
              <w:t>Patrick R. Moore, Roger Francis, Jared Brandman, Bill Clark</w:t>
            </w:r>
          </w:p>
        </w:tc>
      </w:tr>
      <w:tr>
        <w:trPr>
          <w:trHeight w:val="186"/>
        </w:trPr>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6400" w:type="dxa"/>
            <w:vAlign w:val="bottom"/>
          </w:tcPr>
          <w:p>
            <w:pPr>
              <w:spacing w:after="0"/>
              <w:rPr>
                <w:sz w:val="16"/>
                <w:szCs w:val="16"/>
                <w:color w:val="auto"/>
              </w:rPr>
            </w:pPr>
          </w:p>
        </w:tc>
      </w:tr>
    </w:tbl>
    <w:p>
      <w:pPr>
        <w:spacing w:after="0" w:line="153" w:lineRule="exact"/>
        <w:rPr>
          <w:sz w:val="20"/>
          <w:szCs w:val="20"/>
          <w:color w:val="auto"/>
        </w:rPr>
      </w:pPr>
    </w:p>
    <w:p>
      <w:pPr>
        <w:ind w:left="1640" w:hanging="348"/>
        <w:spacing w:after="0"/>
        <w:tabs>
          <w:tab w:leader="none" w:pos="1640" w:val="left"/>
        </w:tabs>
        <w:numPr>
          <w:ilvl w:val="1"/>
          <w:numId w:val="76"/>
        </w:numPr>
        <w:rPr>
          <w:rFonts w:ascii="Arial" w:cs="Arial" w:eastAsia="Arial" w:hAnsi="Arial"/>
          <w:sz w:val="14"/>
          <w:szCs w:val="14"/>
          <w:color w:val="auto"/>
        </w:rPr>
      </w:pPr>
      <w:r>
        <w:rPr>
          <w:rFonts w:ascii="Arial" w:cs="Arial" w:eastAsia="Arial" w:hAnsi="Arial"/>
          <w:sz w:val="14"/>
          <w:szCs w:val="14"/>
          <w:color w:val="auto"/>
        </w:rPr>
        <w:t>Mr. Wilkes was appointed CEO effective August 1, 2025, at which point Mr. Fahs ceased to be the Company’s CEO.</w:t>
      </w:r>
    </w:p>
    <w:p>
      <w:pPr>
        <w:spacing w:after="0" w:line="109" w:lineRule="exact"/>
        <w:rPr>
          <w:rFonts w:ascii="Arial" w:cs="Arial" w:eastAsia="Arial" w:hAnsi="Arial"/>
          <w:sz w:val="14"/>
          <w:szCs w:val="14"/>
          <w:color w:val="auto"/>
        </w:rPr>
      </w:pPr>
    </w:p>
    <w:p>
      <w:pPr>
        <w:jc w:val="both"/>
        <w:ind w:left="1280" w:right="940" w:hanging="348"/>
        <w:spacing w:after="0" w:line="243" w:lineRule="auto"/>
        <w:tabs>
          <w:tab w:leader="none" w:pos="12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Fair value or change in fair value, as applicable, of equity awards in the “Compensation Actually Paid” columns was determined by reference to (1) for stock options, the fair value calculated using the Black-Scholes-Merton option pricing model as of the applicable year-end or vesting date(s), determined based on the same methodology as used to determine grant date fair values but using the closing stock price on the applicable revaluation date as the current market price and the volatility, dividend rates, expected term and risk free interest rates determined as of the revaluation date, (2) for RSU awards, closing price on applicable year-end dates or, in the case of vesting dates, the actual vesting price, and (3) for PSU awards, the same valuation methodology as RSU awards above except year-end and vesting date values are multiplied by the probability of achievement as of each such date. The estimated probability of achievement of the 2019 PSUs, which were based on Adjusted EBITDA growth, was 117% at fiscal year end (“FYE”) 2019, 122% at FYE 2020, and 155% at FYE 2021, and the actual achievement at vesting in 2022 was 155%. The estimated probability of achievement of the 2020 PSUs, which were based on Adjusted EBITDA growth, was 108% at FYE 2020, 108% at FYE 2021, and 108% at FYE 2022, and the actual achievement at vesting in 2023 was 108%. The estimated probability of achievement of the 2021 PSUs which are based on growth in Adjusted Operating Income and ROIC, was 100% at FYE 2021, 67% at FYE 2022, and 67% at FYE 2023, and the actual achievement at vesting in 2024 was 67%. The estimated probability of achievement of the 2022 PSUs, which are based on growth in Adjusted Operating Income and ROIC, was 33% at FYE 2022, 33% at FYE 2023, and 0% at FYE 2024, and the actual achievement at vesting in 2025 was 0%. The estimated probability of achievement of the 2023 PSUs, which are based on growth in Adjusted Operating Income and ROIC, was 133% at FYE 2023, 100% at FYE 2024, and 133.3% at FYE 2025, and the actual achievement at vesting in 2026 was 133.3%. The estimated probability of achievement of the 2024 PSUs, which are based on growth in Adjusted Operating Income and ROIC, was 76% at FYE 2024 and 100% at FYE 2025. The estimated probably of achievement of the 2025 PSUs, which are based on Adjusted Operating Income, ROIC and Relative Total Shareholder Return, was 148.3% at FYE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62230</wp:posOffset>
            </wp:positionV>
            <wp:extent cx="205740" cy="2057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61</w:t>
            </w:r>
          </w:p>
        </w:tc>
      </w:tr>
      <w:tr>
        <w:trPr>
          <w:trHeight w:val="257"/>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68" w:name="page69"/>
    <w:bookmarkEnd w:id="68"/>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102870</wp:posOffset>
            </wp:positionV>
            <wp:extent cx="5734685" cy="431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ind w:left="920"/>
        <w:spacing w:after="0"/>
        <w:rPr>
          <w:sz w:val="20"/>
          <w:szCs w:val="20"/>
          <w:color w:val="auto"/>
        </w:rPr>
      </w:pPr>
      <w:r>
        <w:rPr>
          <w:sz w:val="1"/>
          <w:szCs w:val="1"/>
          <w:color w:val="auto"/>
        </w:rPr>
        <w:drawing>
          <wp:inline distT="0" distB="0" distL="0" distR="0">
            <wp:extent cx="68580" cy="18034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180340"/>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-144145</wp:posOffset>
            </wp:positionV>
            <wp:extent cx="5734685"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53" w:lineRule="exact"/>
        <w:rPr>
          <w:sz w:val="20"/>
          <w:szCs w:val="20"/>
          <w:color w:val="auto"/>
        </w:rPr>
      </w:pPr>
    </w:p>
    <w:p>
      <w:pPr>
        <w:ind w:left="1280" w:right="960" w:hanging="348"/>
        <w:spacing w:after="0" w:line="285" w:lineRule="auto"/>
        <w:tabs>
          <w:tab w:leader="none" w:pos="12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As required by SEC rules, “compensation actually paid” to each of our PEOs for the fiscal year indicated reflect the following adjustments from Total Compensation reported in the Summary Compensation Table. Mr. Wilkes was appointed PEO as of August 1, 2025.</w:t>
      </w:r>
    </w:p>
    <w:tbl>
      <w:tblPr>
        <w:tblLayout w:type="fixed"/>
        <w:tblInd w:w="0" w:type="dxa"/>
        <w:tblCellMar>
          <w:top w:w="0" w:type="dxa"/>
          <w:left w:w="0" w:type="dxa"/>
          <w:bottom w:w="0" w:type="dxa"/>
          <w:right w:w="0" w:type="dxa"/>
        </w:tblCellMar>
      </w:tblPr>
      <w:tr>
        <w:trPr>
          <w:trHeight w:val="322"/>
        </w:trPr>
        <w:tc>
          <w:tcPr>
            <w:tcW w:w="1340" w:type="dxa"/>
            <w:vAlign w:val="bottom"/>
            <w:tcBorders>
              <w:right w:val="single" w:sz="8" w:color="3465B0"/>
            </w:tcBorders>
          </w:tcPr>
          <w:p>
            <w:pPr>
              <w:spacing w:after="0"/>
              <w:rPr>
                <w:sz w:val="24"/>
                <w:szCs w:val="24"/>
                <w:color w:val="auto"/>
              </w:rPr>
            </w:pPr>
          </w:p>
        </w:tc>
        <w:tc>
          <w:tcPr>
            <w:tcW w:w="3180" w:type="dxa"/>
            <w:vAlign w:val="bottom"/>
            <w:tcBorders>
              <w:top w:val="single" w:sz="8" w:color="3465B0"/>
              <w:right w:val="single" w:sz="8" w:color="3465B0"/>
            </w:tcBorders>
            <w:shd w:val="clear" w:color="auto" w:fill="3465B0"/>
          </w:tcPr>
          <w:p>
            <w:pPr>
              <w:ind w:left="40"/>
              <w:spacing w:after="0"/>
              <w:rPr>
                <w:sz w:val="20"/>
                <w:szCs w:val="20"/>
                <w:color w:val="auto"/>
              </w:rPr>
            </w:pPr>
            <w:r>
              <w:rPr>
                <w:rFonts w:ascii="Arial" w:cs="Arial" w:eastAsia="Arial" w:hAnsi="Arial"/>
                <w:sz w:val="14"/>
                <w:szCs w:val="14"/>
                <w:b w:val="1"/>
                <w:bCs w:val="1"/>
                <w:color w:val="FFFFFF"/>
              </w:rPr>
              <w:t>Alexander N. Wilkes</w:t>
            </w:r>
          </w:p>
        </w:tc>
        <w:tc>
          <w:tcPr>
            <w:tcW w:w="220" w:type="dxa"/>
            <w:vAlign w:val="bottom"/>
            <w:tcBorders>
              <w:top w:val="single" w:sz="8" w:color="3465B0"/>
            </w:tcBorders>
            <w:shd w:val="clear" w:color="auto" w:fill="3465B0"/>
          </w:tcPr>
          <w:p>
            <w:pPr>
              <w:spacing w:after="0"/>
              <w:rPr>
                <w:sz w:val="24"/>
                <w:szCs w:val="24"/>
                <w:color w:val="auto"/>
              </w:rPr>
            </w:pPr>
          </w:p>
        </w:tc>
        <w:tc>
          <w:tcPr>
            <w:tcW w:w="900" w:type="dxa"/>
            <w:vAlign w:val="bottom"/>
            <w:tcBorders>
              <w:top w:val="single" w:sz="8" w:color="3465B0"/>
              <w:right w:val="single" w:sz="8" w:color="3465B0"/>
            </w:tcBorders>
            <w:shd w:val="clear" w:color="auto" w:fill="3465B0"/>
          </w:tcPr>
          <w:p>
            <w:pPr>
              <w:jc w:val="right"/>
              <w:ind w:right="340"/>
              <w:spacing w:after="0"/>
              <w:rPr>
                <w:sz w:val="20"/>
                <w:szCs w:val="20"/>
                <w:color w:val="auto"/>
              </w:rPr>
            </w:pPr>
            <w:r>
              <w:rPr>
                <w:rFonts w:ascii="Arial" w:cs="Arial" w:eastAsia="Arial" w:hAnsi="Arial"/>
                <w:sz w:val="14"/>
                <w:szCs w:val="14"/>
                <w:b w:val="1"/>
                <w:bCs w:val="1"/>
                <w:color w:val="FFFFFF"/>
              </w:rPr>
              <w:t>2025</w:t>
            </w:r>
          </w:p>
        </w:tc>
        <w:tc>
          <w:tcPr>
            <w:tcW w:w="220" w:type="dxa"/>
            <w:vAlign w:val="bottom"/>
            <w:tcBorders>
              <w:top w:val="single" w:sz="8" w:color="3465B0"/>
            </w:tcBorders>
            <w:shd w:val="clear" w:color="auto" w:fill="3465B0"/>
          </w:tcPr>
          <w:p>
            <w:pPr>
              <w:spacing w:after="0"/>
              <w:rPr>
                <w:sz w:val="24"/>
                <w:szCs w:val="24"/>
                <w:color w:val="auto"/>
              </w:rPr>
            </w:pPr>
          </w:p>
        </w:tc>
        <w:tc>
          <w:tcPr>
            <w:tcW w:w="900" w:type="dxa"/>
            <w:vAlign w:val="bottom"/>
            <w:tcBorders>
              <w:top w:val="single" w:sz="8" w:color="3465B0"/>
              <w:right w:val="single" w:sz="8" w:color="3465B0"/>
            </w:tcBorders>
            <w:shd w:val="clear" w:color="auto" w:fill="3465B0"/>
          </w:tcPr>
          <w:p>
            <w:pPr>
              <w:jc w:val="right"/>
              <w:ind w:right="340"/>
              <w:spacing w:after="0"/>
              <w:rPr>
                <w:sz w:val="20"/>
                <w:szCs w:val="20"/>
                <w:color w:val="auto"/>
              </w:rPr>
            </w:pPr>
            <w:r>
              <w:rPr>
                <w:rFonts w:ascii="Arial" w:cs="Arial" w:eastAsia="Arial" w:hAnsi="Arial"/>
                <w:sz w:val="14"/>
                <w:szCs w:val="14"/>
                <w:b w:val="1"/>
                <w:bCs w:val="1"/>
                <w:color w:val="FFFFFF"/>
              </w:rPr>
              <w:t>2024</w:t>
            </w:r>
          </w:p>
        </w:tc>
        <w:tc>
          <w:tcPr>
            <w:tcW w:w="200" w:type="dxa"/>
            <w:vAlign w:val="bottom"/>
            <w:tcBorders>
              <w:top w:val="single" w:sz="8" w:color="3465B0"/>
            </w:tcBorders>
            <w:shd w:val="clear" w:color="auto" w:fill="3465B0"/>
          </w:tcPr>
          <w:p>
            <w:pPr>
              <w:spacing w:after="0"/>
              <w:rPr>
                <w:sz w:val="24"/>
                <w:szCs w:val="24"/>
                <w:color w:val="auto"/>
              </w:rPr>
            </w:pPr>
          </w:p>
        </w:tc>
        <w:tc>
          <w:tcPr>
            <w:tcW w:w="880" w:type="dxa"/>
            <w:vAlign w:val="bottom"/>
            <w:tcBorders>
              <w:top w:val="single" w:sz="8" w:color="3465B0"/>
              <w:right w:val="single" w:sz="8" w:color="3465B0"/>
            </w:tcBorders>
            <w:shd w:val="clear" w:color="auto" w:fill="3465B0"/>
          </w:tcPr>
          <w:p>
            <w:pPr>
              <w:jc w:val="right"/>
              <w:ind w:right="320"/>
              <w:spacing w:after="0"/>
              <w:rPr>
                <w:sz w:val="20"/>
                <w:szCs w:val="20"/>
                <w:color w:val="auto"/>
              </w:rPr>
            </w:pPr>
            <w:r>
              <w:rPr>
                <w:rFonts w:ascii="Arial" w:cs="Arial" w:eastAsia="Arial" w:hAnsi="Arial"/>
                <w:sz w:val="14"/>
                <w:szCs w:val="14"/>
                <w:b w:val="1"/>
                <w:bCs w:val="1"/>
                <w:color w:val="FFFFFF"/>
              </w:rPr>
              <w:t>2023</w:t>
            </w:r>
          </w:p>
        </w:tc>
        <w:tc>
          <w:tcPr>
            <w:tcW w:w="180" w:type="dxa"/>
            <w:vAlign w:val="bottom"/>
            <w:tcBorders>
              <w:top w:val="single" w:sz="8" w:color="3465B0"/>
            </w:tcBorders>
            <w:shd w:val="clear" w:color="auto" w:fill="3465B0"/>
          </w:tcPr>
          <w:p>
            <w:pPr>
              <w:spacing w:after="0"/>
              <w:rPr>
                <w:sz w:val="24"/>
                <w:szCs w:val="24"/>
                <w:color w:val="auto"/>
              </w:rPr>
            </w:pPr>
          </w:p>
        </w:tc>
        <w:tc>
          <w:tcPr>
            <w:tcW w:w="940" w:type="dxa"/>
            <w:vAlign w:val="bottom"/>
            <w:tcBorders>
              <w:top w:val="single" w:sz="8" w:color="3465B0"/>
              <w:right w:val="single" w:sz="8" w:color="3465B0"/>
            </w:tcBorders>
            <w:shd w:val="clear" w:color="auto" w:fill="3465B0"/>
          </w:tcPr>
          <w:p>
            <w:pPr>
              <w:jc w:val="right"/>
              <w:ind w:right="340"/>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top w:val="single" w:sz="8" w:color="3465B0"/>
            </w:tcBorders>
            <w:shd w:val="clear" w:color="auto" w:fill="3465B0"/>
          </w:tcPr>
          <w:p>
            <w:pPr>
              <w:spacing w:after="0"/>
              <w:rPr>
                <w:sz w:val="24"/>
                <w:szCs w:val="24"/>
                <w:color w:val="auto"/>
              </w:rPr>
            </w:pPr>
          </w:p>
        </w:tc>
        <w:tc>
          <w:tcPr>
            <w:tcW w:w="880" w:type="dxa"/>
            <w:vAlign w:val="bottom"/>
            <w:tcBorders>
              <w:top w:val="single" w:sz="8" w:color="3465B0"/>
              <w:right w:val="single" w:sz="8" w:color="3465B0"/>
            </w:tcBorders>
            <w:shd w:val="clear" w:color="auto" w:fill="3465B0"/>
          </w:tcPr>
          <w:p>
            <w:pPr>
              <w:jc w:val="right"/>
              <w:ind w:right="340"/>
              <w:spacing w:after="0"/>
              <w:rPr>
                <w:sz w:val="20"/>
                <w:szCs w:val="20"/>
                <w:color w:val="auto"/>
              </w:rPr>
            </w:pPr>
            <w:r>
              <w:rPr>
                <w:rFonts w:ascii="Arial" w:cs="Arial" w:eastAsia="Arial" w:hAnsi="Arial"/>
                <w:sz w:val="14"/>
                <w:szCs w:val="14"/>
                <w:b w:val="1"/>
                <w:bCs w:val="1"/>
                <w:color w:val="FFFFFF"/>
              </w:rPr>
              <w:t>2021</w:t>
            </w:r>
          </w:p>
        </w:tc>
        <w:tc>
          <w:tcPr>
            <w:tcW w:w="940" w:type="dxa"/>
            <w:vAlign w:val="bottom"/>
          </w:tcPr>
          <w:p>
            <w:pPr>
              <w:spacing w:after="0"/>
              <w:rPr>
                <w:sz w:val="24"/>
                <w:szCs w:val="24"/>
                <w:color w:val="auto"/>
              </w:rPr>
            </w:pPr>
          </w:p>
        </w:tc>
      </w:tr>
      <w:tr>
        <w:trPr>
          <w:trHeight w:val="215"/>
        </w:trPr>
        <w:tc>
          <w:tcPr>
            <w:tcW w:w="1340" w:type="dxa"/>
            <w:vAlign w:val="bottom"/>
            <w:tcBorders>
              <w:right w:val="single" w:sz="8" w:color="3465B0"/>
            </w:tcBorders>
          </w:tcPr>
          <w:p>
            <w:pPr>
              <w:spacing w:after="0"/>
              <w:rPr>
                <w:sz w:val="18"/>
                <w:szCs w:val="18"/>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b w:val="1"/>
                <w:bCs w:val="1"/>
                <w:color w:val="auto"/>
              </w:rPr>
              <w:t>Total Reported in Summary</w:t>
            </w:r>
          </w:p>
        </w:tc>
        <w:tc>
          <w:tcPr>
            <w:tcW w:w="220" w:type="dxa"/>
            <w:vAlign w:val="bottom"/>
          </w:tcPr>
          <w:p>
            <w:pPr>
              <w:spacing w:after="0"/>
              <w:rPr>
                <w:sz w:val="18"/>
                <w:szCs w:val="18"/>
                <w:color w:val="auto"/>
              </w:rPr>
            </w:pPr>
          </w:p>
        </w:tc>
        <w:tc>
          <w:tcPr>
            <w:tcW w:w="9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right w:val="single" w:sz="8" w:color="93A1D2"/>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93A1D2"/>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1340" w:type="dxa"/>
            <w:vAlign w:val="bottom"/>
            <w:tcBorders>
              <w:right w:val="single" w:sz="8" w:color="3465B0"/>
            </w:tcBorders>
          </w:tcPr>
          <w:p>
            <w:pPr>
              <w:spacing w:after="0"/>
              <w:rPr>
                <w:sz w:val="19"/>
                <w:szCs w:val="19"/>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b w:val="1"/>
                <w:bCs w:val="1"/>
                <w:color w:val="auto"/>
              </w:rPr>
              <w:t>Compensation Table (SCT)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rPr>
              <w:t>5,198,862</w:t>
            </w:r>
          </w:p>
        </w:tc>
        <w:tc>
          <w:tcPr>
            <w:tcW w:w="220" w:type="dxa"/>
            <w:vAlign w:val="bottom"/>
          </w:tcPr>
          <w:p>
            <w:pPr>
              <w:spacing w:after="0"/>
              <w:rPr>
                <w:sz w:val="19"/>
                <w:szCs w:val="19"/>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88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4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80" w:type="dxa"/>
            <w:vAlign w:val="bottom"/>
            <w:tcBorders>
              <w:right w:val="single" w:sz="8" w:color="3465B0"/>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spacing w:after="0"/>
              <w:rPr>
                <w:sz w:val="19"/>
                <w:szCs w:val="19"/>
                <w:color w:val="auto"/>
              </w:rPr>
            </w:pPr>
          </w:p>
        </w:tc>
      </w:tr>
      <w:tr>
        <w:trPr>
          <w:trHeight w:val="21"/>
        </w:trPr>
        <w:tc>
          <w:tcPr>
            <w:tcW w:w="1340" w:type="dxa"/>
            <w:vAlign w:val="bottom"/>
            <w:tcBorders>
              <w:right w:val="single" w:sz="8" w:color="3465B0"/>
            </w:tcBorders>
          </w:tcPr>
          <w:p>
            <w:pPr>
              <w:spacing w:after="0" w:line="20" w:lineRule="exact"/>
              <w:rPr>
                <w:sz w:val="1"/>
                <w:szCs w:val="1"/>
                <w:color w:val="auto"/>
              </w:rPr>
            </w:pPr>
          </w:p>
        </w:tc>
        <w:tc>
          <w:tcPr>
            <w:tcW w:w="3180" w:type="dxa"/>
            <w:vAlign w:val="bottom"/>
            <w:tcBorders>
              <w:right w:val="single" w:sz="8" w:color="93A1D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93A1D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93A1D2"/>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right w:val="single" w:sz="8" w:color="93A1D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right w:val="single" w:sz="8" w:color="93A1D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right w:val="single" w:sz="8" w:color="3465B0"/>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6"/>
                <w:szCs w:val="16"/>
                <w:color w:val="auto"/>
              </w:rPr>
              <w:t>Less, Value of Stock and Option Awards</w:t>
            </w: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880" w:type="dxa"/>
            <w:vAlign w:val="bottom"/>
            <w:tcBorders>
              <w:right w:val="single" w:sz="8" w:color="93A1D2"/>
            </w:tcBorders>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940" w:type="dxa"/>
            <w:vAlign w:val="bottom"/>
            <w:tcBorders>
              <w:right w:val="single" w:sz="8" w:color="93A1D2"/>
            </w:tcBorders>
            <w:shd w:val="clear" w:color="auto" w:fill="CCCCCC"/>
          </w:tcPr>
          <w:p>
            <w:pPr>
              <w:spacing w:after="0"/>
              <w:rPr>
                <w:sz w:val="17"/>
                <w:szCs w:val="17"/>
                <w:color w:val="auto"/>
              </w:rPr>
            </w:pPr>
          </w:p>
        </w:tc>
        <w:tc>
          <w:tcPr>
            <w:tcW w:w="240" w:type="dxa"/>
            <w:vAlign w:val="bottom"/>
            <w:shd w:val="clear" w:color="auto" w:fill="CCCCCC"/>
          </w:tcPr>
          <w:p>
            <w:pPr>
              <w:spacing w:after="0"/>
              <w:rPr>
                <w:sz w:val="17"/>
                <w:szCs w:val="17"/>
                <w:color w:val="auto"/>
              </w:rPr>
            </w:pPr>
          </w:p>
        </w:tc>
        <w:tc>
          <w:tcPr>
            <w:tcW w:w="880" w:type="dxa"/>
            <w:vAlign w:val="bottom"/>
            <w:tcBorders>
              <w:right w:val="single" w:sz="8" w:color="3465B0"/>
            </w:tcBorders>
            <w:shd w:val="clear" w:color="auto" w:fill="CCCCCC"/>
          </w:tcPr>
          <w:p>
            <w:pPr>
              <w:spacing w:after="0"/>
              <w:rPr>
                <w:sz w:val="17"/>
                <w:szCs w:val="17"/>
                <w:color w:val="auto"/>
              </w:rPr>
            </w:pPr>
          </w:p>
        </w:tc>
        <w:tc>
          <w:tcPr>
            <w:tcW w:w="940" w:type="dxa"/>
            <w:vAlign w:val="bottom"/>
          </w:tcPr>
          <w:p>
            <w:pPr>
              <w:spacing w:after="0"/>
              <w:rPr>
                <w:sz w:val="17"/>
                <w:szCs w:val="17"/>
                <w:color w:val="auto"/>
              </w:rPr>
            </w:pPr>
          </w:p>
        </w:tc>
      </w:tr>
      <w:tr>
        <w:trPr>
          <w:trHeight w:val="224"/>
        </w:trPr>
        <w:tc>
          <w:tcPr>
            <w:tcW w:w="1340" w:type="dxa"/>
            <w:vAlign w:val="bottom"/>
            <w:tcBorders>
              <w:right w:val="single" w:sz="8" w:color="3465B0"/>
            </w:tcBorders>
          </w:tcPr>
          <w:p>
            <w:pPr>
              <w:spacing w:after="0"/>
              <w:rPr>
                <w:sz w:val="19"/>
                <w:szCs w:val="19"/>
                <w:color w:val="auto"/>
              </w:rPr>
            </w:pPr>
          </w:p>
        </w:tc>
        <w:tc>
          <w:tcPr>
            <w:tcW w:w="3180" w:type="dxa"/>
            <w:vAlign w:val="bottom"/>
            <w:tcBorders>
              <w:bottom w:val="single" w:sz="8" w:color="CCCCCC"/>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Reported in SCT</w:t>
            </w:r>
          </w:p>
        </w:tc>
        <w:tc>
          <w:tcPr>
            <w:tcW w:w="1120" w:type="dxa"/>
            <w:vAlign w:val="bottom"/>
            <w:tcBorders>
              <w:bottom w:val="single" w:sz="8" w:color="CCCCCC"/>
              <w:right w:val="single" w:sz="8" w:color="93A1D2"/>
            </w:tcBorders>
            <w:gridSpan w:val="2"/>
            <w:shd w:val="clear" w:color="auto" w:fill="CCCCCC"/>
          </w:tcPr>
          <w:p>
            <w:pPr>
              <w:jc w:val="right"/>
              <w:spacing w:after="0"/>
              <w:rPr>
                <w:sz w:val="20"/>
                <w:szCs w:val="20"/>
                <w:color w:val="auto"/>
              </w:rPr>
            </w:pPr>
            <w:r>
              <w:rPr>
                <w:rFonts w:ascii="Arial" w:cs="Arial" w:eastAsia="Arial" w:hAnsi="Arial"/>
                <w:sz w:val="16"/>
                <w:szCs w:val="16"/>
                <w:color w:val="auto"/>
              </w:rPr>
              <w:t>(3,156,887)</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CCCC"/>
            </w:tcBorders>
            <w:shd w:val="clear" w:color="auto" w:fill="CCCCCC"/>
          </w:tcPr>
          <w:p>
            <w:pPr>
              <w:spacing w:after="0"/>
              <w:rPr>
                <w:sz w:val="19"/>
                <w:szCs w:val="19"/>
                <w:color w:val="auto"/>
              </w:rPr>
            </w:pPr>
          </w:p>
        </w:tc>
        <w:tc>
          <w:tcPr>
            <w:tcW w:w="9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color w:val="auto"/>
              </w:rPr>
              <w:t>Plus, Fiscal Year-End Value of Awards</w:t>
            </w: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93A1D2"/>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Granted in Fiscal Year that are</w:t>
            </w: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93A1D2"/>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3465B0"/>
            </w:tcBorders>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1340" w:type="dxa"/>
            <w:vAlign w:val="bottom"/>
            <w:tcBorders>
              <w:right w:val="single" w:sz="8" w:color="3465B0"/>
            </w:tcBorders>
          </w:tcPr>
          <w:p>
            <w:pPr>
              <w:spacing w:after="0"/>
              <w:rPr>
                <w:sz w:val="18"/>
                <w:szCs w:val="18"/>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Unvested and Outstanding</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7,333,834</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3465B0"/>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29"/>
        </w:trPr>
        <w:tc>
          <w:tcPr>
            <w:tcW w:w="1340" w:type="dxa"/>
            <w:vAlign w:val="bottom"/>
            <w:tcBorders>
              <w:right w:val="single" w:sz="8" w:color="3465B0"/>
            </w:tcBorders>
          </w:tcPr>
          <w:p>
            <w:pPr>
              <w:spacing w:after="0"/>
              <w:rPr>
                <w:sz w:val="2"/>
                <w:szCs w:val="2"/>
                <w:color w:val="auto"/>
              </w:rPr>
            </w:pPr>
          </w:p>
        </w:tc>
        <w:tc>
          <w:tcPr>
            <w:tcW w:w="318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right w:val="single" w:sz="8" w:color="93A1D2"/>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6"/>
                <w:szCs w:val="16"/>
                <w:color w:val="auto"/>
              </w:rPr>
              <w:t>Plus/Minus, Change in Fair Value of Prior</w:t>
            </w: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880" w:type="dxa"/>
            <w:vAlign w:val="bottom"/>
            <w:tcBorders>
              <w:right w:val="single" w:sz="8" w:color="93A1D2"/>
            </w:tcBorders>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940" w:type="dxa"/>
            <w:vAlign w:val="bottom"/>
            <w:tcBorders>
              <w:right w:val="single" w:sz="8" w:color="93A1D2"/>
            </w:tcBorders>
            <w:shd w:val="clear" w:color="auto" w:fill="CCCCCC"/>
          </w:tcPr>
          <w:p>
            <w:pPr>
              <w:spacing w:after="0"/>
              <w:rPr>
                <w:sz w:val="17"/>
                <w:szCs w:val="17"/>
                <w:color w:val="auto"/>
              </w:rPr>
            </w:pPr>
          </w:p>
        </w:tc>
        <w:tc>
          <w:tcPr>
            <w:tcW w:w="240" w:type="dxa"/>
            <w:vAlign w:val="bottom"/>
            <w:shd w:val="clear" w:color="auto" w:fill="CCCCCC"/>
          </w:tcPr>
          <w:p>
            <w:pPr>
              <w:spacing w:after="0"/>
              <w:rPr>
                <w:sz w:val="17"/>
                <w:szCs w:val="17"/>
                <w:color w:val="auto"/>
              </w:rPr>
            </w:pPr>
          </w:p>
        </w:tc>
        <w:tc>
          <w:tcPr>
            <w:tcW w:w="880" w:type="dxa"/>
            <w:vAlign w:val="bottom"/>
            <w:tcBorders>
              <w:right w:val="single" w:sz="8" w:color="3465B0"/>
            </w:tcBorders>
            <w:shd w:val="clear" w:color="auto" w:fill="CCCCCC"/>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Year Awards that are Unvested and</w:t>
            </w:r>
          </w:p>
        </w:tc>
        <w:tc>
          <w:tcPr>
            <w:tcW w:w="220" w:type="dxa"/>
            <w:vAlign w:val="bottom"/>
            <w:shd w:val="clear" w:color="auto" w:fill="CCCCCC"/>
          </w:tcPr>
          <w:p>
            <w:pPr>
              <w:spacing w:after="0"/>
              <w:rPr>
                <w:sz w:val="16"/>
                <w:szCs w:val="16"/>
                <w:color w:val="auto"/>
              </w:rPr>
            </w:pPr>
          </w:p>
        </w:tc>
        <w:tc>
          <w:tcPr>
            <w:tcW w:w="900" w:type="dxa"/>
            <w:vAlign w:val="bottom"/>
            <w:tcBorders>
              <w:right w:val="single" w:sz="8" w:color="93A1D2"/>
            </w:tcBorders>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900" w:type="dxa"/>
            <w:vAlign w:val="bottom"/>
            <w:tcBorders>
              <w:right w:val="single" w:sz="8" w:color="93A1D2"/>
            </w:tcBorders>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880" w:type="dxa"/>
            <w:vAlign w:val="bottom"/>
            <w:tcBorders>
              <w:right w:val="single" w:sz="8" w:color="93A1D2"/>
            </w:tcBorders>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940" w:type="dxa"/>
            <w:vAlign w:val="bottom"/>
            <w:tcBorders>
              <w:right w:val="single" w:sz="8" w:color="93A1D2"/>
            </w:tcBorders>
            <w:shd w:val="clear" w:color="auto" w:fill="CCCCCC"/>
          </w:tcPr>
          <w:p>
            <w:pPr>
              <w:spacing w:after="0"/>
              <w:rPr>
                <w:sz w:val="16"/>
                <w:szCs w:val="16"/>
                <w:color w:val="auto"/>
              </w:rPr>
            </w:pPr>
          </w:p>
        </w:tc>
        <w:tc>
          <w:tcPr>
            <w:tcW w:w="240" w:type="dxa"/>
            <w:vAlign w:val="bottom"/>
            <w:shd w:val="clear" w:color="auto" w:fill="CCCCCC"/>
          </w:tcPr>
          <w:p>
            <w:pPr>
              <w:spacing w:after="0"/>
              <w:rPr>
                <w:sz w:val="16"/>
                <w:szCs w:val="16"/>
                <w:color w:val="auto"/>
              </w:rPr>
            </w:pPr>
          </w:p>
        </w:tc>
        <w:tc>
          <w:tcPr>
            <w:tcW w:w="880" w:type="dxa"/>
            <w:vAlign w:val="bottom"/>
            <w:tcBorders>
              <w:right w:val="single" w:sz="8" w:color="3465B0"/>
            </w:tcBorders>
            <w:shd w:val="clear" w:color="auto" w:fill="CCCCCC"/>
          </w:tcPr>
          <w:p>
            <w:pPr>
              <w:spacing w:after="0"/>
              <w:rPr>
                <w:sz w:val="16"/>
                <w:szCs w:val="16"/>
                <w:color w:val="auto"/>
              </w:rPr>
            </w:pPr>
          </w:p>
        </w:tc>
        <w:tc>
          <w:tcPr>
            <w:tcW w:w="940" w:type="dxa"/>
            <w:vAlign w:val="bottom"/>
          </w:tcPr>
          <w:p>
            <w:pPr>
              <w:spacing w:after="0"/>
              <w:rPr>
                <w:sz w:val="16"/>
                <w:szCs w:val="16"/>
                <w:color w:val="auto"/>
              </w:rPr>
            </w:pPr>
          </w:p>
        </w:tc>
      </w:tr>
      <w:tr>
        <w:trPr>
          <w:trHeight w:val="224"/>
        </w:trPr>
        <w:tc>
          <w:tcPr>
            <w:tcW w:w="1340" w:type="dxa"/>
            <w:vAlign w:val="bottom"/>
            <w:tcBorders>
              <w:right w:val="single" w:sz="8" w:color="3465B0"/>
            </w:tcBorders>
          </w:tcPr>
          <w:p>
            <w:pPr>
              <w:spacing w:after="0"/>
              <w:rPr>
                <w:sz w:val="19"/>
                <w:szCs w:val="19"/>
                <w:color w:val="auto"/>
              </w:rPr>
            </w:pPr>
          </w:p>
        </w:tc>
        <w:tc>
          <w:tcPr>
            <w:tcW w:w="3180" w:type="dxa"/>
            <w:vAlign w:val="bottom"/>
            <w:tcBorders>
              <w:bottom w:val="single" w:sz="8" w:color="CCCCCC"/>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Outstanding</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1,900,537</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CCCC"/>
            </w:tcBorders>
            <w:shd w:val="clear" w:color="auto" w:fill="CCCCCC"/>
          </w:tcPr>
          <w:p>
            <w:pPr>
              <w:spacing w:after="0"/>
              <w:rPr>
                <w:sz w:val="19"/>
                <w:szCs w:val="19"/>
                <w:color w:val="auto"/>
              </w:rPr>
            </w:pPr>
          </w:p>
        </w:tc>
        <w:tc>
          <w:tcPr>
            <w:tcW w:w="9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color w:val="auto"/>
              </w:rPr>
              <w:t>Plus, Fair Market Value of Awards Granted</w:t>
            </w: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93A1D2"/>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r>
      <w:tr>
        <w:trPr>
          <w:trHeight w:val="215"/>
        </w:trPr>
        <w:tc>
          <w:tcPr>
            <w:tcW w:w="1340" w:type="dxa"/>
            <w:vAlign w:val="bottom"/>
            <w:tcBorders>
              <w:right w:val="single" w:sz="8" w:color="3465B0"/>
            </w:tcBorders>
          </w:tcPr>
          <w:p>
            <w:pPr>
              <w:spacing w:after="0"/>
              <w:rPr>
                <w:sz w:val="18"/>
                <w:szCs w:val="18"/>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this Year that Vested in Fiscal Year</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3465B0"/>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29"/>
        </w:trPr>
        <w:tc>
          <w:tcPr>
            <w:tcW w:w="1340" w:type="dxa"/>
            <w:vAlign w:val="bottom"/>
            <w:tcBorders>
              <w:right w:val="single" w:sz="8" w:color="3465B0"/>
            </w:tcBorders>
          </w:tcPr>
          <w:p>
            <w:pPr>
              <w:spacing w:after="0"/>
              <w:rPr>
                <w:sz w:val="2"/>
                <w:szCs w:val="2"/>
                <w:color w:val="auto"/>
              </w:rPr>
            </w:pPr>
          </w:p>
        </w:tc>
        <w:tc>
          <w:tcPr>
            <w:tcW w:w="318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right w:val="single" w:sz="8" w:color="93A1D2"/>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6"/>
                <w:szCs w:val="16"/>
                <w:color w:val="auto"/>
              </w:rPr>
              <w:t>Plus/Minus, Change in Fair Value (from</w:t>
            </w: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880" w:type="dxa"/>
            <w:vAlign w:val="bottom"/>
            <w:tcBorders>
              <w:right w:val="single" w:sz="8" w:color="93A1D2"/>
            </w:tcBorders>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940" w:type="dxa"/>
            <w:vAlign w:val="bottom"/>
            <w:tcBorders>
              <w:right w:val="single" w:sz="8" w:color="93A1D2"/>
            </w:tcBorders>
            <w:shd w:val="clear" w:color="auto" w:fill="CCCCCC"/>
          </w:tcPr>
          <w:p>
            <w:pPr>
              <w:spacing w:after="0"/>
              <w:rPr>
                <w:sz w:val="17"/>
                <w:szCs w:val="17"/>
                <w:color w:val="auto"/>
              </w:rPr>
            </w:pPr>
          </w:p>
        </w:tc>
        <w:tc>
          <w:tcPr>
            <w:tcW w:w="240" w:type="dxa"/>
            <w:vAlign w:val="bottom"/>
            <w:shd w:val="clear" w:color="auto" w:fill="CCCCCC"/>
          </w:tcPr>
          <w:p>
            <w:pPr>
              <w:spacing w:after="0"/>
              <w:rPr>
                <w:sz w:val="17"/>
                <w:szCs w:val="17"/>
                <w:color w:val="auto"/>
              </w:rPr>
            </w:pPr>
          </w:p>
        </w:tc>
        <w:tc>
          <w:tcPr>
            <w:tcW w:w="880" w:type="dxa"/>
            <w:vAlign w:val="bottom"/>
            <w:tcBorders>
              <w:right w:val="single" w:sz="8" w:color="3465B0"/>
            </w:tcBorders>
            <w:shd w:val="clear" w:color="auto" w:fill="CCCCCC"/>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Prior Fiscal Year-End) of Prior Year</w:t>
            </w:r>
          </w:p>
        </w:tc>
        <w:tc>
          <w:tcPr>
            <w:tcW w:w="220" w:type="dxa"/>
            <w:vAlign w:val="bottom"/>
            <w:shd w:val="clear" w:color="auto" w:fill="CCCCCC"/>
          </w:tcPr>
          <w:p>
            <w:pPr>
              <w:spacing w:after="0"/>
              <w:rPr>
                <w:sz w:val="16"/>
                <w:szCs w:val="16"/>
                <w:color w:val="auto"/>
              </w:rPr>
            </w:pPr>
          </w:p>
        </w:tc>
        <w:tc>
          <w:tcPr>
            <w:tcW w:w="900" w:type="dxa"/>
            <w:vAlign w:val="bottom"/>
            <w:tcBorders>
              <w:right w:val="single" w:sz="8" w:color="93A1D2"/>
            </w:tcBorders>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900" w:type="dxa"/>
            <w:vAlign w:val="bottom"/>
            <w:tcBorders>
              <w:right w:val="single" w:sz="8" w:color="93A1D2"/>
            </w:tcBorders>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880" w:type="dxa"/>
            <w:vAlign w:val="bottom"/>
            <w:tcBorders>
              <w:right w:val="single" w:sz="8" w:color="93A1D2"/>
            </w:tcBorders>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940" w:type="dxa"/>
            <w:vAlign w:val="bottom"/>
            <w:tcBorders>
              <w:right w:val="single" w:sz="8" w:color="93A1D2"/>
            </w:tcBorders>
            <w:shd w:val="clear" w:color="auto" w:fill="CCCCCC"/>
          </w:tcPr>
          <w:p>
            <w:pPr>
              <w:spacing w:after="0"/>
              <w:rPr>
                <w:sz w:val="16"/>
                <w:szCs w:val="16"/>
                <w:color w:val="auto"/>
              </w:rPr>
            </w:pPr>
          </w:p>
        </w:tc>
        <w:tc>
          <w:tcPr>
            <w:tcW w:w="240" w:type="dxa"/>
            <w:vAlign w:val="bottom"/>
            <w:shd w:val="clear" w:color="auto" w:fill="CCCCCC"/>
          </w:tcPr>
          <w:p>
            <w:pPr>
              <w:spacing w:after="0"/>
              <w:rPr>
                <w:sz w:val="16"/>
                <w:szCs w:val="16"/>
                <w:color w:val="auto"/>
              </w:rPr>
            </w:pPr>
          </w:p>
        </w:tc>
        <w:tc>
          <w:tcPr>
            <w:tcW w:w="880" w:type="dxa"/>
            <w:vAlign w:val="bottom"/>
            <w:tcBorders>
              <w:right w:val="single" w:sz="8" w:color="3465B0"/>
            </w:tcBorders>
            <w:shd w:val="clear" w:color="auto" w:fill="CCCCCC"/>
          </w:tcPr>
          <w:p>
            <w:pPr>
              <w:spacing w:after="0"/>
              <w:rPr>
                <w:sz w:val="16"/>
                <w:szCs w:val="16"/>
                <w:color w:val="auto"/>
              </w:rPr>
            </w:pPr>
          </w:p>
        </w:tc>
        <w:tc>
          <w:tcPr>
            <w:tcW w:w="940" w:type="dxa"/>
            <w:vAlign w:val="bottom"/>
          </w:tcPr>
          <w:p>
            <w:pPr>
              <w:spacing w:after="0"/>
              <w:rPr>
                <w:sz w:val="16"/>
                <w:szCs w:val="16"/>
                <w:color w:val="auto"/>
              </w:rPr>
            </w:pPr>
          </w:p>
        </w:tc>
      </w:tr>
      <w:tr>
        <w:trPr>
          <w:trHeight w:val="224"/>
        </w:trPr>
        <w:tc>
          <w:tcPr>
            <w:tcW w:w="1340" w:type="dxa"/>
            <w:vAlign w:val="bottom"/>
            <w:tcBorders>
              <w:right w:val="single" w:sz="8" w:color="3465B0"/>
            </w:tcBorders>
          </w:tcPr>
          <w:p>
            <w:pPr>
              <w:spacing w:after="0"/>
              <w:rPr>
                <w:sz w:val="19"/>
                <w:szCs w:val="19"/>
                <w:color w:val="auto"/>
              </w:rPr>
            </w:pPr>
          </w:p>
        </w:tc>
        <w:tc>
          <w:tcPr>
            <w:tcW w:w="3180" w:type="dxa"/>
            <w:vAlign w:val="bottom"/>
            <w:tcBorders>
              <w:bottom w:val="single" w:sz="8" w:color="CCCCCC"/>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Awards that Vested in Fiscal Year</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805,676</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CCCC"/>
            </w:tcBorders>
            <w:shd w:val="clear" w:color="auto" w:fill="CCCCCC"/>
          </w:tcPr>
          <w:p>
            <w:pPr>
              <w:spacing w:after="0"/>
              <w:rPr>
                <w:sz w:val="19"/>
                <w:szCs w:val="19"/>
                <w:color w:val="auto"/>
              </w:rPr>
            </w:pPr>
          </w:p>
        </w:tc>
        <w:tc>
          <w:tcPr>
            <w:tcW w:w="9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color w:val="auto"/>
              </w:rPr>
              <w:t>Minus, Prior Fiscal Year-End Fair Value of</w:t>
            </w: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93A1D2"/>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Prior Year Awards that Failed to Vest in</w:t>
            </w: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93A1D2"/>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3465B0"/>
            </w:tcBorders>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1340" w:type="dxa"/>
            <w:vAlign w:val="bottom"/>
            <w:tcBorders>
              <w:right w:val="single" w:sz="8" w:color="3465B0"/>
            </w:tcBorders>
          </w:tcPr>
          <w:p>
            <w:pPr>
              <w:spacing w:after="0"/>
              <w:rPr>
                <w:sz w:val="18"/>
                <w:szCs w:val="18"/>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Fiscal Year</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3465B0"/>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29"/>
        </w:trPr>
        <w:tc>
          <w:tcPr>
            <w:tcW w:w="1340" w:type="dxa"/>
            <w:vAlign w:val="bottom"/>
            <w:tcBorders>
              <w:right w:val="single" w:sz="8" w:color="3465B0"/>
            </w:tcBorders>
          </w:tcPr>
          <w:p>
            <w:pPr>
              <w:spacing w:after="0"/>
              <w:rPr>
                <w:sz w:val="2"/>
                <w:szCs w:val="2"/>
                <w:color w:val="auto"/>
              </w:rPr>
            </w:pPr>
          </w:p>
        </w:tc>
        <w:tc>
          <w:tcPr>
            <w:tcW w:w="318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right w:val="single" w:sz="8" w:color="93A1D2"/>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1340" w:type="dxa"/>
            <w:vAlign w:val="bottom"/>
            <w:tcBorders>
              <w:right w:val="single" w:sz="8" w:color="3465B0"/>
            </w:tcBorders>
          </w:tcPr>
          <w:p>
            <w:pPr>
              <w:spacing w:after="0"/>
              <w:rPr>
                <w:sz w:val="20"/>
                <w:szCs w:val="20"/>
                <w:color w:val="auto"/>
              </w:rPr>
            </w:pPr>
          </w:p>
        </w:tc>
        <w:tc>
          <w:tcPr>
            <w:tcW w:w="3180" w:type="dxa"/>
            <w:vAlign w:val="bottom"/>
            <w:tcBorders>
              <w:bottom w:val="single" w:sz="8" w:color="CCCCCC"/>
              <w:right w:val="single" w:sz="8" w:color="93A1D2"/>
            </w:tcBorders>
            <w:shd w:val="clear" w:color="auto" w:fill="CCCCCC"/>
          </w:tcPr>
          <w:p>
            <w:pPr>
              <w:ind w:left="40"/>
              <w:spacing w:after="0"/>
              <w:rPr>
                <w:sz w:val="20"/>
                <w:szCs w:val="20"/>
                <w:color w:val="auto"/>
              </w:rPr>
            </w:pPr>
            <w:r>
              <w:rPr>
                <w:rFonts w:ascii="Arial" w:cs="Arial" w:eastAsia="Arial" w:hAnsi="Arial"/>
                <w:sz w:val="16"/>
                <w:szCs w:val="16"/>
                <w:b w:val="1"/>
                <w:bCs w:val="1"/>
                <w:i w:val="1"/>
                <w:iCs w:val="1"/>
                <w:color w:val="auto"/>
              </w:rPr>
              <w:t>Total Adjustments</w:t>
            </w:r>
          </w:p>
        </w:tc>
        <w:tc>
          <w:tcPr>
            <w:tcW w:w="220" w:type="dxa"/>
            <w:vAlign w:val="bottom"/>
            <w:tcBorders>
              <w:bottom w:val="single" w:sz="8" w:color="CCCCCC"/>
            </w:tcBorders>
            <w:shd w:val="clear" w:color="auto" w:fill="CCCCCC"/>
          </w:tcPr>
          <w:p>
            <w:pPr>
              <w:spacing w:after="0"/>
              <w:rPr>
                <w:sz w:val="20"/>
                <w:szCs w:val="20"/>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6,883,161</w:t>
            </w:r>
          </w:p>
        </w:tc>
        <w:tc>
          <w:tcPr>
            <w:tcW w:w="220" w:type="dxa"/>
            <w:vAlign w:val="bottom"/>
            <w:tcBorders>
              <w:bottom w:val="single" w:sz="8" w:color="CCCCCC"/>
            </w:tcBorders>
            <w:shd w:val="clear" w:color="auto" w:fill="CCCCCC"/>
          </w:tcPr>
          <w:p>
            <w:pPr>
              <w:spacing w:after="0"/>
              <w:rPr>
                <w:sz w:val="20"/>
                <w:szCs w:val="20"/>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CCCC"/>
            </w:tcBorders>
            <w:shd w:val="clear" w:color="auto" w:fill="CCCCCC"/>
          </w:tcPr>
          <w:p>
            <w:pPr>
              <w:spacing w:after="0"/>
              <w:rPr>
                <w:sz w:val="20"/>
                <w:szCs w:val="20"/>
                <w:color w:val="auto"/>
              </w:rPr>
            </w:pPr>
          </w:p>
        </w:tc>
        <w:tc>
          <w:tcPr>
            <w:tcW w:w="88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CCCC"/>
            </w:tcBorders>
            <w:shd w:val="clear" w:color="auto" w:fill="CCCCCC"/>
          </w:tcPr>
          <w:p>
            <w:pPr>
              <w:spacing w:after="0"/>
              <w:rPr>
                <w:sz w:val="20"/>
                <w:szCs w:val="20"/>
                <w:color w:val="auto"/>
              </w:rPr>
            </w:pPr>
          </w:p>
        </w:tc>
        <w:tc>
          <w:tcPr>
            <w:tcW w:w="9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CCCC"/>
            </w:tcBorders>
            <w:shd w:val="clear" w:color="auto" w:fill="CCCCCC"/>
          </w:tcPr>
          <w:p>
            <w:pPr>
              <w:spacing w:after="0"/>
              <w:rPr>
                <w:sz w:val="20"/>
                <w:szCs w:val="20"/>
                <w:color w:val="auto"/>
              </w:rPr>
            </w:pPr>
          </w:p>
        </w:tc>
        <w:tc>
          <w:tcPr>
            <w:tcW w:w="8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b w:val="1"/>
                <w:bCs w:val="1"/>
                <w:color w:val="auto"/>
              </w:rPr>
              <w:t>“Compensation Actually Paid” for the</w:t>
            </w: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93A1D2"/>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1340" w:type="dxa"/>
            <w:vAlign w:val="bottom"/>
            <w:tcBorders>
              <w:right w:val="single" w:sz="8" w:color="3465B0"/>
            </w:tcBorders>
          </w:tcPr>
          <w:p>
            <w:pPr>
              <w:spacing w:after="0"/>
              <w:rPr>
                <w:sz w:val="18"/>
                <w:szCs w:val="18"/>
                <w:color w:val="auto"/>
              </w:rPr>
            </w:pPr>
          </w:p>
        </w:tc>
        <w:tc>
          <w:tcPr>
            <w:tcW w:w="3180" w:type="dxa"/>
            <w:vAlign w:val="bottom"/>
            <w:tcBorders>
              <w:bottom w:val="single" w:sz="8" w:color="3465B0"/>
              <w:right w:val="single" w:sz="8" w:color="93A1D2"/>
            </w:tcBorders>
          </w:tcPr>
          <w:p>
            <w:pPr>
              <w:ind w:left="220"/>
              <w:spacing w:after="0"/>
              <w:rPr>
                <w:sz w:val="20"/>
                <w:szCs w:val="20"/>
                <w:color w:val="auto"/>
              </w:rPr>
            </w:pPr>
            <w:r>
              <w:rPr>
                <w:rFonts w:ascii="Arial" w:cs="Arial" w:eastAsia="Arial" w:hAnsi="Arial"/>
                <w:sz w:val="16"/>
                <w:szCs w:val="16"/>
                <w:b w:val="1"/>
                <w:bCs w:val="1"/>
                <w:color w:val="auto"/>
              </w:rPr>
              <w:t>Fiscal Year</w:t>
            </w:r>
          </w:p>
        </w:tc>
        <w:tc>
          <w:tcPr>
            <w:tcW w:w="1120" w:type="dxa"/>
            <w:vAlign w:val="bottom"/>
            <w:tcBorders>
              <w:bottom w:val="single" w:sz="8" w:color="3465B0"/>
              <w:right w:val="single" w:sz="8" w:color="93A1D2"/>
            </w:tcBorders>
            <w:gridSpan w:val="2"/>
          </w:tcPr>
          <w:p>
            <w:pPr>
              <w:jc w:val="right"/>
              <w:spacing w:after="0"/>
              <w:rPr>
                <w:sz w:val="20"/>
                <w:szCs w:val="20"/>
                <w:color w:val="auto"/>
              </w:rPr>
            </w:pPr>
            <w:r>
              <w:rPr>
                <w:rFonts w:ascii="Arial" w:cs="Arial" w:eastAsia="Arial" w:hAnsi="Arial"/>
                <w:sz w:val="16"/>
                <w:szCs w:val="16"/>
                <w:b w:val="1"/>
                <w:bCs w:val="1"/>
                <w:color w:val="auto"/>
              </w:rPr>
              <w:t>$12,082,023</w:t>
            </w:r>
          </w:p>
        </w:tc>
        <w:tc>
          <w:tcPr>
            <w:tcW w:w="220" w:type="dxa"/>
            <w:vAlign w:val="bottom"/>
            <w:tcBorders>
              <w:bottom w:val="single" w:sz="8" w:color="3465B0"/>
            </w:tcBorders>
          </w:tcPr>
          <w:p>
            <w:pPr>
              <w:spacing w:after="0"/>
              <w:rPr>
                <w:sz w:val="18"/>
                <w:szCs w:val="18"/>
                <w:color w:val="auto"/>
              </w:rPr>
            </w:pPr>
          </w:p>
        </w:tc>
        <w:tc>
          <w:tcPr>
            <w:tcW w:w="900" w:type="dxa"/>
            <w:vAlign w:val="bottom"/>
            <w:tcBorders>
              <w:bottom w:val="single" w:sz="8" w:color="3465B0"/>
              <w:right w:val="single" w:sz="8" w:color="93A1D2"/>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3465B0"/>
            </w:tcBorders>
          </w:tcPr>
          <w:p>
            <w:pPr>
              <w:spacing w:after="0"/>
              <w:rPr>
                <w:sz w:val="18"/>
                <w:szCs w:val="18"/>
                <w:color w:val="auto"/>
              </w:rPr>
            </w:pPr>
          </w:p>
        </w:tc>
        <w:tc>
          <w:tcPr>
            <w:tcW w:w="880" w:type="dxa"/>
            <w:vAlign w:val="bottom"/>
            <w:tcBorders>
              <w:bottom w:val="single" w:sz="8" w:color="3465B0"/>
              <w:right w:val="single" w:sz="8" w:color="93A1D2"/>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3465B0"/>
            </w:tcBorders>
          </w:tcPr>
          <w:p>
            <w:pPr>
              <w:spacing w:after="0"/>
              <w:rPr>
                <w:sz w:val="18"/>
                <w:szCs w:val="18"/>
                <w:color w:val="auto"/>
              </w:rPr>
            </w:pPr>
          </w:p>
        </w:tc>
        <w:tc>
          <w:tcPr>
            <w:tcW w:w="940" w:type="dxa"/>
            <w:vAlign w:val="bottom"/>
            <w:tcBorders>
              <w:bottom w:val="single" w:sz="8" w:color="3465B0"/>
              <w:right w:val="single" w:sz="8" w:color="93A1D2"/>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3465B0"/>
            </w:tcBorders>
          </w:tcPr>
          <w:p>
            <w:pPr>
              <w:spacing w:after="0"/>
              <w:rPr>
                <w:sz w:val="18"/>
                <w:szCs w:val="18"/>
                <w:color w:val="auto"/>
              </w:rPr>
            </w:pPr>
          </w:p>
        </w:tc>
        <w:tc>
          <w:tcPr>
            <w:tcW w:w="880" w:type="dxa"/>
            <w:vAlign w:val="bottom"/>
            <w:tcBorders>
              <w:bottom w:val="single" w:sz="8" w:color="3465B0"/>
              <w:right w:val="single" w:sz="8" w:color="3465B0"/>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spacing w:after="0"/>
              <w:rPr>
                <w:sz w:val="18"/>
                <w:szCs w:val="18"/>
                <w:color w:val="auto"/>
              </w:rPr>
            </w:pPr>
          </w:p>
        </w:tc>
      </w:tr>
      <w:tr>
        <w:trPr>
          <w:trHeight w:val="61"/>
        </w:trPr>
        <w:tc>
          <w:tcPr>
            <w:tcW w:w="1340" w:type="dxa"/>
            <w:vAlign w:val="bottom"/>
          </w:tcPr>
          <w:p>
            <w:pPr>
              <w:spacing w:after="0"/>
              <w:rPr>
                <w:sz w:val="5"/>
                <w:szCs w:val="5"/>
                <w:color w:val="auto"/>
              </w:rPr>
            </w:pPr>
          </w:p>
        </w:tc>
        <w:tc>
          <w:tcPr>
            <w:tcW w:w="3180" w:type="dxa"/>
            <w:vAlign w:val="bottom"/>
            <w:tcBorders>
              <w:bottom w:val="single" w:sz="8" w:color="3465B0"/>
            </w:tcBorders>
          </w:tcPr>
          <w:p>
            <w:pPr>
              <w:spacing w:after="0"/>
              <w:rPr>
                <w:sz w:val="5"/>
                <w:szCs w:val="5"/>
                <w:color w:val="auto"/>
              </w:rPr>
            </w:pPr>
          </w:p>
        </w:tc>
        <w:tc>
          <w:tcPr>
            <w:tcW w:w="220" w:type="dxa"/>
            <w:vAlign w:val="bottom"/>
            <w:tcBorders>
              <w:bottom w:val="single" w:sz="8" w:color="3465B0"/>
            </w:tcBorders>
          </w:tcPr>
          <w:p>
            <w:pPr>
              <w:spacing w:after="0"/>
              <w:rPr>
                <w:sz w:val="5"/>
                <w:szCs w:val="5"/>
                <w:color w:val="auto"/>
              </w:rPr>
            </w:pPr>
          </w:p>
        </w:tc>
        <w:tc>
          <w:tcPr>
            <w:tcW w:w="900" w:type="dxa"/>
            <w:vAlign w:val="bottom"/>
            <w:tcBorders>
              <w:bottom w:val="single" w:sz="8" w:color="3465B0"/>
            </w:tcBorders>
          </w:tcPr>
          <w:p>
            <w:pPr>
              <w:spacing w:after="0"/>
              <w:rPr>
                <w:sz w:val="5"/>
                <w:szCs w:val="5"/>
                <w:color w:val="auto"/>
              </w:rPr>
            </w:pPr>
          </w:p>
        </w:tc>
        <w:tc>
          <w:tcPr>
            <w:tcW w:w="220" w:type="dxa"/>
            <w:vAlign w:val="bottom"/>
            <w:tcBorders>
              <w:bottom w:val="single" w:sz="8" w:color="3465B0"/>
            </w:tcBorders>
          </w:tcPr>
          <w:p>
            <w:pPr>
              <w:spacing w:after="0"/>
              <w:rPr>
                <w:sz w:val="5"/>
                <w:szCs w:val="5"/>
                <w:color w:val="auto"/>
              </w:rPr>
            </w:pPr>
          </w:p>
        </w:tc>
        <w:tc>
          <w:tcPr>
            <w:tcW w:w="900" w:type="dxa"/>
            <w:vAlign w:val="bottom"/>
            <w:tcBorders>
              <w:bottom w:val="single" w:sz="8" w:color="3465B0"/>
            </w:tcBorders>
          </w:tcPr>
          <w:p>
            <w:pPr>
              <w:spacing w:after="0"/>
              <w:rPr>
                <w:sz w:val="5"/>
                <w:szCs w:val="5"/>
                <w:color w:val="auto"/>
              </w:rPr>
            </w:pPr>
          </w:p>
        </w:tc>
        <w:tc>
          <w:tcPr>
            <w:tcW w:w="200" w:type="dxa"/>
            <w:vAlign w:val="bottom"/>
            <w:tcBorders>
              <w:bottom w:val="single" w:sz="8" w:color="3465B0"/>
            </w:tcBorders>
          </w:tcPr>
          <w:p>
            <w:pPr>
              <w:spacing w:after="0"/>
              <w:rPr>
                <w:sz w:val="5"/>
                <w:szCs w:val="5"/>
                <w:color w:val="auto"/>
              </w:rPr>
            </w:pPr>
          </w:p>
        </w:tc>
        <w:tc>
          <w:tcPr>
            <w:tcW w:w="880" w:type="dxa"/>
            <w:vAlign w:val="bottom"/>
            <w:tcBorders>
              <w:bottom w:val="single" w:sz="8" w:color="3465B0"/>
            </w:tcBorders>
          </w:tcPr>
          <w:p>
            <w:pPr>
              <w:spacing w:after="0"/>
              <w:rPr>
                <w:sz w:val="5"/>
                <w:szCs w:val="5"/>
                <w:color w:val="auto"/>
              </w:rPr>
            </w:pPr>
          </w:p>
        </w:tc>
        <w:tc>
          <w:tcPr>
            <w:tcW w:w="180" w:type="dxa"/>
            <w:vAlign w:val="bottom"/>
            <w:tcBorders>
              <w:bottom w:val="single" w:sz="8" w:color="3465B0"/>
            </w:tcBorders>
          </w:tcPr>
          <w:p>
            <w:pPr>
              <w:spacing w:after="0"/>
              <w:rPr>
                <w:sz w:val="5"/>
                <w:szCs w:val="5"/>
                <w:color w:val="auto"/>
              </w:rPr>
            </w:pPr>
          </w:p>
        </w:tc>
        <w:tc>
          <w:tcPr>
            <w:tcW w:w="940" w:type="dxa"/>
            <w:vAlign w:val="bottom"/>
            <w:tcBorders>
              <w:bottom w:val="single" w:sz="8" w:color="3465B0"/>
            </w:tcBorders>
          </w:tcPr>
          <w:p>
            <w:pPr>
              <w:spacing w:after="0"/>
              <w:rPr>
                <w:sz w:val="5"/>
                <w:szCs w:val="5"/>
                <w:color w:val="auto"/>
              </w:rPr>
            </w:pPr>
          </w:p>
        </w:tc>
        <w:tc>
          <w:tcPr>
            <w:tcW w:w="240" w:type="dxa"/>
            <w:vAlign w:val="bottom"/>
            <w:tcBorders>
              <w:bottom w:val="single" w:sz="8" w:color="3465B0"/>
            </w:tcBorders>
          </w:tcPr>
          <w:p>
            <w:pPr>
              <w:spacing w:after="0"/>
              <w:rPr>
                <w:sz w:val="5"/>
                <w:szCs w:val="5"/>
                <w:color w:val="auto"/>
              </w:rPr>
            </w:pPr>
          </w:p>
        </w:tc>
        <w:tc>
          <w:tcPr>
            <w:tcW w:w="880" w:type="dxa"/>
            <w:vAlign w:val="bottom"/>
            <w:tcBorders>
              <w:bottom w:val="single" w:sz="8" w:color="3465B0"/>
            </w:tcBorders>
          </w:tcPr>
          <w:p>
            <w:pPr>
              <w:spacing w:after="0"/>
              <w:rPr>
                <w:sz w:val="5"/>
                <w:szCs w:val="5"/>
                <w:color w:val="auto"/>
              </w:rPr>
            </w:pPr>
          </w:p>
        </w:tc>
        <w:tc>
          <w:tcPr>
            <w:tcW w:w="940" w:type="dxa"/>
            <w:vAlign w:val="bottom"/>
          </w:tcPr>
          <w:p>
            <w:pPr>
              <w:spacing w:after="0"/>
              <w:rPr>
                <w:sz w:val="5"/>
                <w:szCs w:val="5"/>
                <w:color w:val="auto"/>
              </w:rPr>
            </w:pPr>
          </w:p>
        </w:tc>
      </w:tr>
      <w:tr>
        <w:trPr>
          <w:trHeight w:val="307"/>
        </w:trPr>
        <w:tc>
          <w:tcPr>
            <w:tcW w:w="1340" w:type="dxa"/>
            <w:vAlign w:val="bottom"/>
            <w:tcBorders>
              <w:right w:val="single" w:sz="8" w:color="3465B0"/>
            </w:tcBorders>
          </w:tcPr>
          <w:p>
            <w:pPr>
              <w:spacing w:after="0"/>
              <w:rPr>
                <w:sz w:val="24"/>
                <w:szCs w:val="24"/>
                <w:color w:val="auto"/>
              </w:rPr>
            </w:pPr>
          </w:p>
        </w:tc>
        <w:tc>
          <w:tcPr>
            <w:tcW w:w="3180" w:type="dxa"/>
            <w:vAlign w:val="bottom"/>
            <w:tcBorders>
              <w:right w:val="single" w:sz="8" w:color="3465B0"/>
            </w:tcBorders>
            <w:shd w:val="clear" w:color="auto" w:fill="3465B0"/>
          </w:tcPr>
          <w:p>
            <w:pPr>
              <w:ind w:left="40"/>
              <w:spacing w:after="0"/>
              <w:rPr>
                <w:sz w:val="20"/>
                <w:szCs w:val="20"/>
                <w:color w:val="auto"/>
              </w:rPr>
            </w:pPr>
            <w:r>
              <w:rPr>
                <w:rFonts w:ascii="Arial" w:cs="Arial" w:eastAsia="Arial" w:hAnsi="Arial"/>
                <w:sz w:val="14"/>
                <w:szCs w:val="14"/>
                <w:b w:val="1"/>
                <w:bCs w:val="1"/>
                <w:color w:val="FFFFFF"/>
              </w:rPr>
              <w:t>L. Reade Fahs</w:t>
            </w:r>
          </w:p>
        </w:tc>
        <w:tc>
          <w:tcPr>
            <w:tcW w:w="220" w:type="dxa"/>
            <w:vAlign w:val="bottom"/>
            <w:shd w:val="clear" w:color="auto" w:fill="3465B0"/>
          </w:tcPr>
          <w:p>
            <w:pPr>
              <w:spacing w:after="0"/>
              <w:rPr>
                <w:sz w:val="24"/>
                <w:szCs w:val="24"/>
                <w:color w:val="auto"/>
              </w:rPr>
            </w:pPr>
          </w:p>
        </w:tc>
        <w:tc>
          <w:tcPr>
            <w:tcW w:w="900" w:type="dxa"/>
            <w:vAlign w:val="bottom"/>
            <w:tcBorders>
              <w:right w:val="single" w:sz="8" w:color="3465B0"/>
            </w:tcBorders>
            <w:shd w:val="clear" w:color="auto" w:fill="3465B0"/>
          </w:tcPr>
          <w:p>
            <w:pPr>
              <w:jc w:val="right"/>
              <w:ind w:right="360"/>
              <w:spacing w:after="0"/>
              <w:rPr>
                <w:sz w:val="20"/>
                <w:szCs w:val="20"/>
                <w:color w:val="auto"/>
              </w:rPr>
            </w:pPr>
            <w:r>
              <w:rPr>
                <w:rFonts w:ascii="Arial" w:cs="Arial" w:eastAsia="Arial" w:hAnsi="Arial"/>
                <w:sz w:val="14"/>
                <w:szCs w:val="14"/>
                <w:b w:val="1"/>
                <w:bCs w:val="1"/>
                <w:color w:val="FFFFFF"/>
              </w:rPr>
              <w:t>2025</w:t>
            </w:r>
          </w:p>
        </w:tc>
        <w:tc>
          <w:tcPr>
            <w:tcW w:w="220" w:type="dxa"/>
            <w:vAlign w:val="bottom"/>
            <w:shd w:val="clear" w:color="auto" w:fill="3465B0"/>
          </w:tcPr>
          <w:p>
            <w:pPr>
              <w:spacing w:after="0"/>
              <w:rPr>
                <w:sz w:val="24"/>
                <w:szCs w:val="24"/>
                <w:color w:val="auto"/>
              </w:rPr>
            </w:pPr>
          </w:p>
        </w:tc>
        <w:tc>
          <w:tcPr>
            <w:tcW w:w="900" w:type="dxa"/>
            <w:vAlign w:val="bottom"/>
            <w:tcBorders>
              <w:right w:val="single" w:sz="8" w:color="3465B0"/>
            </w:tcBorders>
            <w:shd w:val="clear" w:color="auto" w:fill="3465B0"/>
          </w:tcPr>
          <w:p>
            <w:pPr>
              <w:jc w:val="right"/>
              <w:ind w:right="340"/>
              <w:spacing w:after="0"/>
              <w:rPr>
                <w:sz w:val="20"/>
                <w:szCs w:val="20"/>
                <w:color w:val="auto"/>
              </w:rPr>
            </w:pPr>
            <w:r>
              <w:rPr>
                <w:rFonts w:ascii="Arial" w:cs="Arial" w:eastAsia="Arial" w:hAnsi="Arial"/>
                <w:sz w:val="14"/>
                <w:szCs w:val="14"/>
                <w:b w:val="1"/>
                <w:bCs w:val="1"/>
                <w:color w:val="FFFFFF"/>
              </w:rPr>
              <w:t>2024</w:t>
            </w:r>
          </w:p>
        </w:tc>
        <w:tc>
          <w:tcPr>
            <w:tcW w:w="200" w:type="dxa"/>
            <w:vAlign w:val="bottom"/>
            <w:shd w:val="clear" w:color="auto" w:fill="3465B0"/>
          </w:tcPr>
          <w:p>
            <w:pPr>
              <w:spacing w:after="0"/>
              <w:rPr>
                <w:sz w:val="24"/>
                <w:szCs w:val="24"/>
                <w:color w:val="auto"/>
              </w:rPr>
            </w:pPr>
          </w:p>
        </w:tc>
        <w:tc>
          <w:tcPr>
            <w:tcW w:w="880" w:type="dxa"/>
            <w:vAlign w:val="bottom"/>
            <w:tcBorders>
              <w:right w:val="single" w:sz="8" w:color="3465B0"/>
            </w:tcBorders>
            <w:shd w:val="clear" w:color="auto" w:fill="3465B0"/>
          </w:tcPr>
          <w:p>
            <w:pPr>
              <w:jc w:val="right"/>
              <w:ind w:right="320"/>
              <w:spacing w:after="0"/>
              <w:rPr>
                <w:sz w:val="20"/>
                <w:szCs w:val="20"/>
                <w:color w:val="auto"/>
              </w:rPr>
            </w:pPr>
            <w:r>
              <w:rPr>
                <w:rFonts w:ascii="Arial" w:cs="Arial" w:eastAsia="Arial" w:hAnsi="Arial"/>
                <w:sz w:val="14"/>
                <w:szCs w:val="14"/>
                <w:b w:val="1"/>
                <w:bCs w:val="1"/>
                <w:color w:val="FFFFFF"/>
              </w:rPr>
              <w:t>2023</w:t>
            </w:r>
          </w:p>
        </w:tc>
        <w:tc>
          <w:tcPr>
            <w:tcW w:w="180" w:type="dxa"/>
            <w:vAlign w:val="bottom"/>
            <w:shd w:val="clear" w:color="auto" w:fill="3465B0"/>
          </w:tcPr>
          <w:p>
            <w:pPr>
              <w:spacing w:after="0"/>
              <w:rPr>
                <w:sz w:val="24"/>
                <w:szCs w:val="24"/>
                <w:color w:val="auto"/>
              </w:rPr>
            </w:pPr>
          </w:p>
        </w:tc>
        <w:tc>
          <w:tcPr>
            <w:tcW w:w="940" w:type="dxa"/>
            <w:vAlign w:val="bottom"/>
            <w:tcBorders>
              <w:right w:val="single" w:sz="8" w:color="3465B0"/>
            </w:tcBorders>
            <w:shd w:val="clear" w:color="auto" w:fill="3465B0"/>
          </w:tcPr>
          <w:p>
            <w:pPr>
              <w:jc w:val="right"/>
              <w:ind w:right="360"/>
              <w:spacing w:after="0"/>
              <w:rPr>
                <w:sz w:val="20"/>
                <w:szCs w:val="20"/>
                <w:color w:val="auto"/>
              </w:rPr>
            </w:pPr>
            <w:r>
              <w:rPr>
                <w:rFonts w:ascii="Arial" w:cs="Arial" w:eastAsia="Arial" w:hAnsi="Arial"/>
                <w:sz w:val="14"/>
                <w:szCs w:val="14"/>
                <w:b w:val="1"/>
                <w:bCs w:val="1"/>
                <w:color w:val="FFFFFF"/>
              </w:rPr>
              <w:t>2022</w:t>
            </w:r>
          </w:p>
        </w:tc>
        <w:tc>
          <w:tcPr>
            <w:tcW w:w="240" w:type="dxa"/>
            <w:vAlign w:val="bottom"/>
            <w:shd w:val="clear" w:color="auto" w:fill="3465B0"/>
          </w:tcPr>
          <w:p>
            <w:pPr>
              <w:spacing w:after="0"/>
              <w:rPr>
                <w:sz w:val="24"/>
                <w:szCs w:val="24"/>
                <w:color w:val="auto"/>
              </w:rPr>
            </w:pPr>
          </w:p>
        </w:tc>
        <w:tc>
          <w:tcPr>
            <w:tcW w:w="880" w:type="dxa"/>
            <w:vAlign w:val="bottom"/>
            <w:tcBorders>
              <w:right w:val="single" w:sz="8" w:color="3465B0"/>
            </w:tcBorders>
            <w:shd w:val="clear" w:color="auto" w:fill="3465B0"/>
          </w:tcPr>
          <w:p>
            <w:pPr>
              <w:jc w:val="right"/>
              <w:ind w:right="360"/>
              <w:spacing w:after="0"/>
              <w:rPr>
                <w:sz w:val="20"/>
                <w:szCs w:val="20"/>
                <w:color w:val="auto"/>
              </w:rPr>
            </w:pPr>
            <w:r>
              <w:rPr>
                <w:rFonts w:ascii="Arial" w:cs="Arial" w:eastAsia="Arial" w:hAnsi="Arial"/>
                <w:sz w:val="14"/>
                <w:szCs w:val="14"/>
                <w:b w:val="1"/>
                <w:bCs w:val="1"/>
                <w:color w:val="FFFFFF"/>
              </w:rPr>
              <w:t>2021</w:t>
            </w:r>
          </w:p>
        </w:tc>
        <w:tc>
          <w:tcPr>
            <w:tcW w:w="940" w:type="dxa"/>
            <w:vAlign w:val="bottom"/>
          </w:tcPr>
          <w:p>
            <w:pPr>
              <w:spacing w:after="0"/>
              <w:rPr>
                <w:sz w:val="24"/>
                <w:szCs w:val="24"/>
                <w:color w:val="auto"/>
              </w:rPr>
            </w:pPr>
          </w:p>
        </w:tc>
      </w:tr>
      <w:tr>
        <w:trPr>
          <w:trHeight w:val="215"/>
        </w:trPr>
        <w:tc>
          <w:tcPr>
            <w:tcW w:w="1340" w:type="dxa"/>
            <w:vAlign w:val="bottom"/>
            <w:tcBorders>
              <w:right w:val="single" w:sz="8" w:color="3465B0"/>
            </w:tcBorders>
          </w:tcPr>
          <w:p>
            <w:pPr>
              <w:spacing w:after="0"/>
              <w:rPr>
                <w:sz w:val="18"/>
                <w:szCs w:val="18"/>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b w:val="1"/>
                <w:bCs w:val="1"/>
                <w:color w:val="auto"/>
              </w:rPr>
              <w:t>Total Reported in Summary</w:t>
            </w:r>
          </w:p>
        </w:tc>
        <w:tc>
          <w:tcPr>
            <w:tcW w:w="220" w:type="dxa"/>
            <w:vAlign w:val="bottom"/>
          </w:tcPr>
          <w:p>
            <w:pPr>
              <w:spacing w:after="0"/>
              <w:rPr>
                <w:sz w:val="18"/>
                <w:szCs w:val="18"/>
                <w:color w:val="auto"/>
              </w:rPr>
            </w:pPr>
          </w:p>
        </w:tc>
        <w:tc>
          <w:tcPr>
            <w:tcW w:w="900" w:type="dxa"/>
            <w:vAlign w:val="bottom"/>
            <w:tcBorders>
              <w:right w:val="single" w:sz="8" w:color="93A1D2"/>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right w:val="single" w:sz="8" w:color="93A1D2"/>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93A1D2"/>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93A1D2"/>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3465B0"/>
            </w:tcBorders>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1340" w:type="dxa"/>
            <w:vAlign w:val="bottom"/>
            <w:tcBorders>
              <w:right w:val="single" w:sz="8" w:color="3465B0"/>
            </w:tcBorders>
          </w:tcPr>
          <w:p>
            <w:pPr>
              <w:spacing w:after="0"/>
              <w:rPr>
                <w:sz w:val="19"/>
                <w:szCs w:val="19"/>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b w:val="1"/>
                <w:bCs w:val="1"/>
                <w:color w:val="auto"/>
              </w:rPr>
              <w:t>Compensation Table (SCT)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rPr>
              <w:t>7,290,696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rPr>
              <w:t>5,052,663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right w:val="single" w:sz="8" w:color="93A1D2"/>
            </w:tcBorders>
          </w:tcPr>
          <w:p>
            <w:pPr>
              <w:jc w:val="right"/>
              <w:ind w:right="20"/>
              <w:spacing w:after="0"/>
              <w:rPr>
                <w:sz w:val="20"/>
                <w:szCs w:val="20"/>
                <w:color w:val="auto"/>
              </w:rPr>
            </w:pPr>
            <w:r>
              <w:rPr>
                <w:rFonts w:ascii="Arial" w:cs="Arial" w:eastAsia="Arial" w:hAnsi="Arial"/>
                <w:sz w:val="16"/>
                <w:szCs w:val="16"/>
                <w:b w:val="1"/>
                <w:bCs w:val="1"/>
                <w:color w:val="auto"/>
              </w:rPr>
              <w:t>8,617,438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right w:val="single" w:sz="8" w:color="93A1D2"/>
            </w:tcBorders>
          </w:tcPr>
          <w:p>
            <w:pPr>
              <w:jc w:val="right"/>
              <w:ind w:right="40"/>
              <w:spacing w:after="0"/>
              <w:rPr>
                <w:sz w:val="20"/>
                <w:szCs w:val="20"/>
                <w:color w:val="auto"/>
              </w:rPr>
            </w:pPr>
            <w:r>
              <w:rPr>
                <w:rFonts w:ascii="Arial" w:cs="Arial" w:eastAsia="Arial" w:hAnsi="Arial"/>
                <w:sz w:val="16"/>
                <w:szCs w:val="16"/>
                <w:b w:val="1"/>
                <w:bCs w:val="1"/>
                <w:color w:val="auto"/>
              </w:rPr>
              <w:t>4,273,302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right w:val="single" w:sz="8" w:color="3465B0"/>
            </w:tcBorders>
          </w:tcPr>
          <w:p>
            <w:pPr>
              <w:jc w:val="right"/>
              <w:ind w:right="20"/>
              <w:spacing w:after="0"/>
              <w:rPr>
                <w:sz w:val="20"/>
                <w:szCs w:val="20"/>
                <w:color w:val="auto"/>
              </w:rPr>
            </w:pPr>
            <w:r>
              <w:rPr>
                <w:rFonts w:ascii="Arial" w:cs="Arial" w:eastAsia="Arial" w:hAnsi="Arial"/>
                <w:sz w:val="16"/>
                <w:szCs w:val="16"/>
                <w:b w:val="1"/>
                <w:bCs w:val="1"/>
                <w:color w:val="auto"/>
              </w:rPr>
              <w:t>5,728,490</w:t>
            </w:r>
          </w:p>
        </w:tc>
        <w:tc>
          <w:tcPr>
            <w:tcW w:w="940" w:type="dxa"/>
            <w:vAlign w:val="bottom"/>
          </w:tcPr>
          <w:p>
            <w:pPr>
              <w:spacing w:after="0"/>
              <w:rPr>
                <w:sz w:val="19"/>
                <w:szCs w:val="19"/>
                <w:color w:val="auto"/>
              </w:rPr>
            </w:pPr>
          </w:p>
        </w:tc>
      </w:tr>
      <w:tr>
        <w:trPr>
          <w:trHeight w:val="21"/>
        </w:trPr>
        <w:tc>
          <w:tcPr>
            <w:tcW w:w="1340" w:type="dxa"/>
            <w:vAlign w:val="bottom"/>
            <w:tcBorders>
              <w:right w:val="single" w:sz="8" w:color="3465B0"/>
            </w:tcBorders>
          </w:tcPr>
          <w:p>
            <w:pPr>
              <w:spacing w:after="0" w:line="20" w:lineRule="exact"/>
              <w:rPr>
                <w:sz w:val="1"/>
                <w:szCs w:val="1"/>
                <w:color w:val="auto"/>
              </w:rPr>
            </w:pPr>
          </w:p>
        </w:tc>
        <w:tc>
          <w:tcPr>
            <w:tcW w:w="3180" w:type="dxa"/>
            <w:vAlign w:val="bottom"/>
            <w:tcBorders>
              <w:right w:val="single" w:sz="8" w:color="93A1D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93A1D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93A1D2"/>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right w:val="single" w:sz="8" w:color="93A1D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right w:val="single" w:sz="8" w:color="93A1D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right w:val="single" w:sz="8" w:color="3465B0"/>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6"/>
                <w:szCs w:val="16"/>
                <w:color w:val="auto"/>
              </w:rPr>
              <w:t>Less, Value of Stock and Option Awards</w:t>
            </w: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880" w:type="dxa"/>
            <w:vAlign w:val="bottom"/>
            <w:tcBorders>
              <w:right w:val="single" w:sz="8" w:color="93A1D2"/>
            </w:tcBorders>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940" w:type="dxa"/>
            <w:vAlign w:val="bottom"/>
            <w:tcBorders>
              <w:right w:val="single" w:sz="8" w:color="93A1D2"/>
            </w:tcBorders>
            <w:shd w:val="clear" w:color="auto" w:fill="CCCCCC"/>
          </w:tcPr>
          <w:p>
            <w:pPr>
              <w:spacing w:after="0"/>
              <w:rPr>
                <w:sz w:val="17"/>
                <w:szCs w:val="17"/>
                <w:color w:val="auto"/>
              </w:rPr>
            </w:pPr>
          </w:p>
        </w:tc>
        <w:tc>
          <w:tcPr>
            <w:tcW w:w="240" w:type="dxa"/>
            <w:vAlign w:val="bottom"/>
            <w:shd w:val="clear" w:color="auto" w:fill="CCCCCC"/>
          </w:tcPr>
          <w:p>
            <w:pPr>
              <w:spacing w:after="0"/>
              <w:rPr>
                <w:sz w:val="17"/>
                <w:szCs w:val="17"/>
                <w:color w:val="auto"/>
              </w:rPr>
            </w:pPr>
          </w:p>
        </w:tc>
        <w:tc>
          <w:tcPr>
            <w:tcW w:w="880" w:type="dxa"/>
            <w:vAlign w:val="bottom"/>
            <w:tcBorders>
              <w:right w:val="single" w:sz="8" w:color="3465B0"/>
            </w:tcBorders>
            <w:shd w:val="clear" w:color="auto" w:fill="CCCCCC"/>
          </w:tcPr>
          <w:p>
            <w:pPr>
              <w:spacing w:after="0"/>
              <w:rPr>
                <w:sz w:val="17"/>
                <w:szCs w:val="17"/>
                <w:color w:val="auto"/>
              </w:rPr>
            </w:pPr>
          </w:p>
        </w:tc>
        <w:tc>
          <w:tcPr>
            <w:tcW w:w="940" w:type="dxa"/>
            <w:vAlign w:val="bottom"/>
          </w:tcPr>
          <w:p>
            <w:pPr>
              <w:spacing w:after="0"/>
              <w:rPr>
                <w:sz w:val="17"/>
                <w:szCs w:val="17"/>
                <w:color w:val="auto"/>
              </w:rPr>
            </w:pPr>
          </w:p>
        </w:tc>
      </w:tr>
      <w:tr>
        <w:trPr>
          <w:trHeight w:val="224"/>
        </w:trPr>
        <w:tc>
          <w:tcPr>
            <w:tcW w:w="1340" w:type="dxa"/>
            <w:vAlign w:val="bottom"/>
            <w:tcBorders>
              <w:right w:val="single" w:sz="8" w:color="3465B0"/>
            </w:tcBorders>
          </w:tcPr>
          <w:p>
            <w:pPr>
              <w:spacing w:after="0"/>
              <w:rPr>
                <w:sz w:val="19"/>
                <w:szCs w:val="19"/>
                <w:color w:val="auto"/>
              </w:rPr>
            </w:pPr>
          </w:p>
        </w:tc>
        <w:tc>
          <w:tcPr>
            <w:tcW w:w="3180" w:type="dxa"/>
            <w:vAlign w:val="bottom"/>
            <w:tcBorders>
              <w:bottom w:val="single" w:sz="8" w:color="CCCCCC"/>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Reported in SCT</w:t>
            </w:r>
          </w:p>
        </w:tc>
        <w:tc>
          <w:tcPr>
            <w:tcW w:w="1120" w:type="dxa"/>
            <w:vAlign w:val="bottom"/>
            <w:tcBorders>
              <w:bottom w:val="single" w:sz="8" w:color="CCCCCC"/>
              <w:right w:val="single" w:sz="8" w:color="93A1D2"/>
            </w:tcBorders>
            <w:gridSpan w:val="2"/>
            <w:shd w:val="clear" w:color="auto" w:fill="CCCCCC"/>
          </w:tcPr>
          <w:p>
            <w:pPr>
              <w:jc w:val="right"/>
              <w:ind w:right="20"/>
              <w:spacing w:after="0"/>
              <w:rPr>
                <w:sz w:val="20"/>
                <w:szCs w:val="20"/>
                <w:color w:val="auto"/>
              </w:rPr>
            </w:pPr>
            <w:r>
              <w:rPr>
                <w:rFonts w:ascii="Arial" w:cs="Arial" w:eastAsia="Arial" w:hAnsi="Arial"/>
                <w:sz w:val="16"/>
                <w:szCs w:val="16"/>
                <w:color w:val="auto"/>
              </w:rPr>
              <w:t>(4,313,738)</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w w:val="97"/>
              </w:rPr>
              <w:t>(4,000,011)</w:t>
            </w:r>
          </w:p>
        </w:tc>
        <w:tc>
          <w:tcPr>
            <w:tcW w:w="1080" w:type="dxa"/>
            <w:vAlign w:val="bottom"/>
            <w:tcBorders>
              <w:bottom w:val="single" w:sz="8" w:color="CCCCCC"/>
              <w:right w:val="single" w:sz="8" w:color="93A1D2"/>
            </w:tcBorders>
            <w:gridSpan w:val="2"/>
            <w:shd w:val="clear" w:color="auto" w:fill="CCCCCC"/>
          </w:tcPr>
          <w:p>
            <w:pPr>
              <w:jc w:val="right"/>
              <w:ind w:right="20"/>
              <w:spacing w:after="0"/>
              <w:rPr>
                <w:sz w:val="20"/>
                <w:szCs w:val="20"/>
                <w:color w:val="auto"/>
              </w:rPr>
            </w:pPr>
            <w:r>
              <w:rPr>
                <w:rFonts w:ascii="Arial" w:cs="Arial" w:eastAsia="Arial" w:hAnsi="Arial"/>
                <w:sz w:val="16"/>
                <w:szCs w:val="16"/>
                <w:color w:val="auto"/>
              </w:rPr>
              <w:t>(6,000,007)</w:t>
            </w:r>
          </w:p>
        </w:tc>
        <w:tc>
          <w:tcPr>
            <w:tcW w:w="1120" w:type="dxa"/>
            <w:vAlign w:val="bottom"/>
            <w:tcBorders>
              <w:bottom w:val="single" w:sz="8" w:color="CCCCCC"/>
              <w:right w:val="single" w:sz="8" w:color="93A1D2"/>
            </w:tcBorders>
            <w:gridSpan w:val="2"/>
            <w:shd w:val="clear" w:color="auto" w:fill="CCCCCC"/>
          </w:tcPr>
          <w:p>
            <w:pPr>
              <w:jc w:val="right"/>
              <w:ind w:right="40"/>
              <w:spacing w:after="0"/>
              <w:rPr>
                <w:sz w:val="20"/>
                <w:szCs w:val="20"/>
                <w:color w:val="auto"/>
              </w:rPr>
            </w:pPr>
            <w:r>
              <w:rPr>
                <w:rFonts w:ascii="Arial" w:cs="Arial" w:eastAsia="Arial" w:hAnsi="Arial"/>
                <w:sz w:val="16"/>
                <w:szCs w:val="16"/>
                <w:color w:val="auto"/>
              </w:rPr>
              <w:t>(3,250,006)</w:t>
            </w:r>
          </w:p>
        </w:tc>
        <w:tc>
          <w:tcPr>
            <w:tcW w:w="1120" w:type="dxa"/>
            <w:vAlign w:val="bottom"/>
            <w:tcBorders>
              <w:bottom w:val="single" w:sz="8" w:color="CCCCCC"/>
              <w:right w:val="single" w:sz="8" w:color="3465B0"/>
            </w:tcBorders>
            <w:gridSpan w:val="2"/>
            <w:shd w:val="clear" w:color="auto" w:fill="CCCCCC"/>
          </w:tcPr>
          <w:p>
            <w:pPr>
              <w:jc w:val="right"/>
              <w:ind w:right="20"/>
              <w:spacing w:after="0"/>
              <w:rPr>
                <w:sz w:val="20"/>
                <w:szCs w:val="20"/>
                <w:color w:val="auto"/>
              </w:rPr>
            </w:pPr>
            <w:r>
              <w:rPr>
                <w:rFonts w:ascii="Arial" w:cs="Arial" w:eastAsia="Arial" w:hAnsi="Arial"/>
                <w:sz w:val="16"/>
                <w:szCs w:val="16"/>
                <w:color w:val="auto"/>
              </w:rPr>
              <w:t>(2,750,013)</w:t>
            </w:r>
          </w:p>
        </w:tc>
        <w:tc>
          <w:tcPr>
            <w:tcW w:w="940" w:type="dxa"/>
            <w:vAlign w:val="bottom"/>
          </w:tcPr>
          <w:p>
            <w:pPr>
              <w:spacing w:after="0"/>
              <w:rPr>
                <w:sz w:val="19"/>
                <w:szCs w:val="19"/>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color w:val="auto"/>
              </w:rPr>
              <w:t>Plus, Fiscal Year-End Value of Awards</w:t>
            </w: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93A1D2"/>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Granted in Fiscal Year that are</w:t>
            </w: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93A1D2"/>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3465B0"/>
            </w:tcBorders>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1340" w:type="dxa"/>
            <w:vAlign w:val="bottom"/>
            <w:tcBorders>
              <w:right w:val="single" w:sz="8" w:color="3465B0"/>
            </w:tcBorders>
          </w:tcPr>
          <w:p>
            <w:pPr>
              <w:spacing w:after="0"/>
              <w:rPr>
                <w:sz w:val="18"/>
                <w:szCs w:val="18"/>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Unvested and Outstanding</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w w:val="99"/>
              </w:rPr>
              <w:t>12,523,886</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ind w:right="20"/>
              <w:spacing w:after="0"/>
              <w:rPr>
                <w:sz w:val="20"/>
                <w:szCs w:val="20"/>
                <w:color w:val="auto"/>
              </w:rPr>
            </w:pPr>
            <w:r>
              <w:rPr>
                <w:rFonts w:ascii="Arial" w:cs="Arial" w:eastAsia="Arial" w:hAnsi="Arial"/>
                <w:sz w:val="16"/>
                <w:szCs w:val="16"/>
                <w:color w:val="auto"/>
              </w:rPr>
              <w:t>1,561,057</w:t>
            </w:r>
          </w:p>
        </w:tc>
        <w:tc>
          <w:tcPr>
            <w:tcW w:w="200" w:type="dxa"/>
            <w:vAlign w:val="bottom"/>
          </w:tcPr>
          <w:p>
            <w:pPr>
              <w:spacing w:after="0"/>
              <w:rPr>
                <w:sz w:val="18"/>
                <w:szCs w:val="18"/>
                <w:color w:val="auto"/>
              </w:rPr>
            </w:pPr>
          </w:p>
        </w:tc>
        <w:tc>
          <w:tcPr>
            <w:tcW w:w="880" w:type="dxa"/>
            <w:vAlign w:val="bottom"/>
            <w:tcBorders>
              <w:right w:val="single" w:sz="8" w:color="93A1D2"/>
            </w:tcBorders>
          </w:tcPr>
          <w:p>
            <w:pPr>
              <w:jc w:val="right"/>
              <w:ind w:right="20"/>
              <w:spacing w:after="0"/>
              <w:rPr>
                <w:sz w:val="20"/>
                <w:szCs w:val="20"/>
                <w:color w:val="auto"/>
              </w:rPr>
            </w:pPr>
            <w:r>
              <w:rPr>
                <w:rFonts w:ascii="Arial" w:cs="Arial" w:eastAsia="Arial" w:hAnsi="Arial"/>
                <w:sz w:val="16"/>
                <w:szCs w:val="16"/>
                <w:color w:val="auto"/>
              </w:rPr>
              <w:t>6,473,203</w:t>
            </w:r>
          </w:p>
        </w:tc>
        <w:tc>
          <w:tcPr>
            <w:tcW w:w="180" w:type="dxa"/>
            <w:vAlign w:val="bottom"/>
          </w:tcPr>
          <w:p>
            <w:pPr>
              <w:spacing w:after="0"/>
              <w:rPr>
                <w:sz w:val="18"/>
                <w:szCs w:val="18"/>
                <w:color w:val="auto"/>
              </w:rPr>
            </w:pPr>
          </w:p>
        </w:tc>
        <w:tc>
          <w:tcPr>
            <w:tcW w:w="940" w:type="dxa"/>
            <w:vAlign w:val="bottom"/>
            <w:tcBorders>
              <w:right w:val="single" w:sz="8" w:color="93A1D2"/>
            </w:tcBorders>
          </w:tcPr>
          <w:p>
            <w:pPr>
              <w:jc w:val="right"/>
              <w:ind w:right="40"/>
              <w:spacing w:after="0"/>
              <w:rPr>
                <w:sz w:val="20"/>
                <w:szCs w:val="20"/>
                <w:color w:val="auto"/>
              </w:rPr>
            </w:pPr>
            <w:r>
              <w:rPr>
                <w:rFonts w:ascii="Arial" w:cs="Arial" w:eastAsia="Arial" w:hAnsi="Arial"/>
                <w:sz w:val="16"/>
                <w:szCs w:val="16"/>
                <w:color w:val="auto"/>
              </w:rPr>
              <w:t>2,204,149</w:t>
            </w:r>
          </w:p>
        </w:tc>
        <w:tc>
          <w:tcPr>
            <w:tcW w:w="240" w:type="dxa"/>
            <w:vAlign w:val="bottom"/>
          </w:tcPr>
          <w:p>
            <w:pPr>
              <w:spacing w:after="0"/>
              <w:rPr>
                <w:sz w:val="18"/>
                <w:szCs w:val="18"/>
                <w:color w:val="auto"/>
              </w:rPr>
            </w:pPr>
          </w:p>
        </w:tc>
        <w:tc>
          <w:tcPr>
            <w:tcW w:w="880" w:type="dxa"/>
            <w:vAlign w:val="bottom"/>
            <w:tcBorders>
              <w:right w:val="single" w:sz="8" w:color="3465B0"/>
            </w:tcBorders>
          </w:tcPr>
          <w:p>
            <w:pPr>
              <w:jc w:val="right"/>
              <w:ind w:right="20"/>
              <w:spacing w:after="0"/>
              <w:rPr>
                <w:sz w:val="20"/>
                <w:szCs w:val="20"/>
                <w:color w:val="auto"/>
              </w:rPr>
            </w:pPr>
            <w:r>
              <w:rPr>
                <w:rFonts w:ascii="Arial" w:cs="Arial" w:eastAsia="Arial" w:hAnsi="Arial"/>
                <w:sz w:val="16"/>
                <w:szCs w:val="16"/>
                <w:color w:val="auto"/>
              </w:rPr>
              <w:t>2,836,856</w:t>
            </w:r>
          </w:p>
        </w:tc>
        <w:tc>
          <w:tcPr>
            <w:tcW w:w="940" w:type="dxa"/>
            <w:vAlign w:val="bottom"/>
          </w:tcPr>
          <w:p>
            <w:pPr>
              <w:spacing w:after="0"/>
              <w:rPr>
                <w:sz w:val="18"/>
                <w:szCs w:val="18"/>
                <w:color w:val="auto"/>
              </w:rPr>
            </w:pPr>
          </w:p>
        </w:tc>
      </w:tr>
      <w:tr>
        <w:trPr>
          <w:trHeight w:val="29"/>
        </w:trPr>
        <w:tc>
          <w:tcPr>
            <w:tcW w:w="1340" w:type="dxa"/>
            <w:vAlign w:val="bottom"/>
            <w:tcBorders>
              <w:right w:val="single" w:sz="8" w:color="3465B0"/>
            </w:tcBorders>
          </w:tcPr>
          <w:p>
            <w:pPr>
              <w:spacing w:after="0"/>
              <w:rPr>
                <w:sz w:val="2"/>
                <w:szCs w:val="2"/>
                <w:color w:val="auto"/>
              </w:rPr>
            </w:pPr>
          </w:p>
        </w:tc>
        <w:tc>
          <w:tcPr>
            <w:tcW w:w="318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right w:val="single" w:sz="8" w:color="93A1D2"/>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6"/>
                <w:szCs w:val="16"/>
                <w:color w:val="auto"/>
              </w:rPr>
              <w:t>Plus/Minus, Change in Fair Value of Prior</w:t>
            </w: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880" w:type="dxa"/>
            <w:vAlign w:val="bottom"/>
            <w:tcBorders>
              <w:right w:val="single" w:sz="8" w:color="93A1D2"/>
            </w:tcBorders>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940" w:type="dxa"/>
            <w:vAlign w:val="bottom"/>
            <w:tcBorders>
              <w:right w:val="single" w:sz="8" w:color="93A1D2"/>
            </w:tcBorders>
            <w:shd w:val="clear" w:color="auto" w:fill="CCCCCC"/>
          </w:tcPr>
          <w:p>
            <w:pPr>
              <w:spacing w:after="0"/>
              <w:rPr>
                <w:sz w:val="17"/>
                <w:szCs w:val="17"/>
                <w:color w:val="auto"/>
              </w:rPr>
            </w:pPr>
          </w:p>
        </w:tc>
        <w:tc>
          <w:tcPr>
            <w:tcW w:w="240" w:type="dxa"/>
            <w:vAlign w:val="bottom"/>
            <w:shd w:val="clear" w:color="auto" w:fill="CCCCCC"/>
          </w:tcPr>
          <w:p>
            <w:pPr>
              <w:spacing w:after="0"/>
              <w:rPr>
                <w:sz w:val="17"/>
                <w:szCs w:val="17"/>
                <w:color w:val="auto"/>
              </w:rPr>
            </w:pPr>
          </w:p>
        </w:tc>
        <w:tc>
          <w:tcPr>
            <w:tcW w:w="880" w:type="dxa"/>
            <w:vAlign w:val="bottom"/>
            <w:tcBorders>
              <w:right w:val="single" w:sz="8" w:color="3465B0"/>
            </w:tcBorders>
            <w:shd w:val="clear" w:color="auto" w:fill="CCCCCC"/>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Year Awards that are Unvested and</w:t>
            </w:r>
          </w:p>
        </w:tc>
        <w:tc>
          <w:tcPr>
            <w:tcW w:w="220" w:type="dxa"/>
            <w:vAlign w:val="bottom"/>
            <w:shd w:val="clear" w:color="auto" w:fill="CCCCCC"/>
          </w:tcPr>
          <w:p>
            <w:pPr>
              <w:spacing w:after="0"/>
              <w:rPr>
                <w:sz w:val="16"/>
                <w:szCs w:val="16"/>
                <w:color w:val="auto"/>
              </w:rPr>
            </w:pPr>
          </w:p>
        </w:tc>
        <w:tc>
          <w:tcPr>
            <w:tcW w:w="900" w:type="dxa"/>
            <w:vAlign w:val="bottom"/>
            <w:tcBorders>
              <w:right w:val="single" w:sz="8" w:color="93A1D2"/>
            </w:tcBorders>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900" w:type="dxa"/>
            <w:vAlign w:val="bottom"/>
            <w:tcBorders>
              <w:right w:val="single" w:sz="8" w:color="93A1D2"/>
            </w:tcBorders>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880" w:type="dxa"/>
            <w:vAlign w:val="bottom"/>
            <w:tcBorders>
              <w:right w:val="single" w:sz="8" w:color="93A1D2"/>
            </w:tcBorders>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940" w:type="dxa"/>
            <w:vAlign w:val="bottom"/>
            <w:tcBorders>
              <w:right w:val="single" w:sz="8" w:color="93A1D2"/>
            </w:tcBorders>
            <w:shd w:val="clear" w:color="auto" w:fill="CCCCCC"/>
          </w:tcPr>
          <w:p>
            <w:pPr>
              <w:spacing w:after="0"/>
              <w:rPr>
                <w:sz w:val="16"/>
                <w:szCs w:val="16"/>
                <w:color w:val="auto"/>
              </w:rPr>
            </w:pPr>
          </w:p>
        </w:tc>
        <w:tc>
          <w:tcPr>
            <w:tcW w:w="240" w:type="dxa"/>
            <w:vAlign w:val="bottom"/>
            <w:shd w:val="clear" w:color="auto" w:fill="CCCCCC"/>
          </w:tcPr>
          <w:p>
            <w:pPr>
              <w:spacing w:after="0"/>
              <w:rPr>
                <w:sz w:val="16"/>
                <w:szCs w:val="16"/>
                <w:color w:val="auto"/>
              </w:rPr>
            </w:pPr>
          </w:p>
        </w:tc>
        <w:tc>
          <w:tcPr>
            <w:tcW w:w="880" w:type="dxa"/>
            <w:vAlign w:val="bottom"/>
            <w:tcBorders>
              <w:right w:val="single" w:sz="8" w:color="3465B0"/>
            </w:tcBorders>
            <w:shd w:val="clear" w:color="auto" w:fill="CCCCCC"/>
          </w:tcPr>
          <w:p>
            <w:pPr>
              <w:spacing w:after="0"/>
              <w:rPr>
                <w:sz w:val="16"/>
                <w:szCs w:val="16"/>
                <w:color w:val="auto"/>
              </w:rPr>
            </w:pPr>
          </w:p>
        </w:tc>
        <w:tc>
          <w:tcPr>
            <w:tcW w:w="940" w:type="dxa"/>
            <w:vAlign w:val="bottom"/>
          </w:tcPr>
          <w:p>
            <w:pPr>
              <w:spacing w:after="0"/>
              <w:rPr>
                <w:sz w:val="16"/>
                <w:szCs w:val="16"/>
                <w:color w:val="auto"/>
              </w:rPr>
            </w:pPr>
          </w:p>
        </w:tc>
      </w:tr>
      <w:tr>
        <w:trPr>
          <w:trHeight w:val="224"/>
        </w:trPr>
        <w:tc>
          <w:tcPr>
            <w:tcW w:w="1340" w:type="dxa"/>
            <w:vAlign w:val="bottom"/>
            <w:tcBorders>
              <w:right w:val="single" w:sz="8" w:color="3465B0"/>
            </w:tcBorders>
          </w:tcPr>
          <w:p>
            <w:pPr>
              <w:spacing w:after="0"/>
              <w:rPr>
                <w:sz w:val="19"/>
                <w:szCs w:val="19"/>
                <w:color w:val="auto"/>
              </w:rPr>
            </w:pPr>
          </w:p>
        </w:tc>
        <w:tc>
          <w:tcPr>
            <w:tcW w:w="3180" w:type="dxa"/>
            <w:vAlign w:val="bottom"/>
            <w:tcBorders>
              <w:bottom w:val="single" w:sz="8" w:color="CCCCCC"/>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Outstanding</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ind w:right="20"/>
              <w:spacing w:after="0"/>
              <w:rPr>
                <w:sz w:val="20"/>
                <w:szCs w:val="20"/>
                <w:color w:val="auto"/>
              </w:rPr>
            </w:pPr>
            <w:r>
              <w:rPr>
                <w:rFonts w:ascii="Arial" w:cs="Arial" w:eastAsia="Arial" w:hAnsi="Arial"/>
                <w:sz w:val="16"/>
                <w:szCs w:val="16"/>
                <w:color w:val="auto"/>
              </w:rPr>
              <w:t>6,309,942</w:t>
            </w:r>
          </w:p>
        </w:tc>
        <w:tc>
          <w:tcPr>
            <w:tcW w:w="1120" w:type="dxa"/>
            <w:vAlign w:val="bottom"/>
            <w:tcBorders>
              <w:bottom w:val="single" w:sz="8" w:color="CCCCCC"/>
              <w:right w:val="single" w:sz="8" w:color="93A1D2"/>
            </w:tcBorders>
            <w:gridSpan w:val="2"/>
            <w:shd w:val="clear" w:color="auto" w:fill="CCCCCC"/>
          </w:tcPr>
          <w:p>
            <w:pPr>
              <w:jc w:val="right"/>
              <w:ind w:right="20"/>
              <w:spacing w:after="0"/>
              <w:rPr>
                <w:sz w:val="20"/>
                <w:szCs w:val="20"/>
                <w:color w:val="auto"/>
              </w:rPr>
            </w:pPr>
            <w:r>
              <w:rPr>
                <w:rFonts w:ascii="Arial" w:cs="Arial" w:eastAsia="Arial" w:hAnsi="Arial"/>
                <w:sz w:val="16"/>
                <w:szCs w:val="16"/>
                <w:color w:val="auto"/>
              </w:rPr>
              <w:t>(3,634,860)</w:t>
            </w:r>
          </w:p>
        </w:tc>
        <w:tc>
          <w:tcPr>
            <w:tcW w:w="1080" w:type="dxa"/>
            <w:vAlign w:val="bottom"/>
            <w:tcBorders>
              <w:bottom w:val="single" w:sz="8" w:color="CCCCCC"/>
              <w:right w:val="single" w:sz="8" w:color="93A1D2"/>
            </w:tcBorders>
            <w:gridSpan w:val="2"/>
            <w:shd w:val="clear" w:color="auto" w:fill="CCCCCC"/>
          </w:tcPr>
          <w:p>
            <w:pPr>
              <w:jc w:val="right"/>
              <w:ind w:right="20"/>
              <w:spacing w:after="0"/>
              <w:rPr>
                <w:sz w:val="20"/>
                <w:szCs w:val="20"/>
                <w:color w:val="auto"/>
              </w:rPr>
            </w:pPr>
            <w:r>
              <w:rPr>
                <w:rFonts w:ascii="Arial" w:cs="Arial" w:eastAsia="Arial" w:hAnsi="Arial"/>
                <w:sz w:val="16"/>
                <w:szCs w:val="16"/>
                <w:color w:val="auto"/>
              </w:rPr>
              <w:t>(1,334,361)</w:t>
            </w:r>
          </w:p>
        </w:tc>
        <w:tc>
          <w:tcPr>
            <w:tcW w:w="1120" w:type="dxa"/>
            <w:vAlign w:val="bottom"/>
            <w:tcBorders>
              <w:bottom w:val="single" w:sz="8" w:color="CCCCCC"/>
              <w:right w:val="single" w:sz="8" w:color="93A1D2"/>
            </w:tcBorders>
            <w:gridSpan w:val="2"/>
            <w:shd w:val="clear" w:color="auto" w:fill="CCCCCC"/>
          </w:tcPr>
          <w:p>
            <w:pPr>
              <w:jc w:val="right"/>
              <w:ind w:right="40"/>
              <w:spacing w:after="0"/>
              <w:rPr>
                <w:sz w:val="20"/>
                <w:szCs w:val="20"/>
                <w:color w:val="auto"/>
              </w:rPr>
            </w:pPr>
            <w:r>
              <w:rPr>
                <w:rFonts w:ascii="Arial" w:cs="Arial" w:eastAsia="Arial" w:hAnsi="Arial"/>
                <w:sz w:val="16"/>
                <w:szCs w:val="16"/>
                <w:color w:val="auto"/>
              </w:rPr>
              <w:t>(1,351,514)</w:t>
            </w:r>
          </w:p>
        </w:tc>
        <w:tc>
          <w:tcPr>
            <w:tcW w:w="24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3465B0"/>
            </w:tcBorders>
            <w:shd w:val="clear" w:color="auto" w:fill="CCCCCC"/>
          </w:tcPr>
          <w:p>
            <w:pPr>
              <w:jc w:val="right"/>
              <w:ind w:right="20"/>
              <w:spacing w:after="0"/>
              <w:rPr>
                <w:sz w:val="20"/>
                <w:szCs w:val="20"/>
                <w:color w:val="auto"/>
              </w:rPr>
            </w:pPr>
            <w:r>
              <w:rPr>
                <w:rFonts w:ascii="Arial" w:cs="Arial" w:eastAsia="Arial" w:hAnsi="Arial"/>
                <w:sz w:val="16"/>
                <w:szCs w:val="16"/>
                <w:color w:val="auto"/>
              </w:rPr>
              <w:t>759,172</w:t>
            </w:r>
          </w:p>
        </w:tc>
        <w:tc>
          <w:tcPr>
            <w:tcW w:w="940" w:type="dxa"/>
            <w:vAlign w:val="bottom"/>
          </w:tcPr>
          <w:p>
            <w:pPr>
              <w:spacing w:after="0"/>
              <w:rPr>
                <w:sz w:val="19"/>
                <w:szCs w:val="19"/>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color w:val="auto"/>
              </w:rPr>
              <w:t>Plus, Fair Market Value of Awards</w:t>
            </w: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93A1D2"/>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Granted this Year that Vested in Fiscal</w:t>
            </w: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93A1D2"/>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3465B0"/>
            </w:tcBorders>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1340" w:type="dxa"/>
            <w:vAlign w:val="bottom"/>
            <w:tcBorders>
              <w:right w:val="single" w:sz="8" w:color="3465B0"/>
            </w:tcBorders>
          </w:tcPr>
          <w:p>
            <w:pPr>
              <w:spacing w:after="0"/>
              <w:rPr>
                <w:sz w:val="18"/>
                <w:szCs w:val="18"/>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Year</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Borders>
              <w:right w:val="single" w:sz="8" w:color="93A1D2"/>
            </w:tcBorders>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93A1D2"/>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3465B0"/>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29"/>
        </w:trPr>
        <w:tc>
          <w:tcPr>
            <w:tcW w:w="1340" w:type="dxa"/>
            <w:vAlign w:val="bottom"/>
            <w:tcBorders>
              <w:right w:val="single" w:sz="8" w:color="3465B0"/>
            </w:tcBorders>
          </w:tcPr>
          <w:p>
            <w:pPr>
              <w:spacing w:after="0"/>
              <w:rPr>
                <w:sz w:val="2"/>
                <w:szCs w:val="2"/>
                <w:color w:val="auto"/>
              </w:rPr>
            </w:pPr>
          </w:p>
        </w:tc>
        <w:tc>
          <w:tcPr>
            <w:tcW w:w="318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right w:val="single" w:sz="8" w:color="93A1D2"/>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right w:val="single" w:sz="8" w:color="93A1D2"/>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shd w:val="clear" w:color="auto" w:fill="CCCCCC"/>
          </w:tcPr>
          <w:p>
            <w:pPr>
              <w:ind w:left="40"/>
              <w:spacing w:after="0"/>
              <w:rPr>
                <w:sz w:val="20"/>
                <w:szCs w:val="20"/>
                <w:color w:val="auto"/>
              </w:rPr>
            </w:pPr>
            <w:r>
              <w:rPr>
                <w:rFonts w:ascii="Arial" w:cs="Arial" w:eastAsia="Arial" w:hAnsi="Arial"/>
                <w:sz w:val="16"/>
                <w:szCs w:val="16"/>
                <w:color w:val="auto"/>
              </w:rPr>
              <w:t>Plus/Minus, Change in Fair Value (from</w:t>
            </w: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900" w:type="dxa"/>
            <w:vAlign w:val="bottom"/>
            <w:tcBorders>
              <w:right w:val="single" w:sz="8" w:color="93A1D2"/>
            </w:tcBorders>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880" w:type="dxa"/>
            <w:vAlign w:val="bottom"/>
            <w:tcBorders>
              <w:right w:val="single" w:sz="8" w:color="93A1D2"/>
            </w:tcBorders>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940" w:type="dxa"/>
            <w:vAlign w:val="bottom"/>
            <w:tcBorders>
              <w:right w:val="single" w:sz="8" w:color="93A1D2"/>
            </w:tcBorders>
            <w:shd w:val="clear" w:color="auto" w:fill="CCCCCC"/>
          </w:tcPr>
          <w:p>
            <w:pPr>
              <w:spacing w:after="0"/>
              <w:rPr>
                <w:sz w:val="17"/>
                <w:szCs w:val="17"/>
                <w:color w:val="auto"/>
              </w:rPr>
            </w:pPr>
          </w:p>
        </w:tc>
        <w:tc>
          <w:tcPr>
            <w:tcW w:w="240" w:type="dxa"/>
            <w:vAlign w:val="bottom"/>
            <w:shd w:val="clear" w:color="auto" w:fill="CCCCCC"/>
          </w:tcPr>
          <w:p>
            <w:pPr>
              <w:spacing w:after="0"/>
              <w:rPr>
                <w:sz w:val="17"/>
                <w:szCs w:val="17"/>
                <w:color w:val="auto"/>
              </w:rPr>
            </w:pPr>
          </w:p>
        </w:tc>
        <w:tc>
          <w:tcPr>
            <w:tcW w:w="880" w:type="dxa"/>
            <w:vAlign w:val="bottom"/>
            <w:tcBorders>
              <w:right w:val="single" w:sz="8" w:color="3465B0"/>
            </w:tcBorders>
            <w:shd w:val="clear" w:color="auto" w:fill="CCCCCC"/>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Prior Fiscal Year-End) of Prior Year</w:t>
            </w:r>
          </w:p>
        </w:tc>
        <w:tc>
          <w:tcPr>
            <w:tcW w:w="220" w:type="dxa"/>
            <w:vAlign w:val="bottom"/>
            <w:shd w:val="clear" w:color="auto" w:fill="CCCCCC"/>
          </w:tcPr>
          <w:p>
            <w:pPr>
              <w:spacing w:after="0"/>
              <w:rPr>
                <w:sz w:val="16"/>
                <w:szCs w:val="16"/>
                <w:color w:val="auto"/>
              </w:rPr>
            </w:pPr>
          </w:p>
        </w:tc>
        <w:tc>
          <w:tcPr>
            <w:tcW w:w="900" w:type="dxa"/>
            <w:vAlign w:val="bottom"/>
            <w:tcBorders>
              <w:right w:val="single" w:sz="8" w:color="93A1D2"/>
            </w:tcBorders>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900" w:type="dxa"/>
            <w:vAlign w:val="bottom"/>
            <w:tcBorders>
              <w:right w:val="single" w:sz="8" w:color="93A1D2"/>
            </w:tcBorders>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880" w:type="dxa"/>
            <w:vAlign w:val="bottom"/>
            <w:tcBorders>
              <w:right w:val="single" w:sz="8" w:color="93A1D2"/>
            </w:tcBorders>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940" w:type="dxa"/>
            <w:vAlign w:val="bottom"/>
            <w:tcBorders>
              <w:right w:val="single" w:sz="8" w:color="93A1D2"/>
            </w:tcBorders>
            <w:shd w:val="clear" w:color="auto" w:fill="CCCCCC"/>
          </w:tcPr>
          <w:p>
            <w:pPr>
              <w:spacing w:after="0"/>
              <w:rPr>
                <w:sz w:val="16"/>
                <w:szCs w:val="16"/>
                <w:color w:val="auto"/>
              </w:rPr>
            </w:pPr>
          </w:p>
        </w:tc>
        <w:tc>
          <w:tcPr>
            <w:tcW w:w="240" w:type="dxa"/>
            <w:vAlign w:val="bottom"/>
            <w:shd w:val="clear" w:color="auto" w:fill="CCCCCC"/>
          </w:tcPr>
          <w:p>
            <w:pPr>
              <w:spacing w:after="0"/>
              <w:rPr>
                <w:sz w:val="16"/>
                <w:szCs w:val="16"/>
                <w:color w:val="auto"/>
              </w:rPr>
            </w:pPr>
          </w:p>
        </w:tc>
        <w:tc>
          <w:tcPr>
            <w:tcW w:w="880" w:type="dxa"/>
            <w:vAlign w:val="bottom"/>
            <w:tcBorders>
              <w:right w:val="single" w:sz="8" w:color="3465B0"/>
            </w:tcBorders>
            <w:shd w:val="clear" w:color="auto" w:fill="CCCCCC"/>
          </w:tcPr>
          <w:p>
            <w:pPr>
              <w:spacing w:after="0"/>
              <w:rPr>
                <w:sz w:val="16"/>
                <w:szCs w:val="16"/>
                <w:color w:val="auto"/>
              </w:rPr>
            </w:pPr>
          </w:p>
        </w:tc>
        <w:tc>
          <w:tcPr>
            <w:tcW w:w="940" w:type="dxa"/>
            <w:vAlign w:val="bottom"/>
          </w:tcPr>
          <w:p>
            <w:pPr>
              <w:spacing w:after="0"/>
              <w:rPr>
                <w:sz w:val="16"/>
                <w:szCs w:val="16"/>
                <w:color w:val="auto"/>
              </w:rPr>
            </w:pPr>
          </w:p>
        </w:tc>
      </w:tr>
      <w:tr>
        <w:trPr>
          <w:trHeight w:val="224"/>
        </w:trPr>
        <w:tc>
          <w:tcPr>
            <w:tcW w:w="1340" w:type="dxa"/>
            <w:vAlign w:val="bottom"/>
            <w:tcBorders>
              <w:right w:val="single" w:sz="8" w:color="3465B0"/>
            </w:tcBorders>
          </w:tcPr>
          <w:p>
            <w:pPr>
              <w:spacing w:after="0"/>
              <w:rPr>
                <w:sz w:val="19"/>
                <w:szCs w:val="19"/>
                <w:color w:val="auto"/>
              </w:rPr>
            </w:pPr>
          </w:p>
        </w:tc>
        <w:tc>
          <w:tcPr>
            <w:tcW w:w="3180" w:type="dxa"/>
            <w:vAlign w:val="bottom"/>
            <w:tcBorders>
              <w:bottom w:val="single" w:sz="8" w:color="CCCCCC"/>
              <w:right w:val="single" w:sz="8" w:color="93A1D2"/>
            </w:tcBorders>
            <w:shd w:val="clear" w:color="auto" w:fill="CCCCCC"/>
          </w:tcPr>
          <w:p>
            <w:pPr>
              <w:ind w:left="220"/>
              <w:spacing w:after="0"/>
              <w:rPr>
                <w:sz w:val="20"/>
                <w:szCs w:val="20"/>
                <w:color w:val="auto"/>
              </w:rPr>
            </w:pPr>
            <w:r>
              <w:rPr>
                <w:rFonts w:ascii="Arial" w:cs="Arial" w:eastAsia="Arial" w:hAnsi="Arial"/>
                <w:sz w:val="16"/>
                <w:szCs w:val="16"/>
                <w:color w:val="auto"/>
              </w:rPr>
              <w:t>Awards that Vested in Fiscal Year</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ind w:right="20"/>
              <w:spacing w:after="0"/>
              <w:rPr>
                <w:sz w:val="20"/>
                <w:szCs w:val="20"/>
                <w:color w:val="auto"/>
              </w:rPr>
            </w:pPr>
            <w:r>
              <w:rPr>
                <w:rFonts w:ascii="Arial" w:cs="Arial" w:eastAsia="Arial" w:hAnsi="Arial"/>
                <w:sz w:val="16"/>
                <w:szCs w:val="16"/>
                <w:color w:val="auto"/>
              </w:rPr>
              <w:t>184,709</w:t>
            </w:r>
          </w:p>
        </w:tc>
        <w:tc>
          <w:tcPr>
            <w:tcW w:w="220" w:type="dxa"/>
            <w:vAlign w:val="bottom"/>
            <w:tcBorders>
              <w:bottom w:val="single" w:sz="8" w:color="CCCCCC"/>
            </w:tcBorders>
            <w:shd w:val="clear" w:color="auto" w:fill="CCCCCC"/>
          </w:tcPr>
          <w:p>
            <w:pPr>
              <w:spacing w:after="0"/>
              <w:rPr>
                <w:sz w:val="19"/>
                <w:szCs w:val="19"/>
                <w:color w:val="auto"/>
              </w:rPr>
            </w:pPr>
          </w:p>
        </w:tc>
        <w:tc>
          <w:tcPr>
            <w:tcW w:w="900" w:type="dxa"/>
            <w:vAlign w:val="bottom"/>
            <w:tcBorders>
              <w:bottom w:val="single" w:sz="8" w:color="CCCCCC"/>
              <w:right w:val="single" w:sz="8" w:color="93A1D2"/>
            </w:tcBorders>
            <w:shd w:val="clear" w:color="auto" w:fill="CCCCCC"/>
          </w:tcPr>
          <w:p>
            <w:pPr>
              <w:jc w:val="right"/>
              <w:ind w:right="20"/>
              <w:spacing w:after="0"/>
              <w:rPr>
                <w:sz w:val="20"/>
                <w:szCs w:val="20"/>
                <w:color w:val="auto"/>
              </w:rPr>
            </w:pPr>
            <w:r>
              <w:rPr>
                <w:rFonts w:ascii="Arial" w:cs="Arial" w:eastAsia="Arial" w:hAnsi="Arial"/>
                <w:sz w:val="16"/>
                <w:szCs w:val="16"/>
                <w:color w:val="auto"/>
              </w:rPr>
              <w:t>202,466</w:t>
            </w:r>
          </w:p>
        </w:tc>
        <w:tc>
          <w:tcPr>
            <w:tcW w:w="20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93A1D2"/>
            </w:tcBorders>
            <w:shd w:val="clear" w:color="auto" w:fill="CCCCCC"/>
          </w:tcPr>
          <w:p>
            <w:pPr>
              <w:jc w:val="right"/>
              <w:ind w:right="20"/>
              <w:spacing w:after="0"/>
              <w:rPr>
                <w:sz w:val="20"/>
                <w:szCs w:val="20"/>
                <w:color w:val="auto"/>
              </w:rPr>
            </w:pPr>
            <w:r>
              <w:rPr>
                <w:rFonts w:ascii="Arial" w:cs="Arial" w:eastAsia="Arial" w:hAnsi="Arial"/>
                <w:sz w:val="16"/>
                <w:szCs w:val="16"/>
                <w:color w:val="auto"/>
              </w:rPr>
              <w:t>(990,908)</w:t>
            </w:r>
          </w:p>
        </w:tc>
        <w:tc>
          <w:tcPr>
            <w:tcW w:w="180" w:type="dxa"/>
            <w:vAlign w:val="bottom"/>
            <w:tcBorders>
              <w:bottom w:val="single" w:sz="8" w:color="CCCCCC"/>
            </w:tcBorders>
            <w:shd w:val="clear" w:color="auto" w:fill="CCCCCC"/>
          </w:tcPr>
          <w:p>
            <w:pPr>
              <w:spacing w:after="0"/>
              <w:rPr>
                <w:sz w:val="19"/>
                <w:szCs w:val="19"/>
                <w:color w:val="auto"/>
              </w:rPr>
            </w:pPr>
          </w:p>
        </w:tc>
        <w:tc>
          <w:tcPr>
            <w:tcW w:w="940" w:type="dxa"/>
            <w:vAlign w:val="bottom"/>
            <w:tcBorders>
              <w:bottom w:val="single" w:sz="8" w:color="CCCCCC"/>
              <w:right w:val="single" w:sz="8" w:color="93A1D2"/>
            </w:tcBorders>
            <w:shd w:val="clear" w:color="auto" w:fill="CCCCCC"/>
          </w:tcPr>
          <w:p>
            <w:pPr>
              <w:jc w:val="right"/>
              <w:ind w:right="40"/>
              <w:spacing w:after="0"/>
              <w:rPr>
                <w:sz w:val="20"/>
                <w:szCs w:val="20"/>
                <w:color w:val="auto"/>
              </w:rPr>
            </w:pPr>
            <w:r>
              <w:rPr>
                <w:rFonts w:ascii="Arial" w:cs="Arial" w:eastAsia="Arial" w:hAnsi="Arial"/>
                <w:sz w:val="16"/>
                <w:szCs w:val="16"/>
                <w:color w:val="auto"/>
                <w:w w:val="97"/>
              </w:rPr>
              <w:t>(1,118,719)</w:t>
            </w:r>
          </w:p>
        </w:tc>
        <w:tc>
          <w:tcPr>
            <w:tcW w:w="240" w:type="dxa"/>
            <w:vAlign w:val="bottom"/>
            <w:tcBorders>
              <w:bottom w:val="single" w:sz="8" w:color="CCCCCC"/>
            </w:tcBorders>
            <w:shd w:val="clear" w:color="auto" w:fill="CCCCCC"/>
          </w:tcPr>
          <w:p>
            <w:pPr>
              <w:spacing w:after="0"/>
              <w:rPr>
                <w:sz w:val="19"/>
                <w:szCs w:val="19"/>
                <w:color w:val="auto"/>
              </w:rPr>
            </w:pPr>
          </w:p>
        </w:tc>
        <w:tc>
          <w:tcPr>
            <w:tcW w:w="880" w:type="dxa"/>
            <w:vAlign w:val="bottom"/>
            <w:tcBorders>
              <w:bottom w:val="single" w:sz="8" w:color="CCCCCC"/>
              <w:right w:val="single" w:sz="8" w:color="3465B0"/>
            </w:tcBorders>
            <w:shd w:val="clear" w:color="auto" w:fill="CCCCCC"/>
          </w:tcPr>
          <w:p>
            <w:pPr>
              <w:jc w:val="right"/>
              <w:ind w:right="20"/>
              <w:spacing w:after="0"/>
              <w:rPr>
                <w:sz w:val="20"/>
                <w:szCs w:val="20"/>
                <w:color w:val="auto"/>
              </w:rPr>
            </w:pPr>
            <w:r>
              <w:rPr>
                <w:rFonts w:ascii="Arial" w:cs="Arial" w:eastAsia="Arial" w:hAnsi="Arial"/>
                <w:sz w:val="16"/>
                <w:szCs w:val="16"/>
                <w:color w:val="auto"/>
              </w:rPr>
              <w:t>93,067</w:t>
            </w:r>
          </w:p>
        </w:tc>
        <w:tc>
          <w:tcPr>
            <w:tcW w:w="940" w:type="dxa"/>
            <w:vAlign w:val="bottom"/>
          </w:tcPr>
          <w:p>
            <w:pPr>
              <w:spacing w:after="0"/>
              <w:rPr>
                <w:sz w:val="19"/>
                <w:szCs w:val="19"/>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color w:val="auto"/>
              </w:rPr>
              <w:t>Minus, Prior Fiscal Year-End Fair Value of</w:t>
            </w: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93A1D2"/>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1340" w:type="dxa"/>
            <w:vAlign w:val="bottom"/>
            <w:tcBorders>
              <w:right w:val="single" w:sz="8" w:color="3465B0"/>
            </w:tcBorders>
          </w:tcPr>
          <w:p>
            <w:pPr>
              <w:spacing w:after="0"/>
              <w:rPr>
                <w:sz w:val="16"/>
                <w:szCs w:val="16"/>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Prior Year Awards that Failed to Vest in</w:t>
            </w: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right w:val="single" w:sz="8" w:color="93A1D2"/>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93A1D2"/>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93A1D2"/>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3465B0"/>
            </w:tcBorders>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1340" w:type="dxa"/>
            <w:vAlign w:val="bottom"/>
            <w:tcBorders>
              <w:right w:val="single" w:sz="8" w:color="3465B0"/>
            </w:tcBorders>
          </w:tcPr>
          <w:p>
            <w:pPr>
              <w:spacing w:after="0"/>
              <w:rPr>
                <w:sz w:val="18"/>
                <w:szCs w:val="18"/>
                <w:color w:val="auto"/>
              </w:rPr>
            </w:pPr>
          </w:p>
        </w:tc>
        <w:tc>
          <w:tcPr>
            <w:tcW w:w="3180" w:type="dxa"/>
            <w:vAlign w:val="bottom"/>
            <w:tcBorders>
              <w:right w:val="single" w:sz="8" w:color="93A1D2"/>
            </w:tcBorders>
          </w:tcPr>
          <w:p>
            <w:pPr>
              <w:ind w:left="220"/>
              <w:spacing w:after="0"/>
              <w:rPr>
                <w:sz w:val="20"/>
                <w:szCs w:val="20"/>
                <w:color w:val="auto"/>
              </w:rPr>
            </w:pPr>
            <w:r>
              <w:rPr>
                <w:rFonts w:ascii="Arial" w:cs="Arial" w:eastAsia="Arial" w:hAnsi="Arial"/>
                <w:sz w:val="16"/>
                <w:szCs w:val="16"/>
                <w:color w:val="auto"/>
              </w:rPr>
              <w:t>Fiscal Year</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Borders>
              <w:right w:val="single" w:sz="8" w:color="93A1D2"/>
            </w:tcBorders>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93A1D2"/>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3465B0"/>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r>
      <w:tr>
        <w:trPr>
          <w:trHeight w:val="29"/>
        </w:trPr>
        <w:tc>
          <w:tcPr>
            <w:tcW w:w="1340" w:type="dxa"/>
            <w:vAlign w:val="bottom"/>
            <w:tcBorders>
              <w:right w:val="single" w:sz="8" w:color="3465B0"/>
            </w:tcBorders>
          </w:tcPr>
          <w:p>
            <w:pPr>
              <w:spacing w:after="0"/>
              <w:rPr>
                <w:sz w:val="2"/>
                <w:szCs w:val="2"/>
                <w:color w:val="auto"/>
              </w:rPr>
            </w:pPr>
          </w:p>
        </w:tc>
        <w:tc>
          <w:tcPr>
            <w:tcW w:w="3180" w:type="dxa"/>
            <w:vAlign w:val="bottom"/>
            <w:tcBorders>
              <w:right w:val="single" w:sz="8" w:color="93A1D2"/>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1120" w:type="dxa"/>
            <w:vAlign w:val="bottom"/>
            <w:tcBorders>
              <w:right w:val="single" w:sz="8" w:color="93A1D2"/>
            </w:tcBorders>
            <w:gridSpan w:val="2"/>
          </w:tcPr>
          <w:p>
            <w:pPr>
              <w:spacing w:after="0"/>
              <w:rPr>
                <w:sz w:val="2"/>
                <w:szCs w:val="2"/>
                <w:color w:val="auto"/>
              </w:rPr>
            </w:pPr>
          </w:p>
        </w:tc>
        <w:tc>
          <w:tcPr>
            <w:tcW w:w="1080" w:type="dxa"/>
            <w:vAlign w:val="bottom"/>
            <w:tcBorders>
              <w:right w:val="single" w:sz="8" w:color="93A1D2"/>
            </w:tcBorders>
            <w:gridSpan w:val="2"/>
          </w:tcPr>
          <w:p>
            <w:pPr>
              <w:spacing w:after="0"/>
              <w:rPr>
                <w:sz w:val="2"/>
                <w:szCs w:val="2"/>
                <w:color w:val="auto"/>
              </w:rPr>
            </w:pPr>
          </w:p>
        </w:tc>
        <w:tc>
          <w:tcPr>
            <w:tcW w:w="1120" w:type="dxa"/>
            <w:vAlign w:val="bottom"/>
            <w:tcBorders>
              <w:right w:val="single" w:sz="8" w:color="93A1D2"/>
            </w:tcBorders>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1340" w:type="dxa"/>
            <w:vAlign w:val="bottom"/>
            <w:tcBorders>
              <w:right w:val="single" w:sz="8" w:color="3465B0"/>
            </w:tcBorders>
          </w:tcPr>
          <w:p>
            <w:pPr>
              <w:spacing w:after="0"/>
              <w:rPr>
                <w:sz w:val="20"/>
                <w:szCs w:val="20"/>
                <w:color w:val="auto"/>
              </w:rPr>
            </w:pPr>
          </w:p>
        </w:tc>
        <w:tc>
          <w:tcPr>
            <w:tcW w:w="3180" w:type="dxa"/>
            <w:vAlign w:val="bottom"/>
            <w:tcBorders>
              <w:bottom w:val="single" w:sz="8" w:color="CCCCCC"/>
              <w:right w:val="single" w:sz="8" w:color="93A1D2"/>
            </w:tcBorders>
            <w:shd w:val="clear" w:color="auto" w:fill="CCCCCC"/>
          </w:tcPr>
          <w:p>
            <w:pPr>
              <w:ind w:left="40"/>
              <w:spacing w:after="0"/>
              <w:rPr>
                <w:sz w:val="20"/>
                <w:szCs w:val="20"/>
                <w:color w:val="auto"/>
              </w:rPr>
            </w:pPr>
            <w:r>
              <w:rPr>
                <w:rFonts w:ascii="Arial" w:cs="Arial" w:eastAsia="Arial" w:hAnsi="Arial"/>
                <w:sz w:val="16"/>
                <w:szCs w:val="16"/>
                <w:b w:val="1"/>
                <w:bCs w:val="1"/>
                <w:i w:val="1"/>
                <w:iCs w:val="1"/>
                <w:color w:val="auto"/>
              </w:rPr>
              <w:t>Total Adjustments</w:t>
            </w:r>
          </w:p>
        </w:tc>
        <w:tc>
          <w:tcPr>
            <w:tcW w:w="220" w:type="dxa"/>
            <w:vAlign w:val="bottom"/>
            <w:tcBorders>
              <w:bottom w:val="single" w:sz="8" w:color="CCCCCC"/>
            </w:tcBorders>
            <w:shd w:val="clear" w:color="auto" w:fill="CCCCCC"/>
          </w:tcPr>
          <w:p>
            <w:pPr>
              <w:spacing w:after="0"/>
              <w:rPr>
                <w:sz w:val="20"/>
                <w:szCs w:val="20"/>
                <w:color w:val="auto"/>
              </w:rPr>
            </w:pPr>
          </w:p>
        </w:tc>
        <w:tc>
          <w:tcPr>
            <w:tcW w:w="9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w w:val="99"/>
              </w:rPr>
              <w:t>14,704,800</w:t>
            </w:r>
          </w:p>
        </w:tc>
        <w:tc>
          <w:tcPr>
            <w:tcW w:w="1120" w:type="dxa"/>
            <w:vAlign w:val="bottom"/>
            <w:tcBorders>
              <w:bottom w:val="single" w:sz="8" w:color="CCCCCC"/>
              <w:right w:val="single" w:sz="8" w:color="93A1D2"/>
            </w:tcBorders>
            <w:gridSpan w:val="2"/>
            <w:shd w:val="clear" w:color="auto" w:fill="CCCCCC"/>
          </w:tcPr>
          <w:p>
            <w:pPr>
              <w:jc w:val="right"/>
              <w:ind w:right="20"/>
              <w:spacing w:after="0"/>
              <w:rPr>
                <w:sz w:val="20"/>
                <w:szCs w:val="20"/>
                <w:color w:val="auto"/>
              </w:rPr>
            </w:pPr>
            <w:r>
              <w:rPr>
                <w:rFonts w:ascii="Arial" w:cs="Arial" w:eastAsia="Arial" w:hAnsi="Arial"/>
                <w:sz w:val="16"/>
                <w:szCs w:val="16"/>
                <w:color w:val="auto"/>
              </w:rPr>
              <w:t>(5,871,348)</w:t>
            </w:r>
          </w:p>
        </w:tc>
        <w:tc>
          <w:tcPr>
            <w:tcW w:w="1080" w:type="dxa"/>
            <w:vAlign w:val="bottom"/>
            <w:tcBorders>
              <w:bottom w:val="single" w:sz="8" w:color="CCCCCC"/>
              <w:right w:val="single" w:sz="8" w:color="93A1D2"/>
            </w:tcBorders>
            <w:gridSpan w:val="2"/>
            <w:shd w:val="clear" w:color="auto" w:fill="CCCCCC"/>
          </w:tcPr>
          <w:p>
            <w:pPr>
              <w:jc w:val="right"/>
              <w:ind w:right="20"/>
              <w:spacing w:after="0"/>
              <w:rPr>
                <w:sz w:val="20"/>
                <w:szCs w:val="20"/>
                <w:color w:val="auto"/>
              </w:rPr>
            </w:pPr>
            <w:r>
              <w:rPr>
                <w:rFonts w:ascii="Arial" w:cs="Arial" w:eastAsia="Arial" w:hAnsi="Arial"/>
                <w:sz w:val="16"/>
                <w:szCs w:val="16"/>
                <w:color w:val="auto"/>
              </w:rPr>
              <w:t>(1,852,072)</w:t>
            </w:r>
          </w:p>
        </w:tc>
        <w:tc>
          <w:tcPr>
            <w:tcW w:w="1120" w:type="dxa"/>
            <w:vAlign w:val="bottom"/>
            <w:tcBorders>
              <w:bottom w:val="single" w:sz="8" w:color="CCCCCC"/>
              <w:right w:val="single" w:sz="8" w:color="93A1D2"/>
            </w:tcBorders>
            <w:gridSpan w:val="2"/>
            <w:shd w:val="clear" w:color="auto" w:fill="CCCCCC"/>
          </w:tcPr>
          <w:p>
            <w:pPr>
              <w:jc w:val="right"/>
              <w:ind w:right="40"/>
              <w:spacing w:after="0"/>
              <w:rPr>
                <w:sz w:val="20"/>
                <w:szCs w:val="20"/>
                <w:color w:val="auto"/>
              </w:rPr>
            </w:pPr>
            <w:r>
              <w:rPr>
                <w:rFonts w:ascii="Arial" w:cs="Arial" w:eastAsia="Arial" w:hAnsi="Arial"/>
                <w:sz w:val="16"/>
                <w:szCs w:val="16"/>
                <w:color w:val="auto"/>
              </w:rPr>
              <w:t>(3,516,090)</w:t>
            </w:r>
          </w:p>
        </w:tc>
        <w:tc>
          <w:tcPr>
            <w:tcW w:w="240" w:type="dxa"/>
            <w:vAlign w:val="bottom"/>
            <w:tcBorders>
              <w:bottom w:val="single" w:sz="8" w:color="CCCCCC"/>
            </w:tcBorders>
            <w:shd w:val="clear" w:color="auto" w:fill="CCCCCC"/>
          </w:tcPr>
          <w:p>
            <w:pPr>
              <w:spacing w:after="0"/>
              <w:rPr>
                <w:sz w:val="20"/>
                <w:szCs w:val="20"/>
                <w:color w:val="auto"/>
              </w:rPr>
            </w:pPr>
          </w:p>
        </w:tc>
        <w:tc>
          <w:tcPr>
            <w:tcW w:w="880" w:type="dxa"/>
            <w:vAlign w:val="bottom"/>
            <w:tcBorders>
              <w:bottom w:val="single" w:sz="8" w:color="CCCCCC"/>
              <w:right w:val="single" w:sz="8" w:color="3465B0"/>
            </w:tcBorders>
            <w:shd w:val="clear" w:color="auto" w:fill="CCCCCC"/>
          </w:tcPr>
          <w:p>
            <w:pPr>
              <w:jc w:val="right"/>
              <w:ind w:right="20"/>
              <w:spacing w:after="0"/>
              <w:rPr>
                <w:sz w:val="20"/>
                <w:szCs w:val="20"/>
                <w:color w:val="auto"/>
              </w:rPr>
            </w:pPr>
            <w:r>
              <w:rPr>
                <w:rFonts w:ascii="Arial" w:cs="Arial" w:eastAsia="Arial" w:hAnsi="Arial"/>
                <w:sz w:val="16"/>
                <w:szCs w:val="16"/>
                <w:color w:val="auto"/>
              </w:rPr>
              <w:t>939,083</w:t>
            </w:r>
          </w:p>
        </w:tc>
        <w:tc>
          <w:tcPr>
            <w:tcW w:w="940" w:type="dxa"/>
            <w:vAlign w:val="bottom"/>
          </w:tcPr>
          <w:p>
            <w:pPr>
              <w:spacing w:after="0"/>
              <w:rPr>
                <w:sz w:val="20"/>
                <w:szCs w:val="20"/>
                <w:color w:val="auto"/>
              </w:rPr>
            </w:pPr>
          </w:p>
        </w:tc>
      </w:tr>
      <w:tr>
        <w:trPr>
          <w:trHeight w:val="202"/>
        </w:trPr>
        <w:tc>
          <w:tcPr>
            <w:tcW w:w="1340" w:type="dxa"/>
            <w:vAlign w:val="bottom"/>
            <w:tcBorders>
              <w:right w:val="single" w:sz="8" w:color="3465B0"/>
            </w:tcBorders>
          </w:tcPr>
          <w:p>
            <w:pPr>
              <w:spacing w:after="0"/>
              <w:rPr>
                <w:sz w:val="17"/>
                <w:szCs w:val="17"/>
                <w:color w:val="auto"/>
              </w:rPr>
            </w:pPr>
          </w:p>
        </w:tc>
        <w:tc>
          <w:tcPr>
            <w:tcW w:w="3180" w:type="dxa"/>
            <w:vAlign w:val="bottom"/>
            <w:tcBorders>
              <w:right w:val="single" w:sz="8" w:color="93A1D2"/>
            </w:tcBorders>
          </w:tcPr>
          <w:p>
            <w:pPr>
              <w:ind w:left="40"/>
              <w:spacing w:after="0"/>
              <w:rPr>
                <w:sz w:val="20"/>
                <w:szCs w:val="20"/>
                <w:color w:val="auto"/>
              </w:rPr>
            </w:pPr>
            <w:r>
              <w:rPr>
                <w:rFonts w:ascii="Arial" w:cs="Arial" w:eastAsia="Arial" w:hAnsi="Arial"/>
                <w:sz w:val="16"/>
                <w:szCs w:val="16"/>
                <w:b w:val="1"/>
                <w:bCs w:val="1"/>
                <w:color w:val="auto"/>
              </w:rPr>
              <w:t>“Compensation Actually Paid” for the</w:t>
            </w: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right w:val="single" w:sz="8" w:color="93A1D2"/>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93A1D2"/>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93A1D2"/>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3465B0"/>
            </w:tcBorders>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1340" w:type="dxa"/>
            <w:vAlign w:val="bottom"/>
            <w:tcBorders>
              <w:right w:val="single" w:sz="8" w:color="3465B0"/>
            </w:tcBorders>
          </w:tcPr>
          <w:p>
            <w:pPr>
              <w:spacing w:after="0"/>
              <w:rPr>
                <w:sz w:val="18"/>
                <w:szCs w:val="18"/>
                <w:color w:val="auto"/>
              </w:rPr>
            </w:pPr>
          </w:p>
        </w:tc>
        <w:tc>
          <w:tcPr>
            <w:tcW w:w="3180" w:type="dxa"/>
            <w:vAlign w:val="bottom"/>
            <w:tcBorders>
              <w:bottom w:val="single" w:sz="8" w:color="3465B0"/>
              <w:right w:val="single" w:sz="8" w:color="93A1D2"/>
            </w:tcBorders>
          </w:tcPr>
          <w:p>
            <w:pPr>
              <w:ind w:left="220"/>
              <w:spacing w:after="0"/>
              <w:rPr>
                <w:sz w:val="20"/>
                <w:szCs w:val="20"/>
                <w:color w:val="auto"/>
              </w:rPr>
            </w:pPr>
            <w:r>
              <w:rPr>
                <w:rFonts w:ascii="Arial" w:cs="Arial" w:eastAsia="Arial" w:hAnsi="Arial"/>
                <w:sz w:val="16"/>
                <w:szCs w:val="16"/>
                <w:b w:val="1"/>
                <w:bCs w:val="1"/>
                <w:color w:val="auto"/>
              </w:rPr>
              <w:t>Fiscal Year</w:t>
            </w:r>
          </w:p>
        </w:tc>
        <w:tc>
          <w:tcPr>
            <w:tcW w:w="1120" w:type="dxa"/>
            <w:vAlign w:val="bottom"/>
            <w:tcBorders>
              <w:bottom w:val="single" w:sz="8" w:color="3465B0"/>
              <w:right w:val="single" w:sz="8" w:color="93A1D2"/>
            </w:tcBorders>
            <w:gridSpan w:val="2"/>
          </w:tcPr>
          <w:p>
            <w:pPr>
              <w:jc w:val="right"/>
              <w:ind w:right="20"/>
              <w:spacing w:after="0"/>
              <w:rPr>
                <w:sz w:val="20"/>
                <w:szCs w:val="20"/>
                <w:color w:val="auto"/>
              </w:rPr>
            </w:pPr>
            <w:r>
              <w:rPr>
                <w:rFonts w:ascii="Arial" w:cs="Arial" w:eastAsia="Arial" w:hAnsi="Arial"/>
                <w:sz w:val="16"/>
                <w:szCs w:val="16"/>
                <w:b w:val="1"/>
                <w:bCs w:val="1"/>
                <w:color w:val="auto"/>
              </w:rPr>
              <w:t>$21,995,496</w:t>
            </w:r>
          </w:p>
        </w:tc>
        <w:tc>
          <w:tcPr>
            <w:tcW w:w="220" w:type="dxa"/>
            <w:vAlign w:val="bottom"/>
            <w:tcBorders>
              <w:bottom w:val="single" w:sz="8" w:color="3465B0"/>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3465B0"/>
              <w:right w:val="single" w:sz="8" w:color="93A1D2"/>
            </w:tcBorders>
          </w:tcPr>
          <w:p>
            <w:pPr>
              <w:jc w:val="right"/>
              <w:spacing w:after="0"/>
              <w:rPr>
                <w:sz w:val="20"/>
                <w:szCs w:val="20"/>
                <w:color w:val="auto"/>
              </w:rPr>
            </w:pPr>
            <w:r>
              <w:rPr>
                <w:rFonts w:ascii="Arial" w:cs="Arial" w:eastAsia="Arial" w:hAnsi="Arial"/>
                <w:sz w:val="16"/>
                <w:szCs w:val="16"/>
                <w:b w:val="1"/>
                <w:bCs w:val="1"/>
                <w:color w:val="auto"/>
              </w:rPr>
              <w:t>(818,685)</w:t>
            </w:r>
          </w:p>
        </w:tc>
        <w:tc>
          <w:tcPr>
            <w:tcW w:w="200" w:type="dxa"/>
            <w:vAlign w:val="bottom"/>
            <w:tcBorders>
              <w:bottom w:val="single" w:sz="8" w:color="3465B0"/>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3465B0"/>
              <w:right w:val="single" w:sz="8" w:color="93A1D2"/>
            </w:tcBorders>
          </w:tcPr>
          <w:p>
            <w:pPr>
              <w:jc w:val="right"/>
              <w:ind w:right="20"/>
              <w:spacing w:after="0"/>
              <w:rPr>
                <w:sz w:val="20"/>
                <w:szCs w:val="20"/>
                <w:color w:val="auto"/>
              </w:rPr>
            </w:pPr>
            <w:r>
              <w:rPr>
                <w:rFonts w:ascii="Arial" w:cs="Arial" w:eastAsia="Arial" w:hAnsi="Arial"/>
                <w:sz w:val="16"/>
                <w:szCs w:val="16"/>
                <w:b w:val="1"/>
                <w:bCs w:val="1"/>
                <w:color w:val="auto"/>
              </w:rPr>
              <w:t>6,765,366</w:t>
            </w:r>
          </w:p>
        </w:tc>
        <w:tc>
          <w:tcPr>
            <w:tcW w:w="180" w:type="dxa"/>
            <w:vAlign w:val="bottom"/>
            <w:tcBorders>
              <w:bottom w:val="single" w:sz="8" w:color="3465B0"/>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3465B0"/>
              <w:right w:val="single" w:sz="8" w:color="93A1D2"/>
            </w:tcBorders>
          </w:tcPr>
          <w:p>
            <w:pPr>
              <w:jc w:val="right"/>
              <w:ind w:right="40"/>
              <w:spacing w:after="0"/>
              <w:rPr>
                <w:sz w:val="20"/>
                <w:szCs w:val="20"/>
                <w:color w:val="auto"/>
              </w:rPr>
            </w:pPr>
            <w:r>
              <w:rPr>
                <w:rFonts w:ascii="Arial" w:cs="Arial" w:eastAsia="Arial" w:hAnsi="Arial"/>
                <w:sz w:val="16"/>
                <w:szCs w:val="16"/>
                <w:b w:val="1"/>
                <w:bCs w:val="1"/>
                <w:color w:val="auto"/>
              </w:rPr>
              <w:t>757,212</w:t>
            </w:r>
          </w:p>
        </w:tc>
        <w:tc>
          <w:tcPr>
            <w:tcW w:w="240" w:type="dxa"/>
            <w:vAlign w:val="bottom"/>
            <w:tcBorders>
              <w:bottom w:val="single" w:sz="8" w:color="3465B0"/>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3465B0"/>
              <w:right w:val="single" w:sz="8" w:color="3465B0"/>
            </w:tcBorders>
          </w:tcPr>
          <w:p>
            <w:pPr>
              <w:jc w:val="right"/>
              <w:ind w:right="20"/>
              <w:spacing w:after="0"/>
              <w:rPr>
                <w:sz w:val="20"/>
                <w:szCs w:val="20"/>
                <w:color w:val="auto"/>
              </w:rPr>
            </w:pPr>
            <w:r>
              <w:rPr>
                <w:rFonts w:ascii="Arial" w:cs="Arial" w:eastAsia="Arial" w:hAnsi="Arial"/>
                <w:sz w:val="16"/>
                <w:szCs w:val="16"/>
                <w:b w:val="1"/>
                <w:bCs w:val="1"/>
                <w:color w:val="auto"/>
              </w:rPr>
              <w:t>6,667,573</w:t>
            </w:r>
          </w:p>
        </w:tc>
        <w:tc>
          <w:tcPr>
            <w:tcW w:w="940" w:type="dxa"/>
            <w:vAlign w:val="bottom"/>
          </w:tcPr>
          <w:p>
            <w:pPr>
              <w:spacing w:after="0"/>
              <w:rPr>
                <w:sz w:val="18"/>
                <w:szCs w:val="18"/>
                <w:color w:val="auto"/>
              </w:rPr>
            </w:pPr>
          </w:p>
        </w:tc>
      </w:tr>
      <w:tr>
        <w:trPr>
          <w:trHeight w:val="421"/>
        </w:trPr>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62</w:t>
            </w:r>
          </w:p>
        </w:tc>
        <w:tc>
          <w:tcPr>
            <w:tcW w:w="3180" w:type="dxa"/>
            <w:vAlign w:val="bottom"/>
          </w:tcPr>
          <w:p>
            <w:pPr>
              <w:ind w:left="320"/>
              <w:spacing w:after="0"/>
              <w:rPr>
                <w:sz w:val="20"/>
                <w:szCs w:val="20"/>
                <w:color w:val="auto"/>
              </w:rPr>
            </w:pPr>
            <w:r>
              <w:rPr>
                <w:rFonts w:ascii="Arial" w:cs="Arial" w:eastAsia="Arial" w:hAnsi="Arial"/>
                <w:sz w:val="16"/>
                <w:szCs w:val="16"/>
                <w:color w:val="auto"/>
              </w:rPr>
              <w:t>   2026 Proxy Statement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7"/>
        </w:trPr>
        <w:tc>
          <w:tcPr>
            <w:tcW w:w="134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-376555</wp:posOffset>
            </wp:positionV>
            <wp:extent cx="205740" cy="2057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69" w:name="page70"/>
    <w:bookmarkEnd w:id="69"/>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93" w:lineRule="exact"/>
        <w:rPr>
          <w:sz w:val="20"/>
          <w:szCs w:val="20"/>
          <w:color w:val="auto"/>
        </w:rPr>
      </w:pPr>
    </w:p>
    <w:p>
      <w:pPr>
        <w:ind w:left="1280" w:right="960" w:hanging="348"/>
        <w:spacing w:after="0" w:line="285" w:lineRule="auto"/>
        <w:tabs>
          <w:tab w:leader="none" w:pos="12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required by SEC rules, “compensation actually paid” to our non-PEO NEOs for the fiscal year indicated reflect the following adjustments from Total Compensation reported in the Summary Compensation Table:</w:t>
      </w:r>
    </w:p>
    <w:tbl>
      <w:tblPr>
        <w:tblLayout w:type="fixed"/>
        <w:tblInd w:w="1290" w:type="dxa"/>
        <w:tblCellMar>
          <w:top w:w="0" w:type="dxa"/>
          <w:left w:w="0" w:type="dxa"/>
          <w:bottom w:w="0" w:type="dxa"/>
          <w:right w:w="0" w:type="dxa"/>
        </w:tblCellMar>
      </w:tblPr>
      <w:tr>
        <w:trPr>
          <w:trHeight w:val="322"/>
        </w:trPr>
        <w:tc>
          <w:tcPr>
            <w:tcW w:w="304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40" w:type="dxa"/>
            <w:vAlign w:val="bottom"/>
            <w:tcBorders>
              <w:top w:val="single" w:sz="8" w:color="3465B0"/>
            </w:tcBorders>
            <w:shd w:val="clear" w:color="auto" w:fill="3465B0"/>
          </w:tcPr>
          <w:p>
            <w:pPr>
              <w:spacing w:after="0"/>
              <w:rPr>
                <w:sz w:val="24"/>
                <w:szCs w:val="24"/>
                <w:color w:val="auto"/>
              </w:rPr>
            </w:pPr>
          </w:p>
        </w:tc>
        <w:tc>
          <w:tcPr>
            <w:tcW w:w="1080" w:type="dxa"/>
            <w:vAlign w:val="bottom"/>
            <w:tcBorders>
              <w:top w:val="single" w:sz="8" w:color="3465B0"/>
              <w:right w:val="single" w:sz="8" w:color="93A1D2"/>
            </w:tcBorders>
            <w:shd w:val="clear" w:color="auto" w:fill="3465B0"/>
          </w:tcPr>
          <w:p>
            <w:pPr>
              <w:jc w:val="right"/>
              <w:ind w:right="341"/>
              <w:spacing w:after="0"/>
              <w:rPr>
                <w:sz w:val="20"/>
                <w:szCs w:val="20"/>
                <w:color w:val="auto"/>
              </w:rPr>
            </w:pPr>
            <w:r>
              <w:rPr>
                <w:rFonts w:ascii="Arial" w:cs="Arial" w:eastAsia="Arial" w:hAnsi="Arial"/>
                <w:sz w:val="14"/>
                <w:szCs w:val="14"/>
                <w:b w:val="1"/>
                <w:bCs w:val="1"/>
                <w:color w:val="FFFFFF"/>
              </w:rPr>
              <w:t>2025</w:t>
            </w:r>
          </w:p>
        </w:tc>
        <w:tc>
          <w:tcPr>
            <w:tcW w:w="360" w:type="dxa"/>
            <w:vAlign w:val="bottom"/>
            <w:tcBorders>
              <w:top w:val="single" w:sz="8" w:color="3465B0"/>
            </w:tcBorders>
            <w:shd w:val="clear" w:color="auto" w:fill="3465B0"/>
          </w:tcPr>
          <w:p>
            <w:pPr>
              <w:spacing w:after="0"/>
              <w:rPr>
                <w:sz w:val="24"/>
                <w:szCs w:val="24"/>
                <w:color w:val="auto"/>
              </w:rPr>
            </w:pPr>
          </w:p>
        </w:tc>
        <w:tc>
          <w:tcPr>
            <w:tcW w:w="840" w:type="dxa"/>
            <w:vAlign w:val="bottom"/>
            <w:tcBorders>
              <w:top w:val="single" w:sz="8" w:color="3465B0"/>
              <w:right w:val="single" w:sz="8" w:color="93A1D2"/>
            </w:tcBorders>
            <w:shd w:val="clear" w:color="auto" w:fill="3465B0"/>
          </w:tcPr>
          <w:p>
            <w:pPr>
              <w:jc w:val="right"/>
              <w:ind w:right="360"/>
              <w:spacing w:after="0"/>
              <w:rPr>
                <w:sz w:val="20"/>
                <w:szCs w:val="20"/>
                <w:color w:val="auto"/>
              </w:rPr>
            </w:pPr>
            <w:r>
              <w:rPr>
                <w:rFonts w:ascii="Arial" w:cs="Arial" w:eastAsia="Arial" w:hAnsi="Arial"/>
                <w:sz w:val="14"/>
                <w:szCs w:val="14"/>
                <w:b w:val="1"/>
                <w:bCs w:val="1"/>
                <w:color w:val="FFFFFF"/>
              </w:rPr>
              <w:t>2024</w:t>
            </w:r>
          </w:p>
        </w:tc>
        <w:tc>
          <w:tcPr>
            <w:tcW w:w="360" w:type="dxa"/>
            <w:vAlign w:val="bottom"/>
            <w:tcBorders>
              <w:top w:val="single" w:sz="8" w:color="3465B0"/>
            </w:tcBorders>
            <w:shd w:val="clear" w:color="auto" w:fill="3465B0"/>
          </w:tcPr>
          <w:p>
            <w:pPr>
              <w:spacing w:after="0"/>
              <w:rPr>
                <w:sz w:val="24"/>
                <w:szCs w:val="24"/>
                <w:color w:val="auto"/>
              </w:rPr>
            </w:pPr>
          </w:p>
        </w:tc>
        <w:tc>
          <w:tcPr>
            <w:tcW w:w="840" w:type="dxa"/>
            <w:vAlign w:val="bottom"/>
            <w:tcBorders>
              <w:top w:val="single" w:sz="8" w:color="3465B0"/>
              <w:right w:val="single" w:sz="8" w:color="93A1D2"/>
            </w:tcBorders>
            <w:shd w:val="clear" w:color="auto" w:fill="3465B0"/>
          </w:tcPr>
          <w:p>
            <w:pPr>
              <w:jc w:val="right"/>
              <w:ind w:right="360"/>
              <w:spacing w:after="0"/>
              <w:rPr>
                <w:sz w:val="20"/>
                <w:szCs w:val="20"/>
                <w:color w:val="auto"/>
              </w:rPr>
            </w:pPr>
            <w:r>
              <w:rPr>
                <w:rFonts w:ascii="Arial" w:cs="Arial" w:eastAsia="Arial" w:hAnsi="Arial"/>
                <w:sz w:val="14"/>
                <w:szCs w:val="14"/>
                <w:b w:val="1"/>
                <w:bCs w:val="1"/>
                <w:color w:val="FFFFFF"/>
              </w:rPr>
              <w:t>2023</w:t>
            </w:r>
          </w:p>
        </w:tc>
        <w:tc>
          <w:tcPr>
            <w:tcW w:w="320" w:type="dxa"/>
            <w:vAlign w:val="bottom"/>
            <w:tcBorders>
              <w:top w:val="single" w:sz="8" w:color="3465B0"/>
            </w:tcBorders>
            <w:shd w:val="clear" w:color="auto" w:fill="3465B0"/>
          </w:tcPr>
          <w:p>
            <w:pPr>
              <w:spacing w:after="0"/>
              <w:rPr>
                <w:sz w:val="24"/>
                <w:szCs w:val="24"/>
                <w:color w:val="auto"/>
              </w:rPr>
            </w:pPr>
          </w:p>
        </w:tc>
        <w:tc>
          <w:tcPr>
            <w:tcW w:w="800" w:type="dxa"/>
            <w:vAlign w:val="bottom"/>
            <w:tcBorders>
              <w:top w:val="single" w:sz="8" w:color="3465B0"/>
              <w:right w:val="single" w:sz="8" w:color="93A1D2"/>
            </w:tcBorders>
            <w:shd w:val="clear" w:color="auto" w:fill="3465B0"/>
          </w:tcPr>
          <w:p>
            <w:pPr>
              <w:jc w:val="right"/>
              <w:ind w:right="340"/>
              <w:spacing w:after="0"/>
              <w:rPr>
                <w:sz w:val="20"/>
                <w:szCs w:val="20"/>
                <w:color w:val="auto"/>
              </w:rPr>
            </w:pPr>
            <w:r>
              <w:rPr>
                <w:rFonts w:ascii="Arial" w:cs="Arial" w:eastAsia="Arial" w:hAnsi="Arial"/>
                <w:sz w:val="14"/>
                <w:szCs w:val="14"/>
                <w:b w:val="1"/>
                <w:bCs w:val="1"/>
                <w:color w:val="FFFFFF"/>
              </w:rPr>
              <w:t>2022</w:t>
            </w:r>
          </w:p>
        </w:tc>
        <w:tc>
          <w:tcPr>
            <w:tcW w:w="1120" w:type="dxa"/>
            <w:vAlign w:val="bottom"/>
            <w:tcBorders>
              <w:top w:val="single" w:sz="8" w:color="3465B0"/>
              <w:right w:val="single" w:sz="8" w:color="3465B0"/>
            </w:tcBorders>
            <w:shd w:val="clear" w:color="auto" w:fill="3465B0"/>
          </w:tcPr>
          <w:p>
            <w:pPr>
              <w:jc w:val="right"/>
              <w:ind w:right="340"/>
              <w:spacing w:after="0"/>
              <w:rPr>
                <w:sz w:val="20"/>
                <w:szCs w:val="20"/>
                <w:color w:val="auto"/>
              </w:rPr>
            </w:pPr>
            <w:r>
              <w:rPr>
                <w:rFonts w:ascii="Arial" w:cs="Arial" w:eastAsia="Arial" w:hAnsi="Arial"/>
                <w:sz w:val="14"/>
                <w:szCs w:val="14"/>
                <w:b w:val="1"/>
                <w:bCs w:val="1"/>
                <w:color w:val="FFFFFF"/>
              </w:rPr>
              <w:t>2021</w:t>
            </w:r>
          </w:p>
        </w:tc>
      </w:tr>
      <w:tr>
        <w:trPr>
          <w:trHeight w:val="215"/>
        </w:trPr>
        <w:tc>
          <w:tcPr>
            <w:tcW w:w="304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b w:val="1"/>
                <w:bCs w:val="1"/>
                <w:color w:val="auto"/>
              </w:rPr>
              <w:t>Total Reported in Summary</w:t>
            </w:r>
          </w:p>
        </w:tc>
        <w:tc>
          <w:tcPr>
            <w:tcW w:w="40" w:type="dxa"/>
            <w:vAlign w:val="bottom"/>
          </w:tcPr>
          <w:p>
            <w:pPr>
              <w:spacing w:after="0"/>
              <w:rPr>
                <w:sz w:val="18"/>
                <w:szCs w:val="18"/>
                <w:color w:val="auto"/>
              </w:rPr>
            </w:pPr>
          </w:p>
        </w:tc>
        <w:tc>
          <w:tcPr>
            <w:tcW w:w="1080" w:type="dxa"/>
            <w:vAlign w:val="bottom"/>
            <w:tcBorders>
              <w:right w:val="single" w:sz="8" w:color="93A1D2"/>
            </w:tcBorders>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right w:val="single" w:sz="8" w:color="93A1D2"/>
            </w:tcBorders>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right w:val="single" w:sz="8" w:color="93A1D2"/>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93A1D2"/>
            </w:tcBorders>
          </w:tcPr>
          <w:p>
            <w:pPr>
              <w:spacing w:after="0"/>
              <w:rPr>
                <w:sz w:val="18"/>
                <w:szCs w:val="18"/>
                <w:color w:val="auto"/>
              </w:rPr>
            </w:pPr>
          </w:p>
        </w:tc>
        <w:tc>
          <w:tcPr>
            <w:tcW w:w="1120" w:type="dxa"/>
            <w:vAlign w:val="bottom"/>
            <w:tcBorders>
              <w:right w:val="single" w:sz="8" w:color="3465B0"/>
            </w:tcBorders>
          </w:tcPr>
          <w:p>
            <w:pPr>
              <w:spacing w:after="0"/>
              <w:rPr>
                <w:sz w:val="18"/>
                <w:szCs w:val="18"/>
                <w:color w:val="auto"/>
              </w:rPr>
            </w:pPr>
          </w:p>
        </w:tc>
      </w:tr>
      <w:tr>
        <w:trPr>
          <w:trHeight w:val="223"/>
        </w:trPr>
        <w:tc>
          <w:tcPr>
            <w:tcW w:w="304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6"/>
                <w:szCs w:val="16"/>
                <w:b w:val="1"/>
                <w:bCs w:val="1"/>
                <w:color w:val="auto"/>
              </w:rPr>
              <w:t>Compensation Table (SCT)</w:t>
            </w:r>
          </w:p>
        </w:tc>
        <w:tc>
          <w:tcPr>
            <w:tcW w:w="1120" w:type="dxa"/>
            <w:vAlign w:val="bottom"/>
            <w:tcBorders>
              <w:right w:val="single" w:sz="8" w:color="93A1D2"/>
            </w:tcBorders>
            <w:gridSpan w:val="2"/>
          </w:tcPr>
          <w:p>
            <w:pPr>
              <w:jc w:val="right"/>
              <w:spacing w:after="0"/>
              <w:rPr>
                <w:sz w:val="20"/>
                <w:szCs w:val="20"/>
                <w:color w:val="auto"/>
              </w:rPr>
            </w:pPr>
            <w:r>
              <w:rPr>
                <w:rFonts w:ascii="Arial" w:cs="Arial" w:eastAsia="Arial" w:hAnsi="Arial"/>
                <w:sz w:val="16"/>
                <w:szCs w:val="16"/>
                <w:b w:val="1"/>
                <w:bCs w:val="1"/>
                <w:color w:val="auto"/>
              </w:rPr>
              <w:t>$1,630,787</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rPr>
              <w:t>1,681,528</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rPr>
              <w:t>1,966,566</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right w:val="single" w:sz="8" w:color="93A1D2"/>
            </w:tcBorders>
          </w:tcPr>
          <w:p>
            <w:pPr>
              <w:jc w:val="right"/>
              <w:spacing w:after="0"/>
              <w:rPr>
                <w:sz w:val="20"/>
                <w:szCs w:val="20"/>
                <w:color w:val="auto"/>
              </w:rPr>
            </w:pPr>
            <w:r>
              <w:rPr>
                <w:rFonts w:ascii="Arial" w:cs="Arial" w:eastAsia="Arial" w:hAnsi="Arial"/>
                <w:sz w:val="16"/>
                <w:szCs w:val="16"/>
                <w:b w:val="1"/>
                <w:bCs w:val="1"/>
                <w:color w:val="auto"/>
                <w:w w:val="98"/>
              </w:rPr>
              <w:t>1,083,585</w:t>
            </w:r>
          </w:p>
        </w:tc>
        <w:tc>
          <w:tcPr>
            <w:tcW w:w="1120" w:type="dxa"/>
            <w:vAlign w:val="bottom"/>
            <w:tcBorders>
              <w:right w:val="single" w:sz="8" w:color="3465B0"/>
            </w:tcBorders>
          </w:tcPr>
          <w:p>
            <w:pPr>
              <w:jc w:val="right"/>
              <w:spacing w:after="0"/>
              <w:rPr>
                <w:sz w:val="20"/>
                <w:szCs w:val="20"/>
                <w:color w:val="auto"/>
              </w:rPr>
            </w:pPr>
            <w:r>
              <w:rPr>
                <w:rFonts w:ascii="Arial" w:cs="Arial" w:eastAsia="Arial" w:hAnsi="Arial"/>
                <w:sz w:val="16"/>
                <w:szCs w:val="16"/>
                <w:b w:val="1"/>
                <w:bCs w:val="1"/>
                <w:color w:val="auto"/>
              </w:rPr>
              <w:t>$1,465,467</w:t>
            </w:r>
          </w:p>
        </w:tc>
      </w:tr>
      <w:tr>
        <w:trPr>
          <w:trHeight w:val="21"/>
        </w:trPr>
        <w:tc>
          <w:tcPr>
            <w:tcW w:w="3040" w:type="dxa"/>
            <w:vAlign w:val="bottom"/>
            <w:tcBorders>
              <w:left w:val="single" w:sz="8" w:color="3465B0"/>
              <w:right w:val="single" w:sz="8" w:color="93A1D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right w:val="single" w:sz="8" w:color="93A1D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right w:val="single" w:sz="8" w:color="93A1D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right w:val="single" w:sz="8" w:color="93A1D2"/>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1120" w:type="dxa"/>
            <w:vAlign w:val="bottom"/>
            <w:tcBorders>
              <w:right w:val="single" w:sz="8" w:color="3465B0"/>
            </w:tcBorders>
          </w:tcPr>
          <w:p>
            <w:pPr>
              <w:spacing w:after="0" w:line="20" w:lineRule="exact"/>
              <w:rPr>
                <w:sz w:val="1"/>
                <w:szCs w:val="1"/>
                <w:color w:val="auto"/>
              </w:rPr>
            </w:pPr>
          </w:p>
        </w:tc>
      </w:tr>
      <w:tr>
        <w:trPr>
          <w:trHeight w:val="202"/>
        </w:trPr>
        <w:tc>
          <w:tcPr>
            <w:tcW w:w="304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6"/>
                <w:szCs w:val="16"/>
                <w:color w:val="auto"/>
              </w:rPr>
              <w:t>Less, Value of Stock and Option</w:t>
            </w:r>
          </w:p>
        </w:tc>
        <w:tc>
          <w:tcPr>
            <w:tcW w:w="40" w:type="dxa"/>
            <w:vAlign w:val="bottom"/>
            <w:shd w:val="clear" w:color="auto" w:fill="CCCCCC"/>
          </w:tcPr>
          <w:p>
            <w:pPr>
              <w:spacing w:after="0"/>
              <w:rPr>
                <w:sz w:val="17"/>
                <w:szCs w:val="17"/>
                <w:color w:val="auto"/>
              </w:rPr>
            </w:pPr>
          </w:p>
        </w:tc>
        <w:tc>
          <w:tcPr>
            <w:tcW w:w="1080" w:type="dxa"/>
            <w:vAlign w:val="bottom"/>
            <w:tcBorders>
              <w:right w:val="single" w:sz="8" w:color="93A1D2"/>
            </w:tcBorders>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840" w:type="dxa"/>
            <w:vAlign w:val="bottom"/>
            <w:tcBorders>
              <w:right w:val="single" w:sz="8" w:color="93A1D2"/>
            </w:tcBorders>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840" w:type="dxa"/>
            <w:vAlign w:val="bottom"/>
            <w:tcBorders>
              <w:right w:val="single" w:sz="8" w:color="93A1D2"/>
            </w:tcBorders>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800" w:type="dxa"/>
            <w:vAlign w:val="bottom"/>
            <w:tcBorders>
              <w:right w:val="single" w:sz="8" w:color="93A1D2"/>
            </w:tcBorders>
            <w:shd w:val="clear" w:color="auto" w:fill="CCCCCC"/>
          </w:tcPr>
          <w:p>
            <w:pPr>
              <w:spacing w:after="0"/>
              <w:rPr>
                <w:sz w:val="17"/>
                <w:szCs w:val="17"/>
                <w:color w:val="auto"/>
              </w:rPr>
            </w:pPr>
          </w:p>
        </w:tc>
        <w:tc>
          <w:tcPr>
            <w:tcW w:w="1120" w:type="dxa"/>
            <w:vAlign w:val="bottom"/>
            <w:tcBorders>
              <w:right w:val="single" w:sz="8" w:color="3465B0"/>
            </w:tcBorders>
            <w:shd w:val="clear" w:color="auto" w:fill="CCCCCC"/>
          </w:tcPr>
          <w:p>
            <w:pPr>
              <w:spacing w:after="0"/>
              <w:rPr>
                <w:sz w:val="17"/>
                <w:szCs w:val="17"/>
                <w:color w:val="auto"/>
              </w:rPr>
            </w:pPr>
          </w:p>
        </w:tc>
      </w:tr>
      <w:tr>
        <w:trPr>
          <w:trHeight w:val="224"/>
        </w:trPr>
        <w:tc>
          <w:tcPr>
            <w:tcW w:w="3040" w:type="dxa"/>
            <w:vAlign w:val="bottom"/>
            <w:tcBorders>
              <w:left w:val="single" w:sz="8" w:color="3465B0"/>
              <w:bottom w:val="single" w:sz="8" w:color="CCCCCC"/>
              <w:right w:val="single" w:sz="8" w:color="93A1D2"/>
            </w:tcBorders>
            <w:shd w:val="clear" w:color="auto" w:fill="CCCCCC"/>
          </w:tcPr>
          <w:p>
            <w:pPr>
              <w:ind w:left="280"/>
              <w:spacing w:after="0"/>
              <w:rPr>
                <w:sz w:val="20"/>
                <w:szCs w:val="20"/>
                <w:color w:val="auto"/>
              </w:rPr>
            </w:pPr>
            <w:r>
              <w:rPr>
                <w:rFonts w:ascii="Arial" w:cs="Arial" w:eastAsia="Arial" w:hAnsi="Arial"/>
                <w:sz w:val="16"/>
                <w:szCs w:val="16"/>
                <w:color w:val="auto"/>
              </w:rPr>
              <w:t>Awards Reported in SCT</w:t>
            </w:r>
          </w:p>
        </w:tc>
        <w:tc>
          <w:tcPr>
            <w:tcW w:w="1120" w:type="dxa"/>
            <w:vAlign w:val="bottom"/>
            <w:tcBorders>
              <w:bottom w:val="single" w:sz="8" w:color="CCCCCC"/>
              <w:right w:val="single" w:sz="8" w:color="93A1D2"/>
            </w:tcBorders>
            <w:gridSpan w:val="2"/>
            <w:shd w:val="clear" w:color="auto" w:fill="CCCCCC"/>
          </w:tcPr>
          <w:p>
            <w:pPr>
              <w:jc w:val="right"/>
              <w:spacing w:after="0"/>
              <w:rPr>
                <w:sz w:val="20"/>
                <w:szCs w:val="20"/>
                <w:color w:val="auto"/>
              </w:rPr>
            </w:pPr>
            <w:r>
              <w:rPr>
                <w:rFonts w:ascii="Arial" w:cs="Arial" w:eastAsia="Arial" w:hAnsi="Arial"/>
                <w:sz w:val="16"/>
                <w:szCs w:val="16"/>
                <w:color w:val="auto"/>
              </w:rPr>
              <w:t>(883,594)</w:t>
            </w:r>
          </w:p>
        </w:tc>
        <w:tc>
          <w:tcPr>
            <w:tcW w:w="1200" w:type="dxa"/>
            <w:vAlign w:val="bottom"/>
            <w:tcBorders>
              <w:bottom w:val="single" w:sz="8" w:color="CCCCCC"/>
              <w:right w:val="single" w:sz="8" w:color="93A1D2"/>
            </w:tcBorders>
            <w:gridSpan w:val="2"/>
            <w:shd w:val="clear" w:color="auto" w:fill="CCCCCC"/>
          </w:tcPr>
          <w:p>
            <w:pPr>
              <w:jc w:val="right"/>
              <w:spacing w:after="0"/>
              <w:rPr>
                <w:sz w:val="20"/>
                <w:szCs w:val="20"/>
                <w:color w:val="auto"/>
              </w:rPr>
            </w:pPr>
            <w:r>
              <w:rPr>
                <w:rFonts w:ascii="Arial" w:cs="Arial" w:eastAsia="Arial" w:hAnsi="Arial"/>
                <w:sz w:val="16"/>
                <w:szCs w:val="16"/>
                <w:color w:val="auto"/>
              </w:rPr>
              <w:t>(1,150,018)</w:t>
            </w:r>
          </w:p>
        </w:tc>
        <w:tc>
          <w:tcPr>
            <w:tcW w:w="1200" w:type="dxa"/>
            <w:vAlign w:val="bottom"/>
            <w:tcBorders>
              <w:bottom w:val="single" w:sz="8" w:color="CCCCCC"/>
              <w:right w:val="single" w:sz="8" w:color="93A1D2"/>
            </w:tcBorders>
            <w:gridSpan w:val="2"/>
            <w:shd w:val="clear" w:color="auto" w:fill="CCCCCC"/>
          </w:tcPr>
          <w:p>
            <w:pPr>
              <w:jc w:val="right"/>
              <w:spacing w:after="0"/>
              <w:rPr>
                <w:sz w:val="20"/>
                <w:szCs w:val="20"/>
                <w:color w:val="auto"/>
              </w:rPr>
            </w:pPr>
            <w:r>
              <w:rPr>
                <w:rFonts w:ascii="Arial" w:cs="Arial" w:eastAsia="Arial" w:hAnsi="Arial"/>
                <w:sz w:val="16"/>
                <w:szCs w:val="16"/>
                <w:color w:val="auto"/>
              </w:rPr>
              <w:t>(1,018,775)</w:t>
            </w:r>
          </w:p>
        </w:tc>
        <w:tc>
          <w:tcPr>
            <w:tcW w:w="320" w:type="dxa"/>
            <w:vAlign w:val="bottom"/>
            <w:tcBorders>
              <w:bottom w:val="single" w:sz="8" w:color="CCCCCC"/>
            </w:tcBorders>
            <w:shd w:val="clear" w:color="auto" w:fill="CCCCCC"/>
          </w:tcPr>
          <w:p>
            <w:pPr>
              <w:spacing w:after="0"/>
              <w:rPr>
                <w:sz w:val="19"/>
                <w:szCs w:val="19"/>
                <w:color w:val="auto"/>
              </w:rPr>
            </w:pPr>
          </w:p>
        </w:tc>
        <w:tc>
          <w:tcPr>
            <w:tcW w:w="8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(645,055)</w:t>
            </w:r>
          </w:p>
        </w:tc>
        <w:tc>
          <w:tcPr>
            <w:tcW w:w="1120" w:type="dxa"/>
            <w:vAlign w:val="bottom"/>
            <w:tcBorders>
              <w:bottom w:val="single" w:sz="8" w:color="CCCCCC"/>
              <w:right w:val="single" w:sz="8" w:color="3465B0"/>
            </w:tcBorders>
            <w:shd w:val="clear" w:color="auto" w:fill="CCCCCC"/>
          </w:tcPr>
          <w:p>
            <w:pPr>
              <w:jc w:val="right"/>
              <w:ind w:right="20"/>
              <w:spacing w:after="0"/>
              <w:rPr>
                <w:sz w:val="20"/>
                <w:szCs w:val="20"/>
                <w:color w:val="auto"/>
              </w:rPr>
            </w:pPr>
            <w:r>
              <w:rPr>
                <w:rFonts w:ascii="Arial" w:cs="Arial" w:eastAsia="Arial" w:hAnsi="Arial"/>
                <w:sz w:val="16"/>
                <w:szCs w:val="16"/>
                <w:color w:val="auto"/>
              </w:rPr>
              <w:t>(525,068)</w:t>
            </w:r>
          </w:p>
        </w:tc>
      </w:tr>
      <w:tr>
        <w:trPr>
          <w:trHeight w:val="202"/>
        </w:trPr>
        <w:tc>
          <w:tcPr>
            <w:tcW w:w="304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color w:val="auto"/>
              </w:rPr>
              <w:t>Plus, Fiscal Year-End Value of Awards</w:t>
            </w:r>
          </w:p>
        </w:tc>
        <w:tc>
          <w:tcPr>
            <w:tcW w:w="40" w:type="dxa"/>
            <w:vAlign w:val="bottom"/>
          </w:tcPr>
          <w:p>
            <w:pPr>
              <w:spacing w:after="0"/>
              <w:rPr>
                <w:sz w:val="17"/>
                <w:szCs w:val="17"/>
                <w:color w:val="auto"/>
              </w:rPr>
            </w:pPr>
          </w:p>
        </w:tc>
        <w:tc>
          <w:tcPr>
            <w:tcW w:w="1080" w:type="dxa"/>
            <w:vAlign w:val="bottom"/>
            <w:tcBorders>
              <w:right w:val="single" w:sz="8" w:color="93A1D2"/>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93A1D2"/>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93A1D2"/>
            </w:tcBorders>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right w:val="single" w:sz="8" w:color="93A1D2"/>
            </w:tcBorders>
          </w:tcPr>
          <w:p>
            <w:pPr>
              <w:spacing w:after="0"/>
              <w:rPr>
                <w:sz w:val="17"/>
                <w:szCs w:val="17"/>
                <w:color w:val="auto"/>
              </w:rPr>
            </w:pPr>
          </w:p>
        </w:tc>
        <w:tc>
          <w:tcPr>
            <w:tcW w:w="1120" w:type="dxa"/>
            <w:vAlign w:val="bottom"/>
            <w:tcBorders>
              <w:right w:val="single" w:sz="8" w:color="3465B0"/>
            </w:tcBorders>
          </w:tcPr>
          <w:p>
            <w:pPr>
              <w:spacing w:after="0"/>
              <w:rPr>
                <w:sz w:val="17"/>
                <w:szCs w:val="17"/>
                <w:color w:val="auto"/>
              </w:rPr>
            </w:pPr>
          </w:p>
        </w:tc>
      </w:tr>
      <w:tr>
        <w:trPr>
          <w:trHeight w:val="189"/>
        </w:trPr>
        <w:tc>
          <w:tcPr>
            <w:tcW w:w="304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6"/>
                <w:szCs w:val="16"/>
                <w:color w:val="auto"/>
              </w:rPr>
              <w:t>Granted in Fiscal Year that are</w:t>
            </w:r>
          </w:p>
        </w:tc>
        <w:tc>
          <w:tcPr>
            <w:tcW w:w="40" w:type="dxa"/>
            <w:vAlign w:val="bottom"/>
          </w:tcPr>
          <w:p>
            <w:pPr>
              <w:spacing w:after="0"/>
              <w:rPr>
                <w:sz w:val="16"/>
                <w:szCs w:val="16"/>
                <w:color w:val="auto"/>
              </w:rPr>
            </w:pPr>
          </w:p>
        </w:tc>
        <w:tc>
          <w:tcPr>
            <w:tcW w:w="1080" w:type="dxa"/>
            <w:vAlign w:val="bottom"/>
            <w:tcBorders>
              <w:right w:val="single" w:sz="8" w:color="93A1D2"/>
            </w:tcBorders>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Borders>
              <w:right w:val="single" w:sz="8" w:color="93A1D2"/>
            </w:tcBorders>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Borders>
              <w:right w:val="single" w:sz="8" w:color="93A1D2"/>
            </w:tcBorders>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Borders>
              <w:right w:val="single" w:sz="8" w:color="93A1D2"/>
            </w:tcBorders>
          </w:tcPr>
          <w:p>
            <w:pPr>
              <w:spacing w:after="0"/>
              <w:rPr>
                <w:sz w:val="16"/>
                <w:szCs w:val="16"/>
                <w:color w:val="auto"/>
              </w:rPr>
            </w:pPr>
          </w:p>
        </w:tc>
        <w:tc>
          <w:tcPr>
            <w:tcW w:w="1120" w:type="dxa"/>
            <w:vAlign w:val="bottom"/>
            <w:tcBorders>
              <w:right w:val="single" w:sz="8" w:color="3465B0"/>
            </w:tcBorders>
          </w:tcPr>
          <w:p>
            <w:pPr>
              <w:spacing w:after="0"/>
              <w:rPr>
                <w:sz w:val="16"/>
                <w:szCs w:val="16"/>
                <w:color w:val="auto"/>
              </w:rPr>
            </w:pPr>
          </w:p>
        </w:tc>
      </w:tr>
      <w:tr>
        <w:trPr>
          <w:trHeight w:val="215"/>
        </w:trPr>
        <w:tc>
          <w:tcPr>
            <w:tcW w:w="304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6"/>
                <w:szCs w:val="16"/>
                <w:color w:val="auto"/>
              </w:rPr>
              <w:t>Unvested and Outstanding</w:t>
            </w:r>
          </w:p>
        </w:tc>
        <w:tc>
          <w:tcPr>
            <w:tcW w:w="1120" w:type="dxa"/>
            <w:vAlign w:val="bottom"/>
            <w:tcBorders>
              <w:right w:val="single" w:sz="8" w:color="93A1D2"/>
            </w:tcBorders>
            <w:gridSpan w:val="2"/>
          </w:tcPr>
          <w:p>
            <w:pPr>
              <w:jc w:val="right"/>
              <w:spacing w:after="0"/>
              <w:rPr>
                <w:sz w:val="20"/>
                <w:szCs w:val="20"/>
                <w:color w:val="auto"/>
              </w:rPr>
            </w:pPr>
            <w:r>
              <w:rPr>
                <w:rFonts w:ascii="Arial" w:cs="Arial" w:eastAsia="Arial" w:hAnsi="Arial"/>
                <w:sz w:val="16"/>
                <w:szCs w:val="16"/>
                <w:color w:val="auto"/>
              </w:rPr>
              <w:t>1,564,739</w:t>
            </w:r>
          </w:p>
        </w:tc>
        <w:tc>
          <w:tcPr>
            <w:tcW w:w="360" w:type="dxa"/>
            <w:vAlign w:val="bottom"/>
          </w:tcPr>
          <w:p>
            <w:pPr>
              <w:spacing w:after="0"/>
              <w:rPr>
                <w:sz w:val="18"/>
                <w:szCs w:val="18"/>
                <w:color w:val="auto"/>
              </w:rPr>
            </w:pP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816,864</w:t>
            </w:r>
          </w:p>
        </w:tc>
        <w:tc>
          <w:tcPr>
            <w:tcW w:w="360" w:type="dxa"/>
            <w:vAlign w:val="bottom"/>
          </w:tcPr>
          <w:p>
            <w:pPr>
              <w:spacing w:after="0"/>
              <w:rPr>
                <w:sz w:val="18"/>
                <w:szCs w:val="18"/>
                <w:color w:val="auto"/>
              </w:rPr>
            </w:pP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1,099,122</w:t>
            </w:r>
          </w:p>
        </w:tc>
        <w:tc>
          <w:tcPr>
            <w:tcW w:w="320" w:type="dxa"/>
            <w:vAlign w:val="bottom"/>
          </w:tcPr>
          <w:p>
            <w:pPr>
              <w:spacing w:after="0"/>
              <w:rPr>
                <w:sz w:val="18"/>
                <w:szCs w:val="18"/>
                <w:color w:val="auto"/>
              </w:rPr>
            </w:pPr>
          </w:p>
        </w:tc>
        <w:tc>
          <w:tcPr>
            <w:tcW w:w="8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365,675</w:t>
            </w:r>
          </w:p>
        </w:tc>
        <w:tc>
          <w:tcPr>
            <w:tcW w:w="1120" w:type="dxa"/>
            <w:vAlign w:val="bottom"/>
            <w:tcBorders>
              <w:right w:val="single" w:sz="8" w:color="3465B0"/>
            </w:tcBorders>
          </w:tcPr>
          <w:p>
            <w:pPr>
              <w:jc w:val="right"/>
              <w:ind w:right="20"/>
              <w:spacing w:after="0"/>
              <w:rPr>
                <w:sz w:val="20"/>
                <w:szCs w:val="20"/>
                <w:color w:val="auto"/>
              </w:rPr>
            </w:pPr>
            <w:r>
              <w:rPr>
                <w:rFonts w:ascii="Arial" w:cs="Arial" w:eastAsia="Arial" w:hAnsi="Arial"/>
                <w:sz w:val="16"/>
                <w:szCs w:val="16"/>
                <w:color w:val="auto"/>
              </w:rPr>
              <w:t>519,648</w:t>
            </w:r>
          </w:p>
        </w:tc>
      </w:tr>
      <w:tr>
        <w:trPr>
          <w:trHeight w:val="29"/>
        </w:trPr>
        <w:tc>
          <w:tcPr>
            <w:tcW w:w="3040" w:type="dxa"/>
            <w:vAlign w:val="bottom"/>
            <w:tcBorders>
              <w:left w:val="single" w:sz="8" w:color="3465B0"/>
              <w:right w:val="single" w:sz="8" w:color="93A1D2"/>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right w:val="single" w:sz="8" w:color="93A1D2"/>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93A1D2"/>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93A1D2"/>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right w:val="single" w:sz="8" w:color="93A1D2"/>
            </w:tcBorders>
          </w:tcPr>
          <w:p>
            <w:pPr>
              <w:spacing w:after="0"/>
              <w:rPr>
                <w:sz w:val="2"/>
                <w:szCs w:val="2"/>
                <w:color w:val="auto"/>
              </w:rPr>
            </w:pPr>
          </w:p>
        </w:tc>
        <w:tc>
          <w:tcPr>
            <w:tcW w:w="1120" w:type="dxa"/>
            <w:vAlign w:val="bottom"/>
            <w:tcBorders>
              <w:right w:val="single" w:sz="8" w:color="3465B0"/>
            </w:tcBorders>
          </w:tcPr>
          <w:p>
            <w:pPr>
              <w:spacing w:after="0"/>
              <w:rPr>
                <w:sz w:val="2"/>
                <w:szCs w:val="2"/>
                <w:color w:val="auto"/>
              </w:rPr>
            </w:pPr>
          </w:p>
        </w:tc>
      </w:tr>
      <w:tr>
        <w:trPr>
          <w:trHeight w:val="202"/>
        </w:trPr>
        <w:tc>
          <w:tcPr>
            <w:tcW w:w="304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6"/>
                <w:szCs w:val="16"/>
                <w:color w:val="auto"/>
              </w:rPr>
              <w:t>Plus/Minus, Change in Fair Value of</w:t>
            </w:r>
          </w:p>
        </w:tc>
        <w:tc>
          <w:tcPr>
            <w:tcW w:w="40" w:type="dxa"/>
            <w:vAlign w:val="bottom"/>
            <w:shd w:val="clear" w:color="auto" w:fill="CCCCCC"/>
          </w:tcPr>
          <w:p>
            <w:pPr>
              <w:spacing w:after="0"/>
              <w:rPr>
                <w:sz w:val="17"/>
                <w:szCs w:val="17"/>
                <w:color w:val="auto"/>
              </w:rPr>
            </w:pPr>
          </w:p>
        </w:tc>
        <w:tc>
          <w:tcPr>
            <w:tcW w:w="1080" w:type="dxa"/>
            <w:vAlign w:val="bottom"/>
            <w:tcBorders>
              <w:right w:val="single" w:sz="8" w:color="93A1D2"/>
            </w:tcBorders>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840" w:type="dxa"/>
            <w:vAlign w:val="bottom"/>
            <w:tcBorders>
              <w:right w:val="single" w:sz="8" w:color="93A1D2"/>
            </w:tcBorders>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840" w:type="dxa"/>
            <w:vAlign w:val="bottom"/>
            <w:tcBorders>
              <w:right w:val="single" w:sz="8" w:color="93A1D2"/>
            </w:tcBorders>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800" w:type="dxa"/>
            <w:vAlign w:val="bottom"/>
            <w:tcBorders>
              <w:right w:val="single" w:sz="8" w:color="93A1D2"/>
            </w:tcBorders>
            <w:shd w:val="clear" w:color="auto" w:fill="CCCCCC"/>
          </w:tcPr>
          <w:p>
            <w:pPr>
              <w:spacing w:after="0"/>
              <w:rPr>
                <w:sz w:val="17"/>
                <w:szCs w:val="17"/>
                <w:color w:val="auto"/>
              </w:rPr>
            </w:pPr>
          </w:p>
        </w:tc>
        <w:tc>
          <w:tcPr>
            <w:tcW w:w="1120" w:type="dxa"/>
            <w:vAlign w:val="bottom"/>
            <w:tcBorders>
              <w:right w:val="single" w:sz="8" w:color="3465B0"/>
            </w:tcBorders>
            <w:shd w:val="clear" w:color="auto" w:fill="CCCCCC"/>
          </w:tcPr>
          <w:p>
            <w:pPr>
              <w:spacing w:after="0"/>
              <w:rPr>
                <w:sz w:val="17"/>
                <w:szCs w:val="17"/>
                <w:color w:val="auto"/>
              </w:rPr>
            </w:pPr>
          </w:p>
        </w:tc>
      </w:tr>
      <w:tr>
        <w:trPr>
          <w:trHeight w:val="189"/>
        </w:trPr>
        <w:tc>
          <w:tcPr>
            <w:tcW w:w="3040" w:type="dxa"/>
            <w:vAlign w:val="bottom"/>
            <w:tcBorders>
              <w:left w:val="single" w:sz="8" w:color="3465B0"/>
              <w:right w:val="single" w:sz="8" w:color="93A1D2"/>
            </w:tcBorders>
            <w:shd w:val="clear" w:color="auto" w:fill="CCCCCC"/>
          </w:tcPr>
          <w:p>
            <w:pPr>
              <w:ind w:left="280"/>
              <w:spacing w:after="0"/>
              <w:rPr>
                <w:sz w:val="20"/>
                <w:szCs w:val="20"/>
                <w:color w:val="auto"/>
              </w:rPr>
            </w:pPr>
            <w:r>
              <w:rPr>
                <w:rFonts w:ascii="Arial" w:cs="Arial" w:eastAsia="Arial" w:hAnsi="Arial"/>
                <w:sz w:val="16"/>
                <w:szCs w:val="16"/>
                <w:color w:val="auto"/>
              </w:rPr>
              <w:t>Prior Year Awards that are Unvested</w:t>
            </w:r>
          </w:p>
        </w:tc>
        <w:tc>
          <w:tcPr>
            <w:tcW w:w="40" w:type="dxa"/>
            <w:vAlign w:val="bottom"/>
            <w:shd w:val="clear" w:color="auto" w:fill="CCCCCC"/>
          </w:tcPr>
          <w:p>
            <w:pPr>
              <w:spacing w:after="0"/>
              <w:rPr>
                <w:sz w:val="16"/>
                <w:szCs w:val="16"/>
                <w:color w:val="auto"/>
              </w:rPr>
            </w:pPr>
          </w:p>
        </w:tc>
        <w:tc>
          <w:tcPr>
            <w:tcW w:w="1080" w:type="dxa"/>
            <w:vAlign w:val="bottom"/>
            <w:tcBorders>
              <w:right w:val="single" w:sz="8" w:color="93A1D2"/>
            </w:tcBorders>
            <w:shd w:val="clear" w:color="auto" w:fill="CCCCCC"/>
          </w:tcPr>
          <w:p>
            <w:pPr>
              <w:spacing w:after="0"/>
              <w:rPr>
                <w:sz w:val="16"/>
                <w:szCs w:val="16"/>
                <w:color w:val="auto"/>
              </w:rPr>
            </w:pPr>
          </w:p>
        </w:tc>
        <w:tc>
          <w:tcPr>
            <w:tcW w:w="360" w:type="dxa"/>
            <w:vAlign w:val="bottom"/>
            <w:shd w:val="clear" w:color="auto" w:fill="CCCCCC"/>
          </w:tcPr>
          <w:p>
            <w:pPr>
              <w:spacing w:after="0"/>
              <w:rPr>
                <w:sz w:val="16"/>
                <w:szCs w:val="16"/>
                <w:color w:val="auto"/>
              </w:rPr>
            </w:pPr>
          </w:p>
        </w:tc>
        <w:tc>
          <w:tcPr>
            <w:tcW w:w="840" w:type="dxa"/>
            <w:vAlign w:val="bottom"/>
            <w:tcBorders>
              <w:right w:val="single" w:sz="8" w:color="93A1D2"/>
            </w:tcBorders>
            <w:shd w:val="clear" w:color="auto" w:fill="CCCCCC"/>
          </w:tcPr>
          <w:p>
            <w:pPr>
              <w:spacing w:after="0"/>
              <w:rPr>
                <w:sz w:val="16"/>
                <w:szCs w:val="16"/>
                <w:color w:val="auto"/>
              </w:rPr>
            </w:pPr>
          </w:p>
        </w:tc>
        <w:tc>
          <w:tcPr>
            <w:tcW w:w="360" w:type="dxa"/>
            <w:vAlign w:val="bottom"/>
            <w:shd w:val="clear" w:color="auto" w:fill="CCCCCC"/>
          </w:tcPr>
          <w:p>
            <w:pPr>
              <w:spacing w:after="0"/>
              <w:rPr>
                <w:sz w:val="16"/>
                <w:szCs w:val="16"/>
                <w:color w:val="auto"/>
              </w:rPr>
            </w:pPr>
          </w:p>
        </w:tc>
        <w:tc>
          <w:tcPr>
            <w:tcW w:w="840" w:type="dxa"/>
            <w:vAlign w:val="bottom"/>
            <w:tcBorders>
              <w:right w:val="single" w:sz="8" w:color="93A1D2"/>
            </w:tcBorders>
            <w:shd w:val="clear" w:color="auto" w:fill="CCCCCC"/>
          </w:tcPr>
          <w:p>
            <w:pPr>
              <w:spacing w:after="0"/>
              <w:rPr>
                <w:sz w:val="16"/>
                <w:szCs w:val="16"/>
                <w:color w:val="auto"/>
              </w:rPr>
            </w:pPr>
          </w:p>
        </w:tc>
        <w:tc>
          <w:tcPr>
            <w:tcW w:w="320" w:type="dxa"/>
            <w:vAlign w:val="bottom"/>
            <w:shd w:val="clear" w:color="auto" w:fill="CCCCCC"/>
          </w:tcPr>
          <w:p>
            <w:pPr>
              <w:spacing w:after="0"/>
              <w:rPr>
                <w:sz w:val="16"/>
                <w:szCs w:val="16"/>
                <w:color w:val="auto"/>
              </w:rPr>
            </w:pPr>
          </w:p>
        </w:tc>
        <w:tc>
          <w:tcPr>
            <w:tcW w:w="800" w:type="dxa"/>
            <w:vAlign w:val="bottom"/>
            <w:tcBorders>
              <w:right w:val="single" w:sz="8" w:color="93A1D2"/>
            </w:tcBorders>
            <w:shd w:val="clear" w:color="auto" w:fill="CCCCCC"/>
          </w:tcPr>
          <w:p>
            <w:pPr>
              <w:spacing w:after="0"/>
              <w:rPr>
                <w:sz w:val="16"/>
                <w:szCs w:val="16"/>
                <w:color w:val="auto"/>
              </w:rPr>
            </w:pPr>
          </w:p>
        </w:tc>
        <w:tc>
          <w:tcPr>
            <w:tcW w:w="1120" w:type="dxa"/>
            <w:vAlign w:val="bottom"/>
            <w:tcBorders>
              <w:right w:val="single" w:sz="8" w:color="3465B0"/>
            </w:tcBorders>
            <w:shd w:val="clear" w:color="auto" w:fill="CCCCCC"/>
          </w:tcPr>
          <w:p>
            <w:pPr>
              <w:spacing w:after="0"/>
              <w:rPr>
                <w:sz w:val="16"/>
                <w:szCs w:val="16"/>
                <w:color w:val="auto"/>
              </w:rPr>
            </w:pPr>
          </w:p>
        </w:tc>
      </w:tr>
      <w:tr>
        <w:trPr>
          <w:trHeight w:val="224"/>
        </w:trPr>
        <w:tc>
          <w:tcPr>
            <w:tcW w:w="3040" w:type="dxa"/>
            <w:vAlign w:val="bottom"/>
            <w:tcBorders>
              <w:left w:val="single" w:sz="8" w:color="3465B0"/>
              <w:bottom w:val="single" w:sz="8" w:color="CCCCCC"/>
              <w:right w:val="single" w:sz="8" w:color="93A1D2"/>
            </w:tcBorders>
            <w:shd w:val="clear" w:color="auto" w:fill="CCCCCC"/>
          </w:tcPr>
          <w:p>
            <w:pPr>
              <w:ind w:left="280"/>
              <w:spacing w:after="0"/>
              <w:rPr>
                <w:sz w:val="20"/>
                <w:szCs w:val="20"/>
                <w:color w:val="auto"/>
              </w:rPr>
            </w:pPr>
            <w:r>
              <w:rPr>
                <w:rFonts w:ascii="Arial" w:cs="Arial" w:eastAsia="Arial" w:hAnsi="Arial"/>
                <w:sz w:val="16"/>
                <w:szCs w:val="16"/>
                <w:color w:val="auto"/>
              </w:rPr>
              <w:t>and Outstanding</w:t>
            </w:r>
          </w:p>
        </w:tc>
        <w:tc>
          <w:tcPr>
            <w:tcW w:w="1120" w:type="dxa"/>
            <w:vAlign w:val="bottom"/>
            <w:tcBorders>
              <w:bottom w:val="single" w:sz="8" w:color="CCCCCC"/>
              <w:right w:val="single" w:sz="8" w:color="93A1D2"/>
            </w:tcBorders>
            <w:gridSpan w:val="2"/>
            <w:shd w:val="clear" w:color="auto" w:fill="CCCCCC"/>
          </w:tcPr>
          <w:p>
            <w:pPr>
              <w:jc w:val="right"/>
              <w:spacing w:after="0"/>
              <w:rPr>
                <w:sz w:val="20"/>
                <w:szCs w:val="20"/>
                <w:color w:val="auto"/>
              </w:rPr>
            </w:pPr>
            <w:r>
              <w:rPr>
                <w:rFonts w:ascii="Arial" w:cs="Arial" w:eastAsia="Arial" w:hAnsi="Arial"/>
                <w:sz w:val="16"/>
                <w:szCs w:val="16"/>
                <w:color w:val="auto"/>
              </w:rPr>
              <w:t>686,896</w:t>
            </w:r>
          </w:p>
        </w:tc>
        <w:tc>
          <w:tcPr>
            <w:tcW w:w="360" w:type="dxa"/>
            <w:vAlign w:val="bottom"/>
            <w:tcBorders>
              <w:bottom w:val="single" w:sz="8" w:color="CCCCCC"/>
            </w:tcBorders>
            <w:shd w:val="clear" w:color="auto" w:fill="CCCCCC"/>
          </w:tcPr>
          <w:p>
            <w:pPr>
              <w:spacing w:after="0"/>
              <w:rPr>
                <w:sz w:val="19"/>
                <w:szCs w:val="19"/>
                <w:color w:val="auto"/>
              </w:rPr>
            </w:pPr>
          </w:p>
        </w:tc>
        <w:tc>
          <w:tcPr>
            <w:tcW w:w="8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(359,394)</w:t>
            </w:r>
          </w:p>
        </w:tc>
        <w:tc>
          <w:tcPr>
            <w:tcW w:w="360" w:type="dxa"/>
            <w:vAlign w:val="bottom"/>
            <w:tcBorders>
              <w:bottom w:val="single" w:sz="8" w:color="CCCCCC"/>
            </w:tcBorders>
            <w:shd w:val="clear" w:color="auto" w:fill="CCCCCC"/>
          </w:tcPr>
          <w:p>
            <w:pPr>
              <w:spacing w:after="0"/>
              <w:rPr>
                <w:sz w:val="19"/>
                <w:szCs w:val="19"/>
                <w:color w:val="auto"/>
              </w:rPr>
            </w:pPr>
          </w:p>
        </w:tc>
        <w:tc>
          <w:tcPr>
            <w:tcW w:w="8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(225,079)</w:t>
            </w:r>
          </w:p>
        </w:tc>
        <w:tc>
          <w:tcPr>
            <w:tcW w:w="320" w:type="dxa"/>
            <w:vAlign w:val="bottom"/>
            <w:tcBorders>
              <w:bottom w:val="single" w:sz="8" w:color="CCCCCC"/>
            </w:tcBorders>
            <w:shd w:val="clear" w:color="auto" w:fill="CCCCCC"/>
          </w:tcPr>
          <w:p>
            <w:pPr>
              <w:spacing w:after="0"/>
              <w:rPr>
                <w:sz w:val="19"/>
                <w:szCs w:val="19"/>
                <w:color w:val="auto"/>
              </w:rPr>
            </w:pPr>
          </w:p>
        </w:tc>
        <w:tc>
          <w:tcPr>
            <w:tcW w:w="8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(170,474)</w:t>
            </w:r>
          </w:p>
        </w:tc>
        <w:tc>
          <w:tcPr>
            <w:tcW w:w="1120" w:type="dxa"/>
            <w:vAlign w:val="bottom"/>
            <w:tcBorders>
              <w:bottom w:val="single" w:sz="8" w:color="CCCCCC"/>
              <w:right w:val="single" w:sz="8" w:color="3465B0"/>
            </w:tcBorders>
            <w:shd w:val="clear" w:color="auto" w:fill="CCCCCC"/>
          </w:tcPr>
          <w:p>
            <w:pPr>
              <w:jc w:val="right"/>
              <w:ind w:right="20"/>
              <w:spacing w:after="0"/>
              <w:rPr>
                <w:sz w:val="20"/>
                <w:szCs w:val="20"/>
                <w:color w:val="auto"/>
              </w:rPr>
            </w:pPr>
            <w:r>
              <w:rPr>
                <w:rFonts w:ascii="Arial" w:cs="Arial" w:eastAsia="Arial" w:hAnsi="Arial"/>
                <w:sz w:val="16"/>
                <w:szCs w:val="16"/>
                <w:color w:val="auto"/>
              </w:rPr>
              <w:t>140,426</w:t>
            </w:r>
          </w:p>
        </w:tc>
      </w:tr>
      <w:tr>
        <w:trPr>
          <w:trHeight w:val="202"/>
        </w:trPr>
        <w:tc>
          <w:tcPr>
            <w:tcW w:w="304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color w:val="auto"/>
              </w:rPr>
              <w:t>Plus, Fair Market Value of Awards</w:t>
            </w:r>
          </w:p>
        </w:tc>
        <w:tc>
          <w:tcPr>
            <w:tcW w:w="40" w:type="dxa"/>
            <w:vAlign w:val="bottom"/>
          </w:tcPr>
          <w:p>
            <w:pPr>
              <w:spacing w:after="0"/>
              <w:rPr>
                <w:sz w:val="17"/>
                <w:szCs w:val="17"/>
                <w:color w:val="auto"/>
              </w:rPr>
            </w:pPr>
          </w:p>
        </w:tc>
        <w:tc>
          <w:tcPr>
            <w:tcW w:w="1080" w:type="dxa"/>
            <w:vAlign w:val="bottom"/>
            <w:tcBorders>
              <w:right w:val="single" w:sz="8" w:color="93A1D2"/>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93A1D2"/>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93A1D2"/>
            </w:tcBorders>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right w:val="single" w:sz="8" w:color="93A1D2"/>
            </w:tcBorders>
          </w:tcPr>
          <w:p>
            <w:pPr>
              <w:spacing w:after="0"/>
              <w:rPr>
                <w:sz w:val="17"/>
                <w:szCs w:val="17"/>
                <w:color w:val="auto"/>
              </w:rPr>
            </w:pPr>
          </w:p>
        </w:tc>
        <w:tc>
          <w:tcPr>
            <w:tcW w:w="1120" w:type="dxa"/>
            <w:vAlign w:val="bottom"/>
            <w:tcBorders>
              <w:right w:val="single" w:sz="8" w:color="3465B0"/>
            </w:tcBorders>
          </w:tcPr>
          <w:p>
            <w:pPr>
              <w:spacing w:after="0"/>
              <w:rPr>
                <w:sz w:val="17"/>
                <w:szCs w:val="17"/>
                <w:color w:val="auto"/>
              </w:rPr>
            </w:pPr>
          </w:p>
        </w:tc>
      </w:tr>
      <w:tr>
        <w:trPr>
          <w:trHeight w:val="189"/>
        </w:trPr>
        <w:tc>
          <w:tcPr>
            <w:tcW w:w="304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6"/>
                <w:szCs w:val="16"/>
                <w:color w:val="auto"/>
              </w:rPr>
              <w:t>Granted this Year that Vested in</w:t>
            </w:r>
          </w:p>
        </w:tc>
        <w:tc>
          <w:tcPr>
            <w:tcW w:w="40" w:type="dxa"/>
            <w:vAlign w:val="bottom"/>
          </w:tcPr>
          <w:p>
            <w:pPr>
              <w:spacing w:after="0"/>
              <w:rPr>
                <w:sz w:val="16"/>
                <w:szCs w:val="16"/>
                <w:color w:val="auto"/>
              </w:rPr>
            </w:pPr>
          </w:p>
        </w:tc>
        <w:tc>
          <w:tcPr>
            <w:tcW w:w="1080" w:type="dxa"/>
            <w:vAlign w:val="bottom"/>
            <w:tcBorders>
              <w:right w:val="single" w:sz="8" w:color="93A1D2"/>
            </w:tcBorders>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Borders>
              <w:right w:val="single" w:sz="8" w:color="93A1D2"/>
            </w:tcBorders>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Borders>
              <w:right w:val="single" w:sz="8" w:color="93A1D2"/>
            </w:tcBorders>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Borders>
              <w:right w:val="single" w:sz="8" w:color="93A1D2"/>
            </w:tcBorders>
          </w:tcPr>
          <w:p>
            <w:pPr>
              <w:spacing w:after="0"/>
              <w:rPr>
                <w:sz w:val="16"/>
                <w:szCs w:val="16"/>
                <w:color w:val="auto"/>
              </w:rPr>
            </w:pPr>
          </w:p>
        </w:tc>
        <w:tc>
          <w:tcPr>
            <w:tcW w:w="1120" w:type="dxa"/>
            <w:vAlign w:val="bottom"/>
            <w:tcBorders>
              <w:right w:val="single" w:sz="8" w:color="3465B0"/>
            </w:tcBorders>
          </w:tcPr>
          <w:p>
            <w:pPr>
              <w:spacing w:after="0"/>
              <w:rPr>
                <w:sz w:val="16"/>
                <w:szCs w:val="16"/>
                <w:color w:val="auto"/>
              </w:rPr>
            </w:pPr>
          </w:p>
        </w:tc>
      </w:tr>
      <w:tr>
        <w:trPr>
          <w:trHeight w:val="215"/>
        </w:trPr>
        <w:tc>
          <w:tcPr>
            <w:tcW w:w="304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6"/>
                <w:szCs w:val="16"/>
                <w:color w:val="auto"/>
              </w:rPr>
              <w:t>Fiscal Year</w:t>
            </w:r>
          </w:p>
        </w:tc>
        <w:tc>
          <w:tcPr>
            <w:tcW w:w="40" w:type="dxa"/>
            <w:vAlign w:val="bottom"/>
          </w:tcPr>
          <w:p>
            <w:pPr>
              <w:spacing w:after="0"/>
              <w:rPr>
                <w:sz w:val="18"/>
                <w:szCs w:val="18"/>
                <w:color w:val="auto"/>
              </w:rPr>
            </w:pPr>
          </w:p>
        </w:tc>
        <w:tc>
          <w:tcPr>
            <w:tcW w:w="108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3465B0"/>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040" w:type="dxa"/>
            <w:vAlign w:val="bottom"/>
            <w:tcBorders>
              <w:left w:val="single" w:sz="8" w:color="3465B0"/>
              <w:right w:val="single" w:sz="8" w:color="93A1D2"/>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right w:val="single" w:sz="8" w:color="93A1D2"/>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93A1D2"/>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93A1D2"/>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right w:val="single" w:sz="8" w:color="93A1D2"/>
            </w:tcBorders>
          </w:tcPr>
          <w:p>
            <w:pPr>
              <w:spacing w:after="0"/>
              <w:rPr>
                <w:sz w:val="2"/>
                <w:szCs w:val="2"/>
                <w:color w:val="auto"/>
              </w:rPr>
            </w:pPr>
          </w:p>
        </w:tc>
        <w:tc>
          <w:tcPr>
            <w:tcW w:w="1120" w:type="dxa"/>
            <w:vAlign w:val="bottom"/>
            <w:tcBorders>
              <w:right w:val="single" w:sz="8" w:color="3465B0"/>
            </w:tcBorders>
          </w:tcPr>
          <w:p>
            <w:pPr>
              <w:spacing w:after="0"/>
              <w:rPr>
                <w:sz w:val="2"/>
                <w:szCs w:val="2"/>
                <w:color w:val="auto"/>
              </w:rPr>
            </w:pPr>
          </w:p>
        </w:tc>
      </w:tr>
      <w:tr>
        <w:trPr>
          <w:trHeight w:val="202"/>
        </w:trPr>
        <w:tc>
          <w:tcPr>
            <w:tcW w:w="304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6"/>
                <w:szCs w:val="16"/>
                <w:color w:val="auto"/>
              </w:rPr>
              <w:t>Plus/Minus, Change in Fair Value (from</w:t>
            </w:r>
          </w:p>
        </w:tc>
        <w:tc>
          <w:tcPr>
            <w:tcW w:w="40" w:type="dxa"/>
            <w:vAlign w:val="bottom"/>
            <w:shd w:val="clear" w:color="auto" w:fill="CCCCCC"/>
          </w:tcPr>
          <w:p>
            <w:pPr>
              <w:spacing w:after="0"/>
              <w:rPr>
                <w:sz w:val="17"/>
                <w:szCs w:val="17"/>
                <w:color w:val="auto"/>
              </w:rPr>
            </w:pPr>
          </w:p>
        </w:tc>
        <w:tc>
          <w:tcPr>
            <w:tcW w:w="1080" w:type="dxa"/>
            <w:vAlign w:val="bottom"/>
            <w:tcBorders>
              <w:right w:val="single" w:sz="8" w:color="93A1D2"/>
            </w:tcBorders>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840" w:type="dxa"/>
            <w:vAlign w:val="bottom"/>
            <w:tcBorders>
              <w:right w:val="single" w:sz="8" w:color="93A1D2"/>
            </w:tcBorders>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840" w:type="dxa"/>
            <w:vAlign w:val="bottom"/>
            <w:tcBorders>
              <w:right w:val="single" w:sz="8" w:color="93A1D2"/>
            </w:tcBorders>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800" w:type="dxa"/>
            <w:vAlign w:val="bottom"/>
            <w:tcBorders>
              <w:right w:val="single" w:sz="8" w:color="93A1D2"/>
            </w:tcBorders>
            <w:shd w:val="clear" w:color="auto" w:fill="CCCCCC"/>
          </w:tcPr>
          <w:p>
            <w:pPr>
              <w:spacing w:after="0"/>
              <w:rPr>
                <w:sz w:val="17"/>
                <w:szCs w:val="17"/>
                <w:color w:val="auto"/>
              </w:rPr>
            </w:pPr>
          </w:p>
        </w:tc>
        <w:tc>
          <w:tcPr>
            <w:tcW w:w="1120" w:type="dxa"/>
            <w:vAlign w:val="bottom"/>
            <w:tcBorders>
              <w:right w:val="single" w:sz="8" w:color="3465B0"/>
            </w:tcBorders>
            <w:shd w:val="clear" w:color="auto" w:fill="CCCCCC"/>
          </w:tcPr>
          <w:p>
            <w:pPr>
              <w:spacing w:after="0"/>
              <w:rPr>
                <w:sz w:val="17"/>
                <w:szCs w:val="17"/>
                <w:color w:val="auto"/>
              </w:rPr>
            </w:pPr>
          </w:p>
        </w:tc>
      </w:tr>
      <w:tr>
        <w:trPr>
          <w:trHeight w:val="189"/>
        </w:trPr>
        <w:tc>
          <w:tcPr>
            <w:tcW w:w="3040" w:type="dxa"/>
            <w:vAlign w:val="bottom"/>
            <w:tcBorders>
              <w:left w:val="single" w:sz="8" w:color="3465B0"/>
              <w:right w:val="single" w:sz="8" w:color="93A1D2"/>
            </w:tcBorders>
            <w:shd w:val="clear" w:color="auto" w:fill="CCCCCC"/>
          </w:tcPr>
          <w:p>
            <w:pPr>
              <w:ind w:left="280"/>
              <w:spacing w:after="0"/>
              <w:rPr>
                <w:sz w:val="20"/>
                <w:szCs w:val="20"/>
                <w:color w:val="auto"/>
              </w:rPr>
            </w:pPr>
            <w:r>
              <w:rPr>
                <w:rFonts w:ascii="Arial" w:cs="Arial" w:eastAsia="Arial" w:hAnsi="Arial"/>
                <w:sz w:val="16"/>
                <w:szCs w:val="16"/>
                <w:color w:val="auto"/>
              </w:rPr>
              <w:t>Prior Fiscal Year-End) of Prior Year</w:t>
            </w:r>
          </w:p>
        </w:tc>
        <w:tc>
          <w:tcPr>
            <w:tcW w:w="40" w:type="dxa"/>
            <w:vAlign w:val="bottom"/>
            <w:shd w:val="clear" w:color="auto" w:fill="CCCCCC"/>
          </w:tcPr>
          <w:p>
            <w:pPr>
              <w:spacing w:after="0"/>
              <w:rPr>
                <w:sz w:val="16"/>
                <w:szCs w:val="16"/>
                <w:color w:val="auto"/>
              </w:rPr>
            </w:pPr>
          </w:p>
        </w:tc>
        <w:tc>
          <w:tcPr>
            <w:tcW w:w="1080" w:type="dxa"/>
            <w:vAlign w:val="bottom"/>
            <w:tcBorders>
              <w:right w:val="single" w:sz="8" w:color="93A1D2"/>
            </w:tcBorders>
            <w:shd w:val="clear" w:color="auto" w:fill="CCCCCC"/>
          </w:tcPr>
          <w:p>
            <w:pPr>
              <w:spacing w:after="0"/>
              <w:rPr>
                <w:sz w:val="16"/>
                <w:szCs w:val="16"/>
                <w:color w:val="auto"/>
              </w:rPr>
            </w:pPr>
          </w:p>
        </w:tc>
        <w:tc>
          <w:tcPr>
            <w:tcW w:w="360" w:type="dxa"/>
            <w:vAlign w:val="bottom"/>
            <w:shd w:val="clear" w:color="auto" w:fill="CCCCCC"/>
          </w:tcPr>
          <w:p>
            <w:pPr>
              <w:spacing w:after="0"/>
              <w:rPr>
                <w:sz w:val="16"/>
                <w:szCs w:val="16"/>
                <w:color w:val="auto"/>
              </w:rPr>
            </w:pPr>
          </w:p>
        </w:tc>
        <w:tc>
          <w:tcPr>
            <w:tcW w:w="840" w:type="dxa"/>
            <w:vAlign w:val="bottom"/>
            <w:tcBorders>
              <w:right w:val="single" w:sz="8" w:color="93A1D2"/>
            </w:tcBorders>
            <w:shd w:val="clear" w:color="auto" w:fill="CCCCCC"/>
          </w:tcPr>
          <w:p>
            <w:pPr>
              <w:spacing w:after="0"/>
              <w:rPr>
                <w:sz w:val="16"/>
                <w:szCs w:val="16"/>
                <w:color w:val="auto"/>
              </w:rPr>
            </w:pPr>
          </w:p>
        </w:tc>
        <w:tc>
          <w:tcPr>
            <w:tcW w:w="360" w:type="dxa"/>
            <w:vAlign w:val="bottom"/>
            <w:shd w:val="clear" w:color="auto" w:fill="CCCCCC"/>
          </w:tcPr>
          <w:p>
            <w:pPr>
              <w:spacing w:after="0"/>
              <w:rPr>
                <w:sz w:val="16"/>
                <w:szCs w:val="16"/>
                <w:color w:val="auto"/>
              </w:rPr>
            </w:pPr>
          </w:p>
        </w:tc>
        <w:tc>
          <w:tcPr>
            <w:tcW w:w="840" w:type="dxa"/>
            <w:vAlign w:val="bottom"/>
            <w:tcBorders>
              <w:right w:val="single" w:sz="8" w:color="93A1D2"/>
            </w:tcBorders>
            <w:shd w:val="clear" w:color="auto" w:fill="CCCCCC"/>
          </w:tcPr>
          <w:p>
            <w:pPr>
              <w:spacing w:after="0"/>
              <w:rPr>
                <w:sz w:val="16"/>
                <w:szCs w:val="16"/>
                <w:color w:val="auto"/>
              </w:rPr>
            </w:pPr>
          </w:p>
        </w:tc>
        <w:tc>
          <w:tcPr>
            <w:tcW w:w="320" w:type="dxa"/>
            <w:vAlign w:val="bottom"/>
            <w:shd w:val="clear" w:color="auto" w:fill="CCCCCC"/>
          </w:tcPr>
          <w:p>
            <w:pPr>
              <w:spacing w:after="0"/>
              <w:rPr>
                <w:sz w:val="16"/>
                <w:szCs w:val="16"/>
                <w:color w:val="auto"/>
              </w:rPr>
            </w:pPr>
          </w:p>
        </w:tc>
        <w:tc>
          <w:tcPr>
            <w:tcW w:w="800" w:type="dxa"/>
            <w:vAlign w:val="bottom"/>
            <w:tcBorders>
              <w:right w:val="single" w:sz="8" w:color="93A1D2"/>
            </w:tcBorders>
            <w:shd w:val="clear" w:color="auto" w:fill="CCCCCC"/>
          </w:tcPr>
          <w:p>
            <w:pPr>
              <w:spacing w:after="0"/>
              <w:rPr>
                <w:sz w:val="16"/>
                <w:szCs w:val="16"/>
                <w:color w:val="auto"/>
              </w:rPr>
            </w:pPr>
          </w:p>
        </w:tc>
        <w:tc>
          <w:tcPr>
            <w:tcW w:w="1120" w:type="dxa"/>
            <w:vAlign w:val="bottom"/>
            <w:tcBorders>
              <w:right w:val="single" w:sz="8" w:color="3465B0"/>
            </w:tcBorders>
            <w:shd w:val="clear" w:color="auto" w:fill="CCCCCC"/>
          </w:tcPr>
          <w:p>
            <w:pPr>
              <w:spacing w:after="0"/>
              <w:rPr>
                <w:sz w:val="16"/>
                <w:szCs w:val="16"/>
                <w:color w:val="auto"/>
              </w:rPr>
            </w:pPr>
          </w:p>
        </w:tc>
      </w:tr>
      <w:tr>
        <w:trPr>
          <w:trHeight w:val="224"/>
        </w:trPr>
        <w:tc>
          <w:tcPr>
            <w:tcW w:w="3040" w:type="dxa"/>
            <w:vAlign w:val="bottom"/>
            <w:tcBorders>
              <w:left w:val="single" w:sz="8" w:color="3465B0"/>
              <w:bottom w:val="single" w:sz="8" w:color="CCCCCC"/>
              <w:right w:val="single" w:sz="8" w:color="93A1D2"/>
            </w:tcBorders>
            <w:shd w:val="clear" w:color="auto" w:fill="CCCCCC"/>
          </w:tcPr>
          <w:p>
            <w:pPr>
              <w:ind w:left="280"/>
              <w:spacing w:after="0"/>
              <w:rPr>
                <w:sz w:val="20"/>
                <w:szCs w:val="20"/>
                <w:color w:val="auto"/>
              </w:rPr>
            </w:pPr>
            <w:r>
              <w:rPr>
                <w:rFonts w:ascii="Arial" w:cs="Arial" w:eastAsia="Arial" w:hAnsi="Arial"/>
                <w:sz w:val="16"/>
                <w:szCs w:val="16"/>
                <w:color w:val="auto"/>
              </w:rPr>
              <w:t>Awards that Vested in Fiscal Year</w:t>
            </w:r>
          </w:p>
        </w:tc>
        <w:tc>
          <w:tcPr>
            <w:tcW w:w="1120" w:type="dxa"/>
            <w:vAlign w:val="bottom"/>
            <w:tcBorders>
              <w:bottom w:val="single" w:sz="8" w:color="CCCCCC"/>
              <w:right w:val="single" w:sz="8" w:color="93A1D2"/>
            </w:tcBorders>
            <w:gridSpan w:val="2"/>
            <w:shd w:val="clear" w:color="auto" w:fill="CCCCCC"/>
          </w:tcPr>
          <w:p>
            <w:pPr>
              <w:jc w:val="right"/>
              <w:spacing w:after="0"/>
              <w:rPr>
                <w:sz w:val="20"/>
                <w:szCs w:val="20"/>
                <w:color w:val="auto"/>
              </w:rPr>
            </w:pPr>
            <w:r>
              <w:rPr>
                <w:rFonts w:ascii="Arial" w:cs="Arial" w:eastAsia="Arial" w:hAnsi="Arial"/>
                <w:sz w:val="16"/>
                <w:szCs w:val="16"/>
                <w:color w:val="auto"/>
              </w:rPr>
              <w:t>55,744</w:t>
            </w:r>
          </w:p>
        </w:tc>
        <w:tc>
          <w:tcPr>
            <w:tcW w:w="360" w:type="dxa"/>
            <w:vAlign w:val="bottom"/>
            <w:tcBorders>
              <w:bottom w:val="single" w:sz="8" w:color="CCCCCC"/>
            </w:tcBorders>
            <w:shd w:val="clear" w:color="auto" w:fill="CCCCCC"/>
          </w:tcPr>
          <w:p>
            <w:pPr>
              <w:spacing w:after="0"/>
              <w:rPr>
                <w:sz w:val="19"/>
                <w:szCs w:val="19"/>
                <w:color w:val="auto"/>
              </w:rPr>
            </w:pPr>
          </w:p>
        </w:tc>
        <w:tc>
          <w:tcPr>
            <w:tcW w:w="8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3,310</w:t>
            </w:r>
          </w:p>
        </w:tc>
        <w:tc>
          <w:tcPr>
            <w:tcW w:w="360" w:type="dxa"/>
            <w:vAlign w:val="bottom"/>
            <w:tcBorders>
              <w:bottom w:val="single" w:sz="8" w:color="CCCCCC"/>
            </w:tcBorders>
            <w:shd w:val="clear" w:color="auto" w:fill="CCCCCC"/>
          </w:tcPr>
          <w:p>
            <w:pPr>
              <w:spacing w:after="0"/>
              <w:rPr>
                <w:sz w:val="19"/>
                <w:szCs w:val="19"/>
                <w:color w:val="auto"/>
              </w:rPr>
            </w:pPr>
          </w:p>
        </w:tc>
        <w:tc>
          <w:tcPr>
            <w:tcW w:w="8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(243,194)</w:t>
            </w:r>
          </w:p>
        </w:tc>
        <w:tc>
          <w:tcPr>
            <w:tcW w:w="320" w:type="dxa"/>
            <w:vAlign w:val="bottom"/>
            <w:tcBorders>
              <w:bottom w:val="single" w:sz="8" w:color="CCCCCC"/>
            </w:tcBorders>
            <w:shd w:val="clear" w:color="auto" w:fill="CCCCCC"/>
          </w:tcPr>
          <w:p>
            <w:pPr>
              <w:spacing w:after="0"/>
              <w:rPr>
                <w:sz w:val="19"/>
                <w:szCs w:val="19"/>
                <w:color w:val="auto"/>
              </w:rPr>
            </w:pPr>
          </w:p>
        </w:tc>
        <w:tc>
          <w:tcPr>
            <w:tcW w:w="8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(211,438)</w:t>
            </w:r>
          </w:p>
        </w:tc>
        <w:tc>
          <w:tcPr>
            <w:tcW w:w="1120" w:type="dxa"/>
            <w:vAlign w:val="bottom"/>
            <w:tcBorders>
              <w:bottom w:val="single" w:sz="8" w:color="CCCCCC"/>
              <w:right w:val="single" w:sz="8" w:color="3465B0"/>
            </w:tcBorders>
            <w:shd w:val="clear" w:color="auto" w:fill="CCCCCC"/>
          </w:tcPr>
          <w:p>
            <w:pPr>
              <w:jc w:val="right"/>
              <w:ind w:right="20"/>
              <w:spacing w:after="0"/>
              <w:rPr>
                <w:sz w:val="20"/>
                <w:szCs w:val="20"/>
                <w:color w:val="auto"/>
              </w:rPr>
            </w:pPr>
            <w:r>
              <w:rPr>
                <w:rFonts w:ascii="Arial" w:cs="Arial" w:eastAsia="Arial" w:hAnsi="Arial"/>
                <w:sz w:val="16"/>
                <w:szCs w:val="16"/>
                <w:color w:val="auto"/>
              </w:rPr>
              <w:t>43,689</w:t>
            </w:r>
          </w:p>
        </w:tc>
      </w:tr>
      <w:tr>
        <w:trPr>
          <w:trHeight w:val="202"/>
        </w:trPr>
        <w:tc>
          <w:tcPr>
            <w:tcW w:w="304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color w:val="auto"/>
              </w:rPr>
              <w:t>Minus, Prior Fiscal Year-End Fair Value</w:t>
            </w:r>
          </w:p>
        </w:tc>
        <w:tc>
          <w:tcPr>
            <w:tcW w:w="40" w:type="dxa"/>
            <w:vAlign w:val="bottom"/>
          </w:tcPr>
          <w:p>
            <w:pPr>
              <w:spacing w:after="0"/>
              <w:rPr>
                <w:sz w:val="17"/>
                <w:szCs w:val="17"/>
                <w:color w:val="auto"/>
              </w:rPr>
            </w:pPr>
          </w:p>
        </w:tc>
        <w:tc>
          <w:tcPr>
            <w:tcW w:w="1080" w:type="dxa"/>
            <w:vAlign w:val="bottom"/>
            <w:tcBorders>
              <w:right w:val="single" w:sz="8" w:color="93A1D2"/>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93A1D2"/>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93A1D2"/>
            </w:tcBorders>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right w:val="single" w:sz="8" w:color="93A1D2"/>
            </w:tcBorders>
          </w:tcPr>
          <w:p>
            <w:pPr>
              <w:spacing w:after="0"/>
              <w:rPr>
                <w:sz w:val="17"/>
                <w:szCs w:val="17"/>
                <w:color w:val="auto"/>
              </w:rPr>
            </w:pPr>
          </w:p>
        </w:tc>
        <w:tc>
          <w:tcPr>
            <w:tcW w:w="1120" w:type="dxa"/>
            <w:vAlign w:val="bottom"/>
            <w:tcBorders>
              <w:right w:val="single" w:sz="8" w:color="3465B0"/>
            </w:tcBorders>
          </w:tcPr>
          <w:p>
            <w:pPr>
              <w:spacing w:after="0"/>
              <w:rPr>
                <w:sz w:val="17"/>
                <w:szCs w:val="17"/>
                <w:color w:val="auto"/>
              </w:rPr>
            </w:pPr>
          </w:p>
        </w:tc>
      </w:tr>
      <w:tr>
        <w:trPr>
          <w:trHeight w:val="189"/>
        </w:trPr>
        <w:tc>
          <w:tcPr>
            <w:tcW w:w="304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6"/>
                <w:szCs w:val="16"/>
                <w:color w:val="auto"/>
              </w:rPr>
              <w:t>of Prior Year Awards that Failed to</w:t>
            </w:r>
          </w:p>
        </w:tc>
        <w:tc>
          <w:tcPr>
            <w:tcW w:w="40" w:type="dxa"/>
            <w:vAlign w:val="bottom"/>
          </w:tcPr>
          <w:p>
            <w:pPr>
              <w:spacing w:after="0"/>
              <w:rPr>
                <w:sz w:val="16"/>
                <w:szCs w:val="16"/>
                <w:color w:val="auto"/>
              </w:rPr>
            </w:pPr>
          </w:p>
        </w:tc>
        <w:tc>
          <w:tcPr>
            <w:tcW w:w="1080" w:type="dxa"/>
            <w:vAlign w:val="bottom"/>
            <w:tcBorders>
              <w:right w:val="single" w:sz="8" w:color="93A1D2"/>
            </w:tcBorders>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Borders>
              <w:right w:val="single" w:sz="8" w:color="93A1D2"/>
            </w:tcBorders>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Borders>
              <w:right w:val="single" w:sz="8" w:color="93A1D2"/>
            </w:tcBorders>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Borders>
              <w:right w:val="single" w:sz="8" w:color="93A1D2"/>
            </w:tcBorders>
          </w:tcPr>
          <w:p>
            <w:pPr>
              <w:spacing w:after="0"/>
              <w:rPr>
                <w:sz w:val="16"/>
                <w:szCs w:val="16"/>
                <w:color w:val="auto"/>
              </w:rPr>
            </w:pPr>
          </w:p>
        </w:tc>
        <w:tc>
          <w:tcPr>
            <w:tcW w:w="1120" w:type="dxa"/>
            <w:vAlign w:val="bottom"/>
            <w:tcBorders>
              <w:right w:val="single" w:sz="8" w:color="3465B0"/>
            </w:tcBorders>
          </w:tcPr>
          <w:p>
            <w:pPr>
              <w:spacing w:after="0"/>
              <w:rPr>
                <w:sz w:val="16"/>
                <w:szCs w:val="16"/>
                <w:color w:val="auto"/>
              </w:rPr>
            </w:pPr>
          </w:p>
        </w:tc>
      </w:tr>
      <w:tr>
        <w:trPr>
          <w:trHeight w:val="215"/>
        </w:trPr>
        <w:tc>
          <w:tcPr>
            <w:tcW w:w="304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6"/>
                <w:szCs w:val="16"/>
                <w:color w:val="auto"/>
              </w:rPr>
              <w:t>Vest in Fiscal Year</w:t>
            </w:r>
          </w:p>
        </w:tc>
        <w:tc>
          <w:tcPr>
            <w:tcW w:w="40" w:type="dxa"/>
            <w:vAlign w:val="bottom"/>
          </w:tcPr>
          <w:p>
            <w:pPr>
              <w:spacing w:after="0"/>
              <w:rPr>
                <w:sz w:val="18"/>
                <w:szCs w:val="18"/>
                <w:color w:val="auto"/>
              </w:rPr>
            </w:pPr>
          </w:p>
        </w:tc>
        <w:tc>
          <w:tcPr>
            <w:tcW w:w="108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3465B0"/>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040" w:type="dxa"/>
            <w:vAlign w:val="bottom"/>
            <w:tcBorders>
              <w:left w:val="single" w:sz="8" w:color="3465B0"/>
              <w:right w:val="single" w:sz="8" w:color="93A1D2"/>
            </w:tcBorders>
          </w:tcPr>
          <w:p>
            <w:pPr>
              <w:spacing w:after="0"/>
              <w:rPr>
                <w:sz w:val="2"/>
                <w:szCs w:val="2"/>
                <w:color w:val="auto"/>
              </w:rPr>
            </w:pPr>
          </w:p>
        </w:tc>
        <w:tc>
          <w:tcPr>
            <w:tcW w:w="1120" w:type="dxa"/>
            <w:vAlign w:val="bottom"/>
            <w:tcBorders>
              <w:right w:val="single" w:sz="8" w:color="93A1D2"/>
            </w:tcBorders>
            <w:gridSpan w:val="2"/>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93A1D2"/>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93A1D2"/>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right w:val="single" w:sz="8" w:color="93A1D2"/>
            </w:tcBorders>
          </w:tcPr>
          <w:p>
            <w:pPr>
              <w:spacing w:after="0"/>
              <w:rPr>
                <w:sz w:val="2"/>
                <w:szCs w:val="2"/>
                <w:color w:val="auto"/>
              </w:rPr>
            </w:pPr>
          </w:p>
        </w:tc>
        <w:tc>
          <w:tcPr>
            <w:tcW w:w="1120" w:type="dxa"/>
            <w:vAlign w:val="bottom"/>
            <w:tcBorders>
              <w:right w:val="single" w:sz="8" w:color="3465B0"/>
            </w:tcBorders>
          </w:tcPr>
          <w:p>
            <w:pPr>
              <w:spacing w:after="0"/>
              <w:rPr>
                <w:sz w:val="2"/>
                <w:szCs w:val="2"/>
                <w:color w:val="auto"/>
              </w:rPr>
            </w:pPr>
          </w:p>
        </w:tc>
      </w:tr>
      <w:tr>
        <w:trPr>
          <w:trHeight w:val="236"/>
        </w:trPr>
        <w:tc>
          <w:tcPr>
            <w:tcW w:w="304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6"/>
                <w:szCs w:val="16"/>
                <w:color w:val="auto"/>
              </w:rPr>
              <w:t>Minus, Forfeited Awards in Fiscal Year</w:t>
            </w:r>
          </w:p>
        </w:tc>
        <w:tc>
          <w:tcPr>
            <w:tcW w:w="1120" w:type="dxa"/>
            <w:vAlign w:val="bottom"/>
            <w:tcBorders>
              <w:bottom w:val="single" w:sz="8" w:color="CCCCCC"/>
              <w:right w:val="single" w:sz="8" w:color="93A1D2"/>
            </w:tcBorders>
            <w:gridSpan w:val="2"/>
            <w:shd w:val="clear" w:color="auto" w:fill="CCCCCC"/>
          </w:tcPr>
          <w:p>
            <w:pPr>
              <w:jc w:val="right"/>
              <w:spacing w:after="0"/>
              <w:rPr>
                <w:sz w:val="20"/>
                <w:szCs w:val="20"/>
                <w:color w:val="auto"/>
              </w:rPr>
            </w:pPr>
            <w:r>
              <w:rPr>
                <w:rFonts w:ascii="Arial" w:cs="Arial" w:eastAsia="Arial" w:hAnsi="Arial"/>
                <w:sz w:val="16"/>
                <w:szCs w:val="16"/>
                <w:color w:val="auto"/>
              </w:rPr>
              <w:t>(238,688)</w:t>
            </w:r>
          </w:p>
        </w:tc>
        <w:tc>
          <w:tcPr>
            <w:tcW w:w="360" w:type="dxa"/>
            <w:vAlign w:val="bottom"/>
            <w:tcBorders>
              <w:bottom w:val="single" w:sz="8" w:color="CCCCCC"/>
            </w:tcBorders>
            <w:shd w:val="clear" w:color="auto" w:fill="CCCCCC"/>
          </w:tcPr>
          <w:p>
            <w:pPr>
              <w:spacing w:after="0"/>
              <w:rPr>
                <w:sz w:val="20"/>
                <w:szCs w:val="20"/>
                <w:color w:val="auto"/>
              </w:rPr>
            </w:pPr>
          </w:p>
        </w:tc>
        <w:tc>
          <w:tcPr>
            <w:tcW w:w="8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CCCC"/>
            </w:tcBorders>
            <w:shd w:val="clear" w:color="auto" w:fill="CCCCCC"/>
          </w:tcPr>
          <w:p>
            <w:pPr>
              <w:spacing w:after="0"/>
              <w:rPr>
                <w:sz w:val="20"/>
                <w:szCs w:val="20"/>
                <w:color w:val="auto"/>
              </w:rPr>
            </w:pPr>
          </w:p>
        </w:tc>
        <w:tc>
          <w:tcPr>
            <w:tcW w:w="84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CCCC"/>
            </w:tcBorders>
            <w:shd w:val="clear" w:color="auto" w:fill="CCCCCC"/>
          </w:tcPr>
          <w:p>
            <w:pPr>
              <w:spacing w:after="0"/>
              <w:rPr>
                <w:sz w:val="20"/>
                <w:szCs w:val="20"/>
                <w:color w:val="auto"/>
              </w:rPr>
            </w:pPr>
          </w:p>
        </w:tc>
        <w:tc>
          <w:tcPr>
            <w:tcW w:w="800" w:type="dxa"/>
            <w:vAlign w:val="bottom"/>
            <w:tcBorders>
              <w:bottom w:val="single" w:sz="8" w:color="CCCCCC"/>
              <w:right w:val="single" w:sz="8" w:color="93A1D2"/>
            </w:tcBorders>
            <w:shd w:val="clear" w:color="auto" w:fill="CCCCCC"/>
          </w:tcPr>
          <w:p>
            <w:pPr>
              <w:jc w:val="right"/>
              <w:spacing w:after="0"/>
              <w:rPr>
                <w:sz w:val="20"/>
                <w:szCs w:val="20"/>
                <w:color w:val="auto"/>
              </w:rPr>
            </w:pPr>
            <w:r>
              <w:rPr>
                <w:rFonts w:ascii="Arial" w:cs="Arial" w:eastAsia="Arial" w:hAnsi="Arial"/>
                <w:sz w:val="16"/>
                <w:szCs w:val="16"/>
                <w:color w:val="auto"/>
              </w:rPr>
              <w:t>(237,733)</w:t>
            </w:r>
          </w:p>
        </w:tc>
        <w:tc>
          <w:tcPr>
            <w:tcW w:w="112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6"/>
                <w:szCs w:val="16"/>
                <w:b w:val="1"/>
                <w:bCs w:val="1"/>
                <w:i w:val="1"/>
                <w:iCs w:val="1"/>
                <w:color w:val="auto"/>
              </w:rPr>
              <w:t>Total Adjustments</w:t>
            </w:r>
          </w:p>
        </w:tc>
        <w:tc>
          <w:tcPr>
            <w:tcW w:w="1120" w:type="dxa"/>
            <w:vAlign w:val="bottom"/>
            <w:tcBorders>
              <w:right w:val="single" w:sz="8" w:color="93A1D2"/>
            </w:tcBorders>
            <w:gridSpan w:val="2"/>
          </w:tcPr>
          <w:p>
            <w:pPr>
              <w:jc w:val="right"/>
              <w:spacing w:after="0"/>
              <w:rPr>
                <w:sz w:val="20"/>
                <w:szCs w:val="20"/>
                <w:color w:val="auto"/>
              </w:rPr>
            </w:pPr>
            <w:r>
              <w:rPr>
                <w:rFonts w:ascii="Arial" w:cs="Arial" w:eastAsia="Arial" w:hAnsi="Arial"/>
                <w:sz w:val="16"/>
                <w:szCs w:val="16"/>
                <w:color w:val="auto"/>
              </w:rPr>
              <w:t>1,185,096</w:t>
            </w:r>
          </w:p>
        </w:tc>
        <w:tc>
          <w:tcPr>
            <w:tcW w:w="360" w:type="dxa"/>
            <w:vAlign w:val="bottom"/>
          </w:tcPr>
          <w:p>
            <w:pPr>
              <w:spacing w:after="0"/>
              <w:rPr>
                <w:sz w:val="20"/>
                <w:szCs w:val="20"/>
                <w:color w:val="auto"/>
              </w:rPr>
            </w:pP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(689,238)</w:t>
            </w:r>
          </w:p>
        </w:tc>
        <w:tc>
          <w:tcPr>
            <w:tcW w:w="360" w:type="dxa"/>
            <w:vAlign w:val="bottom"/>
          </w:tcPr>
          <w:p>
            <w:pPr>
              <w:spacing w:after="0"/>
              <w:rPr>
                <w:sz w:val="20"/>
                <w:szCs w:val="20"/>
                <w:color w:val="auto"/>
              </w:rPr>
            </w:pPr>
          </w:p>
        </w:tc>
        <w:tc>
          <w:tcPr>
            <w:tcW w:w="84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(387,926)</w:t>
            </w:r>
          </w:p>
        </w:tc>
        <w:tc>
          <w:tcPr>
            <w:tcW w:w="320" w:type="dxa"/>
            <w:vAlign w:val="bottom"/>
          </w:tcPr>
          <w:p>
            <w:pPr>
              <w:spacing w:after="0"/>
              <w:rPr>
                <w:sz w:val="20"/>
                <w:szCs w:val="20"/>
                <w:color w:val="auto"/>
              </w:rPr>
            </w:pPr>
          </w:p>
        </w:tc>
        <w:tc>
          <w:tcPr>
            <w:tcW w:w="800" w:type="dxa"/>
            <w:vAlign w:val="bottom"/>
            <w:tcBorders>
              <w:right w:val="single" w:sz="8" w:color="93A1D2"/>
            </w:tcBorders>
          </w:tcPr>
          <w:p>
            <w:pPr>
              <w:jc w:val="right"/>
              <w:spacing w:after="0"/>
              <w:rPr>
                <w:sz w:val="20"/>
                <w:szCs w:val="20"/>
                <w:color w:val="auto"/>
              </w:rPr>
            </w:pPr>
            <w:r>
              <w:rPr>
                <w:rFonts w:ascii="Arial" w:cs="Arial" w:eastAsia="Arial" w:hAnsi="Arial"/>
                <w:sz w:val="16"/>
                <w:szCs w:val="16"/>
                <w:color w:val="auto"/>
              </w:rPr>
              <w:t>(899,025)</w:t>
            </w:r>
          </w:p>
        </w:tc>
        <w:tc>
          <w:tcPr>
            <w:tcW w:w="1120" w:type="dxa"/>
            <w:vAlign w:val="bottom"/>
            <w:tcBorders>
              <w:right w:val="single" w:sz="8" w:color="3465B0"/>
            </w:tcBorders>
          </w:tcPr>
          <w:p>
            <w:pPr>
              <w:jc w:val="right"/>
              <w:ind w:right="20"/>
              <w:spacing w:after="0"/>
              <w:rPr>
                <w:sz w:val="20"/>
                <w:szCs w:val="20"/>
                <w:color w:val="auto"/>
              </w:rPr>
            </w:pPr>
            <w:r>
              <w:rPr>
                <w:rFonts w:ascii="Arial" w:cs="Arial" w:eastAsia="Arial" w:hAnsi="Arial"/>
                <w:sz w:val="16"/>
                <w:szCs w:val="16"/>
                <w:color w:val="auto"/>
              </w:rPr>
              <w:t>178,696</w:t>
            </w:r>
          </w:p>
        </w:tc>
      </w:tr>
      <w:tr>
        <w:trPr>
          <w:trHeight w:val="21"/>
        </w:trPr>
        <w:tc>
          <w:tcPr>
            <w:tcW w:w="3040" w:type="dxa"/>
            <w:vAlign w:val="bottom"/>
            <w:tcBorders>
              <w:left w:val="single" w:sz="8" w:color="3465B0"/>
              <w:right w:val="single" w:sz="8" w:color="93A1D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right w:val="single" w:sz="8" w:color="93A1D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right w:val="single" w:sz="8" w:color="93A1D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right w:val="single" w:sz="8" w:color="93A1D2"/>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right w:val="single" w:sz="8" w:color="93A1D2"/>
            </w:tcBorders>
          </w:tcPr>
          <w:p>
            <w:pPr>
              <w:spacing w:after="0" w:line="20" w:lineRule="exact"/>
              <w:rPr>
                <w:sz w:val="1"/>
                <w:szCs w:val="1"/>
                <w:color w:val="auto"/>
              </w:rPr>
            </w:pPr>
          </w:p>
        </w:tc>
        <w:tc>
          <w:tcPr>
            <w:tcW w:w="1120" w:type="dxa"/>
            <w:vAlign w:val="bottom"/>
            <w:tcBorders>
              <w:right w:val="single" w:sz="8" w:color="3465B0"/>
            </w:tcBorders>
          </w:tcPr>
          <w:p>
            <w:pPr>
              <w:spacing w:after="0" w:line="20" w:lineRule="exact"/>
              <w:rPr>
                <w:sz w:val="1"/>
                <w:szCs w:val="1"/>
                <w:color w:val="auto"/>
              </w:rPr>
            </w:pPr>
          </w:p>
        </w:tc>
      </w:tr>
      <w:tr>
        <w:trPr>
          <w:trHeight w:val="202"/>
        </w:trPr>
        <w:tc>
          <w:tcPr>
            <w:tcW w:w="304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6"/>
                <w:szCs w:val="16"/>
                <w:b w:val="1"/>
                <w:bCs w:val="1"/>
                <w:color w:val="auto"/>
              </w:rPr>
              <w:t>“Compensation Actually Paid” for</w:t>
            </w:r>
          </w:p>
        </w:tc>
        <w:tc>
          <w:tcPr>
            <w:tcW w:w="40" w:type="dxa"/>
            <w:vAlign w:val="bottom"/>
            <w:shd w:val="clear" w:color="auto" w:fill="CCCCCC"/>
          </w:tcPr>
          <w:p>
            <w:pPr>
              <w:spacing w:after="0"/>
              <w:rPr>
                <w:sz w:val="17"/>
                <w:szCs w:val="17"/>
                <w:color w:val="auto"/>
              </w:rPr>
            </w:pPr>
          </w:p>
        </w:tc>
        <w:tc>
          <w:tcPr>
            <w:tcW w:w="1080" w:type="dxa"/>
            <w:vAlign w:val="bottom"/>
            <w:tcBorders>
              <w:right w:val="single" w:sz="8" w:color="93A1D2"/>
            </w:tcBorders>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840" w:type="dxa"/>
            <w:vAlign w:val="bottom"/>
            <w:tcBorders>
              <w:right w:val="single" w:sz="8" w:color="93A1D2"/>
            </w:tcBorders>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840" w:type="dxa"/>
            <w:vAlign w:val="bottom"/>
            <w:tcBorders>
              <w:right w:val="single" w:sz="8" w:color="93A1D2"/>
            </w:tcBorders>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800" w:type="dxa"/>
            <w:vAlign w:val="bottom"/>
            <w:tcBorders>
              <w:right w:val="single" w:sz="8" w:color="93A1D2"/>
            </w:tcBorders>
            <w:shd w:val="clear" w:color="auto" w:fill="CCCCCC"/>
          </w:tcPr>
          <w:p>
            <w:pPr>
              <w:spacing w:after="0"/>
              <w:rPr>
                <w:sz w:val="17"/>
                <w:szCs w:val="17"/>
                <w:color w:val="auto"/>
              </w:rPr>
            </w:pPr>
          </w:p>
        </w:tc>
        <w:tc>
          <w:tcPr>
            <w:tcW w:w="1120" w:type="dxa"/>
            <w:vAlign w:val="bottom"/>
            <w:tcBorders>
              <w:right w:val="single" w:sz="8" w:color="3465B0"/>
            </w:tcBorders>
            <w:shd w:val="clear" w:color="auto" w:fill="CCCCCC"/>
          </w:tcPr>
          <w:p>
            <w:pPr>
              <w:spacing w:after="0"/>
              <w:rPr>
                <w:sz w:val="17"/>
                <w:szCs w:val="17"/>
                <w:color w:val="auto"/>
              </w:rPr>
            </w:pPr>
          </w:p>
        </w:tc>
      </w:tr>
      <w:tr>
        <w:trPr>
          <w:trHeight w:val="213"/>
        </w:trPr>
        <w:tc>
          <w:tcPr>
            <w:tcW w:w="3040" w:type="dxa"/>
            <w:vAlign w:val="bottom"/>
            <w:tcBorders>
              <w:left w:val="single" w:sz="8" w:color="3465B0"/>
              <w:bottom w:val="single" w:sz="8" w:color="3465B0"/>
              <w:right w:val="single" w:sz="8" w:color="93A1D2"/>
            </w:tcBorders>
            <w:shd w:val="clear" w:color="auto" w:fill="CCCCCC"/>
          </w:tcPr>
          <w:p>
            <w:pPr>
              <w:ind w:left="280"/>
              <w:spacing w:after="0"/>
              <w:rPr>
                <w:sz w:val="20"/>
                <w:szCs w:val="20"/>
                <w:color w:val="auto"/>
              </w:rPr>
            </w:pPr>
            <w:r>
              <w:rPr>
                <w:rFonts w:ascii="Arial" w:cs="Arial" w:eastAsia="Arial" w:hAnsi="Arial"/>
                <w:sz w:val="16"/>
                <w:szCs w:val="16"/>
                <w:b w:val="1"/>
                <w:bCs w:val="1"/>
                <w:color w:val="auto"/>
              </w:rPr>
              <w:t>the Fiscal Year</w:t>
            </w:r>
          </w:p>
        </w:tc>
        <w:tc>
          <w:tcPr>
            <w:tcW w:w="40" w:type="dxa"/>
            <w:vAlign w:val="bottom"/>
            <w:tcBorders>
              <w:bottom w:val="single" w:sz="8" w:color="3465B0"/>
            </w:tcBorders>
            <w:shd w:val="clear" w:color="auto" w:fill="CCCCCC"/>
          </w:tcPr>
          <w:p>
            <w:pPr>
              <w:spacing w:after="0"/>
              <w:rPr>
                <w:sz w:val="18"/>
                <w:szCs w:val="18"/>
                <w:color w:val="auto"/>
              </w:rPr>
            </w:pPr>
          </w:p>
        </w:tc>
        <w:tc>
          <w:tcPr>
            <w:tcW w:w="1080" w:type="dxa"/>
            <w:vAlign w:val="bottom"/>
            <w:tcBorders>
              <w:bottom w:val="single" w:sz="8" w:color="3465B0"/>
              <w:right w:val="single" w:sz="8" w:color="93A1D2"/>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$2,815,883</w:t>
            </w:r>
          </w:p>
        </w:tc>
        <w:tc>
          <w:tcPr>
            <w:tcW w:w="36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3465B0"/>
              <w:right w:val="single" w:sz="8" w:color="93A1D2"/>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992,290</w:t>
            </w:r>
          </w:p>
        </w:tc>
        <w:tc>
          <w:tcPr>
            <w:tcW w:w="36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3465B0"/>
              <w:right w:val="single" w:sz="8" w:color="93A1D2"/>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1,578,640</w:t>
            </w:r>
          </w:p>
        </w:tc>
        <w:tc>
          <w:tcPr>
            <w:tcW w:w="32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3465B0"/>
              <w:right w:val="single" w:sz="8" w:color="93A1D2"/>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184,561</w:t>
            </w:r>
          </w:p>
        </w:tc>
        <w:tc>
          <w:tcPr>
            <w:tcW w:w="1120" w:type="dxa"/>
            <w:vAlign w:val="bottom"/>
            <w:tcBorders>
              <w:bottom w:val="single" w:sz="8" w:color="3465B0"/>
              <w:right w:val="single" w:sz="8" w:color="3465B0"/>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$1,644,163</w:t>
            </w:r>
          </w:p>
        </w:tc>
      </w:tr>
    </w:tbl>
    <w:p>
      <w:pPr>
        <w:spacing w:after="0" w:line="150" w:lineRule="exact"/>
        <w:rPr>
          <w:sz w:val="20"/>
          <w:szCs w:val="20"/>
          <w:color w:val="auto"/>
        </w:rPr>
      </w:pPr>
    </w:p>
    <w:p>
      <w:pPr>
        <w:jc w:val="both"/>
        <w:ind w:left="1280" w:right="960" w:hanging="348"/>
        <w:spacing w:after="0" w:line="252" w:lineRule="auto"/>
        <w:tabs>
          <w:tab w:leader="none" w:pos="1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Company and Peer Group Total Shareholder Return for each year represents what the cumulative value of $100 would be, including the reinvestment of dividends, if such amount were invested on December 31, 2020. The peer group used for this purpose is the Nasdaq US Benchmark Retail Index, which is the same peer group as reflected in the Performance Graph included in our 2025 10-K pursuant to Item 201(e) of Regulation S-K. The numbers in this column for Peer Group Total Shareholder Return have been revised from the numbers previously reported due to an error in the calculation model used by the Company.</w:t>
      </w:r>
    </w:p>
    <w:p>
      <w:pPr>
        <w:spacing w:after="0" w:line="72" w:lineRule="exact"/>
        <w:rPr>
          <w:rFonts w:ascii="Arial" w:cs="Arial" w:eastAsia="Arial" w:hAnsi="Arial"/>
          <w:sz w:val="14"/>
          <w:szCs w:val="14"/>
          <w:color w:val="auto"/>
        </w:rPr>
      </w:pPr>
    </w:p>
    <w:p>
      <w:pPr>
        <w:jc w:val="both"/>
        <w:ind w:left="1280" w:right="960" w:hanging="348"/>
        <w:spacing w:after="0" w:line="256" w:lineRule="auto"/>
        <w:tabs>
          <w:tab w:leader="none" w:pos="1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During fiscal 2024, the Company ceased its Walmart and AC Lens operations, and our operations related to Walmart. As of June 29, 2024, our former Legacy reportable segment, as well as the majority of our AC Lens operations, met the requirements to be classified as discontinued operations. Accordingly, we classified the results of these operations as discontinued operations, and Net Income and Adjusted Operating Income included in this table for fiscal 2024 and 2025 relate to continuing operations.</w:t>
      </w:r>
    </w:p>
    <w:p>
      <w:pPr>
        <w:spacing w:after="0" w:line="69" w:lineRule="exact"/>
        <w:rPr>
          <w:rFonts w:ascii="Arial" w:cs="Arial" w:eastAsia="Arial" w:hAnsi="Arial"/>
          <w:sz w:val="14"/>
          <w:szCs w:val="14"/>
          <w:color w:val="auto"/>
        </w:rPr>
      </w:pPr>
    </w:p>
    <w:p>
      <w:pPr>
        <w:jc w:val="both"/>
        <w:ind w:left="1280" w:right="940" w:hanging="348"/>
        <w:spacing w:after="0" w:line="247" w:lineRule="auto"/>
        <w:tabs>
          <w:tab w:leader="none" w:pos="1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Adjusted Operating Income is a non-GAAP measure that we define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ERP and CRM implementation expenses and other expenses. For an explanation of our non-GAAP financial measures and a reconciliation of Adjusted Operating Income to the most directly comparable GAAP measures, see Appendix A to this proxy statement. We chose Adjusted Operating Income as our company selected measure because it was the most important financial performance measure used to link compensation actually paid to our PEO and Non-PEO NEOs to Company performance for the most recently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160655</wp:posOffset>
            </wp:positionV>
            <wp:extent cx="205740" cy="2057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63</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Financial Performance Measures</w:t>
      </w:r>
    </w:p>
    <w:p>
      <w:pPr>
        <w:spacing w:after="0" w:line="13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table below lists our most important performance measures used to link “compensation actually paid” for our NEOs to Company performance during the fiscal year ending January 3, 2026. Adjusted Operating Income and ROIC were the performance metrics for our 2022 PSUs for which the performance period ended in 2024, and are also the performance metrics for our 2023, 2024 and 2025 PSUs, with Relative Total Shareholder Return as an additional metric in our 2025 PSUs. Annual Incentive Adjusted Operating Income and Adjusted Comparable Store Sales Growth are the performance metrics for our STIP awards. The performance measures included in this table are not ranked by relative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84455</wp:posOffset>
            </wp:positionV>
            <wp:extent cx="3295650" cy="1041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95650" cy="1041400"/>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Most Important Financial Measures</w:t>
      </w:r>
    </w:p>
    <w:p>
      <w:pPr>
        <w:spacing w:after="0" w:line="6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Adjusted Operating Income </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Annual Incentive Adjusted Operating Income</w:t>
      </w:r>
    </w:p>
    <w:p>
      <w:pPr>
        <w:ind w:left="2920"/>
        <w:spacing w:after="0" w:line="234" w:lineRule="auto"/>
        <w:rPr>
          <w:sz w:val="20"/>
          <w:szCs w:val="20"/>
          <w:color w:val="auto"/>
        </w:rPr>
      </w:pPr>
      <w:r>
        <w:rPr>
          <w:rFonts w:ascii="Arial" w:cs="Arial" w:eastAsia="Arial" w:hAnsi="Arial"/>
          <w:sz w:val="18"/>
          <w:szCs w:val="18"/>
          <w:color w:val="auto"/>
        </w:rPr>
        <w:t>Adjusted Comparable Store Sales Growth</w:t>
      </w:r>
    </w:p>
    <w:p>
      <w:pPr>
        <w:ind w:left="3720"/>
        <w:spacing w:after="0" w:line="235" w:lineRule="auto"/>
        <w:rPr>
          <w:sz w:val="20"/>
          <w:szCs w:val="20"/>
          <w:color w:val="auto"/>
        </w:rPr>
      </w:pPr>
      <w:r>
        <w:rPr>
          <w:rFonts w:ascii="Arial" w:cs="Arial" w:eastAsia="Arial" w:hAnsi="Arial"/>
          <w:sz w:val="18"/>
          <w:szCs w:val="18"/>
          <w:color w:val="auto"/>
        </w:rPr>
        <w:t>Adjusted Diluted EPS</w:t>
      </w:r>
    </w:p>
    <w:p>
      <w:pPr>
        <w:ind w:left="4120"/>
        <w:spacing w:after="0" w:line="235" w:lineRule="auto"/>
        <w:rPr>
          <w:sz w:val="20"/>
          <w:szCs w:val="20"/>
          <w:color w:val="auto"/>
        </w:rPr>
      </w:pPr>
      <w:r>
        <w:rPr>
          <w:rFonts w:ascii="Arial" w:cs="Arial" w:eastAsia="Arial" w:hAnsi="Arial"/>
          <w:sz w:val="18"/>
          <w:szCs w:val="18"/>
          <w:color w:val="auto"/>
        </w:rPr>
        <w:t>Share Price</w:t>
      </w:r>
    </w:p>
    <w:p>
      <w:pPr>
        <w:ind w:left="4360"/>
        <w:spacing w:after="0"/>
        <w:rPr>
          <w:sz w:val="20"/>
          <w:szCs w:val="20"/>
          <w:color w:val="auto"/>
        </w:rPr>
      </w:pPr>
      <w:r>
        <w:rPr>
          <w:rFonts w:ascii="Arial" w:cs="Arial" w:eastAsia="Arial" w:hAnsi="Arial"/>
          <w:sz w:val="18"/>
          <w:szCs w:val="18"/>
          <w:color w:val="auto"/>
        </w:rPr>
        <w:t>ROIC</w:t>
      </w:r>
    </w:p>
    <w:p>
      <w:pPr>
        <w:spacing w:after="0" w:line="138" w:lineRule="exact"/>
        <w:rPr>
          <w:sz w:val="20"/>
          <w:szCs w:val="20"/>
          <w:color w:val="auto"/>
        </w:rPr>
      </w:pPr>
    </w:p>
    <w:p>
      <w:pPr>
        <w:ind w:left="360" w:hanging="346"/>
        <w:spacing w:after="0"/>
        <w:tabs>
          <w:tab w:leader="none" w:pos="360" w:val="left"/>
        </w:tabs>
        <w:numPr>
          <w:ilvl w:val="0"/>
          <w:numId w:val="81"/>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71" w:name="page72"/>
    <w:bookmarkEnd w:id="71"/>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Relationship Between Pay and Financial Performance</w:t>
      </w:r>
    </w:p>
    <w:p>
      <w:pPr>
        <w:spacing w:after="0" w:line="139"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The charts below describe the relationship between “compensation actually paid” to our PEO and Non-PEO NEOs, as calculated above, and our financial and stock performance. As indicated in the charts, compensation actually paid is directionally aligned with the Company’s cumulative TSR, Net Income and Adjusted Operating Income. During fiscal 2024, the Company ceased its Walmart and AC Lens operations, and our operations related to Walmart. As of June 29, 2024, our former Legacy reportable segment, as well as the majority of our AC Lens operations, met the requirements to be classified as discontinued operations. Accordingly, we classified the results of these operations as discontinued operations, and Net Income and Adjusted Operating Income included in the charts below for fiscal 2024 and 2025 relate to continuing operations.</w:t>
      </w:r>
    </w:p>
    <w:p>
      <w:pPr>
        <w:spacing w:after="0" w:line="19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465B0"/>
        </w:rPr>
        <w:t>Compensation Actually Paid and Cumulative 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189230</wp:posOffset>
            </wp:positionV>
            <wp:extent cx="4500245" cy="26060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5002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  </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465B0"/>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197485</wp:posOffset>
            </wp:positionV>
            <wp:extent cx="4500245" cy="25628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50024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77470</wp:posOffset>
            </wp:positionV>
            <wp:extent cx="205740" cy="2057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65</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3465B0"/>
        </w:rPr>
        <w:t>Compensation Actually Paid and 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196215</wp:posOffset>
            </wp:positionV>
            <wp:extent cx="4500245" cy="26403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50024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spacing w:after="0" w:line="88" w:lineRule="exact"/>
        <w:rPr>
          <w:sz w:val="20"/>
          <w:szCs w:val="20"/>
          <w:color w:val="auto"/>
        </w:rPr>
      </w:pPr>
    </w:p>
    <w:p>
      <w:pPr>
        <w:ind w:left="360" w:hanging="346"/>
        <w:spacing w:after="0"/>
        <w:tabs>
          <w:tab w:leader="none" w:pos="360" w:val="left"/>
        </w:tabs>
        <w:numPr>
          <w:ilvl w:val="0"/>
          <w:numId w:val="82"/>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bookmarkStart w:id="73" w:name="page74"/>
    <w:bookmarkEnd w:id="73"/>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FFFFFF"/>
        </w:rPr>
        <w:t>OWNERSHIP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231" w:lineRule="exact"/>
        <w:rPr>
          <w:sz w:val="20"/>
          <w:szCs w:val="20"/>
          <w:color w:val="auto"/>
        </w:rPr>
      </w:pPr>
    </w:p>
    <w:p>
      <w:pPr>
        <w:ind w:left="940"/>
        <w:spacing w:after="0"/>
        <w:rPr>
          <w:sz w:val="20"/>
          <w:szCs w:val="20"/>
          <w:color w:val="auto"/>
        </w:rPr>
      </w:pPr>
      <w:r>
        <w:rPr>
          <w:rFonts w:ascii="Arial" w:cs="Arial" w:eastAsia="Arial" w:hAnsi="Arial"/>
          <w:sz w:val="40"/>
          <w:szCs w:val="40"/>
          <w:b w:val="1"/>
          <w:bCs w:val="1"/>
          <w:color w:val="3465B0"/>
        </w:rPr>
        <w:t>Ownership of Our Securities</w:t>
      </w:r>
    </w:p>
    <w:p>
      <w:pPr>
        <w:spacing w:after="0" w:line="221" w:lineRule="exact"/>
        <w:rPr>
          <w:sz w:val="20"/>
          <w:szCs w:val="20"/>
          <w:color w:val="auto"/>
        </w:rPr>
      </w:pPr>
    </w:p>
    <w:p>
      <w:pPr>
        <w:ind w:left="940"/>
        <w:spacing w:after="0"/>
        <w:rPr>
          <w:sz w:val="20"/>
          <w:szCs w:val="20"/>
          <w:color w:val="auto"/>
        </w:rPr>
      </w:pPr>
      <w:r>
        <w:rPr>
          <w:rFonts w:ascii="Arial" w:cs="Arial" w:eastAsia="Arial" w:hAnsi="Arial"/>
          <w:sz w:val="32"/>
          <w:szCs w:val="32"/>
          <w:color w:val="auto"/>
        </w:rPr>
        <w:t>Beneficial Ownership of National Vision Common Stock</w:t>
      </w:r>
    </w:p>
    <w:p>
      <w:pPr>
        <w:spacing w:after="0" w:line="154"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1, 2026, by each current director and director nominee, each NEO, all directors and executive officers as a group, and each individual or entity known by us to beneficially own more than 5% of our outstanding common stock based on our review of the reports regarding ownership filed with the Securities and Exchange Commission.</w:t>
      </w:r>
    </w:p>
    <w:p>
      <w:pPr>
        <w:spacing w:after="0" w:line="102" w:lineRule="exact"/>
        <w:rPr>
          <w:sz w:val="20"/>
          <w:szCs w:val="20"/>
          <w:color w:val="auto"/>
        </w:rPr>
      </w:pPr>
    </w:p>
    <w:tbl>
      <w:tblPr>
        <w:tblLayout w:type="fixed"/>
        <w:tblInd w:w="930" w:type="dxa"/>
        <w:tblCellMar>
          <w:top w:w="0" w:type="dxa"/>
          <w:left w:w="0" w:type="dxa"/>
          <w:bottom w:w="0" w:type="dxa"/>
          <w:right w:w="0" w:type="dxa"/>
        </w:tblCellMar>
      </w:tblPr>
      <w:tr>
        <w:trPr>
          <w:trHeight w:val="308"/>
        </w:trPr>
        <w:tc>
          <w:tcPr>
            <w:tcW w:w="612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140" w:type="dxa"/>
            <w:vAlign w:val="bottom"/>
            <w:tcBorders>
              <w:top w:val="single" w:sz="8" w:color="3465B0"/>
            </w:tcBorders>
            <w:shd w:val="clear" w:color="auto" w:fill="3465B0"/>
          </w:tcPr>
          <w:p>
            <w:pPr>
              <w:spacing w:after="0"/>
              <w:rPr>
                <w:sz w:val="24"/>
                <w:szCs w:val="24"/>
                <w:color w:val="auto"/>
              </w:rPr>
            </w:pPr>
          </w:p>
        </w:tc>
        <w:tc>
          <w:tcPr>
            <w:tcW w:w="1520" w:type="dxa"/>
            <w:vAlign w:val="bottom"/>
            <w:tcBorders>
              <w:top w:val="single" w:sz="8" w:color="3465B0"/>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Shares of</w:t>
            </w:r>
          </w:p>
        </w:tc>
        <w:tc>
          <w:tcPr>
            <w:tcW w:w="1380" w:type="dxa"/>
            <w:vAlign w:val="bottom"/>
            <w:tcBorders>
              <w:top w:val="single" w:sz="8" w:color="3465B0"/>
              <w:right w:val="single" w:sz="8" w:color="3465B0"/>
            </w:tcBorders>
            <w:shd w:val="clear" w:color="auto" w:fill="3465B0"/>
          </w:tcPr>
          <w:p>
            <w:pPr>
              <w:spacing w:after="0"/>
              <w:rPr>
                <w:sz w:val="24"/>
                <w:szCs w:val="24"/>
                <w:color w:val="auto"/>
              </w:rPr>
            </w:pPr>
          </w:p>
        </w:tc>
      </w:tr>
      <w:tr>
        <w:trPr>
          <w:trHeight w:val="203"/>
        </w:trPr>
        <w:tc>
          <w:tcPr>
            <w:tcW w:w="6120" w:type="dxa"/>
            <w:vAlign w:val="bottom"/>
            <w:tcBorders>
              <w:left w:val="single" w:sz="8" w:color="3465B0"/>
              <w:right w:val="single" w:sz="8" w:color="93A1D2"/>
            </w:tcBorders>
            <w:shd w:val="clear" w:color="auto" w:fill="3465B0"/>
          </w:tcPr>
          <w:p>
            <w:pPr>
              <w:spacing w:after="0"/>
              <w:rPr>
                <w:sz w:val="17"/>
                <w:szCs w:val="17"/>
                <w:color w:val="auto"/>
              </w:rPr>
            </w:pPr>
          </w:p>
        </w:tc>
        <w:tc>
          <w:tcPr>
            <w:tcW w:w="140" w:type="dxa"/>
            <w:vAlign w:val="bottom"/>
            <w:shd w:val="clear" w:color="auto" w:fill="3465B0"/>
          </w:tcPr>
          <w:p>
            <w:pPr>
              <w:spacing w:after="0"/>
              <w:rPr>
                <w:sz w:val="17"/>
                <w:szCs w:val="17"/>
                <w:color w:val="auto"/>
              </w:rPr>
            </w:pPr>
          </w:p>
        </w:tc>
        <w:tc>
          <w:tcPr>
            <w:tcW w:w="1520" w:type="dxa"/>
            <w:vAlign w:val="bottom"/>
            <w:tcBorders>
              <w:right w:val="single" w:sz="8" w:color="93A1D2"/>
            </w:tcBorders>
            <w:shd w:val="clear" w:color="auto" w:fill="3465B0"/>
          </w:tcPr>
          <w:p>
            <w:pPr>
              <w:spacing w:after="0" w:line="202" w:lineRule="exact"/>
              <w:rPr>
                <w:sz w:val="20"/>
                <w:szCs w:val="20"/>
                <w:color w:val="auto"/>
              </w:rPr>
            </w:pPr>
            <w:r>
              <w:rPr>
                <w:rFonts w:ascii="Arial" w:cs="Arial" w:eastAsia="Arial" w:hAnsi="Arial"/>
                <w:sz w:val="18"/>
                <w:szCs w:val="18"/>
                <w:b w:val="1"/>
                <w:bCs w:val="1"/>
                <w:color w:val="FFFFFF"/>
              </w:rPr>
              <w:t>Common Stock</w:t>
            </w:r>
          </w:p>
        </w:tc>
        <w:tc>
          <w:tcPr>
            <w:tcW w:w="1380" w:type="dxa"/>
            <w:vAlign w:val="bottom"/>
            <w:tcBorders>
              <w:right w:val="single" w:sz="8" w:color="3465B0"/>
            </w:tcBorders>
            <w:shd w:val="clear" w:color="auto" w:fill="3465B0"/>
          </w:tcPr>
          <w:p>
            <w:pPr>
              <w:spacing w:after="0"/>
              <w:rPr>
                <w:sz w:val="17"/>
                <w:szCs w:val="17"/>
                <w:color w:val="auto"/>
              </w:rPr>
            </w:pPr>
          </w:p>
        </w:tc>
      </w:tr>
      <w:tr>
        <w:trPr>
          <w:trHeight w:val="207"/>
        </w:trPr>
        <w:tc>
          <w:tcPr>
            <w:tcW w:w="6120" w:type="dxa"/>
            <w:vAlign w:val="bottom"/>
            <w:tcBorders>
              <w:left w:val="single" w:sz="8" w:color="3465B0"/>
              <w:right w:val="single" w:sz="8" w:color="93A1D2"/>
            </w:tcBorders>
            <w:shd w:val="clear" w:color="auto" w:fill="3465B0"/>
          </w:tcPr>
          <w:p>
            <w:pPr>
              <w:spacing w:after="0"/>
              <w:rPr>
                <w:sz w:val="17"/>
                <w:szCs w:val="17"/>
                <w:color w:val="auto"/>
              </w:rPr>
            </w:pPr>
          </w:p>
        </w:tc>
        <w:tc>
          <w:tcPr>
            <w:tcW w:w="140" w:type="dxa"/>
            <w:vAlign w:val="bottom"/>
            <w:shd w:val="clear" w:color="auto" w:fill="3465B0"/>
          </w:tcPr>
          <w:p>
            <w:pPr>
              <w:spacing w:after="0"/>
              <w:rPr>
                <w:sz w:val="17"/>
                <w:szCs w:val="17"/>
                <w:color w:val="auto"/>
              </w:rPr>
            </w:pPr>
          </w:p>
        </w:tc>
        <w:tc>
          <w:tcPr>
            <w:tcW w:w="152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Beneficially</w:t>
            </w:r>
          </w:p>
        </w:tc>
        <w:tc>
          <w:tcPr>
            <w:tcW w:w="1380" w:type="dxa"/>
            <w:vAlign w:val="bottom"/>
            <w:tcBorders>
              <w:right w:val="single" w:sz="8" w:color="3465B0"/>
            </w:tcBorders>
            <w:shd w:val="clear" w:color="auto" w:fill="3465B0"/>
          </w:tcPr>
          <w:p>
            <w:pPr>
              <w:ind w:left="140"/>
              <w:spacing w:after="0"/>
              <w:rPr>
                <w:sz w:val="20"/>
                <w:szCs w:val="20"/>
                <w:color w:val="auto"/>
              </w:rPr>
            </w:pPr>
            <w:r>
              <w:rPr>
                <w:rFonts w:ascii="Arial" w:cs="Arial" w:eastAsia="Arial" w:hAnsi="Arial"/>
                <w:sz w:val="18"/>
                <w:szCs w:val="18"/>
                <w:b w:val="1"/>
                <w:bCs w:val="1"/>
                <w:color w:val="FFFFFF"/>
              </w:rPr>
              <w:t>Percent of</w:t>
            </w:r>
          </w:p>
        </w:tc>
      </w:tr>
      <w:tr>
        <w:trPr>
          <w:trHeight w:val="298"/>
        </w:trPr>
        <w:tc>
          <w:tcPr>
            <w:tcW w:w="6120" w:type="dxa"/>
            <w:vAlign w:val="bottom"/>
            <w:tcBorders>
              <w:left w:val="single" w:sz="8" w:color="3465B0"/>
              <w:right w:val="single" w:sz="8" w:color="93A1D2"/>
            </w:tcBorders>
            <w:shd w:val="clear" w:color="auto" w:fill="3465B0"/>
          </w:tcPr>
          <w:p>
            <w:pPr>
              <w:ind w:left="100"/>
              <w:spacing w:after="0" w:line="298" w:lineRule="exact"/>
              <w:rPr>
                <w:sz w:val="20"/>
                <w:szCs w:val="20"/>
                <w:color w:val="auto"/>
              </w:rPr>
            </w:pPr>
            <w:r>
              <w:rPr>
                <w:rFonts w:ascii="Arial" w:cs="Arial" w:eastAsia="Arial" w:hAnsi="Arial"/>
                <w:sz w:val="18"/>
                <w:szCs w:val="18"/>
                <w:b w:val="1"/>
                <w:bCs w:val="1"/>
                <w:color w:val="FFFFFF"/>
              </w:rPr>
              <w:t>Name of Beneficial Owner</w:t>
            </w:r>
            <w:r>
              <w:rPr>
                <w:rFonts w:ascii="Arial" w:cs="Arial" w:eastAsia="Arial" w:hAnsi="Arial"/>
                <w:sz w:val="29"/>
                <w:szCs w:val="29"/>
                <w:b w:val="1"/>
                <w:bCs w:val="1"/>
                <w:color w:val="FFFFFF"/>
                <w:vertAlign w:val="superscript"/>
              </w:rPr>
              <w:t>(1)</w:t>
            </w:r>
          </w:p>
        </w:tc>
        <w:tc>
          <w:tcPr>
            <w:tcW w:w="140" w:type="dxa"/>
            <w:vAlign w:val="bottom"/>
            <w:shd w:val="clear" w:color="auto" w:fill="3465B0"/>
          </w:tcPr>
          <w:p>
            <w:pPr>
              <w:spacing w:after="0"/>
              <w:rPr>
                <w:sz w:val="24"/>
                <w:szCs w:val="24"/>
                <w:color w:val="auto"/>
              </w:rPr>
            </w:pPr>
          </w:p>
        </w:tc>
        <w:tc>
          <w:tcPr>
            <w:tcW w:w="1520" w:type="dxa"/>
            <w:vAlign w:val="bottom"/>
            <w:tcBorders>
              <w:right w:val="single" w:sz="8" w:color="93A1D2"/>
            </w:tcBorders>
            <w:shd w:val="clear" w:color="auto" w:fill="3465B0"/>
          </w:tcPr>
          <w:p>
            <w:pPr>
              <w:spacing w:after="0" w:line="298" w:lineRule="exact"/>
              <w:rPr>
                <w:sz w:val="20"/>
                <w:szCs w:val="20"/>
                <w:color w:val="auto"/>
              </w:rPr>
            </w:pPr>
            <w:r>
              <w:rPr>
                <w:rFonts w:ascii="Arial" w:cs="Arial" w:eastAsia="Arial" w:hAnsi="Arial"/>
                <w:sz w:val="18"/>
                <w:szCs w:val="18"/>
                <w:b w:val="1"/>
                <w:bCs w:val="1"/>
                <w:color w:val="FFFFFF"/>
              </w:rPr>
              <w:t>Owned</w:t>
            </w:r>
            <w:r>
              <w:rPr>
                <w:rFonts w:ascii="Arial" w:cs="Arial" w:eastAsia="Arial" w:hAnsi="Arial"/>
                <w:sz w:val="29"/>
                <w:szCs w:val="29"/>
                <w:b w:val="1"/>
                <w:bCs w:val="1"/>
                <w:color w:val="FFFFFF"/>
                <w:vertAlign w:val="superscript"/>
              </w:rPr>
              <w:t>(2)</w:t>
            </w:r>
          </w:p>
        </w:tc>
        <w:tc>
          <w:tcPr>
            <w:tcW w:w="1380" w:type="dxa"/>
            <w:vAlign w:val="bottom"/>
            <w:tcBorders>
              <w:right w:val="single" w:sz="8" w:color="3465B0"/>
            </w:tcBorders>
            <w:shd w:val="clear" w:color="auto" w:fill="3465B0"/>
          </w:tcPr>
          <w:p>
            <w:pPr>
              <w:ind w:left="140"/>
              <w:spacing w:after="0" w:line="298" w:lineRule="exact"/>
              <w:rPr>
                <w:sz w:val="20"/>
                <w:szCs w:val="20"/>
                <w:color w:val="auto"/>
              </w:rPr>
            </w:pPr>
            <w:r>
              <w:rPr>
                <w:rFonts w:ascii="Arial" w:cs="Arial" w:eastAsia="Arial" w:hAnsi="Arial"/>
                <w:sz w:val="18"/>
                <w:szCs w:val="18"/>
                <w:b w:val="1"/>
                <w:bCs w:val="1"/>
                <w:color w:val="FFFFFF"/>
              </w:rPr>
              <w:t>Class</w:t>
            </w:r>
            <w:r>
              <w:rPr>
                <w:rFonts w:ascii="Arial" w:cs="Arial" w:eastAsia="Arial" w:hAnsi="Arial"/>
                <w:sz w:val="29"/>
                <w:szCs w:val="29"/>
                <w:b w:val="1"/>
                <w:bCs w:val="1"/>
                <w:color w:val="FFFFFF"/>
                <w:vertAlign w:val="superscript"/>
              </w:rPr>
              <w:t>(3)</w:t>
            </w:r>
          </w:p>
        </w:tc>
      </w:tr>
      <w:tr>
        <w:trPr>
          <w:trHeight w:val="270"/>
        </w:trPr>
        <w:tc>
          <w:tcPr>
            <w:tcW w:w="61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b w:val="1"/>
                <w:bCs w:val="1"/>
                <w:color w:val="auto"/>
              </w:rPr>
              <w:t>Greater than 5% Stockholders:</w:t>
            </w:r>
          </w:p>
        </w:tc>
        <w:tc>
          <w:tcPr>
            <w:tcW w:w="140" w:type="dxa"/>
            <w:vAlign w:val="bottom"/>
          </w:tcPr>
          <w:p>
            <w:pPr>
              <w:spacing w:after="0"/>
              <w:rPr>
                <w:sz w:val="23"/>
                <w:szCs w:val="23"/>
                <w:color w:val="auto"/>
              </w:rPr>
            </w:pPr>
          </w:p>
        </w:tc>
        <w:tc>
          <w:tcPr>
            <w:tcW w:w="1520" w:type="dxa"/>
            <w:vAlign w:val="bottom"/>
            <w:tcBorders>
              <w:right w:val="single" w:sz="8" w:color="93A1D2"/>
            </w:tcBorders>
          </w:tcPr>
          <w:p>
            <w:pPr>
              <w:spacing w:after="0"/>
              <w:rPr>
                <w:sz w:val="23"/>
                <w:szCs w:val="23"/>
                <w:color w:val="auto"/>
              </w:rPr>
            </w:pPr>
          </w:p>
        </w:tc>
        <w:tc>
          <w:tcPr>
            <w:tcW w:w="1380" w:type="dxa"/>
            <w:vAlign w:val="bottom"/>
            <w:tcBorders>
              <w:right w:val="single" w:sz="8" w:color="3465B0"/>
            </w:tcBorders>
          </w:tcPr>
          <w:p>
            <w:pPr>
              <w:spacing w:after="0"/>
              <w:rPr>
                <w:sz w:val="23"/>
                <w:szCs w:val="23"/>
                <w:color w:val="auto"/>
              </w:rPr>
            </w:pPr>
          </w:p>
        </w:tc>
      </w:tr>
      <w:tr>
        <w:trPr>
          <w:trHeight w:val="251"/>
        </w:trPr>
        <w:tc>
          <w:tcPr>
            <w:tcW w:w="6120" w:type="dxa"/>
            <w:vAlign w:val="bottom"/>
            <w:tcBorders>
              <w:left w:val="single" w:sz="8" w:color="3465B0"/>
              <w:right w:val="single" w:sz="8" w:color="93A1D2"/>
            </w:tcBorders>
            <w:shd w:val="clear" w:color="auto" w:fill="CCCCCC"/>
          </w:tcPr>
          <w:p>
            <w:pPr>
              <w:ind w:left="100"/>
              <w:spacing w:after="0" w:line="251" w:lineRule="exact"/>
              <w:rPr>
                <w:sz w:val="20"/>
                <w:szCs w:val="20"/>
                <w:color w:val="auto"/>
              </w:rPr>
            </w:pPr>
            <w:r>
              <w:rPr>
                <w:rFonts w:ascii="Arial" w:cs="Arial" w:eastAsia="Arial" w:hAnsi="Arial"/>
                <w:sz w:val="18"/>
                <w:szCs w:val="18"/>
                <w:b w:val="1"/>
                <w:bCs w:val="1"/>
                <w:color w:val="auto"/>
              </w:rPr>
              <w:t>BlackRock, Inc.</w:t>
            </w:r>
            <w:r>
              <w:rPr>
                <w:rFonts w:ascii="Arial" w:cs="Arial" w:eastAsia="Arial" w:hAnsi="Arial"/>
                <w:sz w:val="29"/>
                <w:szCs w:val="29"/>
                <w:b w:val="1"/>
                <w:bCs w:val="1"/>
                <w:color w:val="auto"/>
                <w:vertAlign w:val="superscript"/>
              </w:rPr>
              <w:t>(4)</w:t>
            </w:r>
          </w:p>
        </w:tc>
        <w:tc>
          <w:tcPr>
            <w:tcW w:w="140" w:type="dxa"/>
            <w:vAlign w:val="bottom"/>
            <w:shd w:val="clear" w:color="auto" w:fill="CCCCCC"/>
          </w:tcPr>
          <w:p>
            <w:pPr>
              <w:spacing w:after="0"/>
              <w:rPr>
                <w:sz w:val="21"/>
                <w:szCs w:val="21"/>
                <w:color w:val="auto"/>
              </w:rPr>
            </w:pPr>
          </w:p>
        </w:tc>
        <w:tc>
          <w:tcPr>
            <w:tcW w:w="1520" w:type="dxa"/>
            <w:vAlign w:val="bottom"/>
            <w:tcBorders>
              <w:right w:val="single" w:sz="8" w:color="93A1D2"/>
            </w:tcBorders>
            <w:shd w:val="clear" w:color="auto" w:fill="CCCCCC"/>
          </w:tcPr>
          <w:p>
            <w:pPr>
              <w:spacing w:after="0"/>
              <w:rPr>
                <w:sz w:val="21"/>
                <w:szCs w:val="21"/>
                <w:color w:val="auto"/>
              </w:rPr>
            </w:pPr>
          </w:p>
        </w:tc>
        <w:tc>
          <w:tcPr>
            <w:tcW w:w="1380" w:type="dxa"/>
            <w:vAlign w:val="bottom"/>
            <w:tcBorders>
              <w:right w:val="single" w:sz="8" w:color="3465B0"/>
            </w:tcBorders>
            <w:shd w:val="clear" w:color="auto" w:fill="CCCCCC"/>
          </w:tcPr>
          <w:p>
            <w:pPr>
              <w:spacing w:after="0"/>
              <w:rPr>
                <w:sz w:val="21"/>
                <w:szCs w:val="21"/>
                <w:color w:val="auto"/>
              </w:rPr>
            </w:pPr>
          </w:p>
        </w:tc>
      </w:tr>
      <w:tr>
        <w:trPr>
          <w:trHeight w:val="203"/>
        </w:trPr>
        <w:tc>
          <w:tcPr>
            <w:tcW w:w="6120" w:type="dxa"/>
            <w:vAlign w:val="bottom"/>
            <w:tcBorders>
              <w:left w:val="single" w:sz="8" w:color="3465B0"/>
              <w:right w:val="single" w:sz="8" w:color="93A1D2"/>
            </w:tcBorders>
            <w:shd w:val="clear" w:color="auto" w:fill="CCCCCC"/>
          </w:tcPr>
          <w:p>
            <w:pPr>
              <w:ind w:left="280"/>
              <w:spacing w:after="0" w:line="202" w:lineRule="exact"/>
              <w:rPr>
                <w:sz w:val="20"/>
                <w:szCs w:val="20"/>
                <w:color w:val="auto"/>
              </w:rPr>
            </w:pPr>
            <w:r>
              <w:rPr>
                <w:rFonts w:ascii="Arial" w:cs="Arial" w:eastAsia="Arial" w:hAnsi="Arial"/>
                <w:sz w:val="18"/>
                <w:szCs w:val="18"/>
                <w:color w:val="auto"/>
              </w:rPr>
              <w:t>50 Hudson Yards</w:t>
            </w:r>
          </w:p>
        </w:tc>
        <w:tc>
          <w:tcPr>
            <w:tcW w:w="140" w:type="dxa"/>
            <w:vAlign w:val="bottom"/>
            <w:shd w:val="clear" w:color="auto" w:fill="CCCCCC"/>
          </w:tcPr>
          <w:p>
            <w:pPr>
              <w:spacing w:after="0"/>
              <w:rPr>
                <w:sz w:val="17"/>
                <w:szCs w:val="17"/>
                <w:color w:val="auto"/>
              </w:rPr>
            </w:pPr>
          </w:p>
        </w:tc>
        <w:tc>
          <w:tcPr>
            <w:tcW w:w="1520" w:type="dxa"/>
            <w:vAlign w:val="bottom"/>
            <w:tcBorders>
              <w:right w:val="single" w:sz="8" w:color="93A1D2"/>
            </w:tcBorders>
            <w:shd w:val="clear" w:color="auto" w:fill="CCCCCC"/>
          </w:tcPr>
          <w:p>
            <w:pPr>
              <w:spacing w:after="0"/>
              <w:rPr>
                <w:sz w:val="17"/>
                <w:szCs w:val="17"/>
                <w:color w:val="auto"/>
              </w:rPr>
            </w:pPr>
          </w:p>
        </w:tc>
        <w:tc>
          <w:tcPr>
            <w:tcW w:w="1380" w:type="dxa"/>
            <w:vAlign w:val="bottom"/>
            <w:tcBorders>
              <w:right w:val="single" w:sz="8" w:color="3465B0"/>
            </w:tcBorders>
            <w:shd w:val="clear" w:color="auto" w:fill="CCCCCC"/>
          </w:tcPr>
          <w:p>
            <w:pPr>
              <w:spacing w:after="0"/>
              <w:rPr>
                <w:sz w:val="17"/>
                <w:szCs w:val="17"/>
                <w:color w:val="auto"/>
              </w:rPr>
            </w:pPr>
          </w:p>
        </w:tc>
      </w:tr>
      <w:tr>
        <w:trPr>
          <w:trHeight w:val="242"/>
        </w:trPr>
        <w:tc>
          <w:tcPr>
            <w:tcW w:w="6120" w:type="dxa"/>
            <w:vAlign w:val="bottom"/>
            <w:tcBorders>
              <w:left w:val="single" w:sz="8" w:color="3465B0"/>
              <w:bottom w:val="single" w:sz="8" w:color="CCCCCC"/>
              <w:right w:val="single" w:sz="8" w:color="93A1D2"/>
            </w:tcBorders>
            <w:shd w:val="clear" w:color="auto" w:fill="CCCCCC"/>
          </w:tcPr>
          <w:p>
            <w:pPr>
              <w:ind w:left="280"/>
              <w:spacing w:after="0"/>
              <w:rPr>
                <w:sz w:val="20"/>
                <w:szCs w:val="20"/>
                <w:color w:val="auto"/>
              </w:rPr>
            </w:pPr>
            <w:r>
              <w:rPr>
                <w:rFonts w:ascii="Arial" w:cs="Arial" w:eastAsia="Arial" w:hAnsi="Arial"/>
                <w:sz w:val="18"/>
                <w:szCs w:val="18"/>
                <w:color w:val="auto"/>
              </w:rPr>
              <w:t>New York, New York 10001</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11,378,890</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14.4%</w:t>
            </w:r>
          </w:p>
        </w:tc>
      </w:tr>
      <w:tr>
        <w:trPr>
          <w:trHeight w:val="251"/>
        </w:trPr>
        <w:tc>
          <w:tcPr>
            <w:tcW w:w="6120" w:type="dxa"/>
            <w:vAlign w:val="bottom"/>
            <w:tcBorders>
              <w:left w:val="single" w:sz="8" w:color="3465B0"/>
              <w:right w:val="single" w:sz="8" w:color="93A1D2"/>
            </w:tcBorders>
          </w:tcPr>
          <w:p>
            <w:pPr>
              <w:ind w:left="100"/>
              <w:spacing w:after="0" w:line="251" w:lineRule="exact"/>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Vanguard Group</w:t>
            </w:r>
            <w:r>
              <w:rPr>
                <w:rFonts w:ascii="Arial" w:cs="Arial" w:eastAsia="Arial" w:hAnsi="Arial"/>
                <w:sz w:val="29"/>
                <w:szCs w:val="29"/>
                <w:b w:val="1"/>
                <w:bCs w:val="1"/>
                <w:color w:val="auto"/>
                <w:vertAlign w:val="superscript"/>
              </w:rPr>
              <w:t>(5)</w:t>
            </w:r>
          </w:p>
        </w:tc>
        <w:tc>
          <w:tcPr>
            <w:tcW w:w="140" w:type="dxa"/>
            <w:vAlign w:val="bottom"/>
          </w:tcPr>
          <w:p>
            <w:pPr>
              <w:spacing w:after="0"/>
              <w:rPr>
                <w:sz w:val="21"/>
                <w:szCs w:val="21"/>
                <w:color w:val="auto"/>
              </w:rPr>
            </w:pPr>
          </w:p>
        </w:tc>
        <w:tc>
          <w:tcPr>
            <w:tcW w:w="1520" w:type="dxa"/>
            <w:vAlign w:val="bottom"/>
            <w:tcBorders>
              <w:right w:val="single" w:sz="8" w:color="93A1D2"/>
            </w:tcBorders>
          </w:tcPr>
          <w:p>
            <w:pPr>
              <w:spacing w:after="0"/>
              <w:rPr>
                <w:sz w:val="21"/>
                <w:szCs w:val="21"/>
                <w:color w:val="auto"/>
              </w:rPr>
            </w:pPr>
          </w:p>
        </w:tc>
        <w:tc>
          <w:tcPr>
            <w:tcW w:w="1380" w:type="dxa"/>
            <w:vAlign w:val="bottom"/>
            <w:tcBorders>
              <w:right w:val="single" w:sz="8" w:color="3465B0"/>
            </w:tcBorders>
          </w:tcPr>
          <w:p>
            <w:pPr>
              <w:spacing w:after="0"/>
              <w:rPr>
                <w:sz w:val="21"/>
                <w:szCs w:val="21"/>
                <w:color w:val="auto"/>
              </w:rPr>
            </w:pPr>
          </w:p>
        </w:tc>
      </w:tr>
      <w:tr>
        <w:trPr>
          <w:trHeight w:val="203"/>
        </w:trPr>
        <w:tc>
          <w:tcPr>
            <w:tcW w:w="6120" w:type="dxa"/>
            <w:vAlign w:val="bottom"/>
            <w:tcBorders>
              <w:left w:val="single" w:sz="8" w:color="3465B0"/>
              <w:right w:val="single" w:sz="8" w:color="93A1D2"/>
            </w:tcBorders>
          </w:tcPr>
          <w:p>
            <w:pPr>
              <w:ind w:left="280"/>
              <w:spacing w:after="0" w:line="202" w:lineRule="exact"/>
              <w:rPr>
                <w:sz w:val="20"/>
                <w:szCs w:val="20"/>
                <w:color w:val="auto"/>
              </w:rPr>
            </w:pPr>
            <w:r>
              <w:rPr>
                <w:rFonts w:ascii="Arial" w:cs="Arial" w:eastAsia="Arial" w:hAnsi="Arial"/>
                <w:sz w:val="18"/>
                <w:szCs w:val="18"/>
                <w:color w:val="auto"/>
              </w:rPr>
              <w:t>100 Vanguard Boulevard</w:t>
            </w:r>
          </w:p>
        </w:tc>
        <w:tc>
          <w:tcPr>
            <w:tcW w:w="140" w:type="dxa"/>
            <w:vAlign w:val="bottom"/>
          </w:tcPr>
          <w:p>
            <w:pPr>
              <w:spacing w:after="0"/>
              <w:rPr>
                <w:sz w:val="17"/>
                <w:szCs w:val="17"/>
                <w:color w:val="auto"/>
              </w:rPr>
            </w:pPr>
          </w:p>
        </w:tc>
        <w:tc>
          <w:tcPr>
            <w:tcW w:w="1520" w:type="dxa"/>
            <w:vAlign w:val="bottom"/>
            <w:tcBorders>
              <w:right w:val="single" w:sz="8" w:color="93A1D2"/>
            </w:tcBorders>
          </w:tcPr>
          <w:p>
            <w:pPr>
              <w:spacing w:after="0"/>
              <w:rPr>
                <w:sz w:val="17"/>
                <w:szCs w:val="17"/>
                <w:color w:val="auto"/>
              </w:rPr>
            </w:pPr>
          </w:p>
        </w:tc>
        <w:tc>
          <w:tcPr>
            <w:tcW w:w="1380" w:type="dxa"/>
            <w:vAlign w:val="bottom"/>
            <w:tcBorders>
              <w:right w:val="single" w:sz="8" w:color="3465B0"/>
            </w:tcBorders>
          </w:tcPr>
          <w:p>
            <w:pPr>
              <w:spacing w:after="0"/>
              <w:rPr>
                <w:sz w:val="17"/>
                <w:szCs w:val="17"/>
                <w:color w:val="auto"/>
              </w:rPr>
            </w:pPr>
          </w:p>
        </w:tc>
      </w:tr>
      <w:tr>
        <w:trPr>
          <w:trHeight w:val="239"/>
        </w:trPr>
        <w:tc>
          <w:tcPr>
            <w:tcW w:w="612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8"/>
                <w:szCs w:val="18"/>
                <w:color w:val="auto"/>
              </w:rPr>
              <w:t>Malvern, Pennsylvania 19355</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10,244,103</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13.0%</w:t>
            </w:r>
          </w:p>
        </w:tc>
      </w:tr>
      <w:tr>
        <w:trPr>
          <w:trHeight w:val="23"/>
        </w:trPr>
        <w:tc>
          <w:tcPr>
            <w:tcW w:w="6120" w:type="dxa"/>
            <w:vAlign w:val="bottom"/>
            <w:tcBorders>
              <w:left w:val="single" w:sz="8" w:color="3465B0"/>
              <w:right w:val="single" w:sz="8" w:color="93A1D2"/>
            </w:tcBorders>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Borders>
              <w:right w:val="single" w:sz="8" w:color="93A1D2"/>
            </w:tcBorders>
          </w:tcPr>
          <w:p>
            <w:pPr>
              <w:spacing w:after="0"/>
              <w:rPr>
                <w:sz w:val="2"/>
                <w:szCs w:val="2"/>
                <w:color w:val="auto"/>
              </w:rPr>
            </w:pPr>
          </w:p>
        </w:tc>
        <w:tc>
          <w:tcPr>
            <w:tcW w:w="1380" w:type="dxa"/>
            <w:vAlign w:val="bottom"/>
            <w:tcBorders>
              <w:right w:val="single" w:sz="8" w:color="3465B0"/>
            </w:tcBorders>
          </w:tcPr>
          <w:p>
            <w:pPr>
              <w:spacing w:after="0"/>
              <w:rPr>
                <w:sz w:val="2"/>
                <w:szCs w:val="2"/>
                <w:color w:val="auto"/>
              </w:rPr>
            </w:pPr>
          </w:p>
        </w:tc>
      </w:tr>
      <w:tr>
        <w:trPr>
          <w:trHeight w:val="251"/>
        </w:trPr>
        <w:tc>
          <w:tcPr>
            <w:tcW w:w="6120" w:type="dxa"/>
            <w:vAlign w:val="bottom"/>
            <w:tcBorders>
              <w:left w:val="single" w:sz="8" w:color="3465B0"/>
              <w:right w:val="single" w:sz="8" w:color="93A1D2"/>
            </w:tcBorders>
            <w:shd w:val="clear" w:color="auto" w:fill="CCCCCC"/>
          </w:tcPr>
          <w:p>
            <w:pPr>
              <w:ind w:left="100"/>
              <w:spacing w:after="0" w:line="251" w:lineRule="exact"/>
              <w:rPr>
                <w:sz w:val="20"/>
                <w:szCs w:val="20"/>
                <w:color w:val="auto"/>
              </w:rPr>
            </w:pPr>
            <w:r>
              <w:rPr>
                <w:rFonts w:ascii="Arial" w:cs="Arial" w:eastAsia="Arial" w:hAnsi="Arial"/>
                <w:sz w:val="18"/>
                <w:szCs w:val="18"/>
                <w:b w:val="1"/>
                <w:bCs w:val="1"/>
                <w:color w:val="auto"/>
              </w:rPr>
              <w:t>Wellington Management</w:t>
            </w:r>
            <w:r>
              <w:rPr>
                <w:rFonts w:ascii="Arial" w:cs="Arial" w:eastAsia="Arial" w:hAnsi="Arial"/>
                <w:sz w:val="29"/>
                <w:szCs w:val="29"/>
                <w:b w:val="1"/>
                <w:bCs w:val="1"/>
                <w:color w:val="auto"/>
                <w:vertAlign w:val="superscript"/>
              </w:rPr>
              <w:t>(6)</w:t>
            </w:r>
          </w:p>
        </w:tc>
        <w:tc>
          <w:tcPr>
            <w:tcW w:w="140" w:type="dxa"/>
            <w:vAlign w:val="bottom"/>
            <w:shd w:val="clear" w:color="auto" w:fill="CCCCCC"/>
          </w:tcPr>
          <w:p>
            <w:pPr>
              <w:spacing w:after="0"/>
              <w:rPr>
                <w:sz w:val="21"/>
                <w:szCs w:val="21"/>
                <w:color w:val="auto"/>
              </w:rPr>
            </w:pPr>
          </w:p>
        </w:tc>
        <w:tc>
          <w:tcPr>
            <w:tcW w:w="1520" w:type="dxa"/>
            <w:vAlign w:val="bottom"/>
            <w:tcBorders>
              <w:right w:val="single" w:sz="8" w:color="93A1D2"/>
            </w:tcBorders>
            <w:shd w:val="clear" w:color="auto" w:fill="CCCCCC"/>
          </w:tcPr>
          <w:p>
            <w:pPr>
              <w:spacing w:after="0"/>
              <w:rPr>
                <w:sz w:val="21"/>
                <w:szCs w:val="21"/>
                <w:color w:val="auto"/>
              </w:rPr>
            </w:pPr>
          </w:p>
        </w:tc>
        <w:tc>
          <w:tcPr>
            <w:tcW w:w="1380" w:type="dxa"/>
            <w:vAlign w:val="bottom"/>
            <w:tcBorders>
              <w:right w:val="single" w:sz="8" w:color="3465B0"/>
            </w:tcBorders>
            <w:shd w:val="clear" w:color="auto" w:fill="CCCCCC"/>
          </w:tcPr>
          <w:p>
            <w:pPr>
              <w:spacing w:after="0"/>
              <w:rPr>
                <w:sz w:val="21"/>
                <w:szCs w:val="21"/>
                <w:color w:val="auto"/>
              </w:rPr>
            </w:pPr>
          </w:p>
        </w:tc>
      </w:tr>
      <w:tr>
        <w:trPr>
          <w:trHeight w:val="203"/>
        </w:trPr>
        <w:tc>
          <w:tcPr>
            <w:tcW w:w="6120" w:type="dxa"/>
            <w:vAlign w:val="bottom"/>
            <w:tcBorders>
              <w:left w:val="single" w:sz="8" w:color="3465B0"/>
              <w:right w:val="single" w:sz="8" w:color="93A1D2"/>
            </w:tcBorders>
            <w:shd w:val="clear" w:color="auto" w:fill="CCCCCC"/>
          </w:tcPr>
          <w:p>
            <w:pPr>
              <w:ind w:left="280"/>
              <w:spacing w:after="0" w:line="202" w:lineRule="exact"/>
              <w:rPr>
                <w:sz w:val="20"/>
                <w:szCs w:val="20"/>
                <w:color w:val="auto"/>
              </w:rPr>
            </w:pPr>
            <w:r>
              <w:rPr>
                <w:rFonts w:ascii="Arial" w:cs="Arial" w:eastAsia="Arial" w:hAnsi="Arial"/>
                <w:sz w:val="18"/>
                <w:szCs w:val="18"/>
                <w:color w:val="auto"/>
              </w:rPr>
              <w:t>280 Congress Street</w:t>
            </w:r>
          </w:p>
        </w:tc>
        <w:tc>
          <w:tcPr>
            <w:tcW w:w="140" w:type="dxa"/>
            <w:vAlign w:val="bottom"/>
            <w:shd w:val="clear" w:color="auto" w:fill="CCCCCC"/>
          </w:tcPr>
          <w:p>
            <w:pPr>
              <w:spacing w:after="0"/>
              <w:rPr>
                <w:sz w:val="17"/>
                <w:szCs w:val="17"/>
                <w:color w:val="auto"/>
              </w:rPr>
            </w:pPr>
          </w:p>
        </w:tc>
        <w:tc>
          <w:tcPr>
            <w:tcW w:w="1520" w:type="dxa"/>
            <w:vAlign w:val="bottom"/>
            <w:tcBorders>
              <w:right w:val="single" w:sz="8" w:color="93A1D2"/>
            </w:tcBorders>
            <w:shd w:val="clear" w:color="auto" w:fill="CCCCCC"/>
          </w:tcPr>
          <w:p>
            <w:pPr>
              <w:spacing w:after="0"/>
              <w:rPr>
                <w:sz w:val="17"/>
                <w:szCs w:val="17"/>
                <w:color w:val="auto"/>
              </w:rPr>
            </w:pPr>
          </w:p>
        </w:tc>
        <w:tc>
          <w:tcPr>
            <w:tcW w:w="1380" w:type="dxa"/>
            <w:vAlign w:val="bottom"/>
            <w:tcBorders>
              <w:right w:val="single" w:sz="8" w:color="3465B0"/>
            </w:tcBorders>
            <w:shd w:val="clear" w:color="auto" w:fill="CCCCCC"/>
          </w:tcPr>
          <w:p>
            <w:pPr>
              <w:spacing w:after="0"/>
              <w:rPr>
                <w:sz w:val="17"/>
                <w:szCs w:val="17"/>
                <w:color w:val="auto"/>
              </w:rPr>
            </w:pPr>
          </w:p>
        </w:tc>
      </w:tr>
      <w:tr>
        <w:trPr>
          <w:trHeight w:val="242"/>
        </w:trPr>
        <w:tc>
          <w:tcPr>
            <w:tcW w:w="6120" w:type="dxa"/>
            <w:vAlign w:val="bottom"/>
            <w:tcBorders>
              <w:left w:val="single" w:sz="8" w:color="3465B0"/>
              <w:bottom w:val="single" w:sz="8" w:color="CCCCCC"/>
              <w:right w:val="single" w:sz="8" w:color="93A1D2"/>
            </w:tcBorders>
            <w:shd w:val="clear" w:color="auto" w:fill="CCCCCC"/>
          </w:tcPr>
          <w:p>
            <w:pPr>
              <w:ind w:left="280"/>
              <w:spacing w:after="0"/>
              <w:rPr>
                <w:sz w:val="20"/>
                <w:szCs w:val="20"/>
                <w:color w:val="auto"/>
              </w:rPr>
            </w:pPr>
            <w:r>
              <w:rPr>
                <w:rFonts w:ascii="Arial" w:cs="Arial" w:eastAsia="Arial" w:hAnsi="Arial"/>
                <w:sz w:val="18"/>
                <w:szCs w:val="18"/>
                <w:color w:val="auto"/>
              </w:rPr>
              <w:t>Boston, MA 02210</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5,783,699</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7.3%</w:t>
            </w:r>
          </w:p>
        </w:tc>
      </w:tr>
      <w:tr>
        <w:trPr>
          <w:trHeight w:val="251"/>
        </w:trPr>
        <w:tc>
          <w:tcPr>
            <w:tcW w:w="6120" w:type="dxa"/>
            <w:vAlign w:val="bottom"/>
            <w:tcBorders>
              <w:left w:val="single" w:sz="8" w:color="3465B0"/>
              <w:right w:val="single" w:sz="8" w:color="93A1D2"/>
            </w:tcBorders>
          </w:tcPr>
          <w:p>
            <w:pPr>
              <w:ind w:left="100"/>
              <w:spacing w:after="0" w:line="251" w:lineRule="exact"/>
              <w:rPr>
                <w:sz w:val="20"/>
                <w:szCs w:val="20"/>
                <w:color w:val="auto"/>
              </w:rPr>
            </w:pPr>
            <w:r>
              <w:rPr>
                <w:rFonts w:ascii="Arial" w:cs="Arial" w:eastAsia="Arial" w:hAnsi="Arial"/>
                <w:sz w:val="18"/>
                <w:szCs w:val="18"/>
                <w:b w:val="1"/>
                <w:bCs w:val="1"/>
                <w:color w:val="auto"/>
              </w:rPr>
              <w:t>William Blair Investment Management, LLC</w:t>
            </w:r>
            <w:r>
              <w:rPr>
                <w:rFonts w:ascii="Arial" w:cs="Arial" w:eastAsia="Arial" w:hAnsi="Arial"/>
                <w:sz w:val="29"/>
                <w:szCs w:val="29"/>
                <w:b w:val="1"/>
                <w:bCs w:val="1"/>
                <w:color w:val="auto"/>
                <w:vertAlign w:val="superscript"/>
              </w:rPr>
              <w:t>(7)</w:t>
            </w:r>
          </w:p>
        </w:tc>
        <w:tc>
          <w:tcPr>
            <w:tcW w:w="140" w:type="dxa"/>
            <w:vAlign w:val="bottom"/>
          </w:tcPr>
          <w:p>
            <w:pPr>
              <w:spacing w:after="0"/>
              <w:rPr>
                <w:sz w:val="21"/>
                <w:szCs w:val="21"/>
                <w:color w:val="auto"/>
              </w:rPr>
            </w:pPr>
          </w:p>
        </w:tc>
        <w:tc>
          <w:tcPr>
            <w:tcW w:w="1520" w:type="dxa"/>
            <w:vAlign w:val="bottom"/>
            <w:tcBorders>
              <w:right w:val="single" w:sz="8" w:color="93A1D2"/>
            </w:tcBorders>
          </w:tcPr>
          <w:p>
            <w:pPr>
              <w:spacing w:after="0"/>
              <w:rPr>
                <w:sz w:val="21"/>
                <w:szCs w:val="21"/>
                <w:color w:val="auto"/>
              </w:rPr>
            </w:pPr>
          </w:p>
        </w:tc>
        <w:tc>
          <w:tcPr>
            <w:tcW w:w="1380" w:type="dxa"/>
            <w:vAlign w:val="bottom"/>
            <w:tcBorders>
              <w:right w:val="single" w:sz="8" w:color="3465B0"/>
            </w:tcBorders>
          </w:tcPr>
          <w:p>
            <w:pPr>
              <w:spacing w:after="0"/>
              <w:rPr>
                <w:sz w:val="21"/>
                <w:szCs w:val="21"/>
                <w:color w:val="auto"/>
              </w:rPr>
            </w:pPr>
          </w:p>
        </w:tc>
      </w:tr>
      <w:tr>
        <w:trPr>
          <w:trHeight w:val="202"/>
        </w:trPr>
        <w:tc>
          <w:tcPr>
            <w:tcW w:w="6120" w:type="dxa"/>
            <w:vAlign w:val="bottom"/>
            <w:tcBorders>
              <w:left w:val="single" w:sz="8" w:color="3465B0"/>
              <w:right w:val="single" w:sz="8" w:color="93A1D2"/>
            </w:tcBorders>
          </w:tcPr>
          <w:p>
            <w:pPr>
              <w:ind w:left="280"/>
              <w:spacing w:after="0" w:line="202" w:lineRule="exact"/>
              <w:rPr>
                <w:sz w:val="20"/>
                <w:szCs w:val="20"/>
                <w:color w:val="auto"/>
              </w:rPr>
            </w:pPr>
            <w:r>
              <w:rPr>
                <w:rFonts w:ascii="Arial" w:cs="Arial" w:eastAsia="Arial" w:hAnsi="Arial"/>
                <w:sz w:val="18"/>
                <w:szCs w:val="18"/>
                <w:color w:val="auto"/>
              </w:rPr>
              <w:t>150 North Riverside Plaza</w:t>
            </w:r>
          </w:p>
        </w:tc>
        <w:tc>
          <w:tcPr>
            <w:tcW w:w="140" w:type="dxa"/>
            <w:vAlign w:val="bottom"/>
          </w:tcPr>
          <w:p>
            <w:pPr>
              <w:spacing w:after="0"/>
              <w:rPr>
                <w:sz w:val="17"/>
                <w:szCs w:val="17"/>
                <w:color w:val="auto"/>
              </w:rPr>
            </w:pPr>
          </w:p>
        </w:tc>
        <w:tc>
          <w:tcPr>
            <w:tcW w:w="1520" w:type="dxa"/>
            <w:vAlign w:val="bottom"/>
            <w:tcBorders>
              <w:right w:val="single" w:sz="8" w:color="93A1D2"/>
            </w:tcBorders>
          </w:tcPr>
          <w:p>
            <w:pPr>
              <w:spacing w:after="0"/>
              <w:rPr>
                <w:sz w:val="17"/>
                <w:szCs w:val="17"/>
                <w:color w:val="auto"/>
              </w:rPr>
            </w:pPr>
          </w:p>
        </w:tc>
        <w:tc>
          <w:tcPr>
            <w:tcW w:w="1380" w:type="dxa"/>
            <w:vAlign w:val="bottom"/>
            <w:tcBorders>
              <w:right w:val="single" w:sz="8" w:color="3465B0"/>
            </w:tcBorders>
          </w:tcPr>
          <w:p>
            <w:pPr>
              <w:spacing w:after="0"/>
              <w:rPr>
                <w:sz w:val="17"/>
                <w:szCs w:val="17"/>
                <w:color w:val="auto"/>
              </w:rPr>
            </w:pPr>
          </w:p>
        </w:tc>
      </w:tr>
      <w:tr>
        <w:trPr>
          <w:trHeight w:val="239"/>
        </w:trPr>
        <w:tc>
          <w:tcPr>
            <w:tcW w:w="6120" w:type="dxa"/>
            <w:vAlign w:val="bottom"/>
            <w:tcBorders>
              <w:left w:val="single" w:sz="8" w:color="3465B0"/>
              <w:right w:val="single" w:sz="8" w:color="93A1D2"/>
            </w:tcBorders>
          </w:tcPr>
          <w:p>
            <w:pPr>
              <w:ind w:left="280"/>
              <w:spacing w:after="0"/>
              <w:rPr>
                <w:sz w:val="20"/>
                <w:szCs w:val="20"/>
                <w:color w:val="auto"/>
              </w:rPr>
            </w:pPr>
            <w:r>
              <w:rPr>
                <w:rFonts w:ascii="Arial" w:cs="Arial" w:eastAsia="Arial" w:hAnsi="Arial"/>
                <w:sz w:val="18"/>
                <w:szCs w:val="18"/>
                <w:color w:val="auto"/>
              </w:rPr>
              <w:t>Chicago, IL 60606</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4,896,516</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6.2%</w:t>
            </w:r>
          </w:p>
        </w:tc>
      </w:tr>
      <w:tr>
        <w:trPr>
          <w:trHeight w:val="23"/>
        </w:trPr>
        <w:tc>
          <w:tcPr>
            <w:tcW w:w="6120" w:type="dxa"/>
            <w:vAlign w:val="bottom"/>
            <w:tcBorders>
              <w:left w:val="single" w:sz="8" w:color="3465B0"/>
              <w:right w:val="single" w:sz="8" w:color="93A1D2"/>
            </w:tcBorders>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Borders>
              <w:right w:val="single" w:sz="8" w:color="93A1D2"/>
            </w:tcBorders>
          </w:tcPr>
          <w:p>
            <w:pPr>
              <w:spacing w:after="0"/>
              <w:rPr>
                <w:sz w:val="2"/>
                <w:szCs w:val="2"/>
                <w:color w:val="auto"/>
              </w:rPr>
            </w:pPr>
          </w:p>
        </w:tc>
        <w:tc>
          <w:tcPr>
            <w:tcW w:w="1380" w:type="dxa"/>
            <w:vAlign w:val="bottom"/>
            <w:tcBorders>
              <w:right w:val="single" w:sz="8" w:color="3465B0"/>
            </w:tcBorders>
          </w:tcPr>
          <w:p>
            <w:pPr>
              <w:spacing w:after="0"/>
              <w:rPr>
                <w:sz w:val="2"/>
                <w:szCs w:val="2"/>
                <w:color w:val="auto"/>
              </w:rPr>
            </w:pPr>
          </w:p>
        </w:tc>
      </w:tr>
      <w:tr>
        <w:trPr>
          <w:trHeight w:val="270"/>
        </w:trPr>
        <w:tc>
          <w:tcPr>
            <w:tcW w:w="6120" w:type="dxa"/>
            <w:vAlign w:val="bottom"/>
            <w:tcBorders>
              <w:left w:val="single" w:sz="8" w:color="3465B0"/>
              <w:right w:val="single" w:sz="8" w:color="93A1D2"/>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Named Executive Officers and Directors:</w:t>
            </w:r>
          </w:p>
        </w:tc>
        <w:tc>
          <w:tcPr>
            <w:tcW w:w="140" w:type="dxa"/>
            <w:vAlign w:val="bottom"/>
            <w:shd w:val="clear" w:color="auto" w:fill="CCCCCC"/>
          </w:tcPr>
          <w:p>
            <w:pPr>
              <w:spacing w:after="0"/>
              <w:rPr>
                <w:sz w:val="23"/>
                <w:szCs w:val="23"/>
                <w:color w:val="auto"/>
              </w:rPr>
            </w:pPr>
          </w:p>
        </w:tc>
        <w:tc>
          <w:tcPr>
            <w:tcW w:w="1520" w:type="dxa"/>
            <w:vAlign w:val="bottom"/>
            <w:tcBorders>
              <w:right w:val="single" w:sz="8" w:color="93A1D2"/>
            </w:tcBorders>
            <w:shd w:val="clear" w:color="auto" w:fill="CCCCCC"/>
          </w:tcPr>
          <w:p>
            <w:pPr>
              <w:spacing w:after="0"/>
              <w:rPr>
                <w:sz w:val="23"/>
                <w:szCs w:val="23"/>
                <w:color w:val="auto"/>
              </w:rPr>
            </w:pPr>
          </w:p>
        </w:tc>
        <w:tc>
          <w:tcPr>
            <w:tcW w:w="1380" w:type="dxa"/>
            <w:vAlign w:val="bottom"/>
            <w:tcBorders>
              <w:right w:val="single" w:sz="8" w:color="3465B0"/>
            </w:tcBorders>
            <w:shd w:val="clear" w:color="auto" w:fill="CCCCCC"/>
          </w:tcPr>
          <w:p>
            <w:pPr>
              <w:spacing w:after="0"/>
              <w:rPr>
                <w:sz w:val="23"/>
                <w:szCs w:val="23"/>
                <w:color w:val="auto"/>
              </w:rPr>
            </w:pPr>
          </w:p>
        </w:tc>
      </w:tr>
      <w:tr>
        <w:trPr>
          <w:trHeight w:val="311"/>
        </w:trPr>
        <w:tc>
          <w:tcPr>
            <w:tcW w:w="6120" w:type="dxa"/>
            <w:vAlign w:val="bottom"/>
            <w:tcBorders>
              <w:left w:val="single" w:sz="8" w:color="3465B0"/>
              <w:right w:val="single" w:sz="8" w:color="93A1D2"/>
            </w:tcBorders>
          </w:tcPr>
          <w:p>
            <w:pPr>
              <w:ind w:left="100"/>
              <w:spacing w:after="0" w:line="310" w:lineRule="exact"/>
              <w:rPr>
                <w:sz w:val="20"/>
                <w:szCs w:val="20"/>
                <w:color w:val="auto"/>
              </w:rPr>
            </w:pPr>
            <w:r>
              <w:rPr>
                <w:rFonts w:ascii="Arial" w:cs="Arial" w:eastAsia="Arial" w:hAnsi="Arial"/>
                <w:sz w:val="18"/>
                <w:szCs w:val="18"/>
                <w:color w:val="auto"/>
              </w:rPr>
              <w:t>L. Reade Fahs</w:t>
            </w:r>
            <w:r>
              <w:rPr>
                <w:rFonts w:ascii="Arial" w:cs="Arial" w:eastAsia="Arial" w:hAnsi="Arial"/>
                <w:sz w:val="29"/>
                <w:szCs w:val="29"/>
                <w:color w:val="auto"/>
                <w:vertAlign w:val="superscript"/>
              </w:rPr>
              <w:t>(8)</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1,179,127</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61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Alexander N. Wilkes</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16,431</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1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Mark S. Banner</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17,839</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120" w:type="dxa"/>
            <w:vAlign w:val="bottom"/>
            <w:tcBorders>
              <w:left w:val="single" w:sz="8" w:color="3465B0"/>
              <w:right w:val="single" w:sz="8" w:color="93A1D2"/>
            </w:tcBorders>
          </w:tcPr>
          <w:p>
            <w:pPr>
              <w:spacing w:after="0"/>
              <w:rPr>
                <w:sz w:val="2"/>
                <w:szCs w:val="2"/>
                <w:color w:val="auto"/>
              </w:rPr>
            </w:pPr>
          </w:p>
        </w:tc>
        <w:tc>
          <w:tcPr>
            <w:tcW w:w="1660" w:type="dxa"/>
            <w:vAlign w:val="bottom"/>
            <w:tcBorders>
              <w:right w:val="single" w:sz="8" w:color="93A1D2"/>
            </w:tcBorders>
            <w:gridSpan w:val="2"/>
          </w:tcPr>
          <w:p>
            <w:pPr>
              <w:spacing w:after="0"/>
              <w:rPr>
                <w:sz w:val="2"/>
                <w:szCs w:val="2"/>
                <w:color w:val="auto"/>
              </w:rPr>
            </w:pPr>
          </w:p>
        </w:tc>
        <w:tc>
          <w:tcPr>
            <w:tcW w:w="1380" w:type="dxa"/>
            <w:vAlign w:val="bottom"/>
            <w:tcBorders>
              <w:right w:val="single" w:sz="8" w:color="3465B0"/>
            </w:tcBorders>
          </w:tcPr>
          <w:p>
            <w:pPr>
              <w:spacing w:after="0"/>
              <w:rPr>
                <w:sz w:val="2"/>
                <w:szCs w:val="2"/>
                <w:color w:val="auto"/>
              </w:rPr>
            </w:pPr>
          </w:p>
        </w:tc>
      </w:tr>
      <w:tr>
        <w:trPr>
          <w:trHeight w:val="250"/>
        </w:trPr>
        <w:tc>
          <w:tcPr>
            <w:tcW w:w="61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Jared Brandman</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135,743</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1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Bill Clark</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103,471</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120" w:type="dxa"/>
            <w:vAlign w:val="bottom"/>
            <w:tcBorders>
              <w:left w:val="single" w:sz="8" w:color="3465B0"/>
              <w:right w:val="single" w:sz="8" w:color="93A1D2"/>
            </w:tcBorders>
          </w:tcPr>
          <w:p>
            <w:pPr>
              <w:spacing w:after="0"/>
              <w:rPr>
                <w:sz w:val="2"/>
                <w:szCs w:val="2"/>
                <w:color w:val="auto"/>
              </w:rPr>
            </w:pPr>
          </w:p>
        </w:tc>
        <w:tc>
          <w:tcPr>
            <w:tcW w:w="1660" w:type="dxa"/>
            <w:vAlign w:val="bottom"/>
            <w:tcBorders>
              <w:right w:val="single" w:sz="8" w:color="93A1D2"/>
            </w:tcBorders>
            <w:gridSpan w:val="2"/>
          </w:tcPr>
          <w:p>
            <w:pPr>
              <w:spacing w:after="0"/>
              <w:rPr>
                <w:sz w:val="2"/>
                <w:szCs w:val="2"/>
                <w:color w:val="auto"/>
              </w:rPr>
            </w:pPr>
          </w:p>
        </w:tc>
        <w:tc>
          <w:tcPr>
            <w:tcW w:w="1380" w:type="dxa"/>
            <w:vAlign w:val="bottom"/>
            <w:tcBorders>
              <w:right w:val="single" w:sz="8" w:color="3465B0"/>
            </w:tcBorders>
          </w:tcPr>
          <w:p>
            <w:pPr>
              <w:spacing w:after="0"/>
              <w:rPr>
                <w:sz w:val="2"/>
                <w:szCs w:val="2"/>
                <w:color w:val="auto"/>
              </w:rPr>
            </w:pPr>
          </w:p>
        </w:tc>
      </w:tr>
      <w:tr>
        <w:trPr>
          <w:trHeight w:val="250"/>
        </w:trPr>
        <w:tc>
          <w:tcPr>
            <w:tcW w:w="61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Patrick R. Moore</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87,174</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6120" w:type="dxa"/>
            <w:vAlign w:val="bottom"/>
            <w:tcBorders>
              <w:left w:val="single" w:sz="8" w:color="3465B0"/>
              <w:right w:val="single" w:sz="8" w:color="93A1D2"/>
            </w:tcBorders>
          </w:tcPr>
          <w:p>
            <w:pPr>
              <w:ind w:left="100"/>
              <w:spacing w:after="0" w:line="310" w:lineRule="exact"/>
              <w:rPr>
                <w:sz w:val="20"/>
                <w:szCs w:val="20"/>
                <w:color w:val="auto"/>
              </w:rPr>
            </w:pPr>
            <w:r>
              <w:rPr>
                <w:rFonts w:ascii="Arial" w:cs="Arial" w:eastAsia="Arial" w:hAnsi="Arial"/>
                <w:sz w:val="18"/>
                <w:szCs w:val="18"/>
                <w:color w:val="auto"/>
              </w:rPr>
              <w:t>Melissa Rasmussen</w:t>
            </w:r>
            <w:r>
              <w:rPr>
                <w:rFonts w:ascii="Arial" w:cs="Arial" w:eastAsia="Arial" w:hAnsi="Arial"/>
                <w:sz w:val="29"/>
                <w:szCs w:val="29"/>
                <w:color w:val="auto"/>
                <w:vertAlign w:val="superscript"/>
              </w:rPr>
              <w:t>(9)</w:t>
            </w:r>
          </w:p>
        </w:tc>
        <w:tc>
          <w:tcPr>
            <w:tcW w:w="140" w:type="dxa"/>
            <w:vAlign w:val="bottom"/>
          </w:tcPr>
          <w:p>
            <w:pPr>
              <w:spacing w:after="0"/>
              <w:rPr>
                <w:sz w:val="24"/>
                <w:szCs w:val="24"/>
                <w:color w:val="auto"/>
              </w:rPr>
            </w:pPr>
          </w:p>
        </w:tc>
        <w:tc>
          <w:tcPr>
            <w:tcW w:w="1520" w:type="dxa"/>
            <w:vAlign w:val="bottom"/>
            <w:tcBorders>
              <w:right w:val="single" w:sz="8" w:color="93A1D2"/>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6120" w:type="dxa"/>
            <w:vAlign w:val="bottom"/>
            <w:tcBorders>
              <w:left w:val="single" w:sz="8" w:color="3465B0"/>
              <w:right w:val="single" w:sz="8" w:color="93A1D2"/>
            </w:tcBorders>
            <w:shd w:val="clear" w:color="auto" w:fill="CCCCCC"/>
          </w:tcPr>
          <w:p>
            <w:pPr>
              <w:ind w:left="100"/>
              <w:spacing w:after="0" w:line="310" w:lineRule="exact"/>
              <w:rPr>
                <w:sz w:val="20"/>
                <w:szCs w:val="20"/>
                <w:color w:val="auto"/>
              </w:rPr>
            </w:pPr>
            <w:r>
              <w:rPr>
                <w:rFonts w:ascii="Arial" w:cs="Arial" w:eastAsia="Arial" w:hAnsi="Arial"/>
                <w:sz w:val="18"/>
                <w:szCs w:val="18"/>
                <w:color w:val="auto"/>
              </w:rPr>
              <w:t>D. Randolph Peeler</w:t>
            </w:r>
            <w:r>
              <w:rPr>
                <w:rFonts w:ascii="Arial" w:cs="Arial" w:eastAsia="Arial" w:hAnsi="Arial"/>
                <w:sz w:val="29"/>
                <w:szCs w:val="29"/>
                <w:color w:val="auto"/>
                <w:vertAlign w:val="superscript"/>
              </w:rPr>
              <w:t>(10)</w:t>
            </w:r>
          </w:p>
        </w:tc>
        <w:tc>
          <w:tcPr>
            <w:tcW w:w="1660" w:type="dxa"/>
            <w:vAlign w:val="bottom"/>
            <w:tcBorders>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250,747</w:t>
            </w:r>
          </w:p>
        </w:tc>
        <w:tc>
          <w:tcPr>
            <w:tcW w:w="138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1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Jose Armario</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49,901</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120" w:type="dxa"/>
            <w:vAlign w:val="bottom"/>
            <w:tcBorders>
              <w:left w:val="single" w:sz="8" w:color="3465B0"/>
              <w:right w:val="single" w:sz="8" w:color="93A1D2"/>
            </w:tcBorders>
          </w:tcPr>
          <w:p>
            <w:pPr>
              <w:spacing w:after="0"/>
              <w:rPr>
                <w:sz w:val="2"/>
                <w:szCs w:val="2"/>
                <w:color w:val="auto"/>
              </w:rPr>
            </w:pPr>
          </w:p>
        </w:tc>
        <w:tc>
          <w:tcPr>
            <w:tcW w:w="1660" w:type="dxa"/>
            <w:vAlign w:val="bottom"/>
            <w:tcBorders>
              <w:right w:val="single" w:sz="8" w:color="93A1D2"/>
            </w:tcBorders>
            <w:gridSpan w:val="2"/>
          </w:tcPr>
          <w:p>
            <w:pPr>
              <w:spacing w:after="0"/>
              <w:rPr>
                <w:sz w:val="2"/>
                <w:szCs w:val="2"/>
                <w:color w:val="auto"/>
              </w:rPr>
            </w:pPr>
          </w:p>
        </w:tc>
        <w:tc>
          <w:tcPr>
            <w:tcW w:w="1380" w:type="dxa"/>
            <w:vAlign w:val="bottom"/>
            <w:tcBorders>
              <w:right w:val="single" w:sz="8" w:color="3465B0"/>
            </w:tcBorders>
          </w:tcPr>
          <w:p>
            <w:pPr>
              <w:spacing w:after="0"/>
              <w:rPr>
                <w:sz w:val="2"/>
                <w:szCs w:val="2"/>
                <w:color w:val="auto"/>
              </w:rPr>
            </w:pPr>
          </w:p>
        </w:tc>
      </w:tr>
      <w:tr>
        <w:trPr>
          <w:trHeight w:val="250"/>
        </w:trPr>
        <w:tc>
          <w:tcPr>
            <w:tcW w:w="61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Virginia A. Hepner</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44,027</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1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Susan S. Johnson</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43,700</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120" w:type="dxa"/>
            <w:vAlign w:val="bottom"/>
            <w:tcBorders>
              <w:left w:val="single" w:sz="8" w:color="3465B0"/>
              <w:right w:val="single" w:sz="8" w:color="93A1D2"/>
            </w:tcBorders>
          </w:tcPr>
          <w:p>
            <w:pPr>
              <w:spacing w:after="0"/>
              <w:rPr>
                <w:sz w:val="2"/>
                <w:szCs w:val="2"/>
                <w:color w:val="auto"/>
              </w:rPr>
            </w:pPr>
          </w:p>
        </w:tc>
        <w:tc>
          <w:tcPr>
            <w:tcW w:w="1660" w:type="dxa"/>
            <w:vAlign w:val="bottom"/>
            <w:tcBorders>
              <w:right w:val="single" w:sz="8" w:color="93A1D2"/>
            </w:tcBorders>
            <w:gridSpan w:val="2"/>
          </w:tcPr>
          <w:p>
            <w:pPr>
              <w:spacing w:after="0"/>
              <w:rPr>
                <w:sz w:val="2"/>
                <w:szCs w:val="2"/>
                <w:color w:val="auto"/>
              </w:rPr>
            </w:pPr>
          </w:p>
        </w:tc>
        <w:tc>
          <w:tcPr>
            <w:tcW w:w="1380" w:type="dxa"/>
            <w:vAlign w:val="bottom"/>
            <w:tcBorders>
              <w:right w:val="single" w:sz="8" w:color="3465B0"/>
            </w:tcBorders>
          </w:tcPr>
          <w:p>
            <w:pPr>
              <w:spacing w:after="0"/>
              <w:rPr>
                <w:sz w:val="2"/>
                <w:szCs w:val="2"/>
                <w:color w:val="auto"/>
              </w:rPr>
            </w:pPr>
          </w:p>
        </w:tc>
      </w:tr>
      <w:tr>
        <w:trPr>
          <w:trHeight w:val="250"/>
        </w:trPr>
        <w:tc>
          <w:tcPr>
            <w:tcW w:w="61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Naomi Kelman</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41,041</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1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James M. McGrann</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10,719</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120" w:type="dxa"/>
            <w:vAlign w:val="bottom"/>
            <w:tcBorders>
              <w:left w:val="single" w:sz="8" w:color="3465B0"/>
              <w:right w:val="single" w:sz="8" w:color="93A1D2"/>
            </w:tcBorders>
          </w:tcPr>
          <w:p>
            <w:pPr>
              <w:spacing w:after="0"/>
              <w:rPr>
                <w:sz w:val="2"/>
                <w:szCs w:val="2"/>
                <w:color w:val="auto"/>
              </w:rPr>
            </w:pPr>
          </w:p>
        </w:tc>
        <w:tc>
          <w:tcPr>
            <w:tcW w:w="1660" w:type="dxa"/>
            <w:vAlign w:val="bottom"/>
            <w:tcBorders>
              <w:right w:val="single" w:sz="8" w:color="93A1D2"/>
            </w:tcBorders>
            <w:gridSpan w:val="2"/>
          </w:tcPr>
          <w:p>
            <w:pPr>
              <w:spacing w:after="0"/>
              <w:rPr>
                <w:sz w:val="2"/>
                <w:szCs w:val="2"/>
                <w:color w:val="auto"/>
              </w:rPr>
            </w:pPr>
          </w:p>
        </w:tc>
        <w:tc>
          <w:tcPr>
            <w:tcW w:w="1380" w:type="dxa"/>
            <w:vAlign w:val="bottom"/>
            <w:tcBorders>
              <w:right w:val="single" w:sz="8" w:color="3465B0"/>
            </w:tcBorders>
          </w:tcPr>
          <w:p>
            <w:pPr>
              <w:spacing w:after="0"/>
              <w:rPr>
                <w:sz w:val="2"/>
                <w:szCs w:val="2"/>
                <w:color w:val="auto"/>
              </w:rPr>
            </w:pPr>
          </w:p>
        </w:tc>
      </w:tr>
      <w:tr>
        <w:trPr>
          <w:trHeight w:val="250"/>
        </w:trPr>
        <w:tc>
          <w:tcPr>
            <w:tcW w:w="61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Michael J. Nicholson</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10,719</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12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Susan O’Farrell</w:t>
            </w:r>
          </w:p>
        </w:tc>
        <w:tc>
          <w:tcPr>
            <w:tcW w:w="1660" w:type="dxa"/>
            <w:vAlign w:val="bottom"/>
            <w:tcBorders>
              <w:right w:val="single" w:sz="8" w:color="93A1D2"/>
            </w:tcBorders>
            <w:gridSpan w:val="2"/>
          </w:tcPr>
          <w:p>
            <w:pPr>
              <w:jc w:val="right"/>
              <w:ind w:right="70"/>
              <w:spacing w:after="0"/>
              <w:rPr>
                <w:sz w:val="20"/>
                <w:szCs w:val="20"/>
                <w:color w:val="auto"/>
              </w:rPr>
            </w:pPr>
            <w:r>
              <w:rPr>
                <w:rFonts w:ascii="Arial" w:cs="Arial" w:eastAsia="Arial" w:hAnsi="Arial"/>
                <w:sz w:val="18"/>
                <w:szCs w:val="18"/>
                <w:color w:val="auto"/>
              </w:rPr>
              <w:t>22,333</w:t>
            </w:r>
          </w:p>
        </w:tc>
        <w:tc>
          <w:tcPr>
            <w:tcW w:w="13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120" w:type="dxa"/>
            <w:vAlign w:val="bottom"/>
            <w:tcBorders>
              <w:left w:val="single" w:sz="8" w:color="3465B0"/>
              <w:right w:val="single" w:sz="8" w:color="93A1D2"/>
            </w:tcBorders>
          </w:tcPr>
          <w:p>
            <w:pPr>
              <w:spacing w:after="0"/>
              <w:rPr>
                <w:sz w:val="2"/>
                <w:szCs w:val="2"/>
                <w:color w:val="auto"/>
              </w:rPr>
            </w:pPr>
          </w:p>
        </w:tc>
        <w:tc>
          <w:tcPr>
            <w:tcW w:w="1660" w:type="dxa"/>
            <w:vAlign w:val="bottom"/>
            <w:tcBorders>
              <w:right w:val="single" w:sz="8" w:color="93A1D2"/>
            </w:tcBorders>
            <w:gridSpan w:val="2"/>
          </w:tcPr>
          <w:p>
            <w:pPr>
              <w:spacing w:after="0"/>
              <w:rPr>
                <w:sz w:val="2"/>
                <w:szCs w:val="2"/>
                <w:color w:val="auto"/>
              </w:rPr>
            </w:pPr>
          </w:p>
        </w:tc>
        <w:tc>
          <w:tcPr>
            <w:tcW w:w="1380" w:type="dxa"/>
            <w:vAlign w:val="bottom"/>
            <w:tcBorders>
              <w:right w:val="single" w:sz="8" w:color="3465B0"/>
            </w:tcBorders>
          </w:tcPr>
          <w:p>
            <w:pPr>
              <w:spacing w:after="0"/>
              <w:rPr>
                <w:sz w:val="2"/>
                <w:szCs w:val="2"/>
                <w:color w:val="auto"/>
              </w:rPr>
            </w:pPr>
          </w:p>
        </w:tc>
      </w:tr>
      <w:tr>
        <w:trPr>
          <w:trHeight w:val="250"/>
        </w:trPr>
        <w:tc>
          <w:tcPr>
            <w:tcW w:w="612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Caitlin Zulla</w:t>
            </w:r>
          </w:p>
        </w:tc>
        <w:tc>
          <w:tcPr>
            <w:tcW w:w="1660" w:type="dxa"/>
            <w:vAlign w:val="bottom"/>
            <w:tcBorders>
              <w:bottom w:val="single" w:sz="8" w:color="CCCCCC"/>
              <w:right w:val="single" w:sz="8" w:color="93A1D2"/>
            </w:tcBorders>
            <w:gridSpan w:val="2"/>
            <w:shd w:val="clear" w:color="auto" w:fill="CCCCCC"/>
          </w:tcPr>
          <w:p>
            <w:pPr>
              <w:jc w:val="right"/>
              <w:ind w:right="70"/>
              <w:spacing w:after="0"/>
              <w:rPr>
                <w:sz w:val="20"/>
                <w:szCs w:val="20"/>
                <w:color w:val="auto"/>
              </w:rPr>
            </w:pPr>
            <w:r>
              <w:rPr>
                <w:rFonts w:ascii="Arial" w:cs="Arial" w:eastAsia="Arial" w:hAnsi="Arial"/>
                <w:sz w:val="18"/>
                <w:szCs w:val="18"/>
                <w:color w:val="auto"/>
              </w:rPr>
              <w:t>21,880</w:t>
            </w:r>
          </w:p>
        </w:tc>
        <w:tc>
          <w:tcPr>
            <w:tcW w:w="1380" w:type="dxa"/>
            <w:vAlign w:val="bottom"/>
            <w:tcBorders>
              <w:bottom w:val="single" w:sz="8" w:color="CCCCCC"/>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120" w:type="dxa"/>
            <w:vAlign w:val="bottom"/>
            <w:tcBorders>
              <w:left w:val="single" w:sz="8" w:color="3465B0"/>
              <w:bottom w:val="single" w:sz="8" w:color="3465B0"/>
              <w:right w:val="single" w:sz="8" w:color="93A1D2"/>
            </w:tcBorders>
          </w:tcPr>
          <w:p>
            <w:pPr>
              <w:ind w:left="100"/>
              <w:spacing w:after="0"/>
              <w:rPr>
                <w:sz w:val="20"/>
                <w:szCs w:val="20"/>
                <w:color w:val="auto"/>
              </w:rPr>
            </w:pPr>
            <w:r>
              <w:rPr>
                <w:rFonts w:ascii="Arial" w:cs="Arial" w:eastAsia="Arial" w:hAnsi="Arial"/>
                <w:sz w:val="18"/>
                <w:szCs w:val="18"/>
                <w:b w:val="1"/>
                <w:bCs w:val="1"/>
                <w:color w:val="auto"/>
              </w:rPr>
              <w:t>All directors and current executive officers as a group (20 persons)</w:t>
            </w:r>
          </w:p>
        </w:tc>
        <w:tc>
          <w:tcPr>
            <w:tcW w:w="1660" w:type="dxa"/>
            <w:vAlign w:val="bottom"/>
            <w:tcBorders>
              <w:bottom w:val="single" w:sz="8" w:color="3465B0"/>
              <w:right w:val="single" w:sz="8" w:color="93A1D2"/>
            </w:tcBorders>
            <w:gridSpan w:val="2"/>
          </w:tcPr>
          <w:p>
            <w:pPr>
              <w:jc w:val="right"/>
              <w:ind w:right="70"/>
              <w:spacing w:after="0"/>
              <w:rPr>
                <w:sz w:val="20"/>
                <w:szCs w:val="20"/>
                <w:color w:val="auto"/>
              </w:rPr>
            </w:pPr>
            <w:r>
              <w:rPr>
                <w:rFonts w:ascii="Arial" w:cs="Arial" w:eastAsia="Arial" w:hAnsi="Arial"/>
                <w:sz w:val="18"/>
                <w:szCs w:val="18"/>
                <w:b w:val="1"/>
                <w:bCs w:val="1"/>
                <w:color w:val="auto"/>
              </w:rPr>
              <w:t>1,918,203</w:t>
            </w:r>
          </w:p>
        </w:tc>
        <w:tc>
          <w:tcPr>
            <w:tcW w:w="1380" w:type="dxa"/>
            <w:vAlign w:val="bottom"/>
            <w:tcBorders>
              <w:bottom w:val="single" w:sz="8" w:color="3465B0"/>
              <w:right w:val="single" w:sz="8" w:color="3465B0"/>
            </w:tcBorders>
          </w:tcPr>
          <w:p>
            <w:pPr>
              <w:jc w:val="right"/>
              <w:spacing w:after="0"/>
              <w:rPr>
                <w:sz w:val="20"/>
                <w:szCs w:val="20"/>
                <w:color w:val="auto"/>
              </w:rPr>
            </w:pPr>
            <w:r>
              <w:rPr>
                <w:rFonts w:ascii="Arial" w:cs="Arial" w:eastAsia="Arial" w:hAnsi="Arial"/>
                <w:sz w:val="18"/>
                <w:szCs w:val="18"/>
                <w:b w:val="1"/>
                <w:bCs w:val="1"/>
                <w:color w:val="auto"/>
              </w:rPr>
              <w:t>2.4%</w:t>
            </w:r>
          </w:p>
        </w:tc>
      </w:tr>
    </w:tbl>
    <w:p>
      <w:pPr>
        <w:spacing w:after="0" w:line="150" w:lineRule="exact"/>
        <w:rPr>
          <w:sz w:val="20"/>
          <w:szCs w:val="20"/>
          <w:color w:val="auto"/>
        </w:rPr>
      </w:pPr>
    </w:p>
    <w:p>
      <w:pPr>
        <w:ind w:left="1280" w:hanging="348"/>
        <w:spacing w:after="0"/>
        <w:tabs>
          <w:tab w:leader="none" w:pos="1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1280" w:right="960" w:hanging="348"/>
        <w:spacing w:after="0" w:line="285" w:lineRule="auto"/>
        <w:tabs>
          <w:tab w:leader="none" w:pos="1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Except as otherwise indicated, the address of each beneficial owner is c/o National Vision Holdings, Inc., 2435 Commerce Avenue, Bldg. 2200, Duluth, Georgia 30096.</w:t>
      </w:r>
    </w:p>
    <w:p>
      <w:pPr>
        <w:spacing w:after="0" w:line="49" w:lineRule="exact"/>
        <w:rPr>
          <w:rFonts w:ascii="Arial" w:cs="Arial" w:eastAsia="Arial" w:hAnsi="Arial"/>
          <w:sz w:val="14"/>
          <w:szCs w:val="14"/>
          <w:color w:val="auto"/>
        </w:rPr>
      </w:pPr>
    </w:p>
    <w:p>
      <w:pPr>
        <w:ind w:left="1280" w:right="960" w:hanging="348"/>
        <w:spacing w:after="0" w:line="285" w:lineRule="auto"/>
        <w:tabs>
          <w:tab w:leader="none" w:pos="1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37465</wp:posOffset>
            </wp:positionV>
            <wp:extent cx="205740" cy="2057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67</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OWNERSHIP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53" w:lineRule="exact"/>
        <w:rPr>
          <w:sz w:val="20"/>
          <w:szCs w:val="20"/>
          <w:color w:val="auto"/>
        </w:rPr>
      </w:pPr>
    </w:p>
    <w:p>
      <w:pPr>
        <w:jc w:val="both"/>
        <w:ind w:left="380"/>
        <w:spacing w:after="0" w:line="256" w:lineRule="auto"/>
        <w:rPr>
          <w:sz w:val="20"/>
          <w:szCs w:val="20"/>
          <w:color w:val="auto"/>
        </w:rPr>
      </w:pPr>
      <w:r>
        <w:rPr>
          <w:rFonts w:ascii="Arial" w:cs="Arial" w:eastAsia="Arial" w:hAnsi="Arial"/>
          <w:sz w:val="14"/>
          <w:szCs w:val="14"/>
          <w:color w:val="auto"/>
        </w:rPr>
        <w:t>right to acquire such powers within 60 days. All information with respect to beneficial ownership is based upon filings made by the respective beneficial owners with the Securities and Exchange Commission or information provided to us by such beneficial owners. 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69" w:lineRule="exact"/>
        <w:rPr>
          <w:sz w:val="20"/>
          <w:szCs w:val="20"/>
          <w:color w:val="auto"/>
        </w:rPr>
      </w:pPr>
    </w:p>
    <w:p>
      <w:pPr>
        <w:jc w:val="both"/>
        <w:ind w:left="380" w:right="20"/>
        <w:spacing w:after="0" w:line="285" w:lineRule="auto"/>
        <w:rPr>
          <w:sz w:val="20"/>
          <w:szCs w:val="20"/>
          <w:color w:val="auto"/>
        </w:rPr>
      </w:pPr>
      <w:r>
        <w:rPr>
          <w:rFonts w:ascii="Arial" w:cs="Arial" w:eastAsia="Arial" w:hAnsi="Arial"/>
          <w:sz w:val="14"/>
          <w:szCs w:val="14"/>
          <w:color w:val="auto"/>
        </w:rPr>
        <w:t>Includes shares underlying stock options that are exercisable currently or within 60 days as follows: Mr. Fahs (124,888) and Mr. Moore (46,917); and all directors and executive officers as a group (220,164).</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all directors and executive officers as a group, includes 1,890 shares underlying restricted stock units that will vest within 60 days.</w:t>
      </w:r>
    </w:p>
    <w:p>
      <w:pPr>
        <w:spacing w:after="0" w:line="109" w:lineRule="exact"/>
        <w:rPr>
          <w:sz w:val="20"/>
          <w:szCs w:val="20"/>
          <w:color w:val="auto"/>
        </w:rPr>
      </w:pPr>
    </w:p>
    <w:p>
      <w:pPr>
        <w:jc w:val="both"/>
        <w:ind w:left="360" w:hanging="348"/>
        <w:spacing w:after="0" w:line="250"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As of April 1, 2026, there were 80,113,860 shares of our common stock, par value $0.01 per share, outstanding. Percentages are calculated pursuant to Rule 13d-3(d) under the Exchange Act. Shares not outstanding that are subject to options exercisable by the holder thereof within 60 days, shares due upon vesting of restricted stock units within 60 days, and shares deferred pursuant to vested restricted stock units and shares eligible for issuance pursuant to the non-employee director deferred compensation plan that may be distributed within 60 days, are deemed outstanding for the purposes of calculating the number and percentage owned by such stockholder but not deemed outstanding for the purpose of calculating the percentage of any other person.</w:t>
      </w:r>
    </w:p>
    <w:p>
      <w:pPr>
        <w:spacing w:after="0" w:line="73" w:lineRule="exact"/>
        <w:rPr>
          <w:rFonts w:ascii="Arial" w:cs="Arial" w:eastAsia="Arial" w:hAnsi="Arial"/>
          <w:sz w:val="14"/>
          <w:szCs w:val="14"/>
          <w:color w:val="auto"/>
        </w:rPr>
      </w:pPr>
    </w:p>
    <w:p>
      <w:pPr>
        <w:jc w:val="both"/>
        <w:ind w:left="360" w:hanging="348"/>
        <w:spacing w:after="0" w:line="256"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a Schedule 13G/A filed by BlackRock, Inc. (“BlackRock”) with the SEC on October 17, 2025, which indicates that various persons have the right to receive or the power to direct the receipt of dividends from, or the proceeds from the sale of, these securities. BlackRock reported that it has sole voting power with respect to 11,190,544 shares of common stock and sole dispositive power with respect to 11,378,890 shares of common stock.</w:t>
      </w:r>
    </w:p>
    <w:p>
      <w:pPr>
        <w:spacing w:after="0" w:line="69" w:lineRule="exact"/>
        <w:rPr>
          <w:rFonts w:ascii="Arial" w:cs="Arial" w:eastAsia="Arial" w:hAnsi="Arial"/>
          <w:sz w:val="14"/>
          <w:szCs w:val="14"/>
          <w:color w:val="auto"/>
        </w:rPr>
      </w:pPr>
    </w:p>
    <w:p>
      <w:pPr>
        <w:jc w:val="both"/>
        <w:ind w:left="360" w:hanging="348"/>
        <w:spacing w:after="0" w:line="248"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a Schedule 13G/A filed by The Vanguard Group (“Vanguard”) with the SEC on November 12, 2024, which indicates that as of September 30, 2024, Vanguard beneficially owned 10,244,103 shares of common stock, with shared voting power with respect to 80,703 shares of common stock, sole dispositive power with respect to 10,079,275 shares of common stock, and shared dispositive power with respect to 164,828 shares of common stock. According to its most recent Schedule 13G/A filed with the SEC on March 27, 2026, Vanguard reported that it beneficially owns zero shares of the Company’s common stock following an internal realignment. Vanguard also stated that certain subsidiaries or business divisions that formerly had, or were deemed to have, beneficial ownership with Vanguard, will report beneficial ownership separately (on a disaggregated basis).</w:t>
      </w:r>
    </w:p>
    <w:p>
      <w:pPr>
        <w:spacing w:after="0" w:line="77" w:lineRule="exact"/>
        <w:rPr>
          <w:rFonts w:ascii="Arial" w:cs="Arial" w:eastAsia="Arial" w:hAnsi="Arial"/>
          <w:sz w:val="14"/>
          <w:szCs w:val="14"/>
          <w:color w:val="auto"/>
        </w:rPr>
      </w:pPr>
    </w:p>
    <w:p>
      <w:pPr>
        <w:jc w:val="both"/>
        <w:ind w:left="360" w:right="20" w:hanging="348"/>
        <w:spacing w:after="0" w:line="250"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a Schedule 13G/A filed by Wellington Management Group LLP (“Wellington”) with the Securities and Exchange Commission on February 10, 2026. Wellington reported that it has shared voting power with respect to 2,760,987 shares of common stock and shared dispositive power with respect to 5,783,699 shares of common stock. Wellington reported no sole voting power and no sole dispositive power with respect to such shares. The shares reported are held by multiple advisory clients and investment funds managed by Wellington and its affiliated entities. Wellington disclaims beneficial ownership of such shares except to the extent of its pecuniary interest therein.</w:t>
      </w:r>
    </w:p>
    <w:p>
      <w:pPr>
        <w:spacing w:after="0" w:line="241" w:lineRule="exact"/>
        <w:rPr>
          <w:rFonts w:ascii="Arial" w:cs="Arial" w:eastAsia="Arial" w:hAnsi="Arial"/>
          <w:sz w:val="14"/>
          <w:szCs w:val="14"/>
          <w:color w:val="auto"/>
        </w:rPr>
      </w:pPr>
    </w:p>
    <w:p>
      <w:pPr>
        <w:jc w:val="both"/>
        <w:ind w:left="360" w:right="20" w:hanging="348"/>
        <w:spacing w:after="0" w:line="256"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a Schedule 13G filed by William Blair Investment Management, LLC (“William Blair”) with the SEC on November 12, 2025, which indicates that various persons have the right to receive or the power to direct the receipt of dividends from, or the proceeds from the sale of, these securities. William Blair reported that it has sole voting power with respect to 4,463,900 shares of common stock and sole dispositive power with respect to 4,896,516 shares of common stock.</w:t>
      </w:r>
    </w:p>
    <w:p>
      <w:pPr>
        <w:spacing w:after="0" w:line="69" w:lineRule="exact"/>
        <w:rPr>
          <w:rFonts w:ascii="Arial" w:cs="Arial" w:eastAsia="Arial" w:hAnsi="Arial"/>
          <w:sz w:val="14"/>
          <w:szCs w:val="14"/>
          <w:color w:val="auto"/>
        </w:rPr>
      </w:pPr>
    </w:p>
    <w:p>
      <w:pPr>
        <w:ind w:left="360" w:hanging="348"/>
        <w:spacing w:after="0"/>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359,359 shares held by the Fahs Family Trust.</w:t>
      </w:r>
    </w:p>
    <w:p>
      <w:pPr>
        <w:spacing w:after="0" w:line="109" w:lineRule="exact"/>
        <w:rPr>
          <w:rFonts w:ascii="Arial" w:cs="Arial" w:eastAsia="Arial" w:hAnsi="Arial"/>
          <w:sz w:val="14"/>
          <w:szCs w:val="14"/>
          <w:color w:val="auto"/>
        </w:rPr>
      </w:pPr>
    </w:p>
    <w:p>
      <w:pPr>
        <w:ind w:left="360" w:right="20" w:hanging="348"/>
        <w:spacing w:after="0" w:line="285"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Ms. Rasmussen served as our Chief Financial Officer through March 31, 2025. Beneficial ownership is provided based on information previously provided to the Company and other publicly available information.</w:t>
      </w:r>
    </w:p>
    <w:p>
      <w:pPr>
        <w:spacing w:after="0" w:line="49" w:lineRule="exact"/>
        <w:rPr>
          <w:rFonts w:ascii="Arial" w:cs="Arial" w:eastAsia="Arial" w:hAnsi="Arial"/>
          <w:sz w:val="14"/>
          <w:szCs w:val="14"/>
          <w:color w:val="auto"/>
        </w:rPr>
      </w:pPr>
    </w:p>
    <w:p>
      <w:pPr>
        <w:ind w:left="360" w:hanging="348"/>
        <w:spacing w:after="0"/>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207,880 shares held by The David Randolph Peeler Trust—2001.</w:t>
      </w:r>
    </w:p>
    <w:p>
      <w:pPr>
        <w:spacing w:after="0" w:line="84" w:lineRule="exact"/>
        <w:rPr>
          <w:sz w:val="20"/>
          <w:szCs w:val="20"/>
          <w:color w:val="auto"/>
        </w:rPr>
      </w:pPr>
    </w:p>
    <w:p>
      <w:pPr>
        <w:ind w:left="360" w:hanging="346"/>
        <w:spacing w:after="0"/>
        <w:tabs>
          <w:tab w:leader="none" w:pos="360" w:val="left"/>
        </w:tabs>
        <w:numPr>
          <w:ilvl w:val="0"/>
          <w:numId w:val="86"/>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145415</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75" w:name="page76"/>
    <w:bookmarkEnd w:id="75"/>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FFFFFF"/>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231" w:lineRule="exact"/>
        <w:rPr>
          <w:sz w:val="20"/>
          <w:szCs w:val="20"/>
          <w:color w:val="auto"/>
        </w:rPr>
      </w:pPr>
    </w:p>
    <w:p>
      <w:pPr>
        <w:ind w:left="940"/>
        <w:spacing w:after="0"/>
        <w:rPr>
          <w:sz w:val="20"/>
          <w:szCs w:val="20"/>
          <w:color w:val="auto"/>
        </w:rPr>
      </w:pPr>
      <w:r>
        <w:rPr>
          <w:rFonts w:ascii="Arial" w:cs="Arial" w:eastAsia="Arial" w:hAnsi="Arial"/>
          <w:sz w:val="40"/>
          <w:szCs w:val="40"/>
          <w:b w:val="1"/>
          <w:bCs w:val="1"/>
          <w:color w:val="3465B0"/>
        </w:rPr>
        <w:t>Audit Committee Matters</w:t>
      </w:r>
    </w:p>
    <w:p>
      <w:pPr>
        <w:spacing w:after="0" w:line="194" w:lineRule="exact"/>
        <w:rPr>
          <w:sz w:val="20"/>
          <w:szCs w:val="20"/>
          <w:color w:val="auto"/>
        </w:rPr>
      </w:pPr>
    </w:p>
    <w:p>
      <w:pPr>
        <w:ind w:left="940" w:right="1180"/>
        <w:spacing w:after="0" w:line="266" w:lineRule="auto"/>
        <w:rPr>
          <w:sz w:val="20"/>
          <w:szCs w:val="20"/>
          <w:color w:val="auto"/>
        </w:rPr>
      </w:pPr>
      <w:r>
        <w:rPr>
          <w:rFonts w:ascii="Arial" w:cs="Arial" w:eastAsia="Arial" w:hAnsi="Arial"/>
          <w:sz w:val="32"/>
          <w:szCs w:val="32"/>
          <w:color w:val="auto"/>
        </w:rPr>
        <w:t>Proposal 3—Ratification of the Appointment of Deloitte &amp; Touche LLP as our Independent Registered Public Accounting Firm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36195</wp:posOffset>
            </wp:positionV>
            <wp:extent cx="5807710" cy="9728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07710" cy="972820"/>
                    </a:xfrm>
                    <a:prstGeom prst="rect">
                      <a:avLst/>
                    </a:prstGeom>
                    <a:noFill/>
                  </pic:spPr>
                </pic:pic>
              </a:graphicData>
            </a:graphic>
          </wp:anchor>
        </w:drawing>
      </w:r>
    </w:p>
    <w:p>
      <w:pPr>
        <w:spacing w:after="0" w:line="201"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FFFFFF"/>
        </w:rPr>
        <w:t>The Board recommends that you vote “FOR” Proposal 3.</w:t>
      </w:r>
    </w:p>
    <w:p>
      <w:pPr>
        <w:spacing w:after="0" w:line="103"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1080" w:type="dxa"/>
            <w:vAlign w:val="bottom"/>
          </w:tcPr>
          <w:p>
            <w:pPr>
              <w:ind w:left="80"/>
              <w:spacing w:after="0"/>
              <w:rPr>
                <w:sz w:val="20"/>
                <w:szCs w:val="20"/>
                <w:color w:val="auto"/>
              </w:rPr>
            </w:pPr>
            <w:r>
              <w:rPr>
                <w:rFonts w:ascii="Arial" w:cs="Arial" w:eastAsia="Arial" w:hAnsi="Arial"/>
                <w:sz w:val="18"/>
                <w:szCs w:val="18"/>
                <w:b w:val="1"/>
                <w:bCs w:val="1"/>
                <w:color w:val="3465B0"/>
              </w:rPr>
              <w:t>W</w:t>
            </w:r>
            <w:r>
              <w:rPr>
                <w:rFonts w:ascii="Arial" w:cs="Arial" w:eastAsia="Arial" w:hAnsi="Arial"/>
                <w:sz w:val="12"/>
                <w:szCs w:val="12"/>
                <w:b w:val="1"/>
                <w:bCs w:val="1"/>
                <w:color w:val="3465B0"/>
              </w:rPr>
              <w:t>hat</w:t>
            </w:r>
            <w:r>
              <w:rPr>
                <w:rFonts w:ascii="Arial" w:cs="Arial" w:eastAsia="Arial" w:hAnsi="Arial"/>
                <w:sz w:val="18"/>
                <w:szCs w:val="18"/>
                <w:b w:val="1"/>
                <w:bCs w:val="1"/>
                <w:color w:val="3465B0"/>
              </w:rPr>
              <w:t xml:space="preserve"> A</w:t>
            </w:r>
            <w:r>
              <w:rPr>
                <w:rFonts w:ascii="Arial" w:cs="Arial" w:eastAsia="Arial" w:hAnsi="Arial"/>
                <w:sz w:val="12"/>
                <w:szCs w:val="12"/>
                <w:b w:val="1"/>
                <w:bCs w:val="1"/>
                <w:color w:val="3465B0"/>
              </w:rPr>
              <w:t>m</w:t>
            </w:r>
            <w:r>
              <w:rPr>
                <w:rFonts w:ascii="Arial" w:cs="Arial" w:eastAsia="Arial" w:hAnsi="Arial"/>
                <w:sz w:val="18"/>
                <w:szCs w:val="18"/>
                <w:b w:val="1"/>
                <w:bCs w:val="1"/>
                <w:color w:val="3465B0"/>
              </w:rPr>
              <w:t xml:space="preserve"> I</w:t>
            </w:r>
          </w:p>
        </w:tc>
        <w:tc>
          <w:tcPr>
            <w:tcW w:w="8040" w:type="dxa"/>
            <w:vAlign w:val="bottom"/>
          </w:tcPr>
          <w:p>
            <w:pPr>
              <w:ind w:left="160"/>
              <w:spacing w:after="0"/>
              <w:rPr>
                <w:sz w:val="20"/>
                <w:szCs w:val="20"/>
                <w:color w:val="auto"/>
              </w:rPr>
            </w:pPr>
            <w:r>
              <w:rPr>
                <w:rFonts w:ascii="Arial" w:cs="Arial" w:eastAsia="Arial" w:hAnsi="Arial"/>
                <w:sz w:val="18"/>
                <w:szCs w:val="18"/>
                <w:color w:val="auto"/>
              </w:rPr>
              <w:t>Stockholders are being asked to ratify the appointment of Deloitte &amp; Touche LLP to serve as the</w:t>
            </w:r>
          </w:p>
        </w:tc>
      </w:tr>
      <w:tr>
        <w:trPr>
          <w:trHeight w:val="247"/>
        </w:trPr>
        <w:tc>
          <w:tcPr>
            <w:tcW w:w="1080" w:type="dxa"/>
            <w:vAlign w:val="bottom"/>
          </w:tcPr>
          <w:p>
            <w:pPr>
              <w:ind w:left="80"/>
              <w:spacing w:after="0"/>
              <w:rPr>
                <w:sz w:val="20"/>
                <w:szCs w:val="20"/>
                <w:color w:val="auto"/>
              </w:rPr>
            </w:pPr>
            <w:r>
              <w:rPr>
                <w:rFonts w:ascii="Arial" w:cs="Arial" w:eastAsia="Arial" w:hAnsi="Arial"/>
                <w:sz w:val="18"/>
                <w:szCs w:val="18"/>
                <w:b w:val="1"/>
                <w:bCs w:val="1"/>
                <w:color w:val="3465B0"/>
              </w:rPr>
              <w:t>V</w:t>
            </w:r>
            <w:r>
              <w:rPr>
                <w:rFonts w:ascii="Arial" w:cs="Arial" w:eastAsia="Arial" w:hAnsi="Arial"/>
                <w:sz w:val="12"/>
                <w:szCs w:val="12"/>
                <w:b w:val="1"/>
                <w:bCs w:val="1"/>
                <w:color w:val="3465B0"/>
              </w:rPr>
              <w:t>oting on</w:t>
            </w:r>
            <w:r>
              <w:rPr>
                <w:rFonts w:ascii="Arial" w:cs="Arial" w:eastAsia="Arial" w:hAnsi="Arial"/>
                <w:sz w:val="18"/>
                <w:szCs w:val="18"/>
                <w:b w:val="1"/>
                <w:bCs w:val="1"/>
                <w:color w:val="3465B0"/>
              </w:rPr>
              <w:t>?</w:t>
            </w:r>
          </w:p>
        </w:tc>
        <w:tc>
          <w:tcPr>
            <w:tcW w:w="8040" w:type="dxa"/>
            <w:vAlign w:val="bottom"/>
          </w:tcPr>
          <w:p>
            <w:pPr>
              <w:ind w:left="160"/>
              <w:spacing w:after="0"/>
              <w:rPr>
                <w:sz w:val="20"/>
                <w:szCs w:val="20"/>
                <w:color w:val="auto"/>
              </w:rPr>
            </w:pPr>
            <w:r>
              <w:rPr>
                <w:rFonts w:ascii="Arial" w:cs="Arial" w:eastAsia="Arial" w:hAnsi="Arial"/>
                <w:sz w:val="18"/>
                <w:szCs w:val="18"/>
                <w:color w:val="auto"/>
              </w:rPr>
              <w:t>Company’s independent registered public accounting firm for fiscal 2026.  </w:t>
            </w:r>
          </w:p>
        </w:tc>
      </w:tr>
      <w:tr>
        <w:trPr>
          <w:trHeight w:val="28"/>
        </w:trPr>
        <w:tc>
          <w:tcPr>
            <w:tcW w:w="1080" w:type="dxa"/>
            <w:vAlign w:val="bottom"/>
            <w:tcBorders>
              <w:bottom w:val="single" w:sz="8" w:color="auto"/>
            </w:tcBorders>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r>
      <w:tr>
        <w:trPr>
          <w:trHeight w:val="218"/>
        </w:trPr>
        <w:tc>
          <w:tcPr>
            <w:tcW w:w="1080" w:type="dxa"/>
            <w:vAlign w:val="bottom"/>
          </w:tcPr>
          <w:p>
            <w:pPr>
              <w:ind w:left="80"/>
              <w:spacing w:after="0"/>
              <w:rPr>
                <w:sz w:val="20"/>
                <w:szCs w:val="20"/>
                <w:color w:val="auto"/>
              </w:rPr>
            </w:pPr>
            <w:r>
              <w:rPr>
                <w:rFonts w:ascii="Arial" w:cs="Arial" w:eastAsia="Arial" w:hAnsi="Arial"/>
                <w:sz w:val="18"/>
                <w:szCs w:val="18"/>
                <w:b w:val="1"/>
                <w:bCs w:val="1"/>
                <w:color w:val="3465B0"/>
              </w:rPr>
              <w:t>V</w:t>
            </w:r>
            <w:r>
              <w:rPr>
                <w:rFonts w:ascii="Arial" w:cs="Arial" w:eastAsia="Arial" w:hAnsi="Arial"/>
                <w:sz w:val="12"/>
                <w:szCs w:val="12"/>
                <w:b w:val="1"/>
                <w:bCs w:val="1"/>
                <w:color w:val="3465B0"/>
              </w:rPr>
              <w:t>ote</w:t>
            </w:r>
          </w:p>
        </w:tc>
        <w:tc>
          <w:tcPr>
            <w:tcW w:w="8040" w:type="dxa"/>
            <w:vAlign w:val="bottom"/>
          </w:tcPr>
          <w:p>
            <w:pPr>
              <w:ind w:left="160"/>
              <w:spacing w:after="0"/>
              <w:rPr>
                <w:sz w:val="20"/>
                <w:szCs w:val="20"/>
                <w:color w:val="auto"/>
              </w:rPr>
            </w:pPr>
            <w:r>
              <w:rPr>
                <w:rFonts w:ascii="Arial" w:cs="Arial" w:eastAsia="Arial" w:hAnsi="Arial"/>
                <w:sz w:val="18"/>
                <w:szCs w:val="18"/>
                <w:color w:val="auto"/>
              </w:rPr>
              <w:t>The proposal must be approved by a majority of the voting power of the shares of stock present</w:t>
            </w:r>
          </w:p>
        </w:tc>
      </w:tr>
      <w:tr>
        <w:trPr>
          <w:trHeight w:val="247"/>
        </w:trPr>
        <w:tc>
          <w:tcPr>
            <w:tcW w:w="1080" w:type="dxa"/>
            <w:vAlign w:val="bottom"/>
          </w:tcPr>
          <w:p>
            <w:pPr>
              <w:ind w:left="80"/>
              <w:spacing w:after="0"/>
              <w:rPr>
                <w:sz w:val="20"/>
                <w:szCs w:val="20"/>
                <w:color w:val="auto"/>
              </w:rPr>
            </w:pPr>
            <w:r>
              <w:rPr>
                <w:rFonts w:ascii="Arial" w:cs="Arial" w:eastAsia="Arial" w:hAnsi="Arial"/>
                <w:sz w:val="18"/>
                <w:szCs w:val="18"/>
                <w:b w:val="1"/>
                <w:bCs w:val="1"/>
                <w:color w:val="3465B0"/>
              </w:rPr>
              <w:t>R</w:t>
            </w:r>
            <w:r>
              <w:rPr>
                <w:rFonts w:ascii="Arial" w:cs="Arial" w:eastAsia="Arial" w:hAnsi="Arial"/>
                <w:sz w:val="12"/>
                <w:szCs w:val="12"/>
                <w:b w:val="1"/>
                <w:bCs w:val="1"/>
                <w:color w:val="3465B0"/>
              </w:rPr>
              <w:t>equired</w:t>
            </w:r>
          </w:p>
        </w:tc>
        <w:tc>
          <w:tcPr>
            <w:tcW w:w="8040" w:type="dxa"/>
            <w:vAlign w:val="bottom"/>
          </w:tcPr>
          <w:p>
            <w:pPr>
              <w:ind w:left="160"/>
              <w:spacing w:after="0"/>
              <w:rPr>
                <w:sz w:val="20"/>
                <w:szCs w:val="20"/>
                <w:color w:val="auto"/>
              </w:rPr>
            </w:pPr>
            <w:r>
              <w:rPr>
                <w:rFonts w:ascii="Arial" w:cs="Arial" w:eastAsia="Arial" w:hAnsi="Arial"/>
                <w:sz w:val="18"/>
                <w:szCs w:val="18"/>
                <w:color w:val="auto"/>
              </w:rPr>
              <w:t>in person or represented by proxy and entitled to vote on the subject matter.</w:t>
            </w:r>
          </w:p>
        </w:tc>
      </w:tr>
    </w:tbl>
    <w:p>
      <w:pPr>
        <w:spacing w:after="0" w:line="315"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Background</w:t>
      </w:r>
    </w:p>
    <w:p>
      <w:pPr>
        <w:spacing w:after="0" w:line="139"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The audit committee has sole authority and direct responsibility to appoint, hire, evaluate and, if appropriate, replace the Company’s independent registered public accounting firm. The audit committee has selected Deloitte &amp; Touche LLP (“Deloitte”) to serve as our independent registered public accounting firm for fiscal 2026.</w:t>
      </w:r>
    </w:p>
    <w:p>
      <w:pPr>
        <w:spacing w:after="0" w:line="88"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Each year the audit committee evaluates the qualifications and performance of the Company’s independent registered public accountants and determines whether to re-engage the current independent registered public accounting firm. In connection with the committee’s assessment, Deloitte makes an annual presentation to the audit committee regarding the services it provides, and our chief financial officer provides the committee with his assessment of the firm’s performance. In addition, when evaluating whether to continue to retain Deloitte, the audit committee assesses the factors described in “Audit Committee Report” below. Based on this evaluation, the audit committee believes the continued retention of Deloitte is in the best interests of the Company and its stockholders.</w:t>
      </w:r>
    </w:p>
    <w:p>
      <w:pPr>
        <w:spacing w:after="0" w:line="117"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One or more representatives of Deloitte are expected to be present at the Annual Meeting, will be available to respond to appropriate questions from stockholders and will have an opportunity to make a statement if desired.</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Reason for the Proposal</w:t>
      </w:r>
    </w:p>
    <w:p>
      <w:pPr>
        <w:spacing w:after="0" w:line="126"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Although ratification is not required by our Bylaws or otherwise, the Board is submitting its selection to our stockholders for ratification as a matter of good corporate governance and because we value our stockholders’ views on the Company’s independent registered public accounting firm.</w:t>
      </w:r>
    </w:p>
    <w:p>
      <w:pPr>
        <w:spacing w:after="0" w:line="101"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53975</wp:posOffset>
            </wp:positionV>
            <wp:extent cx="205740" cy="2057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69</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Audit and Non-Audit Fees</w:t>
      </w:r>
    </w:p>
    <w:p>
      <w:pPr>
        <w:spacing w:after="0" w:line="139"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following table presents the aggregate fees billed for professional services rendered by our independent registered public accounting firm, Deloitte &amp; Touche LLP during the 2025 and 2024 fiscal years.</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558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220" w:type="dxa"/>
            <w:vAlign w:val="bottom"/>
            <w:tcBorders>
              <w:top w:val="single" w:sz="8" w:color="3465B0"/>
            </w:tcBorders>
            <w:shd w:val="clear" w:color="auto" w:fill="3465B0"/>
          </w:tcPr>
          <w:p>
            <w:pPr>
              <w:spacing w:after="0"/>
              <w:rPr>
                <w:sz w:val="24"/>
                <w:szCs w:val="24"/>
                <w:color w:val="auto"/>
              </w:rPr>
            </w:pPr>
          </w:p>
        </w:tc>
        <w:tc>
          <w:tcPr>
            <w:tcW w:w="1660" w:type="dxa"/>
            <w:vAlign w:val="bottom"/>
            <w:tcBorders>
              <w:top w:val="single" w:sz="8" w:color="3465B0"/>
              <w:right w:val="single" w:sz="8" w:color="93A1D2"/>
            </w:tcBorders>
            <w:gridSpan w:val="2"/>
            <w:shd w:val="clear" w:color="auto" w:fill="3465B0"/>
          </w:tcPr>
          <w:p>
            <w:pPr>
              <w:jc w:val="right"/>
              <w:ind w:right="170"/>
              <w:spacing w:after="0"/>
              <w:rPr>
                <w:sz w:val="20"/>
                <w:szCs w:val="20"/>
                <w:color w:val="auto"/>
              </w:rPr>
            </w:pPr>
            <w:r>
              <w:rPr>
                <w:rFonts w:ascii="Arial" w:cs="Arial" w:eastAsia="Arial" w:hAnsi="Arial"/>
                <w:sz w:val="18"/>
                <w:szCs w:val="18"/>
                <w:b w:val="1"/>
                <w:bCs w:val="1"/>
                <w:color w:val="FFFFFF"/>
                <w:w w:val="98"/>
              </w:rPr>
              <w:t>Fiscal Year 2025</w:t>
            </w:r>
          </w:p>
        </w:tc>
        <w:tc>
          <w:tcPr>
            <w:tcW w:w="200" w:type="dxa"/>
            <w:vAlign w:val="bottom"/>
            <w:tcBorders>
              <w:top w:val="single" w:sz="8" w:color="3465B0"/>
            </w:tcBorders>
            <w:shd w:val="clear" w:color="auto" w:fill="3465B0"/>
          </w:tcPr>
          <w:p>
            <w:pPr>
              <w:spacing w:after="0"/>
              <w:rPr>
                <w:sz w:val="24"/>
                <w:szCs w:val="24"/>
                <w:color w:val="auto"/>
              </w:rPr>
            </w:pPr>
          </w:p>
        </w:tc>
        <w:tc>
          <w:tcPr>
            <w:tcW w:w="1500" w:type="dxa"/>
            <w:vAlign w:val="bottom"/>
            <w:tcBorders>
              <w:top w:val="single" w:sz="8" w:color="3465B0"/>
              <w:right w:val="single" w:sz="8" w:color="3465B0"/>
            </w:tcBorders>
            <w:gridSpan w:val="2"/>
            <w:shd w:val="clear" w:color="auto" w:fill="3465B0"/>
          </w:tcPr>
          <w:p>
            <w:pPr>
              <w:jc w:val="right"/>
              <w:ind w:right="10"/>
              <w:spacing w:after="0"/>
              <w:rPr>
                <w:sz w:val="20"/>
                <w:szCs w:val="20"/>
                <w:color w:val="auto"/>
              </w:rPr>
            </w:pPr>
            <w:r>
              <w:rPr>
                <w:rFonts w:ascii="Arial" w:cs="Arial" w:eastAsia="Arial" w:hAnsi="Arial"/>
                <w:sz w:val="18"/>
                <w:szCs w:val="18"/>
                <w:b w:val="1"/>
                <w:bCs w:val="1"/>
                <w:color w:val="FFFFFF"/>
                <w:w w:val="98"/>
                <w:shd w:val="clear" w:color="auto" w:fill="3465B0"/>
              </w:rPr>
              <w:t>Fiscal Year 2024</w:t>
            </w:r>
          </w:p>
        </w:tc>
      </w:tr>
      <w:tr>
        <w:trPr>
          <w:trHeight w:val="310"/>
        </w:trPr>
        <w:tc>
          <w:tcPr>
            <w:tcW w:w="5580" w:type="dxa"/>
            <w:vAlign w:val="bottom"/>
            <w:tcBorders>
              <w:left w:val="single" w:sz="8" w:color="3465B0"/>
              <w:right w:val="single" w:sz="8" w:color="93A1D2"/>
            </w:tcBorders>
          </w:tcPr>
          <w:p>
            <w:pPr>
              <w:ind w:left="100"/>
              <w:spacing w:after="0" w:line="310"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93A1D2"/>
            </w:tcBorders>
          </w:tcPr>
          <w:p>
            <w:pPr>
              <w:jc w:val="right"/>
              <w:ind w:right="230"/>
              <w:spacing w:after="0"/>
              <w:rPr>
                <w:sz w:val="20"/>
                <w:szCs w:val="20"/>
                <w:color w:val="auto"/>
              </w:rPr>
            </w:pPr>
            <w:r>
              <w:rPr>
                <w:rFonts w:ascii="Arial" w:cs="Arial" w:eastAsia="Arial" w:hAnsi="Arial"/>
                <w:sz w:val="18"/>
                <w:szCs w:val="18"/>
                <w:color w:val="auto"/>
                <w:w w:val="97"/>
              </w:rPr>
              <w:t>2,330,055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w w:val="97"/>
              </w:rPr>
              <w:t>2,516,381</w:t>
            </w:r>
          </w:p>
        </w:tc>
      </w:tr>
      <w:tr>
        <w:trPr>
          <w:trHeight w:val="311"/>
        </w:trPr>
        <w:tc>
          <w:tcPr>
            <w:tcW w:w="5580" w:type="dxa"/>
            <w:vAlign w:val="bottom"/>
            <w:tcBorders>
              <w:left w:val="single" w:sz="8" w:color="3465B0"/>
              <w:right w:val="single" w:sz="8" w:color="93A1D2"/>
            </w:tcBorders>
            <w:shd w:val="clear" w:color="auto" w:fill="CCCCCC"/>
          </w:tcPr>
          <w:p>
            <w:pPr>
              <w:ind w:left="100"/>
              <w:spacing w:after="0" w:line="310"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220" w:type="dxa"/>
            <w:vAlign w:val="bottom"/>
            <w:shd w:val="clear" w:color="auto" w:fill="CCCCCC"/>
          </w:tcPr>
          <w:p>
            <w:pPr>
              <w:spacing w:after="0"/>
              <w:rPr>
                <w:sz w:val="24"/>
                <w:szCs w:val="24"/>
                <w:color w:val="auto"/>
              </w:rPr>
            </w:pPr>
          </w:p>
        </w:tc>
        <w:tc>
          <w:tcPr>
            <w:tcW w:w="540" w:type="dxa"/>
            <w:vAlign w:val="bottom"/>
            <w:shd w:val="clear" w:color="auto" w:fill="CCCCCC"/>
          </w:tcPr>
          <w:p>
            <w:pPr>
              <w:spacing w:after="0"/>
              <w:rPr>
                <w:sz w:val="24"/>
                <w:szCs w:val="24"/>
                <w:color w:val="auto"/>
              </w:rPr>
            </w:pPr>
          </w:p>
        </w:tc>
        <w:tc>
          <w:tcPr>
            <w:tcW w:w="1120" w:type="dxa"/>
            <w:vAlign w:val="bottom"/>
            <w:tcBorders>
              <w:right w:val="single" w:sz="8" w:color="93A1D2"/>
            </w:tcBorders>
            <w:shd w:val="clear" w:color="auto" w:fill="CCCCCC"/>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3465B0"/>
            </w:tcBorders>
            <w:shd w:val="clear" w:color="auto" w:fill="CCCCCC"/>
          </w:tcPr>
          <w:p>
            <w:pPr>
              <w:jc w:val="right"/>
              <w:ind w:right="10"/>
              <w:spacing w:after="0"/>
              <w:rPr>
                <w:sz w:val="20"/>
                <w:szCs w:val="20"/>
                <w:color w:val="auto"/>
              </w:rPr>
            </w:pPr>
            <w:r>
              <w:rPr>
                <w:rFonts w:ascii="Arial" w:cs="Arial" w:eastAsia="Arial" w:hAnsi="Arial"/>
                <w:sz w:val="18"/>
                <w:szCs w:val="18"/>
                <w:color w:val="auto"/>
              </w:rPr>
              <w:t>30,000</w:t>
            </w:r>
          </w:p>
        </w:tc>
      </w:tr>
      <w:tr>
        <w:trPr>
          <w:trHeight w:val="310"/>
        </w:trPr>
        <w:tc>
          <w:tcPr>
            <w:tcW w:w="5580" w:type="dxa"/>
            <w:vAlign w:val="bottom"/>
            <w:tcBorders>
              <w:left w:val="single" w:sz="8" w:color="3465B0"/>
              <w:right w:val="single" w:sz="8" w:color="93A1D2"/>
            </w:tcBorders>
          </w:tcPr>
          <w:p>
            <w:pPr>
              <w:ind w:left="100"/>
              <w:spacing w:after="0" w:line="310"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Borders>
              <w:right w:val="single" w:sz="8" w:color="93A1D2"/>
            </w:tcBorders>
          </w:tcPr>
          <w:p>
            <w:pPr>
              <w:jc w:val="right"/>
              <w:ind w:right="2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Borders>
              <w:right w:val="single" w:sz="8" w:color="3465B0"/>
            </w:tcBorders>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5580" w:type="dxa"/>
            <w:vAlign w:val="bottom"/>
            <w:tcBorders>
              <w:left w:val="single" w:sz="8" w:color="3465B0"/>
              <w:right w:val="single" w:sz="8" w:color="93A1D2"/>
            </w:tcBorders>
            <w:shd w:val="clear" w:color="auto" w:fill="CCCCCC"/>
          </w:tcPr>
          <w:p>
            <w:pPr>
              <w:ind w:left="100"/>
              <w:spacing w:after="0" w:line="310"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93A1D2"/>
            </w:tcBorders>
            <w:shd w:val="clear" w:color="auto" w:fill="CCCCCC"/>
          </w:tcPr>
          <w:p>
            <w:pPr>
              <w:jc w:val="right"/>
              <w:ind w:right="230"/>
              <w:spacing w:after="0"/>
              <w:rPr>
                <w:sz w:val="20"/>
                <w:szCs w:val="20"/>
                <w:color w:val="auto"/>
              </w:rPr>
            </w:pPr>
            <w:r>
              <w:rPr>
                <w:rFonts w:ascii="Arial" w:cs="Arial" w:eastAsia="Arial" w:hAnsi="Arial"/>
                <w:sz w:val="18"/>
                <w:szCs w:val="18"/>
                <w:color w:val="auto"/>
              </w:rPr>
              <w:t>23,290</w:t>
            </w:r>
          </w:p>
        </w:tc>
        <w:tc>
          <w:tcPr>
            <w:tcW w:w="8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241,888</w:t>
            </w:r>
          </w:p>
        </w:tc>
      </w:tr>
      <w:tr>
        <w:trPr>
          <w:trHeight w:val="240"/>
        </w:trPr>
        <w:tc>
          <w:tcPr>
            <w:tcW w:w="5580" w:type="dxa"/>
            <w:vAlign w:val="bottom"/>
            <w:tcBorders>
              <w:left w:val="single" w:sz="8" w:color="3465B0"/>
              <w:bottom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3465B0"/>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3465B0"/>
              <w:right w:val="single" w:sz="8" w:color="93A1D2"/>
            </w:tcBorders>
          </w:tcPr>
          <w:p>
            <w:pPr>
              <w:jc w:val="right"/>
              <w:ind w:right="230"/>
              <w:spacing w:after="0"/>
              <w:rPr>
                <w:sz w:val="20"/>
                <w:szCs w:val="20"/>
                <w:color w:val="auto"/>
              </w:rPr>
            </w:pPr>
            <w:r>
              <w:rPr>
                <w:rFonts w:ascii="Arial" w:cs="Arial" w:eastAsia="Arial" w:hAnsi="Arial"/>
                <w:sz w:val="18"/>
                <w:szCs w:val="18"/>
                <w:color w:val="auto"/>
                <w:w w:val="97"/>
              </w:rPr>
              <w:t>2,353,345</w:t>
            </w:r>
          </w:p>
        </w:tc>
        <w:tc>
          <w:tcPr>
            <w:tcW w:w="820" w:type="dxa"/>
            <w:vAlign w:val="bottom"/>
            <w:tcBorders>
              <w:bottom w:val="single" w:sz="8" w:color="3465B0"/>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3465B0"/>
              <w:right w:val="single" w:sz="8" w:color="3465B0"/>
            </w:tcBorders>
          </w:tcPr>
          <w:p>
            <w:pPr>
              <w:jc w:val="right"/>
              <w:spacing w:after="0"/>
              <w:rPr>
                <w:sz w:val="20"/>
                <w:szCs w:val="20"/>
                <w:color w:val="auto"/>
              </w:rPr>
            </w:pPr>
            <w:r>
              <w:rPr>
                <w:rFonts w:ascii="Arial" w:cs="Arial" w:eastAsia="Arial" w:hAnsi="Arial"/>
                <w:sz w:val="18"/>
                <w:szCs w:val="18"/>
                <w:color w:val="auto"/>
                <w:w w:val="97"/>
              </w:rPr>
              <w:t>2,788,269</w:t>
            </w:r>
          </w:p>
        </w:tc>
      </w:tr>
    </w:tbl>
    <w:p>
      <w:pPr>
        <w:spacing w:after="0" w:line="150" w:lineRule="exact"/>
        <w:rPr>
          <w:sz w:val="20"/>
          <w:szCs w:val="20"/>
          <w:color w:val="auto"/>
        </w:rPr>
      </w:pPr>
    </w:p>
    <w:p>
      <w:pPr>
        <w:ind w:left="360" w:right="20" w:hanging="348"/>
        <w:spacing w:after="0" w:line="285" w:lineRule="auto"/>
        <w:tabs>
          <w:tab w:leader="none" w:pos="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the aggregate fees for professional services rendered for the audit of the Company’s annual financial statements and the quarterly reviews of its financial statements, and assistance with documents filed with the SEC.</w:t>
      </w:r>
    </w:p>
    <w:p>
      <w:pPr>
        <w:spacing w:after="0" w:line="49" w:lineRule="exact"/>
        <w:rPr>
          <w:rFonts w:ascii="Arial" w:cs="Arial" w:eastAsia="Arial" w:hAnsi="Arial"/>
          <w:sz w:val="14"/>
          <w:szCs w:val="14"/>
          <w:color w:val="auto"/>
        </w:rPr>
      </w:pPr>
    </w:p>
    <w:p>
      <w:pPr>
        <w:ind w:left="360" w:hanging="348"/>
        <w:spacing w:after="0"/>
        <w:tabs>
          <w:tab w:leader="none" w:pos="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any aggregate fees for professional services performed in connection with the issuance of comfort letters.</w:t>
      </w:r>
    </w:p>
    <w:p>
      <w:pPr>
        <w:spacing w:after="0" w:line="109" w:lineRule="exact"/>
        <w:rPr>
          <w:rFonts w:ascii="Arial" w:cs="Arial" w:eastAsia="Arial" w:hAnsi="Arial"/>
          <w:sz w:val="14"/>
          <w:szCs w:val="14"/>
          <w:color w:val="auto"/>
        </w:rPr>
      </w:pPr>
    </w:p>
    <w:p>
      <w:pPr>
        <w:ind w:left="360" w:hanging="348"/>
        <w:spacing w:after="0"/>
        <w:tabs>
          <w:tab w:leader="none" w:pos="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any aggregate fees for professional services rendered for tax compliance, and tax consultation and planning.</w:t>
      </w:r>
    </w:p>
    <w:p>
      <w:pPr>
        <w:spacing w:after="0" w:line="109" w:lineRule="exact"/>
        <w:rPr>
          <w:rFonts w:ascii="Arial" w:cs="Arial" w:eastAsia="Arial" w:hAnsi="Arial"/>
          <w:sz w:val="14"/>
          <w:szCs w:val="14"/>
          <w:color w:val="auto"/>
        </w:rPr>
      </w:pPr>
    </w:p>
    <w:p>
      <w:pPr>
        <w:ind w:left="360" w:hanging="348"/>
        <w:spacing w:after="0"/>
        <w:tabs>
          <w:tab w:leader="none" w:pos="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advisory services in connection with ERP implementation.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55"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audit committee operates pursuant to a charter which is reviewed annually by the audit committee. Additionally, a brief description of the primary responsibilities of the audit committee is included in this proxy statement under “Corporate Governance Matters—Board Committees—Audit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13"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60" w:lineRule="exact"/>
        <w:rPr>
          <w:sz w:val="20"/>
          <w:szCs w:val="20"/>
          <w:color w:val="auto"/>
        </w:rPr>
      </w:pPr>
    </w:p>
    <w:p>
      <w:pPr>
        <w:ind w:left="360" w:hanging="346"/>
        <w:spacing w:after="0"/>
        <w:tabs>
          <w:tab w:leader="none" w:pos="360" w:val="left"/>
        </w:tabs>
        <w:numPr>
          <w:ilvl w:val="0"/>
          <w:numId w:val="88"/>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77" w:name="page78"/>
    <w:bookmarkEnd w:id="77"/>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FFFFFF"/>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jc w:val="both"/>
        <w:ind w:left="940" w:right="940"/>
        <w:spacing w:after="0" w:line="253"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January 3, 2026, filed with the SEC.</w:t>
      </w:r>
    </w:p>
    <w:p>
      <w:pPr>
        <w:spacing w:after="0" w:line="12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Audit Committee</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Susan O’Farrell, Chair</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Naomi Kelman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106045</wp:posOffset>
            </wp:positionV>
            <wp:extent cx="205740" cy="2057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71</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IMPORTANT INFORMATION ABOUT VOTING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91" w:lineRule="exact"/>
        <w:rPr>
          <w:sz w:val="20"/>
          <w:szCs w:val="20"/>
          <w:color w:val="auto"/>
        </w:rPr>
      </w:pPr>
    </w:p>
    <w:p>
      <w:pPr>
        <w:jc w:val="both"/>
        <w:ind w:left="20"/>
        <w:spacing w:after="0" w:line="284" w:lineRule="auto"/>
        <w:rPr>
          <w:sz w:val="20"/>
          <w:szCs w:val="20"/>
          <w:color w:val="auto"/>
        </w:rPr>
      </w:pPr>
      <w:r>
        <w:rPr>
          <w:rFonts w:ascii="Arial" w:cs="Arial" w:eastAsia="Arial" w:hAnsi="Arial"/>
          <w:sz w:val="40"/>
          <w:szCs w:val="40"/>
          <w:b w:val="1"/>
          <w:bCs w:val="1"/>
          <w:color w:val="3465B0"/>
        </w:rPr>
        <w:t>Important Information About Voting at the Annual Meeting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Proposals to be Voted on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20" w:right="20"/>
        <w:spacing w:after="0" w:line="244" w:lineRule="auto"/>
        <w:rPr>
          <w:sz w:val="20"/>
          <w:szCs w:val="20"/>
          <w:color w:val="auto"/>
        </w:rPr>
      </w:pPr>
      <w:r>
        <w:rPr>
          <w:rFonts w:ascii="Arial" w:cs="Arial" w:eastAsia="Arial" w:hAnsi="Arial"/>
          <w:sz w:val="18"/>
          <w:szCs w:val="18"/>
          <w:color w:val="auto"/>
        </w:rPr>
        <w:t>There are three proposals scheduled to be voted on at the Annual Meeting. These proposals and our Board’s voting recommendations are set forth below. 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80" w:type="dxa"/>
            <w:vAlign w:val="bottom"/>
            <w:tcBorders>
              <w:top w:val="single" w:sz="8" w:color="3465B0"/>
              <w:left w:val="single" w:sz="8" w:color="3465B0"/>
            </w:tcBorders>
            <w:shd w:val="clear" w:color="auto" w:fill="3465B0"/>
          </w:tcPr>
          <w:p>
            <w:pPr>
              <w:spacing w:after="0"/>
              <w:rPr>
                <w:sz w:val="23"/>
                <w:szCs w:val="23"/>
                <w:color w:val="auto"/>
              </w:rPr>
            </w:pPr>
          </w:p>
        </w:tc>
        <w:tc>
          <w:tcPr>
            <w:tcW w:w="5920" w:type="dxa"/>
            <w:vAlign w:val="bottom"/>
            <w:tcBorders>
              <w:top w:val="single" w:sz="8" w:color="3465B0"/>
              <w:right w:val="single" w:sz="8" w:color="93A1D2"/>
            </w:tcBorders>
            <w:shd w:val="clear" w:color="auto" w:fill="3465B0"/>
          </w:tcPr>
          <w:p>
            <w:pPr>
              <w:spacing w:after="0"/>
              <w:rPr>
                <w:sz w:val="23"/>
                <w:szCs w:val="23"/>
                <w:color w:val="auto"/>
              </w:rPr>
            </w:pPr>
          </w:p>
        </w:tc>
        <w:tc>
          <w:tcPr>
            <w:tcW w:w="40" w:type="dxa"/>
            <w:vAlign w:val="bottom"/>
            <w:tcBorders>
              <w:top w:val="single" w:sz="8" w:color="3465B0"/>
            </w:tcBorders>
            <w:shd w:val="clear" w:color="auto" w:fill="3465B0"/>
          </w:tcPr>
          <w:p>
            <w:pPr>
              <w:spacing w:after="0"/>
              <w:rPr>
                <w:sz w:val="23"/>
                <w:szCs w:val="23"/>
                <w:color w:val="auto"/>
              </w:rPr>
            </w:pPr>
          </w:p>
        </w:tc>
        <w:tc>
          <w:tcPr>
            <w:tcW w:w="1800" w:type="dxa"/>
            <w:vAlign w:val="bottom"/>
            <w:tcBorders>
              <w:top w:val="single" w:sz="8" w:color="3465B0"/>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Board Vote</w:t>
            </w:r>
          </w:p>
        </w:tc>
        <w:tc>
          <w:tcPr>
            <w:tcW w:w="40" w:type="dxa"/>
            <w:vAlign w:val="bottom"/>
            <w:tcBorders>
              <w:top w:val="single" w:sz="8" w:color="3465B0"/>
            </w:tcBorders>
            <w:shd w:val="clear" w:color="auto" w:fill="3465B0"/>
          </w:tcPr>
          <w:p>
            <w:pPr>
              <w:spacing w:after="0"/>
              <w:rPr>
                <w:sz w:val="23"/>
                <w:szCs w:val="23"/>
                <w:color w:val="auto"/>
              </w:rPr>
            </w:pPr>
          </w:p>
        </w:tc>
        <w:tc>
          <w:tcPr>
            <w:tcW w:w="1280" w:type="dxa"/>
            <w:vAlign w:val="bottom"/>
            <w:tcBorders>
              <w:top w:val="single" w:sz="8" w:color="3465B0"/>
              <w:right w:val="single" w:sz="8" w:color="3465B0"/>
            </w:tcBorders>
            <w:gridSpan w:val="4"/>
            <w:shd w:val="clear" w:color="auto" w:fill="3465B0"/>
          </w:tcPr>
          <w:p>
            <w:pPr>
              <w:spacing w:after="0"/>
              <w:rPr>
                <w:sz w:val="20"/>
                <w:szCs w:val="20"/>
                <w:color w:val="auto"/>
              </w:rPr>
            </w:pPr>
            <w:r>
              <w:rPr>
                <w:rFonts w:ascii="Arial" w:cs="Arial" w:eastAsia="Arial" w:hAnsi="Arial"/>
                <w:sz w:val="18"/>
                <w:szCs w:val="18"/>
                <w:b w:val="1"/>
                <w:bCs w:val="1"/>
                <w:color w:val="FFFFFF"/>
              </w:rPr>
              <w:t>For Further</w:t>
            </w:r>
          </w:p>
        </w:tc>
      </w:tr>
      <w:tr>
        <w:trPr>
          <w:trHeight w:val="262"/>
        </w:trPr>
        <w:tc>
          <w:tcPr>
            <w:tcW w:w="80" w:type="dxa"/>
            <w:vAlign w:val="bottom"/>
            <w:tcBorders>
              <w:left w:val="single" w:sz="8" w:color="3465B0"/>
            </w:tcBorders>
            <w:shd w:val="clear" w:color="auto" w:fill="3465B0"/>
          </w:tcPr>
          <w:p>
            <w:pPr>
              <w:spacing w:after="0"/>
              <w:rPr>
                <w:sz w:val="22"/>
                <w:szCs w:val="22"/>
                <w:color w:val="auto"/>
              </w:rPr>
            </w:pPr>
          </w:p>
        </w:tc>
        <w:tc>
          <w:tcPr>
            <w:tcW w:w="5920" w:type="dxa"/>
            <w:vAlign w:val="bottom"/>
            <w:tcBorders>
              <w:right w:val="single" w:sz="8" w:color="93A1D2"/>
            </w:tcBorders>
            <w:shd w:val="clear" w:color="auto" w:fill="3465B0"/>
          </w:tcPr>
          <w:p>
            <w:pPr>
              <w:ind w:left="40"/>
              <w:spacing w:after="0"/>
              <w:rPr>
                <w:sz w:val="20"/>
                <w:szCs w:val="20"/>
                <w:color w:val="auto"/>
              </w:rPr>
            </w:pPr>
            <w:r>
              <w:rPr>
                <w:rFonts w:ascii="Arial" w:cs="Arial" w:eastAsia="Arial" w:hAnsi="Arial"/>
                <w:sz w:val="18"/>
                <w:szCs w:val="18"/>
                <w:b w:val="1"/>
                <w:bCs w:val="1"/>
                <w:color w:val="FFFFFF"/>
              </w:rPr>
              <w:t>Company Proposals</w:t>
            </w:r>
          </w:p>
        </w:tc>
        <w:tc>
          <w:tcPr>
            <w:tcW w:w="40" w:type="dxa"/>
            <w:vAlign w:val="bottom"/>
            <w:shd w:val="clear" w:color="auto" w:fill="3465B0"/>
          </w:tcPr>
          <w:p>
            <w:pPr>
              <w:spacing w:after="0"/>
              <w:rPr>
                <w:sz w:val="22"/>
                <w:szCs w:val="22"/>
                <w:color w:val="auto"/>
              </w:rPr>
            </w:pPr>
          </w:p>
        </w:tc>
        <w:tc>
          <w:tcPr>
            <w:tcW w:w="1800" w:type="dxa"/>
            <w:vAlign w:val="bottom"/>
            <w:tcBorders>
              <w:right w:val="single" w:sz="8" w:color="93A1D2"/>
            </w:tcBorders>
            <w:shd w:val="clear" w:color="auto" w:fill="3465B0"/>
          </w:tcPr>
          <w:p>
            <w:pPr>
              <w:spacing w:after="0"/>
              <w:rPr>
                <w:sz w:val="20"/>
                <w:szCs w:val="20"/>
                <w:color w:val="auto"/>
              </w:rPr>
            </w:pPr>
            <w:r>
              <w:rPr>
                <w:rFonts w:ascii="Arial" w:cs="Arial" w:eastAsia="Arial" w:hAnsi="Arial"/>
                <w:sz w:val="18"/>
                <w:szCs w:val="18"/>
                <w:b w:val="1"/>
                <w:bCs w:val="1"/>
                <w:color w:val="FFFFFF"/>
              </w:rPr>
              <w:t>Recommendation</w:t>
            </w:r>
          </w:p>
        </w:tc>
        <w:tc>
          <w:tcPr>
            <w:tcW w:w="40" w:type="dxa"/>
            <w:vAlign w:val="bottom"/>
            <w:shd w:val="clear" w:color="auto" w:fill="3465B0"/>
          </w:tcPr>
          <w:p>
            <w:pPr>
              <w:spacing w:after="0"/>
              <w:rPr>
                <w:sz w:val="22"/>
                <w:szCs w:val="22"/>
                <w:color w:val="auto"/>
              </w:rPr>
            </w:pPr>
          </w:p>
        </w:tc>
        <w:tc>
          <w:tcPr>
            <w:tcW w:w="1280" w:type="dxa"/>
            <w:vAlign w:val="bottom"/>
            <w:tcBorders>
              <w:right w:val="single" w:sz="8" w:color="3465B0"/>
            </w:tcBorders>
            <w:gridSpan w:val="4"/>
            <w:shd w:val="clear" w:color="auto" w:fill="3465B0"/>
          </w:tcPr>
          <w:p>
            <w:pPr>
              <w:spacing w:after="0"/>
              <w:rPr>
                <w:sz w:val="20"/>
                <w:szCs w:val="20"/>
                <w:color w:val="auto"/>
              </w:rPr>
            </w:pPr>
            <w:r>
              <w:rPr>
                <w:rFonts w:ascii="Arial" w:cs="Arial" w:eastAsia="Arial" w:hAnsi="Arial"/>
                <w:sz w:val="18"/>
                <w:szCs w:val="18"/>
                <w:b w:val="1"/>
                <w:bCs w:val="1"/>
                <w:color w:val="FFFFFF"/>
              </w:rPr>
              <w:t>Details</w:t>
            </w:r>
          </w:p>
        </w:tc>
      </w:tr>
      <w:tr>
        <w:trPr>
          <w:trHeight w:val="203"/>
        </w:trPr>
        <w:tc>
          <w:tcPr>
            <w:tcW w:w="80" w:type="dxa"/>
            <w:vAlign w:val="bottom"/>
            <w:tcBorders>
              <w:left w:val="single" w:sz="8" w:color="3465B0"/>
            </w:tcBorders>
          </w:tcPr>
          <w:p>
            <w:pPr>
              <w:spacing w:after="0"/>
              <w:rPr>
                <w:sz w:val="17"/>
                <w:szCs w:val="17"/>
                <w:color w:val="auto"/>
              </w:rPr>
            </w:pPr>
          </w:p>
        </w:tc>
        <w:tc>
          <w:tcPr>
            <w:tcW w:w="5920" w:type="dxa"/>
            <w:vAlign w:val="bottom"/>
          </w:tcPr>
          <w:p>
            <w:pPr>
              <w:ind w:left="40"/>
              <w:spacing w:after="0" w:line="202" w:lineRule="exact"/>
              <w:rPr>
                <w:sz w:val="20"/>
                <w:szCs w:val="20"/>
                <w:color w:val="auto"/>
              </w:rPr>
            </w:pPr>
            <w:r>
              <w:rPr>
                <w:rFonts w:ascii="Arial" w:cs="Arial" w:eastAsia="Arial" w:hAnsi="Arial"/>
                <w:sz w:val="18"/>
                <w:szCs w:val="18"/>
                <w:b w:val="1"/>
                <w:bCs w:val="1"/>
                <w:color w:val="3465B0"/>
              </w:rPr>
              <w:t xml:space="preserve">Proposal 1:  </w:t>
            </w:r>
            <w:r>
              <w:rPr>
                <w:rFonts w:ascii="Arial" w:cs="Arial" w:eastAsia="Arial" w:hAnsi="Arial"/>
                <w:sz w:val="18"/>
                <w:szCs w:val="18"/>
                <w:color w:val="000000"/>
              </w:rPr>
              <w:t>Election of the eleven director nominees listed in this proxy</w:t>
            </w:r>
          </w:p>
        </w:tc>
        <w:tc>
          <w:tcPr>
            <w:tcW w:w="40" w:type="dxa"/>
            <w:vAlign w:val="bottom"/>
          </w:tcPr>
          <w:p>
            <w:pPr>
              <w:spacing w:after="0"/>
              <w:rPr>
                <w:sz w:val="17"/>
                <w:szCs w:val="17"/>
                <w:color w:val="auto"/>
              </w:rPr>
            </w:pPr>
          </w:p>
        </w:tc>
        <w:tc>
          <w:tcPr>
            <w:tcW w:w="1800" w:type="dxa"/>
            <w:vAlign w:val="bottom"/>
          </w:tcPr>
          <w:p>
            <w:pPr>
              <w:spacing w:after="0" w:line="202" w:lineRule="exact"/>
              <w:rPr>
                <w:sz w:val="20"/>
                <w:szCs w:val="20"/>
                <w:color w:val="auto"/>
              </w:rPr>
            </w:pPr>
            <w:r>
              <w:rPr>
                <w:rFonts w:ascii="Arial" w:cs="Arial" w:eastAsia="Arial" w:hAnsi="Arial"/>
                <w:sz w:val="18"/>
                <w:szCs w:val="18"/>
                <w:b w:val="1"/>
                <w:bCs w:val="1"/>
                <w:color w:val="3465B0"/>
              </w:rPr>
              <w:t>FOR</w:t>
            </w:r>
          </w:p>
        </w:tc>
        <w:tc>
          <w:tcPr>
            <w:tcW w:w="40" w:type="dxa"/>
            <w:vAlign w:val="bottom"/>
          </w:tcPr>
          <w:p>
            <w:pPr>
              <w:spacing w:after="0"/>
              <w:rPr>
                <w:sz w:val="17"/>
                <w:szCs w:val="17"/>
                <w:color w:val="auto"/>
              </w:rPr>
            </w:pPr>
          </w:p>
        </w:tc>
        <w:tc>
          <w:tcPr>
            <w:tcW w:w="1280" w:type="dxa"/>
            <w:vAlign w:val="bottom"/>
            <w:tcBorders>
              <w:right w:val="single" w:sz="8" w:color="3465B0"/>
            </w:tcBorders>
            <w:gridSpan w:val="4"/>
          </w:tcPr>
          <w:p>
            <w:pPr>
              <w:spacing w:after="0" w:line="202"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0000EE"/>
              </w:rPr>
              <w:t>8</w:t>
            </w:r>
          </w:p>
        </w:tc>
      </w:tr>
      <w:tr>
        <w:trPr>
          <w:trHeight w:val="232"/>
        </w:trPr>
        <w:tc>
          <w:tcPr>
            <w:tcW w:w="80" w:type="dxa"/>
            <w:vAlign w:val="bottom"/>
            <w:tcBorders>
              <w:left w:val="single" w:sz="8" w:color="3465B0"/>
              <w:bottom w:val="single" w:sz="8" w:color="808080"/>
            </w:tcBorders>
          </w:tcPr>
          <w:p>
            <w:pPr>
              <w:spacing w:after="0"/>
              <w:rPr>
                <w:sz w:val="20"/>
                <w:szCs w:val="20"/>
                <w:color w:val="auto"/>
              </w:rPr>
            </w:pPr>
          </w:p>
        </w:tc>
        <w:tc>
          <w:tcPr>
            <w:tcW w:w="5920" w:type="dxa"/>
            <w:vAlign w:val="bottom"/>
            <w:tcBorders>
              <w:bottom w:val="single" w:sz="8" w:color="808080"/>
            </w:tcBorders>
          </w:tcPr>
          <w:p>
            <w:pPr>
              <w:ind w:left="1160"/>
              <w:spacing w:after="0"/>
              <w:rPr>
                <w:sz w:val="20"/>
                <w:szCs w:val="20"/>
                <w:color w:val="auto"/>
              </w:rPr>
            </w:pPr>
            <w:r>
              <w:rPr>
                <w:rFonts w:ascii="Arial" w:cs="Arial" w:eastAsia="Arial" w:hAnsi="Arial"/>
                <w:sz w:val="18"/>
                <w:szCs w:val="18"/>
                <w:color w:val="auto"/>
              </w:rPr>
              <w:t>statement.</w:t>
            </w:r>
          </w:p>
        </w:tc>
        <w:tc>
          <w:tcPr>
            <w:tcW w:w="40" w:type="dxa"/>
            <w:vAlign w:val="bottom"/>
            <w:tcBorders>
              <w:bottom w:val="single" w:sz="8" w:color="808080"/>
            </w:tcBorders>
          </w:tcPr>
          <w:p>
            <w:pPr>
              <w:spacing w:after="0"/>
              <w:rPr>
                <w:sz w:val="20"/>
                <w:szCs w:val="20"/>
                <w:color w:val="auto"/>
              </w:rPr>
            </w:pPr>
          </w:p>
        </w:tc>
        <w:tc>
          <w:tcPr>
            <w:tcW w:w="180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all nominees</w:t>
            </w:r>
          </w:p>
        </w:tc>
        <w:tc>
          <w:tcPr>
            <w:tcW w:w="4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right w:val="single" w:sz="8" w:color="3465B0"/>
            </w:tcBorders>
          </w:tcPr>
          <w:p>
            <w:pPr>
              <w:spacing w:after="0"/>
              <w:rPr>
                <w:sz w:val="20"/>
                <w:szCs w:val="20"/>
                <w:color w:val="auto"/>
              </w:rPr>
            </w:pPr>
          </w:p>
        </w:tc>
      </w:tr>
      <w:tr>
        <w:trPr>
          <w:trHeight w:val="201"/>
        </w:trPr>
        <w:tc>
          <w:tcPr>
            <w:tcW w:w="80" w:type="dxa"/>
            <w:vAlign w:val="bottom"/>
            <w:tcBorders>
              <w:left w:val="single" w:sz="8" w:color="3465B0"/>
            </w:tcBorders>
          </w:tcPr>
          <w:p>
            <w:pPr>
              <w:spacing w:after="0"/>
              <w:rPr>
                <w:sz w:val="17"/>
                <w:szCs w:val="17"/>
                <w:color w:val="auto"/>
              </w:rPr>
            </w:pPr>
          </w:p>
        </w:tc>
        <w:tc>
          <w:tcPr>
            <w:tcW w:w="5920" w:type="dxa"/>
            <w:vAlign w:val="bottom"/>
          </w:tcPr>
          <w:p>
            <w:pPr>
              <w:ind w:left="40"/>
              <w:spacing w:after="0" w:line="201" w:lineRule="exact"/>
              <w:rPr>
                <w:sz w:val="20"/>
                <w:szCs w:val="20"/>
                <w:color w:val="auto"/>
              </w:rPr>
            </w:pPr>
            <w:r>
              <w:rPr>
                <w:rFonts w:ascii="Arial" w:cs="Arial" w:eastAsia="Arial" w:hAnsi="Arial"/>
                <w:sz w:val="18"/>
                <w:szCs w:val="18"/>
                <w:b w:val="1"/>
                <w:bCs w:val="1"/>
                <w:color w:val="3465B0"/>
              </w:rPr>
              <w:t xml:space="preserve">Proposal 2:  </w:t>
            </w:r>
            <w:r>
              <w:rPr>
                <w:rFonts w:ascii="Arial" w:cs="Arial" w:eastAsia="Arial" w:hAnsi="Arial"/>
                <w:sz w:val="18"/>
                <w:szCs w:val="18"/>
                <w:color w:val="000000"/>
              </w:rPr>
              <w:t>Advisory vote to approve the compensation of our named</w:t>
            </w:r>
          </w:p>
        </w:tc>
        <w:tc>
          <w:tcPr>
            <w:tcW w:w="4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b w:val="1"/>
                <w:bCs w:val="1"/>
                <w:color w:val="3465B0"/>
              </w:rPr>
              <w:t>FOR</w:t>
            </w:r>
          </w:p>
        </w:tc>
        <w:tc>
          <w:tcPr>
            <w:tcW w:w="40" w:type="dxa"/>
            <w:vAlign w:val="bottom"/>
          </w:tcPr>
          <w:p>
            <w:pPr>
              <w:spacing w:after="0"/>
              <w:rPr>
                <w:sz w:val="17"/>
                <w:szCs w:val="17"/>
                <w:color w:val="auto"/>
              </w:rPr>
            </w:pPr>
          </w:p>
        </w:tc>
        <w:tc>
          <w:tcPr>
            <w:tcW w:w="1280" w:type="dxa"/>
            <w:vAlign w:val="bottom"/>
            <w:tcBorders>
              <w:right w:val="single" w:sz="8" w:color="3465B0"/>
            </w:tcBorders>
            <w:gridSpan w:val="4"/>
          </w:tcPr>
          <w:p>
            <w:pPr>
              <w:spacing w:after="0" w:line="201"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0000EE"/>
              </w:rPr>
              <w:t>30</w:t>
            </w:r>
          </w:p>
        </w:tc>
      </w:tr>
      <w:tr>
        <w:trPr>
          <w:trHeight w:val="232"/>
        </w:trPr>
        <w:tc>
          <w:tcPr>
            <w:tcW w:w="80" w:type="dxa"/>
            <w:vAlign w:val="bottom"/>
            <w:tcBorders>
              <w:left w:val="single" w:sz="8" w:color="3465B0"/>
              <w:bottom w:val="single" w:sz="8" w:color="808080"/>
            </w:tcBorders>
          </w:tcPr>
          <w:p>
            <w:pPr>
              <w:spacing w:after="0"/>
              <w:rPr>
                <w:sz w:val="20"/>
                <w:szCs w:val="20"/>
                <w:color w:val="auto"/>
              </w:rPr>
            </w:pPr>
          </w:p>
        </w:tc>
        <w:tc>
          <w:tcPr>
            <w:tcW w:w="5920" w:type="dxa"/>
            <w:vAlign w:val="bottom"/>
            <w:tcBorders>
              <w:bottom w:val="single" w:sz="8" w:color="808080"/>
            </w:tcBorders>
          </w:tcPr>
          <w:p>
            <w:pPr>
              <w:ind w:left="1160"/>
              <w:spacing w:after="0"/>
              <w:rPr>
                <w:sz w:val="20"/>
                <w:szCs w:val="20"/>
                <w:color w:val="auto"/>
              </w:rPr>
            </w:pPr>
            <w:r>
              <w:rPr>
                <w:rFonts w:ascii="Arial" w:cs="Arial" w:eastAsia="Arial" w:hAnsi="Arial"/>
                <w:sz w:val="18"/>
                <w:szCs w:val="18"/>
                <w:color w:val="auto"/>
              </w:rPr>
              <w:t>executive officers (“Say-on-Pay”).</w:t>
            </w:r>
          </w:p>
        </w:tc>
        <w:tc>
          <w:tcPr>
            <w:tcW w:w="40" w:type="dxa"/>
            <w:vAlign w:val="bottom"/>
            <w:tcBorders>
              <w:bottom w:val="single" w:sz="8" w:color="808080"/>
            </w:tcBorders>
          </w:tcPr>
          <w:p>
            <w:pPr>
              <w:spacing w:after="0"/>
              <w:rPr>
                <w:sz w:val="20"/>
                <w:szCs w:val="20"/>
                <w:color w:val="auto"/>
              </w:rPr>
            </w:pPr>
          </w:p>
        </w:tc>
        <w:tc>
          <w:tcPr>
            <w:tcW w:w="180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600" w:type="dxa"/>
            <w:vAlign w:val="bottom"/>
            <w:tcBorders>
              <w:bottom w:val="single" w:sz="8" w:color="808080"/>
              <w:right w:val="single" w:sz="8" w:color="3465B0"/>
            </w:tcBorders>
          </w:tcPr>
          <w:p>
            <w:pPr>
              <w:spacing w:after="0"/>
              <w:rPr>
                <w:sz w:val="20"/>
                <w:szCs w:val="20"/>
                <w:color w:val="auto"/>
              </w:rPr>
            </w:pPr>
          </w:p>
        </w:tc>
      </w:tr>
      <w:tr>
        <w:trPr>
          <w:trHeight w:val="201"/>
        </w:trPr>
        <w:tc>
          <w:tcPr>
            <w:tcW w:w="80" w:type="dxa"/>
            <w:vAlign w:val="bottom"/>
            <w:tcBorders>
              <w:left w:val="single" w:sz="8" w:color="3465B0"/>
            </w:tcBorders>
          </w:tcPr>
          <w:p>
            <w:pPr>
              <w:spacing w:after="0"/>
              <w:rPr>
                <w:sz w:val="17"/>
                <w:szCs w:val="17"/>
                <w:color w:val="auto"/>
              </w:rPr>
            </w:pPr>
          </w:p>
        </w:tc>
        <w:tc>
          <w:tcPr>
            <w:tcW w:w="5920" w:type="dxa"/>
            <w:vAlign w:val="bottom"/>
            <w:tcBorders>
              <w:right w:val="single" w:sz="8" w:color="93A1D2"/>
            </w:tcBorders>
          </w:tcPr>
          <w:p>
            <w:pPr>
              <w:ind w:left="40"/>
              <w:spacing w:after="0" w:line="201" w:lineRule="exact"/>
              <w:rPr>
                <w:sz w:val="20"/>
                <w:szCs w:val="20"/>
                <w:color w:val="auto"/>
              </w:rPr>
            </w:pPr>
            <w:r>
              <w:rPr>
                <w:rFonts w:ascii="Arial" w:cs="Arial" w:eastAsia="Arial" w:hAnsi="Arial"/>
                <w:sz w:val="18"/>
                <w:szCs w:val="18"/>
                <w:b w:val="1"/>
                <w:bCs w:val="1"/>
                <w:color w:val="3465B0"/>
              </w:rPr>
              <w:t xml:space="preserve">Proposal 3:  </w:t>
            </w:r>
            <w:r>
              <w:rPr>
                <w:rFonts w:ascii="Arial" w:cs="Arial" w:eastAsia="Arial" w:hAnsi="Arial"/>
                <w:sz w:val="18"/>
                <w:szCs w:val="18"/>
                <w:color w:val="000000"/>
              </w:rPr>
              <w:t>Ratification of the appointment of Deloitte &amp; Touche LLP as</w:t>
            </w:r>
          </w:p>
        </w:tc>
        <w:tc>
          <w:tcPr>
            <w:tcW w:w="40" w:type="dxa"/>
            <w:vAlign w:val="bottom"/>
          </w:tcPr>
          <w:p>
            <w:pPr>
              <w:spacing w:after="0"/>
              <w:rPr>
                <w:sz w:val="17"/>
                <w:szCs w:val="17"/>
                <w:color w:val="auto"/>
              </w:rPr>
            </w:pPr>
          </w:p>
        </w:tc>
        <w:tc>
          <w:tcPr>
            <w:tcW w:w="1800" w:type="dxa"/>
            <w:vAlign w:val="bottom"/>
            <w:tcBorders>
              <w:right w:val="single" w:sz="8" w:color="93A1D2"/>
            </w:tcBorders>
          </w:tcPr>
          <w:p>
            <w:pPr>
              <w:spacing w:after="0" w:line="201" w:lineRule="exact"/>
              <w:rPr>
                <w:sz w:val="20"/>
                <w:szCs w:val="20"/>
                <w:color w:val="auto"/>
              </w:rPr>
            </w:pPr>
            <w:r>
              <w:rPr>
                <w:rFonts w:ascii="Arial" w:cs="Arial" w:eastAsia="Arial" w:hAnsi="Arial"/>
                <w:sz w:val="18"/>
                <w:szCs w:val="18"/>
                <w:b w:val="1"/>
                <w:bCs w:val="1"/>
                <w:color w:val="3465B0"/>
              </w:rPr>
              <w:t>FOR</w:t>
            </w:r>
          </w:p>
        </w:tc>
        <w:tc>
          <w:tcPr>
            <w:tcW w:w="40" w:type="dxa"/>
            <w:vAlign w:val="bottom"/>
          </w:tcPr>
          <w:p>
            <w:pPr>
              <w:spacing w:after="0"/>
              <w:rPr>
                <w:sz w:val="17"/>
                <w:szCs w:val="17"/>
                <w:color w:val="auto"/>
              </w:rPr>
            </w:pPr>
          </w:p>
        </w:tc>
        <w:tc>
          <w:tcPr>
            <w:tcW w:w="1280" w:type="dxa"/>
            <w:vAlign w:val="bottom"/>
            <w:tcBorders>
              <w:right w:val="single" w:sz="8" w:color="3465B0"/>
            </w:tcBorders>
            <w:gridSpan w:val="4"/>
          </w:tcPr>
          <w:p>
            <w:pPr>
              <w:spacing w:after="0" w:line="201"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0000EE"/>
              </w:rPr>
              <w:t>69</w:t>
            </w:r>
          </w:p>
        </w:tc>
      </w:tr>
      <w:tr>
        <w:trPr>
          <w:trHeight w:val="260"/>
        </w:trPr>
        <w:tc>
          <w:tcPr>
            <w:tcW w:w="80" w:type="dxa"/>
            <w:vAlign w:val="bottom"/>
            <w:tcBorders>
              <w:left w:val="single" w:sz="8" w:color="3465B0"/>
            </w:tcBorders>
          </w:tcPr>
          <w:p>
            <w:pPr>
              <w:spacing w:after="0"/>
              <w:rPr>
                <w:sz w:val="22"/>
                <w:szCs w:val="22"/>
                <w:color w:val="auto"/>
              </w:rPr>
            </w:pPr>
          </w:p>
        </w:tc>
        <w:tc>
          <w:tcPr>
            <w:tcW w:w="5920" w:type="dxa"/>
            <w:vAlign w:val="bottom"/>
            <w:tcBorders>
              <w:right w:val="single" w:sz="8" w:color="93A1D2"/>
            </w:tcBorders>
          </w:tcPr>
          <w:p>
            <w:pPr>
              <w:ind w:left="1160"/>
              <w:spacing w:after="0"/>
              <w:rPr>
                <w:sz w:val="20"/>
                <w:szCs w:val="20"/>
                <w:color w:val="auto"/>
              </w:rPr>
            </w:pPr>
            <w:r>
              <w:rPr>
                <w:rFonts w:ascii="Arial" w:cs="Arial" w:eastAsia="Arial" w:hAnsi="Arial"/>
                <w:sz w:val="18"/>
                <w:szCs w:val="18"/>
                <w:color w:val="auto"/>
              </w:rPr>
              <w:t>our independent registered public accounting firm for 2026.</w:t>
            </w:r>
          </w:p>
        </w:tc>
        <w:tc>
          <w:tcPr>
            <w:tcW w:w="40" w:type="dxa"/>
            <w:vAlign w:val="bottom"/>
          </w:tcPr>
          <w:p>
            <w:pPr>
              <w:spacing w:after="0"/>
              <w:rPr>
                <w:sz w:val="22"/>
                <w:szCs w:val="22"/>
                <w:color w:val="auto"/>
              </w:rPr>
            </w:pPr>
          </w:p>
        </w:tc>
        <w:tc>
          <w:tcPr>
            <w:tcW w:w="1800" w:type="dxa"/>
            <w:vAlign w:val="bottom"/>
            <w:tcBorders>
              <w:right w:val="single" w:sz="8" w:color="93A1D2"/>
            </w:tcBorders>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0" w:type="dxa"/>
            <w:vAlign w:val="bottom"/>
            <w:tcBorders>
              <w:right w:val="single" w:sz="8" w:color="3465B0"/>
            </w:tcBorders>
          </w:tcPr>
          <w:p>
            <w:pPr>
              <w:spacing w:after="0"/>
              <w:rPr>
                <w:sz w:val="22"/>
                <w:szCs w:val="22"/>
                <w:color w:val="auto"/>
              </w:rPr>
            </w:pPr>
          </w:p>
        </w:tc>
      </w:tr>
      <w:tr>
        <w:trPr>
          <w:trHeight w:val="20"/>
        </w:trPr>
        <w:tc>
          <w:tcPr>
            <w:tcW w:w="80" w:type="dxa"/>
            <w:vAlign w:val="bottom"/>
            <w:tcBorders>
              <w:left w:val="single" w:sz="8" w:color="3465B0"/>
            </w:tcBorders>
            <w:shd w:val="clear" w:color="auto" w:fill="3465B0"/>
          </w:tcPr>
          <w:p>
            <w:pPr>
              <w:spacing w:after="0" w:line="20" w:lineRule="exact"/>
              <w:rPr>
                <w:sz w:val="1"/>
                <w:szCs w:val="1"/>
                <w:color w:val="auto"/>
              </w:rPr>
            </w:pPr>
          </w:p>
        </w:tc>
        <w:tc>
          <w:tcPr>
            <w:tcW w:w="5920" w:type="dxa"/>
            <w:vAlign w:val="bottom"/>
            <w:tcBorders>
              <w:right w:val="single" w:sz="8" w:color="3465B0"/>
            </w:tcBorders>
            <w:shd w:val="clear" w:color="auto" w:fill="3465B0"/>
          </w:tcPr>
          <w:p>
            <w:pPr>
              <w:spacing w:after="0" w:line="20" w:lineRule="exact"/>
              <w:rPr>
                <w:sz w:val="1"/>
                <w:szCs w:val="1"/>
                <w:color w:val="auto"/>
              </w:rPr>
            </w:pPr>
          </w:p>
        </w:tc>
        <w:tc>
          <w:tcPr>
            <w:tcW w:w="40" w:type="dxa"/>
            <w:vAlign w:val="bottom"/>
            <w:shd w:val="clear" w:color="auto" w:fill="3465B0"/>
          </w:tcPr>
          <w:p>
            <w:pPr>
              <w:spacing w:after="0" w:line="20" w:lineRule="exact"/>
              <w:rPr>
                <w:sz w:val="1"/>
                <w:szCs w:val="1"/>
                <w:color w:val="auto"/>
              </w:rPr>
            </w:pPr>
          </w:p>
        </w:tc>
        <w:tc>
          <w:tcPr>
            <w:tcW w:w="1800" w:type="dxa"/>
            <w:vAlign w:val="bottom"/>
            <w:tcBorders>
              <w:right w:val="single" w:sz="8" w:color="3465B0"/>
            </w:tcBorders>
            <w:shd w:val="clear" w:color="auto" w:fill="3465B0"/>
          </w:tcPr>
          <w:p>
            <w:pPr>
              <w:spacing w:after="0" w:line="20" w:lineRule="exact"/>
              <w:rPr>
                <w:sz w:val="1"/>
                <w:szCs w:val="1"/>
                <w:color w:val="auto"/>
              </w:rPr>
            </w:pPr>
          </w:p>
        </w:tc>
        <w:tc>
          <w:tcPr>
            <w:tcW w:w="40" w:type="dxa"/>
            <w:vAlign w:val="bottom"/>
            <w:shd w:val="clear" w:color="auto" w:fill="3465B0"/>
          </w:tcPr>
          <w:p>
            <w:pPr>
              <w:spacing w:after="0" w:line="20" w:lineRule="exact"/>
              <w:rPr>
                <w:sz w:val="1"/>
                <w:szCs w:val="1"/>
                <w:color w:val="auto"/>
              </w:rPr>
            </w:pPr>
          </w:p>
        </w:tc>
        <w:tc>
          <w:tcPr>
            <w:tcW w:w="480" w:type="dxa"/>
            <w:vAlign w:val="bottom"/>
            <w:shd w:val="clear" w:color="auto" w:fill="3465B0"/>
          </w:tcPr>
          <w:p>
            <w:pPr>
              <w:spacing w:after="0" w:line="20" w:lineRule="exact"/>
              <w:rPr>
                <w:sz w:val="1"/>
                <w:szCs w:val="1"/>
                <w:color w:val="auto"/>
              </w:rPr>
            </w:pPr>
          </w:p>
        </w:tc>
        <w:tc>
          <w:tcPr>
            <w:tcW w:w="100" w:type="dxa"/>
            <w:vAlign w:val="bottom"/>
            <w:shd w:val="clear" w:color="auto" w:fill="3465B0"/>
          </w:tcPr>
          <w:p>
            <w:pPr>
              <w:spacing w:after="0" w:line="20" w:lineRule="exact"/>
              <w:rPr>
                <w:sz w:val="1"/>
                <w:szCs w:val="1"/>
                <w:color w:val="auto"/>
              </w:rPr>
            </w:pPr>
          </w:p>
        </w:tc>
        <w:tc>
          <w:tcPr>
            <w:tcW w:w="100" w:type="dxa"/>
            <w:vAlign w:val="bottom"/>
            <w:shd w:val="clear" w:color="auto" w:fill="3465B0"/>
          </w:tcPr>
          <w:p>
            <w:pPr>
              <w:spacing w:after="0" w:line="20" w:lineRule="exact"/>
              <w:rPr>
                <w:sz w:val="1"/>
                <w:szCs w:val="1"/>
                <w:color w:val="auto"/>
              </w:rPr>
            </w:pPr>
          </w:p>
        </w:tc>
        <w:tc>
          <w:tcPr>
            <w:tcW w:w="600" w:type="dxa"/>
            <w:vAlign w:val="bottom"/>
            <w:tcBorders>
              <w:right w:val="single" w:sz="8" w:color="3465B0"/>
            </w:tcBorders>
            <w:shd w:val="clear" w:color="auto" w:fill="3465B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-931545</wp:posOffset>
            </wp:positionV>
            <wp:extent cx="33655" cy="6254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62547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-931545</wp:posOffset>
            </wp:positionV>
            <wp:extent cx="33655" cy="6254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625475"/>
                    </a:xfrm>
                    <a:prstGeom prst="rect">
                      <a:avLst/>
                    </a:prstGeom>
                    <a:noFill/>
                  </pic:spPr>
                </pic:pic>
              </a:graphicData>
            </a:graphic>
          </wp:anchor>
        </w:drawing>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Board of Directors does not know of any other matters to be brought before the meeting. If other matters are properly presented, the proxy holders have discretionary authority to vote all proxies in accordance with their best judgment.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Board of Directors has fixed the close of business on April 20, 2026, as the record date for determining the stockholders entitled to notice of, to attend and to vote at the Annual Meeting. As of the record date, there were 80,115,617 shares of common stock outstanding and entitled to vote, with no other classes of stock outstanding. All of these shares are to be voted as a single class and you are entitled to one vote for each share of common stock held by you as of the Record Date, including shares:</w:t>
      </w:r>
    </w:p>
    <w:p>
      <w:pPr>
        <w:sectPr>
          <w:pgSz w:w="11900" w:h="16838" w:orient="portrait"/>
          <w:cols w:equalWidth="0" w:num="1">
            <w:col w:w="9160"/>
          </w:cols>
          <w:pgMar w:left="1360" w:top="114" w:right="1379" w:bottom="1440" w:gutter="0" w:footer="0" w:header="0"/>
        </w:sectPr>
      </w:pPr>
    </w:p>
    <w:p>
      <w:pPr>
        <w:spacing w:after="0" w:line="74"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Held directly in your name as “stockholder of record” (also referred to as “registered stockholder”);</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Held for you in an account with a broker, bank or other nominee. For more information, see “How to Vote if a Bank, Broker, or Other Nominee is the Record Holder of Your Stock” below.</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Held for you by us as restricted securities under either our 2014 Stock Plan or our 2017 Omnibus Incentive Plan.</w:t>
      </w:r>
    </w:p>
    <w:p>
      <w:pPr>
        <w:spacing w:after="0" w:line="200"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55"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In order for there to be a vote on any matter at the Annual Meeting, there must be a quorum. In order to have a quorum, the holders of record of a majority of the voting power of the issued and outstanding shares of capital stock entitled to vote at the Annual Meeting must be present in person or represented by proxy. Abstentions and “broker non-votes” are counted as present for purposes of determining a quorum. If we fail to obtain a quorum at the 2026 Annual Meeting, the chair of the 2026 Annual Meeting or the holders of a majority of the shares of stock entitled to vote, present online or by proxy, may adjourn the meeting to another place, date, or time.</w:t>
      </w:r>
    </w:p>
    <w:p>
      <w:pPr>
        <w:spacing w:after="0" w:line="56" w:lineRule="exact"/>
        <w:rPr>
          <w:sz w:val="20"/>
          <w:szCs w:val="20"/>
          <w:color w:val="auto"/>
        </w:rPr>
      </w:pPr>
    </w:p>
    <w:p>
      <w:pPr>
        <w:ind w:left="360" w:hanging="346"/>
        <w:spacing w:after="0"/>
        <w:tabs>
          <w:tab w:leader="none" w:pos="360" w:val="left"/>
        </w:tabs>
        <w:numPr>
          <w:ilvl w:val="0"/>
          <w:numId w:val="89"/>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79" w:name="page80"/>
    <w:bookmarkEnd w:id="79"/>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FFFFFF"/>
        </w:rPr>
        <w:t>IMPORTANT INFORMATION ABOUT VOTING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Under our Bylaws, directors are elected by a majority of the votes cast in respect of the shares present in person or represented by proxy at the Annual Meeting and entitled to vote on the election of directors (meaning that for Proposal 1, the number of shares voted “FOR” a nominee must exceed the number of shares voted “AGAINST” such nominee). There is no cumulative voting.</w:t>
      </w:r>
    </w:p>
    <w:p>
      <w:pPr>
        <w:spacing w:after="0" w:line="93" w:lineRule="exact"/>
        <w:rPr>
          <w:sz w:val="20"/>
          <w:szCs w:val="20"/>
          <w:color w:val="auto"/>
        </w:rPr>
      </w:pPr>
    </w:p>
    <w:p>
      <w:pPr>
        <w:jc w:val="both"/>
        <w:ind w:left="940" w:right="940"/>
        <w:spacing w:after="0" w:line="244" w:lineRule="auto"/>
        <w:rPr>
          <w:sz w:val="20"/>
          <w:szCs w:val="20"/>
          <w:color w:val="auto"/>
        </w:rPr>
      </w:pPr>
      <w:r>
        <w:rPr>
          <w:rFonts w:ascii="Arial" w:cs="Arial" w:eastAsia="Arial" w:hAnsi="Arial"/>
          <w:sz w:val="18"/>
          <w:szCs w:val="18"/>
          <w:color w:val="auto"/>
        </w:rPr>
        <w:t>For Proposals 2 and 3, under our Bylaws, approval of the proposal requires the vote of the holders of a majority of the voting power of the shares of stock present in person or represented by proxy at the Annual Meeting and entitled to vote on the subject matter. Although Proposal 2, the vote on executive compensation, is advisory in nature and non-binding, the Board will review the voting results and intends to take them into consideration when making future decisions regarding executive compensation.</w:t>
      </w:r>
    </w:p>
    <w:p>
      <w:pPr>
        <w:spacing w:after="0" w:line="248"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Voting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line="271" w:lineRule="auto"/>
        <w:rPr>
          <w:sz w:val="20"/>
          <w:szCs w:val="20"/>
          <w:color w:val="auto"/>
        </w:rPr>
      </w:pPr>
      <w:r>
        <w:rPr>
          <w:rFonts w:ascii="Arial" w:cs="Arial" w:eastAsia="Arial" w:hAnsi="Arial"/>
          <w:sz w:val="18"/>
          <w:szCs w:val="18"/>
          <w:color w:val="auto"/>
        </w:rPr>
        <w:t>If you are the record holder of your stock, you may submit your proxy to vote in advance of the Annual Meeting via the Internet, by telephone, or by mail.</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293"/>
        </w:trPr>
        <w:tc>
          <w:tcPr>
            <w:tcW w:w="1340" w:type="dxa"/>
            <w:vAlign w:val="bottom"/>
          </w:tcPr>
          <w:p>
            <w:pPr>
              <w:spacing w:after="0"/>
              <w:rPr>
                <w:sz w:val="20"/>
                <w:szCs w:val="20"/>
                <w:color w:val="auto"/>
              </w:rPr>
            </w:pPr>
            <w:r>
              <w:rPr>
                <w:rFonts w:ascii="Arial" w:cs="Arial" w:eastAsia="Arial" w:hAnsi="Arial"/>
                <w:sz w:val="18"/>
                <w:szCs w:val="18"/>
                <w:b w:val="1"/>
                <w:bCs w:val="1"/>
                <w:color w:val="3465B0"/>
              </w:rPr>
              <w:t>By Internet</w:t>
            </w:r>
          </w:p>
        </w:tc>
        <w:tc>
          <w:tcPr>
            <w:tcW w:w="320" w:type="dxa"/>
            <w:vAlign w:val="bottom"/>
          </w:tcPr>
          <w:p>
            <w:pPr>
              <w:ind w:left="16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p>
        </w:tc>
        <w:tc>
          <w:tcPr>
            <w:tcW w:w="7460" w:type="dxa"/>
            <w:vAlign w:val="bottom"/>
          </w:tcPr>
          <w:p>
            <w:pPr>
              <w:ind w:left="60"/>
              <w:spacing w:after="0"/>
              <w:rPr>
                <w:sz w:val="20"/>
                <w:szCs w:val="20"/>
                <w:color w:val="auto"/>
              </w:rPr>
            </w:pPr>
            <w:r>
              <w:rPr>
                <w:rFonts w:ascii="Arial" w:cs="Arial" w:eastAsia="Arial" w:hAnsi="Arial"/>
                <w:sz w:val="18"/>
                <w:szCs w:val="18"/>
                <w:color w:val="auto"/>
              </w:rPr>
              <w:t>Visit www.proxyvote.com and follow the instructions, 24 hours a day, seven days a week.</w:t>
            </w:r>
          </w:p>
        </w:tc>
      </w:tr>
      <w:tr>
        <w:trPr>
          <w:trHeight w:val="234"/>
        </w:trPr>
        <w:tc>
          <w:tcPr>
            <w:tcW w:w="1340" w:type="dxa"/>
            <w:vAlign w:val="bottom"/>
          </w:tcPr>
          <w:p>
            <w:pPr>
              <w:spacing w:after="0"/>
              <w:rPr>
                <w:sz w:val="20"/>
                <w:szCs w:val="20"/>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p>
        </w:tc>
        <w:tc>
          <w:tcPr>
            <w:tcW w:w="7460" w:type="dxa"/>
            <w:vAlign w:val="bottom"/>
          </w:tcPr>
          <w:p>
            <w:pPr>
              <w:ind w:left="60"/>
              <w:spacing w:after="0"/>
              <w:rPr>
                <w:sz w:val="20"/>
                <w:szCs w:val="20"/>
                <w:color w:val="auto"/>
              </w:rPr>
            </w:pPr>
            <w:r>
              <w:rPr>
                <w:rFonts w:ascii="Arial" w:cs="Arial" w:eastAsia="Arial" w:hAnsi="Arial"/>
                <w:sz w:val="18"/>
                <w:szCs w:val="18"/>
                <w:color w:val="auto"/>
              </w:rPr>
              <w:t>You will need the 16-digit number included on your proxy card to obtain your records and to</w:t>
            </w:r>
          </w:p>
        </w:tc>
      </w:tr>
      <w:tr>
        <w:trPr>
          <w:trHeight w:val="239"/>
        </w:trPr>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rPr>
              <w:t>create an electronic voting instruction form.</w:t>
            </w:r>
          </w:p>
        </w:tc>
      </w:tr>
      <w:tr>
        <w:trPr>
          <w:trHeight w:val="247"/>
        </w:trPr>
        <w:tc>
          <w:tcPr>
            <w:tcW w:w="1340" w:type="dxa"/>
            <w:vAlign w:val="bottom"/>
          </w:tcPr>
          <w:p>
            <w:pPr>
              <w:spacing w:after="0"/>
              <w:rPr>
                <w:sz w:val="20"/>
                <w:szCs w:val="20"/>
                <w:color w:val="auto"/>
              </w:rPr>
            </w:pPr>
            <w:r>
              <w:rPr>
                <w:rFonts w:ascii="Arial" w:cs="Arial" w:eastAsia="Arial" w:hAnsi="Arial"/>
                <w:sz w:val="18"/>
                <w:szCs w:val="18"/>
                <w:b w:val="1"/>
                <w:bCs w:val="1"/>
                <w:color w:val="3465B0"/>
              </w:rPr>
              <w:t>By Telephone</w:t>
            </w:r>
          </w:p>
        </w:tc>
        <w:tc>
          <w:tcPr>
            <w:tcW w:w="320" w:type="dxa"/>
            <w:vAlign w:val="bottom"/>
          </w:tcPr>
          <w:p>
            <w:pPr>
              <w:ind w:left="16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p>
        </w:tc>
        <w:tc>
          <w:tcPr>
            <w:tcW w:w="7460" w:type="dxa"/>
            <w:vAlign w:val="bottom"/>
          </w:tcPr>
          <w:p>
            <w:pPr>
              <w:ind w:left="60"/>
              <w:spacing w:after="0"/>
              <w:rPr>
                <w:sz w:val="20"/>
                <w:szCs w:val="20"/>
                <w:color w:val="auto"/>
              </w:rPr>
            </w:pPr>
            <w:r>
              <w:rPr>
                <w:rFonts w:ascii="Arial" w:cs="Arial" w:eastAsia="Arial" w:hAnsi="Arial"/>
                <w:sz w:val="18"/>
                <w:szCs w:val="18"/>
                <w:color w:val="auto"/>
              </w:rPr>
              <w:t>From a touch-tone telephone, dial 1-800-690-6903 and follow the recorded instructions,</w:t>
            </w:r>
          </w:p>
        </w:tc>
      </w:tr>
      <w:tr>
        <w:trPr>
          <w:trHeight w:val="239"/>
        </w:trPr>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60" w:type="dxa"/>
            <w:vAlign w:val="bottom"/>
          </w:tcPr>
          <w:p>
            <w:pPr>
              <w:ind w:left="60"/>
              <w:spacing w:after="0"/>
              <w:rPr>
                <w:sz w:val="20"/>
                <w:szCs w:val="20"/>
                <w:color w:val="auto"/>
              </w:rPr>
            </w:pPr>
            <w:r>
              <w:rPr>
                <w:rFonts w:ascii="Arial" w:cs="Arial" w:eastAsia="Arial" w:hAnsi="Arial"/>
                <w:sz w:val="18"/>
                <w:szCs w:val="18"/>
                <w:color w:val="auto"/>
              </w:rPr>
              <w:t>24 hours a day, seven days a week.</w:t>
            </w:r>
          </w:p>
        </w:tc>
      </w:tr>
      <w:tr>
        <w:trPr>
          <w:trHeight w:val="270"/>
        </w:trPr>
        <w:tc>
          <w:tcPr>
            <w:tcW w:w="1340" w:type="dxa"/>
            <w:vAlign w:val="bottom"/>
          </w:tcPr>
          <w:p>
            <w:pPr>
              <w:spacing w:after="0"/>
              <w:rPr>
                <w:sz w:val="23"/>
                <w:szCs w:val="23"/>
                <w:color w:val="auto"/>
              </w:rPr>
            </w:pPr>
          </w:p>
        </w:tc>
        <w:tc>
          <w:tcPr>
            <w:tcW w:w="7780" w:type="dxa"/>
            <w:vAlign w:val="bottom"/>
            <w:gridSpan w:val="2"/>
          </w:tcPr>
          <w:p>
            <w:pPr>
              <w:ind w:left="16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You will need the 16-digit number included on your proxy card in order to vote by telephone.</w:t>
            </w:r>
          </w:p>
        </w:tc>
      </w:tr>
      <w:tr>
        <w:trPr>
          <w:trHeight w:val="278"/>
        </w:trPr>
        <w:tc>
          <w:tcPr>
            <w:tcW w:w="1340" w:type="dxa"/>
            <w:vAlign w:val="bottom"/>
          </w:tcPr>
          <w:p>
            <w:pPr>
              <w:spacing w:after="0"/>
              <w:rPr>
                <w:sz w:val="20"/>
                <w:szCs w:val="20"/>
                <w:color w:val="auto"/>
              </w:rPr>
            </w:pPr>
            <w:r>
              <w:rPr>
                <w:rFonts w:ascii="Arial" w:cs="Arial" w:eastAsia="Arial" w:hAnsi="Arial"/>
                <w:sz w:val="18"/>
                <w:szCs w:val="18"/>
                <w:b w:val="1"/>
                <w:bCs w:val="1"/>
                <w:color w:val="3465B0"/>
              </w:rPr>
              <w:t>By Mail</w:t>
            </w:r>
          </w:p>
        </w:tc>
        <w:tc>
          <w:tcPr>
            <w:tcW w:w="320" w:type="dxa"/>
            <w:vAlign w:val="bottom"/>
          </w:tcPr>
          <w:p>
            <w:pPr>
              <w:ind w:left="16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w:t>
            </w:r>
          </w:p>
        </w:tc>
        <w:tc>
          <w:tcPr>
            <w:tcW w:w="7460" w:type="dxa"/>
            <w:vAlign w:val="bottom"/>
          </w:tcPr>
          <w:p>
            <w:pPr>
              <w:ind w:left="60"/>
              <w:spacing w:after="0"/>
              <w:rPr>
                <w:sz w:val="20"/>
                <w:szCs w:val="20"/>
                <w:color w:val="auto"/>
              </w:rPr>
            </w:pPr>
            <w:r>
              <w:rPr>
                <w:rFonts w:ascii="Arial" w:cs="Arial" w:eastAsia="Arial" w:hAnsi="Arial"/>
                <w:sz w:val="18"/>
                <w:szCs w:val="18"/>
                <w:color w:val="auto"/>
              </w:rPr>
              <w:t>Mark your selections on the proxy card.</w:t>
            </w:r>
          </w:p>
        </w:tc>
      </w:tr>
      <w:tr>
        <w:trPr>
          <w:trHeight w:val="262"/>
        </w:trPr>
        <w:tc>
          <w:tcPr>
            <w:tcW w:w="1340" w:type="dxa"/>
            <w:vAlign w:val="bottom"/>
          </w:tcPr>
          <w:p>
            <w:pPr>
              <w:spacing w:after="0"/>
              <w:rPr>
                <w:sz w:val="22"/>
                <w:szCs w:val="22"/>
                <w:color w:val="auto"/>
              </w:rPr>
            </w:pPr>
          </w:p>
        </w:tc>
        <w:tc>
          <w:tcPr>
            <w:tcW w:w="7780" w:type="dxa"/>
            <w:vAlign w:val="bottom"/>
            <w:gridSpan w:val="2"/>
          </w:tcPr>
          <w:p>
            <w:pPr>
              <w:ind w:left="16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Date and sign your name exactly as it appears on your proxy card.</w:t>
            </w:r>
          </w:p>
        </w:tc>
      </w:tr>
      <w:tr>
        <w:trPr>
          <w:trHeight w:val="270"/>
        </w:trPr>
        <w:tc>
          <w:tcPr>
            <w:tcW w:w="1340" w:type="dxa"/>
            <w:vAlign w:val="bottom"/>
          </w:tcPr>
          <w:p>
            <w:pPr>
              <w:spacing w:after="0"/>
              <w:rPr>
                <w:sz w:val="23"/>
                <w:szCs w:val="23"/>
                <w:color w:val="auto"/>
              </w:rPr>
            </w:pPr>
          </w:p>
        </w:tc>
        <w:tc>
          <w:tcPr>
            <w:tcW w:w="7780" w:type="dxa"/>
            <w:vAlign w:val="bottom"/>
            <w:gridSpan w:val="2"/>
          </w:tcPr>
          <w:p>
            <w:pPr>
              <w:ind w:left="160"/>
              <w:spacing w:after="0"/>
              <w:rPr>
                <w:sz w:val="20"/>
                <w:szCs w:val="20"/>
                <w:color w:val="auto"/>
              </w:rPr>
            </w:pPr>
            <w:r>
              <w:rPr>
                <w:rFonts w:ascii="Arial" w:cs="Arial" w:eastAsia="Arial" w:hAnsi="Arial"/>
                <w:sz w:val="11"/>
                <w:szCs w:val="11"/>
                <w:color w:val="3465B0"/>
              </w:rPr>
              <w:t>•</w:t>
            </w:r>
            <w:r>
              <w:rPr>
                <w:rFonts w:ascii="Arial" w:cs="Arial" w:eastAsia="Arial" w:hAnsi="Arial"/>
                <w:sz w:val="17"/>
                <w:szCs w:val="17"/>
                <w:color w:val="000000"/>
              </w:rPr>
              <w:t xml:space="preserve">   Mail the proxy card in the enclosed postage-paid envelope provided to you.</w:t>
            </w:r>
          </w:p>
        </w:tc>
      </w:tr>
    </w:tbl>
    <w:p>
      <w:pPr>
        <w:spacing w:after="0" w:line="276" w:lineRule="exact"/>
        <w:rPr>
          <w:sz w:val="20"/>
          <w:szCs w:val="20"/>
          <w:color w:val="auto"/>
        </w:rPr>
      </w:pPr>
    </w:p>
    <w:p>
      <w:pPr>
        <w:jc w:val="both"/>
        <w:ind w:left="940" w:right="940"/>
        <w:spacing w:after="0" w:line="278" w:lineRule="auto"/>
        <w:rPr>
          <w:sz w:val="20"/>
          <w:szCs w:val="20"/>
          <w:color w:val="auto"/>
        </w:rPr>
      </w:pPr>
      <w:r>
        <w:rPr>
          <w:rFonts w:ascii="Arial" w:cs="Arial" w:eastAsia="Arial" w:hAnsi="Arial"/>
          <w:sz w:val="18"/>
          <w:szCs w:val="18"/>
          <w:b w:val="1"/>
          <w:bCs w:val="1"/>
          <w:i w:val="1"/>
          <w:iCs w:val="1"/>
          <w:color w:val="auto"/>
        </w:rPr>
        <w:t>Internet and telephone voting will close at 11:59 p.m., Eastern Time, on June 16, 2026. Proxy cards with respect to shares held of record must be received no later than June 16, 2026.</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Voting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55"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If you are a stockholder of record or a beneficial owner of shares held through a broker, bank or other nominee, you may vote in-person during the Annual Meeting. If you are a stockholder of record and prefer to vote your shares at the Annual Meeting, you must bring proof of identification along with your proof of ownership. If you are a beneficial owner of shares held through a broker, bank or other nominee, you may only vote shares at the Annual Meeting if you bring a signed proxy from the record holder (broker, bank or other nominee) giving you the right to vote the shares, as well as proof of identification and proof of ownership. Even if you plan to attend the Annual Meeting, we encourage you to vote in advance by Internet, telephone or mail so that your vote will be counted even if you later decide not to attend the Annual Meeting.</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How to Vote if a Bank, Broker, or Other Nominee is the Record Holder of Your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line="247" w:lineRule="auto"/>
        <w:rPr>
          <w:sz w:val="20"/>
          <w:szCs w:val="20"/>
          <w:color w:val="auto"/>
        </w:rPr>
      </w:pPr>
      <w:r>
        <w:rPr>
          <w:rFonts w:ascii="Arial" w:cs="Arial" w:eastAsia="Arial" w:hAnsi="Arial"/>
          <w:sz w:val="18"/>
          <w:szCs w:val="18"/>
          <w:color w:val="auto"/>
        </w:rPr>
        <w:t>If a bank, broker or other nominee was the record holder of your stock on the record date, you will be able to instruct your bank, broker, or other nominee on how to vote by following the instructions on the voting instruction form or notice that you receive from your bank, broker or other nominee. In most instances, you will be able to do this over the Internet, by telephone or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53975</wp:posOffset>
            </wp:positionV>
            <wp:extent cx="205740" cy="2057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73</w:t>
            </w:r>
          </w:p>
        </w:tc>
      </w:tr>
      <w:tr>
        <w:trPr>
          <w:trHeight w:val="244"/>
        </w:trPr>
        <w:tc>
          <w:tcPr>
            <w:tcW w:w="95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4" w:right="4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IMPORTANT INFORMATION ABOUT VOTING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Broker Voting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broker non-vote occurs when shares held through a broker are not voted with respect to a proposal because</w:t>
      </w:r>
    </w:p>
    <w:p>
      <w:pPr>
        <w:spacing w:after="0" w:line="14" w:lineRule="exact"/>
        <w:rPr>
          <w:sz w:val="20"/>
          <w:szCs w:val="20"/>
          <w:color w:val="auto"/>
        </w:rPr>
      </w:pPr>
    </w:p>
    <w:p>
      <w:pPr>
        <w:jc w:val="both"/>
        <w:ind w:left="20" w:hanging="8"/>
        <w:spacing w:after="0" w:line="239" w:lineRule="auto"/>
        <w:tabs>
          <w:tab w:leader="none" w:pos="30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broker has not received voting instructions from the stockholder who beneficially owns the shares and (2) the broker lacks the authority to vote the shares at its discretion. Proposals 1 and 2 are considered non-routine matters, and a broker will lack the authority to vote uninstructed shares at their discretion on such proposals. Proposal 3 is considered a routine matter, and a broker will be permitted to exercise its discretion to vote uninstructed shares on this proposal.</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How to Change or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Whether you have voted by Internet, telephone or mail, if you are a stockholder of record, you may change your vote and revoke your proxy by:</w:t>
      </w:r>
    </w:p>
    <w:p>
      <w:pPr>
        <w:sectPr>
          <w:pgSz w:w="11900" w:h="16838" w:orient="portrait"/>
          <w:cols w:equalWidth="0" w:num="1">
            <w:col w:w="9160"/>
          </w:cols>
          <w:pgMar w:left="1360" w:top="114" w:right="1379" w:bottom="1440" w:gutter="0" w:footer="0" w:header="0"/>
        </w:sectPr>
      </w:pPr>
    </w:p>
    <w:p>
      <w:pPr>
        <w:spacing w:after="0" w:line="51"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5"/>
          <w:szCs w:val="5"/>
          <w:color w:val="3465B0"/>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sending a written statement to that effect to our Secretary, provided such statement is received no later than June 16, 2026;</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voting by Internet or telephone at a later time than your previous vote and before the closing of those voting facilities at 11:59 p.m., Eastern Time, on June 16, 2026;</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submitting a properly signed proxy card, which has a later date than your previous vote, and that is received no later than June 16, 2026;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attending the Annual Meeting in-person and voting during the meeting.</w:t>
      </w:r>
    </w:p>
    <w:p>
      <w:pPr>
        <w:spacing w:after="0" w:line="144" w:lineRule="exact"/>
        <w:rPr>
          <w:sz w:val="20"/>
          <w:szCs w:val="20"/>
          <w:color w:val="auto"/>
        </w:rPr>
      </w:pPr>
    </w:p>
    <w:p>
      <w:pPr>
        <w:sectPr>
          <w:pgSz w:w="11900" w:h="16838" w:orient="portrait"/>
          <w:cols w:equalWidth="0" w:num="2">
            <w:col w:w="400" w:space="140"/>
            <w:col w:w="8620"/>
          </w:cols>
          <w:pgMar w:left="1360" w:top="114" w:right="1379" w:bottom="1440" w:gutter="0" w:footer="0" w:header="0"/>
          <w:type w:val="continuous"/>
        </w:sectPr>
      </w:pPr>
    </w:p>
    <w:p>
      <w:pPr>
        <w:jc w:val="both"/>
        <w:ind w:left="20" w:right="20"/>
        <w:spacing w:after="0" w:line="271" w:lineRule="auto"/>
        <w:rPr>
          <w:sz w:val="20"/>
          <w:szCs w:val="20"/>
          <w:color w:val="auto"/>
        </w:rPr>
      </w:pPr>
      <w:r>
        <w:rPr>
          <w:rFonts w:ascii="Arial" w:cs="Arial" w:eastAsia="Arial" w:hAnsi="Arial"/>
          <w:sz w:val="18"/>
          <w:szCs w:val="18"/>
          <w:color w:val="auto"/>
        </w:rPr>
        <w:t>If you hold your shares through a broker, please refer to information from your bank, broker or other nominee on how to revoke or submit new voting instructions.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How Votes are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Representatives of Broadridge Financial Solutions, Inc. will tabulate the votes and act as inspectors of election.</w:t>
      </w:r>
    </w:p>
    <w:p>
      <w:pPr>
        <w:spacing w:after="0" w:line="144"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With respect to the election of directors (Proposal 1), you may vote “FOR,” “AGAINST” or “ABSTAIN with respect to the nominees. Votes that are abstentions will not count as a vote “FOR” or “AGAINST” a director because directors are elected by majority voting. Broker non-votes will have no effect on the outcome of Proposal 1.</w:t>
      </w:r>
    </w:p>
    <w:p>
      <w:pPr>
        <w:spacing w:after="0" w:line="88" w:lineRule="exact"/>
        <w:rPr>
          <w:sz w:val="20"/>
          <w:szCs w:val="20"/>
          <w:color w:val="auto"/>
        </w:rPr>
      </w:pPr>
    </w:p>
    <w:p>
      <w:pPr>
        <w:jc w:val="both"/>
        <w:ind w:left="20" w:right="20"/>
        <w:spacing w:after="0" w:line="247" w:lineRule="auto"/>
        <w:rPr>
          <w:sz w:val="20"/>
          <w:szCs w:val="20"/>
          <w:color w:val="auto"/>
        </w:rPr>
      </w:pPr>
      <w:r>
        <w:rPr>
          <w:rFonts w:ascii="Arial" w:cs="Arial" w:eastAsia="Arial" w:hAnsi="Arial"/>
          <w:sz w:val="18"/>
          <w:szCs w:val="18"/>
          <w:color w:val="auto"/>
        </w:rPr>
        <w:t>With respect to the advisory vote to approve the compensation of our named executive officers (Proposal 2), and the approval of the ratification of our independent registered public accounting firm (Proposal 3) you may vote “FOR,” “AGAINST” or “ABSTAIN.” For each of Proposals 2 and 3, abstentions will have the effect of a vote “AGAINST” the proposal. For Proposal 2, broker non-votes will have no effect on the outcome of the proposal.</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L. Reade Fahs, Executive Chairman; Alexander N. Wilkes, Chief Executive Officer; Christopher Laden, Chief Financial Officer; and Jared Brandman, Chief Legal &amp; Strategy Officer, Corporate Secretary, have been selected by the Board as proxy holders and will vote shares represented by valid proxies. All shares represented by valid proxies received and not revoked before they are exercised will be voted in the manner specified in the proxies.</w:t>
      </w:r>
    </w:p>
    <w:p>
      <w:pPr>
        <w:spacing w:after="0" w:line="51" w:lineRule="exact"/>
        <w:rPr>
          <w:sz w:val="20"/>
          <w:szCs w:val="20"/>
          <w:color w:val="auto"/>
        </w:rPr>
      </w:pPr>
    </w:p>
    <w:p>
      <w:pPr>
        <w:ind w:left="360" w:hanging="346"/>
        <w:spacing w:after="0"/>
        <w:tabs>
          <w:tab w:leader="none" w:pos="360" w:val="left"/>
        </w:tabs>
        <w:numPr>
          <w:ilvl w:val="0"/>
          <w:numId w:val="91"/>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81" w:name="page82"/>
    <w:bookmarkEnd w:id="81"/>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231" w:lineRule="exact"/>
        <w:rPr>
          <w:sz w:val="20"/>
          <w:szCs w:val="20"/>
          <w:color w:val="auto"/>
        </w:rPr>
      </w:pPr>
    </w:p>
    <w:p>
      <w:pPr>
        <w:ind w:left="940"/>
        <w:spacing w:after="0"/>
        <w:rPr>
          <w:sz w:val="20"/>
          <w:szCs w:val="20"/>
          <w:color w:val="auto"/>
        </w:rPr>
      </w:pPr>
      <w:r>
        <w:rPr>
          <w:rFonts w:ascii="Arial" w:cs="Arial" w:eastAsia="Arial" w:hAnsi="Arial"/>
          <w:sz w:val="40"/>
          <w:szCs w:val="40"/>
          <w:b w:val="1"/>
          <w:bCs w:val="1"/>
          <w:color w:val="3465B0"/>
        </w:rPr>
        <w:t>Other Information for Stockholders</w:t>
      </w:r>
    </w:p>
    <w:p>
      <w:pPr>
        <w:spacing w:after="0" w:line="288"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The Annual Meeting will be held at 1:00 p.m., Eastern Time, on June 17, 2026, at Greater North Fulton Chamber of Commerce at 1000 Avalon Boulevard, Suite 100, Alpharetta, Georgia 30009.</w:t>
      </w:r>
    </w:p>
    <w:p>
      <w:pPr>
        <w:spacing w:after="0" w:line="86"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In order to be admitted to the meeting, you will need to present a form of personal identification, and either your Proxy Card or proof of your ownership of our common stock on the Record Date. If your shares are held beneficially in the name of a bank, broker or other holder of record and you wish to be admitted to the Annual Meeting, you must present proof of your ownership of our common stock, such as a bank or brokerage account statement. No cameras, recording equipment, electronic devices, large bags, briefcases or packages will be permitted in the Annual Meeting.</w:t>
      </w:r>
    </w:p>
    <w:p>
      <w:pPr>
        <w:spacing w:after="0" w:line="111"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During the Annual Meeting, you may vote and submit questions by following the instructions provided at the meeting. We will endeavor to answer as many questions submitted by stockholders as time permits. We reserve the right to exclude questions regarding topics that are not pertinent to meeting matters or Company business or are inappropriate. Additional information regarding the rules of conduct for the Annual Meeting and other materials, including our list of stockholders, will be available on-site during the Annual Meeting. Our list of stockholders will be accessible for ten days prior to the Annual Meeting at National Vision’s offices at 2000 Newpoint Parkway, Suite 100, Lawrenceville, Georgia 30043.</w:t>
      </w:r>
    </w:p>
    <w:p>
      <w:pPr>
        <w:spacing w:after="0" w:line="104" w:lineRule="exact"/>
        <w:rPr>
          <w:sz w:val="20"/>
          <w:szCs w:val="20"/>
          <w:color w:val="auto"/>
        </w:rPr>
      </w:pPr>
    </w:p>
    <w:p>
      <w:pPr>
        <w:jc w:val="both"/>
        <w:ind w:left="940" w:right="940"/>
        <w:spacing w:after="0" w:line="271" w:lineRule="auto"/>
        <w:rPr>
          <w:sz w:val="20"/>
          <w:szCs w:val="20"/>
          <w:color w:val="auto"/>
        </w:rPr>
      </w:pPr>
      <w:r>
        <w:rPr>
          <w:rFonts w:ascii="Arial" w:cs="Arial" w:eastAsia="Arial" w:hAnsi="Arial"/>
          <w:sz w:val="18"/>
          <w:szCs w:val="18"/>
          <w:color w:val="auto"/>
        </w:rPr>
        <w:t>For directions to the meeting, you may contact Beth Dobson at (470) 448-2173 or Beth.Dobson@nationalvision.com.</w:t>
      </w:r>
    </w:p>
    <w:p>
      <w:pPr>
        <w:spacing w:after="0" w:line="86" w:lineRule="exact"/>
        <w:rPr>
          <w:sz w:val="20"/>
          <w:szCs w:val="20"/>
          <w:color w:val="auto"/>
        </w:rPr>
      </w:pPr>
    </w:p>
    <w:p>
      <w:pPr>
        <w:jc w:val="both"/>
        <w:ind w:left="940" w:right="960"/>
        <w:spacing w:after="0" w:line="271" w:lineRule="auto"/>
        <w:rPr>
          <w:sz w:val="20"/>
          <w:szCs w:val="20"/>
          <w:color w:val="auto"/>
        </w:rPr>
      </w:pPr>
      <w:r>
        <w:rPr>
          <w:rFonts w:ascii="Arial" w:cs="Arial" w:eastAsia="Arial" w:hAnsi="Arial"/>
          <w:sz w:val="18"/>
          <w:szCs w:val="18"/>
          <w:color w:val="auto"/>
        </w:rPr>
        <w:t>Even if you plan to attend and participate in person at the Annual Meeting, we encourage you to vote your shares in advance using one of the methods described in this proxy statement to ensure your vote will be represented.</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Stockholder Proposals for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69" w:lineRule="exact"/>
        <w:rPr>
          <w:sz w:val="20"/>
          <w:szCs w:val="20"/>
          <w:color w:val="auto"/>
        </w:rPr>
      </w:pPr>
    </w:p>
    <w:p>
      <w:pPr>
        <w:jc w:val="both"/>
        <w:ind w:left="940" w:right="940"/>
        <w:spacing w:after="0" w:line="242" w:lineRule="auto"/>
        <w:rPr>
          <w:sz w:val="20"/>
          <w:szCs w:val="20"/>
          <w:color w:val="auto"/>
        </w:rPr>
      </w:pPr>
      <w:r>
        <w:rPr>
          <w:rFonts w:ascii="Arial" w:cs="Arial" w:eastAsia="Arial" w:hAnsi="Arial"/>
          <w:sz w:val="18"/>
          <w:szCs w:val="18"/>
          <w:color w:val="auto"/>
        </w:rPr>
        <w:t>If any stockholder wishes to propose a matter for consideration at our 2027 Annual Meeting of Stockholders, the proposal should be mailed by certified mail return receipt requested, to our Secretary, National Vision Holdings, Inc., 2000 Newpoint Parkway, Suite 100, Lawrenceville, Georgia 30043. To be eligible under the SEC’s stockholder proposal rule (Rule 14a-8(e) of the Exchange Act) for inclusion in our proxy statement for the 2027 Annual Meeting, a proposal must be received by our Secretary on or before December 28, 2026. Failure to deliver a proposal in accordance with this procedure may result in it not being deemed timely received.</w:t>
      </w:r>
    </w:p>
    <w:p>
      <w:pPr>
        <w:spacing w:after="0" w:line="98" w:lineRule="exact"/>
        <w:rPr>
          <w:sz w:val="20"/>
          <w:szCs w:val="20"/>
          <w:color w:val="auto"/>
        </w:rPr>
      </w:pPr>
    </w:p>
    <w:p>
      <w:pPr>
        <w:jc w:val="both"/>
        <w:ind w:left="940" w:right="940"/>
        <w:spacing w:after="0" w:line="237" w:lineRule="auto"/>
        <w:rPr>
          <w:sz w:val="20"/>
          <w:szCs w:val="20"/>
          <w:color w:val="auto"/>
        </w:rPr>
      </w:pPr>
      <w:r>
        <w:rPr>
          <w:rFonts w:ascii="Arial" w:cs="Arial" w:eastAsia="Arial" w:hAnsi="Arial"/>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2027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2027 Annual Meeting, such a proposal must be received on or after February 17, 2027, but not later than March 19, 2027. In the event that the date of the 2027 Annual Meeting is advanced by more than 30 days, or delayed by more than 70 days, from the anniversary date of this year’s Annual Meeting of Stockholders, notice by the stockholder to be timely must be so delivered not earlier than the 120th day prior to the 2027 Annual Meeting and not later than the close of business on the later of the 90th day prior to the 2027 Annual Meeting or the tenth day following the day on which public announcement of the date of the 2027 Annual Meeting is first made. Any such proposal will be considered timely only if it is otherwise in compliance with the requirements set forth in our Bylaws. Notwithstanding the foregoing, if the number of directors to be elected to the Board of Directors at the 2027 Annual Meeting is increased and there is no public announcement by the Company naming all of the nominees for director or specifying the size of the increased Board of Directors at least 100 calendar days prior to the first anniversary of the 2026 Annual Meeting (i.e. prior to March 9, 2027), then notice by a stockholder shall be considered timely, but only with respect to nominees for any new positions created by such increase, if it is received by the Secretary not later than the close of business on the 10th calendar day following the day on which such public announcement is first made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57785</wp:posOffset>
            </wp:positionV>
            <wp:extent cx="205740" cy="2057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75</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OTHER INFORMATION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Company. Any such proposal will be considered timely only if it is otherwise in compliance with the requirements set forth in our Bylaws. In order for stockholders to give timely notice of nominations for directors for inclusion on a universal proxy card in connection with the 2027 Annual Meeting, notice must be submitted by the same deadline as disclosed above under the advance notice provisions of our Bylaws and must include the information in the notice required by our Bylaws and by Rule 14a-19(b)(2) and Rule 14a-19(b)(3) under the Exchange Act.</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55"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in writing or orally prompt delivery of a separate copy of this proxy statement and our Annual Report on Form 10-K, by contacting the Secretary, National Vision Holdings, Inc., 2000 Newpoint Parkway, Suite 100, Lawrenceville, Georgia 30043, or by telephone at (770) 822-3600.</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55"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We have also retained Alliance Advisors, LLC to aid in the solicitation of proxies for an estimated fee of $29,000 plus expenses. Brokers and other nominees will be requested to solicit proxies or authorizations from beneficial owners and will be reimbursed for their reasonable expenses.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Important Notice 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6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We have delivered these proxy materials to you in connection with the solicitation by the Board of Directors of National Vision Holdings, Inc. of proxies to be voted at our Annual Meeting of Stockholders to be held on June 17, 2026, and at any postponements or adjournments of the Annual Meeting.</w:t>
      </w:r>
    </w:p>
    <w:p>
      <w:pPr>
        <w:spacing w:after="0" w:line="8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This Proxy Statement and our Annual Report on Form 10-K for the year ended January 3, 2026, are available free of charge at www.proxyvote.com.</w:t>
      </w:r>
    </w:p>
    <w:p>
      <w:pPr>
        <w:spacing w:after="0" w:line="86"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Our website contains our Certificate of Incorporation, Bylaws, Corporate Governance Guidelines, Committee Charters, Code of Conduct and our filings with the SEC. To view these documents, go to www.nationalvision.com and click on “Investors.” Copies of our Annual Report on Form 10-K are also available without charge to stockholders upon written request addressed to:</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2000 Newpoint Parkway</w:t>
      </w:r>
    </w:p>
    <w:p>
      <w:pPr>
        <w:ind w:left="20"/>
        <w:spacing w:after="0" w:line="234" w:lineRule="auto"/>
        <w:rPr>
          <w:sz w:val="20"/>
          <w:szCs w:val="20"/>
          <w:color w:val="auto"/>
        </w:rPr>
      </w:pPr>
      <w:r>
        <w:rPr>
          <w:rFonts w:ascii="Arial" w:cs="Arial" w:eastAsia="Arial" w:hAnsi="Arial"/>
          <w:sz w:val="18"/>
          <w:szCs w:val="18"/>
          <w:color w:val="auto"/>
        </w:rPr>
        <w:t>Suite 100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Lawrenceville, Georgia 30043</w:t>
      </w:r>
    </w:p>
    <w:p>
      <w:pPr>
        <w:spacing w:after="0" w:line="70" w:lineRule="exact"/>
        <w:rPr>
          <w:sz w:val="20"/>
          <w:szCs w:val="20"/>
          <w:color w:val="auto"/>
        </w:rPr>
      </w:pPr>
    </w:p>
    <w:p>
      <w:pPr>
        <w:ind w:left="360" w:hanging="346"/>
        <w:spacing w:after="0"/>
        <w:tabs>
          <w:tab w:leader="none" w:pos="360" w:val="left"/>
        </w:tabs>
        <w:numPr>
          <w:ilvl w:val="0"/>
          <w:numId w:val="92"/>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83" w:name="page84"/>
    <w:bookmarkEnd w:id="83"/>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3465B0"/>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3175</wp:posOffset>
            </wp:positionV>
            <wp:extent cx="58121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71" w:lineRule="exact"/>
        <w:rPr>
          <w:sz w:val="20"/>
          <w:szCs w:val="20"/>
          <w:color w:val="auto"/>
        </w:rPr>
      </w:pPr>
    </w:p>
    <w:p>
      <w:pPr>
        <w:jc w:val="both"/>
        <w:ind w:left="940" w:right="940"/>
        <w:spacing w:after="0" w:line="246" w:lineRule="auto"/>
        <w:rPr>
          <w:sz w:val="20"/>
          <w:szCs w:val="20"/>
          <w:color w:val="auto"/>
        </w:rPr>
      </w:pPr>
      <w:r>
        <w:rPr>
          <w:rFonts w:ascii="Arial" w:cs="Arial" w:eastAsia="Arial" w:hAnsi="Arial"/>
          <w:sz w:val="18"/>
          <w:szCs w:val="18"/>
          <w:i w:val="1"/>
          <w:iCs w:val="1"/>
          <w:color w:val="auto"/>
        </w:rPr>
        <w:t>This proxy statement includes links to websites, which are provided solely for convenience. The information contained or linked on these websites or otherwise connected thereto are not, and will not be deemed to be, a part of or incorporated by reference into this proxy statement or any other Company filings with the Securities and Exchange Commission.</w:t>
      </w:r>
    </w:p>
    <w:p>
      <w:pPr>
        <w:spacing w:after="0" w:line="96" w:lineRule="exact"/>
        <w:rPr>
          <w:sz w:val="20"/>
          <w:szCs w:val="20"/>
          <w:color w:val="auto"/>
        </w:rPr>
      </w:pPr>
    </w:p>
    <w:p>
      <w:pPr>
        <w:jc w:val="both"/>
        <w:ind w:left="940" w:right="940"/>
        <w:spacing w:after="0" w:line="236" w:lineRule="auto"/>
        <w:rPr>
          <w:sz w:val="20"/>
          <w:szCs w:val="20"/>
          <w:color w:val="auto"/>
        </w:rPr>
      </w:pPr>
      <w:r>
        <w:rPr>
          <w:rFonts w:ascii="Arial" w:cs="Arial" w:eastAsia="Arial" w:hAnsi="Arial"/>
          <w:sz w:val="18"/>
          <w:szCs w:val="18"/>
          <w:i w:val="1"/>
          <w:iCs w:val="1"/>
          <w:color w:val="auto"/>
        </w:rPr>
        <w:t>This proxy statement contains forward-looking statements. All statements, other than statements of historical facts included in this proxy statement, including statements concerning our plans, objectives, goals, beliefs, business strategies, future events, business conditions, results of operations, financial position, business outlook, business trends and other information, may be forward-looking statements. 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 All forward-looking statements in this proxy statement, apply only as of the date of this proxy statement or as of the date they were made and, except as required by applicable law, we undertake no obligation to publicly update or revise any forward-looking statement, whether as a result of new information, future developments or otherwise. There are a number of risks, uncertainties and other important factors, many of which are beyond our control, that could cause our actual results to differ materially from the forward-looking statements contained in this proxy statement. These risks and uncertainties include, but are not limited to, those described in Part I. Item 1A. “Risk Factors” in our Annual Report on Form 10-K, and those described from time to time in our future reports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66675</wp:posOffset>
            </wp:positionV>
            <wp:extent cx="205740" cy="2057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77</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3465B0"/>
        </w:rPr>
        <w:t>Appendix A</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465B0"/>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8121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55"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 xml:space="preserve">The Proxy Statement Summary and Compensation Discussion and Analysis sections of our proxy statement contain Non-GAAP financial measures within the meaning of Regulation G promulgated by the SEC. The Company uses certain Non -GAAP financial measures to supplement the Company’s financial information presented in accordance with GAAP and aid understanding of the Company’s business performance.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For additional details regarding our Non-GAAP financial measures below, see the Company’s Current Report on Form 8-K filed with the SEC on March 4, 2026. This information is also available in the investors section of the Company’s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115"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We define Adjusted Operating Income from continuing operations as net income (loss), minus income (loss) from discontinued operations, net of tax,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Enterprise Resource Planning (“ERP”) and Customer Relationship Management (“CRM”) implementation expenses, shareholder activism costs, severance and associate-related costs associated with organization restructuring, and certain other expenses.</w:t>
      </w:r>
    </w:p>
    <w:p>
      <w:pPr>
        <w:spacing w:after="0" w:line="117"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We define STIP Adjusted Operating Income as Adjusted Operating Income from continuing operations, further adjusted to exclude margin on unearned revenue and short-term incentive plan expenses.</w:t>
      </w:r>
    </w:p>
    <w:p>
      <w:pPr>
        <w:spacing w:after="0" w:line="73"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We define Adjusted EBITDA from continuing operations as net income (loss), minus income (loss) from discontinued operations, net of tax,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shareholder activism costs, severance and associate-related costs associated with organization restructuring ERP and CRM implementation expenses, and certain other expenses.</w:t>
      </w:r>
    </w:p>
    <w:p>
      <w:pPr>
        <w:spacing w:after="0" w:line="117"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101"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We define Adjusted Diluted EPS from continuing operations as diluted earnings (loss) per share, minus diluted earnings (loss) per share from discontinued operations, adjusted for the per share impact of stock-based compensation expense, (gain)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2.50% convertible senior notes due on May 15, 2025 (“2025 Notes”) when not required under U.S. GAAP to be added back for diluted earnings (loss) per share, derivative fair value adjustments, ERP and CRM implementation expenses, shareholder activism costs, severance and associate-related costs associated with organization restructuring, certain other expenses, and related tax effects.</w:t>
      </w:r>
    </w:p>
    <w:p>
      <w:pPr>
        <w:spacing w:after="0" w:line="99"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 (v) sales from partial months of operation are excluded when stores do not open or close</w:t>
      </w:r>
    </w:p>
    <w:p>
      <w:pPr>
        <w:spacing w:after="0" w:line="56" w:lineRule="exact"/>
        <w:rPr>
          <w:sz w:val="20"/>
          <w:szCs w:val="20"/>
          <w:color w:val="auto"/>
        </w:rPr>
      </w:pPr>
    </w:p>
    <w:p>
      <w:pPr>
        <w:ind w:left="360" w:hanging="346"/>
        <w:spacing w:after="0"/>
        <w:tabs>
          <w:tab w:leader="none" w:pos="360" w:val="left"/>
        </w:tabs>
        <w:numPr>
          <w:ilvl w:val="0"/>
          <w:numId w:val="93"/>
        </w:numPr>
        <w:rPr>
          <w:rFonts w:ascii="Arial" w:cs="Arial" w:eastAsia="Arial" w:hAnsi="Arial"/>
          <w:sz w:val="16"/>
          <w:szCs w:val="16"/>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154305</wp:posOffset>
            </wp:positionV>
            <wp:extent cx="699516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85" w:name="page86"/>
    <w:bookmarkEnd w:id="85"/>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FFFFF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111"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on the first day of the month; and (vi)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104" w:lineRule="exact"/>
        <w:rPr>
          <w:sz w:val="20"/>
          <w:szCs w:val="20"/>
          <w:color w:val="auto"/>
        </w:rPr>
      </w:pPr>
    </w:p>
    <w:p>
      <w:pPr>
        <w:jc w:val="both"/>
        <w:ind w:left="940" w:right="940"/>
        <w:spacing w:after="0"/>
        <w:rPr>
          <w:sz w:val="20"/>
          <w:szCs w:val="20"/>
          <w:color w:val="auto"/>
        </w:rPr>
      </w:pPr>
      <w:r>
        <w:rPr>
          <w:rFonts w:ascii="Arial" w:cs="Arial" w:eastAsia="Arial" w:hAnsi="Arial"/>
          <w:sz w:val="18"/>
          <w:szCs w:val="18"/>
          <w:color w:val="auto"/>
        </w:rPr>
        <w:t>Adjusted EBITDA, Adjusted Operating Income, STIP Adjusted Operating Income, Adjusted Diluted EPS and Adjusted Comparable Store Sales Growth are not recognized terms under U.S. GAAP and should not be considered as an alternative to net income or comparable store sales growth as a measure of operating performance, or any other performance measure derived in accordance with U.S. GAAP.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53" w:lineRule="exact"/>
        <w:rPr>
          <w:sz w:val="20"/>
          <w:szCs w:val="20"/>
          <w:color w:val="auto"/>
        </w:rPr>
      </w:pPr>
    </w:p>
    <w:p>
      <w:pPr>
        <w:jc w:val="center"/>
        <w:ind w:right="80"/>
        <w:spacing w:after="0" w:line="247" w:lineRule="auto"/>
        <w:rPr>
          <w:sz w:val="20"/>
          <w:szCs w:val="20"/>
          <w:color w:val="auto"/>
        </w:rPr>
      </w:pPr>
      <w:r>
        <w:rPr>
          <w:rFonts w:ascii="Arial" w:cs="Arial" w:eastAsia="Arial" w:hAnsi="Arial"/>
          <w:sz w:val="18"/>
          <w:szCs w:val="18"/>
          <w:b w:val="1"/>
          <w:bCs w:val="1"/>
          <w:color w:val="auto"/>
        </w:rPr>
        <w:t xml:space="preserve">National Vision Holdings, Inc. and Subsidiaries Reconciliation of GAAP and Non-GAAP Financial Measures For the Fiscal Years Ended January 3, 2026, and December 28, 2024 </w:t>
      </w:r>
      <w:r>
        <w:rPr>
          <w:rFonts w:ascii="Arial" w:cs="Arial" w:eastAsia="Arial" w:hAnsi="Arial"/>
          <w:sz w:val="18"/>
          <w:szCs w:val="18"/>
          <w:i w:val="1"/>
          <w:iCs w:val="1"/>
          <w:color w:val="auto"/>
        </w:rPr>
        <w:t>In Thousands, Except Earnings Per Share</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Reconciliation of Adjusted Operating Income from Continuing Operations to Net Income (loss)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40" w:type="dxa"/>
            <w:vAlign w:val="bottom"/>
            <w:tcBorders>
              <w:right w:val="single" w:sz="8" w:color="3465B0"/>
            </w:tcBorders>
          </w:tcPr>
          <w:p>
            <w:pPr>
              <w:spacing w:after="0"/>
              <w:rPr>
                <w:sz w:val="24"/>
                <w:szCs w:val="24"/>
                <w:color w:val="auto"/>
              </w:rPr>
            </w:pPr>
          </w:p>
        </w:tc>
        <w:tc>
          <w:tcPr>
            <w:tcW w:w="6160" w:type="dxa"/>
            <w:vAlign w:val="bottom"/>
            <w:tcBorders>
              <w:top w:val="single" w:sz="8" w:color="3465B0"/>
            </w:tcBorders>
            <w:shd w:val="clear" w:color="auto" w:fill="3465B0"/>
          </w:tcPr>
          <w:p>
            <w:pPr>
              <w:spacing w:after="0"/>
              <w:rPr>
                <w:sz w:val="24"/>
                <w:szCs w:val="24"/>
                <w:color w:val="auto"/>
              </w:rPr>
            </w:pPr>
          </w:p>
        </w:tc>
        <w:tc>
          <w:tcPr>
            <w:tcW w:w="580" w:type="dxa"/>
            <w:vAlign w:val="bottom"/>
            <w:tcBorders>
              <w:top w:val="single" w:sz="8" w:color="3465B0"/>
              <w:right w:val="single" w:sz="8" w:color="93A1D2"/>
            </w:tcBorders>
            <w:shd w:val="clear" w:color="auto" w:fill="3465B0"/>
          </w:tcPr>
          <w:p>
            <w:pPr>
              <w:spacing w:after="0"/>
              <w:rPr>
                <w:sz w:val="24"/>
                <w:szCs w:val="24"/>
                <w:color w:val="auto"/>
              </w:rPr>
            </w:pPr>
          </w:p>
        </w:tc>
        <w:tc>
          <w:tcPr>
            <w:tcW w:w="300" w:type="dxa"/>
            <w:vAlign w:val="bottom"/>
            <w:tcBorders>
              <w:top w:val="single" w:sz="8" w:color="3465B0"/>
            </w:tcBorders>
            <w:shd w:val="clear" w:color="auto" w:fill="3465B0"/>
          </w:tcPr>
          <w:p>
            <w:pPr>
              <w:spacing w:after="0"/>
              <w:rPr>
                <w:sz w:val="24"/>
                <w:szCs w:val="24"/>
                <w:color w:val="auto"/>
              </w:rPr>
            </w:pPr>
          </w:p>
        </w:tc>
        <w:tc>
          <w:tcPr>
            <w:tcW w:w="900" w:type="dxa"/>
            <w:vAlign w:val="bottom"/>
            <w:tcBorders>
              <w:top w:val="single" w:sz="8" w:color="3465B0"/>
              <w:right w:val="single" w:sz="8" w:color="93A1D2"/>
            </w:tcBorders>
            <w:shd w:val="clear" w:color="auto" w:fill="3465B0"/>
          </w:tcPr>
          <w:p>
            <w:pPr>
              <w:jc w:val="right"/>
              <w:ind w:right="270"/>
              <w:spacing w:after="0"/>
              <w:rPr>
                <w:sz w:val="20"/>
                <w:szCs w:val="20"/>
                <w:color w:val="auto"/>
              </w:rPr>
            </w:pPr>
            <w:r>
              <w:rPr>
                <w:rFonts w:ascii="Arial" w:cs="Arial" w:eastAsia="Arial" w:hAnsi="Arial"/>
                <w:sz w:val="18"/>
                <w:szCs w:val="18"/>
                <w:b w:val="1"/>
                <w:bCs w:val="1"/>
                <w:color w:val="FFFFFF"/>
              </w:rPr>
              <w:t>Fiscal</w:t>
            </w:r>
          </w:p>
        </w:tc>
        <w:tc>
          <w:tcPr>
            <w:tcW w:w="300" w:type="dxa"/>
            <w:vAlign w:val="bottom"/>
            <w:tcBorders>
              <w:top w:val="single" w:sz="8" w:color="3465B0"/>
            </w:tcBorders>
            <w:shd w:val="clear" w:color="auto" w:fill="3465B0"/>
          </w:tcPr>
          <w:p>
            <w:pPr>
              <w:spacing w:after="0"/>
              <w:rPr>
                <w:sz w:val="24"/>
                <w:szCs w:val="24"/>
                <w:color w:val="auto"/>
              </w:rPr>
            </w:pPr>
          </w:p>
        </w:tc>
        <w:tc>
          <w:tcPr>
            <w:tcW w:w="700" w:type="dxa"/>
            <w:vAlign w:val="bottom"/>
            <w:tcBorders>
              <w:top w:val="single" w:sz="8" w:color="3465B0"/>
            </w:tcBorders>
            <w:shd w:val="clear" w:color="auto" w:fill="3465B0"/>
          </w:tcPr>
          <w:p>
            <w:pPr>
              <w:jc w:val="center"/>
              <w:spacing w:after="0"/>
              <w:rPr>
                <w:sz w:val="20"/>
                <w:szCs w:val="20"/>
                <w:color w:val="auto"/>
              </w:rPr>
            </w:pPr>
            <w:r>
              <w:rPr>
                <w:rFonts w:ascii="Arial" w:cs="Arial" w:eastAsia="Arial" w:hAnsi="Arial"/>
                <w:sz w:val="18"/>
                <w:szCs w:val="18"/>
                <w:b w:val="1"/>
                <w:bCs w:val="1"/>
                <w:color w:val="FFFFFF"/>
                <w:w w:val="97"/>
              </w:rPr>
              <w:t>Fiscal</w:t>
            </w:r>
          </w:p>
        </w:tc>
        <w:tc>
          <w:tcPr>
            <w:tcW w:w="200" w:type="dxa"/>
            <w:vAlign w:val="bottom"/>
            <w:tcBorders>
              <w:top w:val="single" w:sz="8" w:color="3465B0"/>
              <w:right w:val="single" w:sz="8" w:color="3465B0"/>
            </w:tcBorders>
            <w:shd w:val="clear" w:color="auto" w:fill="3465B0"/>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940" w:type="dxa"/>
            <w:vAlign w:val="bottom"/>
            <w:tcBorders>
              <w:right w:val="single" w:sz="8" w:color="3465B0"/>
            </w:tcBorders>
          </w:tcPr>
          <w:p>
            <w:pPr>
              <w:spacing w:after="0"/>
              <w:rPr>
                <w:sz w:val="17"/>
                <w:szCs w:val="17"/>
                <w:color w:val="auto"/>
              </w:rPr>
            </w:pPr>
          </w:p>
        </w:tc>
        <w:tc>
          <w:tcPr>
            <w:tcW w:w="6160" w:type="dxa"/>
            <w:vAlign w:val="bottom"/>
            <w:shd w:val="clear" w:color="auto" w:fill="3465B0"/>
          </w:tcPr>
          <w:p>
            <w:pPr>
              <w:spacing w:after="0"/>
              <w:rPr>
                <w:sz w:val="17"/>
                <w:szCs w:val="17"/>
                <w:color w:val="auto"/>
              </w:rPr>
            </w:pPr>
          </w:p>
        </w:tc>
        <w:tc>
          <w:tcPr>
            <w:tcW w:w="580" w:type="dxa"/>
            <w:vAlign w:val="bottom"/>
            <w:tcBorders>
              <w:right w:val="single" w:sz="8" w:color="93A1D2"/>
            </w:tcBorders>
            <w:shd w:val="clear" w:color="auto" w:fill="3465B0"/>
          </w:tcPr>
          <w:p>
            <w:pPr>
              <w:spacing w:after="0"/>
              <w:rPr>
                <w:sz w:val="17"/>
                <w:szCs w:val="17"/>
                <w:color w:val="auto"/>
              </w:rPr>
            </w:pPr>
          </w:p>
        </w:tc>
        <w:tc>
          <w:tcPr>
            <w:tcW w:w="300" w:type="dxa"/>
            <w:vAlign w:val="bottom"/>
            <w:shd w:val="clear" w:color="auto" w:fill="3465B0"/>
          </w:tcPr>
          <w:p>
            <w:pPr>
              <w:spacing w:after="0"/>
              <w:rPr>
                <w:sz w:val="17"/>
                <w:szCs w:val="17"/>
                <w:color w:val="auto"/>
              </w:rPr>
            </w:pPr>
          </w:p>
        </w:tc>
        <w:tc>
          <w:tcPr>
            <w:tcW w:w="900" w:type="dxa"/>
            <w:vAlign w:val="bottom"/>
            <w:tcBorders>
              <w:right w:val="single" w:sz="8" w:color="93A1D2"/>
            </w:tcBorders>
            <w:shd w:val="clear" w:color="auto" w:fill="3465B0"/>
          </w:tcPr>
          <w:p>
            <w:pPr>
              <w:jc w:val="right"/>
              <w:ind w:right="330"/>
              <w:spacing w:after="0" w:line="202" w:lineRule="exact"/>
              <w:rPr>
                <w:sz w:val="20"/>
                <w:szCs w:val="20"/>
                <w:color w:val="auto"/>
              </w:rPr>
            </w:pPr>
            <w:r>
              <w:rPr>
                <w:rFonts w:ascii="Arial" w:cs="Arial" w:eastAsia="Arial" w:hAnsi="Arial"/>
                <w:sz w:val="18"/>
                <w:szCs w:val="18"/>
                <w:b w:val="1"/>
                <w:bCs w:val="1"/>
                <w:color w:val="FFFFFF"/>
              </w:rPr>
              <w:t>Year</w:t>
            </w:r>
          </w:p>
        </w:tc>
        <w:tc>
          <w:tcPr>
            <w:tcW w:w="300" w:type="dxa"/>
            <w:vAlign w:val="bottom"/>
            <w:shd w:val="clear" w:color="auto" w:fill="3465B0"/>
          </w:tcPr>
          <w:p>
            <w:pPr>
              <w:spacing w:after="0"/>
              <w:rPr>
                <w:sz w:val="17"/>
                <w:szCs w:val="17"/>
                <w:color w:val="auto"/>
              </w:rPr>
            </w:pPr>
          </w:p>
        </w:tc>
        <w:tc>
          <w:tcPr>
            <w:tcW w:w="700" w:type="dxa"/>
            <w:vAlign w:val="bottom"/>
            <w:shd w:val="clear" w:color="auto" w:fill="3465B0"/>
          </w:tcPr>
          <w:p>
            <w:pPr>
              <w:jc w:val="center"/>
              <w:spacing w:after="0" w:line="202" w:lineRule="exact"/>
              <w:rPr>
                <w:sz w:val="20"/>
                <w:szCs w:val="20"/>
                <w:color w:val="auto"/>
              </w:rPr>
            </w:pPr>
            <w:r>
              <w:rPr>
                <w:rFonts w:ascii="Arial" w:cs="Arial" w:eastAsia="Arial" w:hAnsi="Arial"/>
                <w:sz w:val="18"/>
                <w:szCs w:val="18"/>
                <w:b w:val="1"/>
                <w:bCs w:val="1"/>
                <w:color w:val="FFFFFF"/>
                <w:w w:val="97"/>
              </w:rPr>
              <w:t>Year</w:t>
            </w:r>
          </w:p>
        </w:tc>
        <w:tc>
          <w:tcPr>
            <w:tcW w:w="200" w:type="dxa"/>
            <w:vAlign w:val="bottom"/>
            <w:tcBorders>
              <w:right w:val="single" w:sz="8" w:color="3465B0"/>
            </w:tcBorders>
            <w:shd w:val="clear" w:color="auto" w:fill="3465B0"/>
          </w:tcPr>
          <w:p>
            <w:pPr>
              <w:spacing w:after="0"/>
              <w:rPr>
                <w:sz w:val="17"/>
                <w:szCs w:val="17"/>
                <w:color w:val="auto"/>
              </w:rPr>
            </w:pPr>
          </w:p>
        </w:tc>
        <w:tc>
          <w:tcPr>
            <w:tcW w:w="940" w:type="dxa"/>
            <w:vAlign w:val="bottom"/>
          </w:tcPr>
          <w:p>
            <w:pPr>
              <w:spacing w:after="0"/>
              <w:rPr>
                <w:sz w:val="17"/>
                <w:szCs w:val="17"/>
                <w:color w:val="auto"/>
              </w:rPr>
            </w:pPr>
          </w:p>
        </w:tc>
      </w:tr>
      <w:tr>
        <w:trPr>
          <w:trHeight w:val="262"/>
        </w:trPr>
        <w:tc>
          <w:tcPr>
            <w:tcW w:w="940" w:type="dxa"/>
            <w:vAlign w:val="bottom"/>
            <w:tcBorders>
              <w:right w:val="single" w:sz="8" w:color="3465B0"/>
            </w:tcBorders>
          </w:tcPr>
          <w:p>
            <w:pPr>
              <w:spacing w:after="0"/>
              <w:rPr>
                <w:sz w:val="22"/>
                <w:szCs w:val="22"/>
                <w:color w:val="auto"/>
              </w:rPr>
            </w:pPr>
          </w:p>
        </w:tc>
        <w:tc>
          <w:tcPr>
            <w:tcW w:w="6160" w:type="dxa"/>
            <w:vAlign w:val="bottom"/>
            <w:shd w:val="clear" w:color="auto" w:fill="3465B0"/>
          </w:tcPr>
          <w:p>
            <w:pPr>
              <w:ind w:left="2680"/>
              <w:spacing w:after="0"/>
              <w:rPr>
                <w:sz w:val="20"/>
                <w:szCs w:val="20"/>
                <w:color w:val="auto"/>
              </w:rPr>
            </w:pPr>
            <w:r>
              <w:rPr>
                <w:rFonts w:ascii="Arial" w:cs="Arial" w:eastAsia="Arial" w:hAnsi="Arial"/>
                <w:sz w:val="18"/>
                <w:szCs w:val="18"/>
                <w:b w:val="1"/>
                <w:bCs w:val="1"/>
                <w:color w:val="FFFFFF"/>
              </w:rPr>
              <w:t>(in thousands)</w:t>
            </w:r>
          </w:p>
        </w:tc>
        <w:tc>
          <w:tcPr>
            <w:tcW w:w="580" w:type="dxa"/>
            <w:vAlign w:val="bottom"/>
            <w:tcBorders>
              <w:right w:val="single" w:sz="8" w:color="93A1D2"/>
            </w:tcBorders>
            <w:shd w:val="clear" w:color="auto" w:fill="3465B0"/>
          </w:tcPr>
          <w:p>
            <w:pPr>
              <w:spacing w:after="0"/>
              <w:rPr>
                <w:sz w:val="22"/>
                <w:szCs w:val="22"/>
                <w:color w:val="auto"/>
              </w:rPr>
            </w:pPr>
          </w:p>
        </w:tc>
        <w:tc>
          <w:tcPr>
            <w:tcW w:w="300" w:type="dxa"/>
            <w:vAlign w:val="bottom"/>
            <w:shd w:val="clear" w:color="auto" w:fill="3465B0"/>
          </w:tcPr>
          <w:p>
            <w:pPr>
              <w:spacing w:after="0"/>
              <w:rPr>
                <w:sz w:val="22"/>
                <w:szCs w:val="22"/>
                <w:color w:val="auto"/>
              </w:rPr>
            </w:pPr>
          </w:p>
        </w:tc>
        <w:tc>
          <w:tcPr>
            <w:tcW w:w="900" w:type="dxa"/>
            <w:vAlign w:val="bottom"/>
            <w:tcBorders>
              <w:right w:val="single" w:sz="8" w:color="93A1D2"/>
            </w:tcBorders>
            <w:shd w:val="clear" w:color="auto" w:fill="3465B0"/>
          </w:tcPr>
          <w:p>
            <w:pPr>
              <w:jc w:val="right"/>
              <w:ind w:right="310"/>
              <w:spacing w:after="0"/>
              <w:rPr>
                <w:sz w:val="20"/>
                <w:szCs w:val="20"/>
                <w:color w:val="auto"/>
              </w:rPr>
            </w:pPr>
            <w:r>
              <w:rPr>
                <w:rFonts w:ascii="Arial" w:cs="Arial" w:eastAsia="Arial" w:hAnsi="Arial"/>
                <w:sz w:val="18"/>
                <w:szCs w:val="18"/>
                <w:b w:val="1"/>
                <w:bCs w:val="1"/>
                <w:color w:val="FFFFFF"/>
              </w:rPr>
              <w:t>2025</w:t>
            </w:r>
          </w:p>
        </w:tc>
        <w:tc>
          <w:tcPr>
            <w:tcW w:w="300" w:type="dxa"/>
            <w:vAlign w:val="bottom"/>
            <w:shd w:val="clear" w:color="auto" w:fill="3465B0"/>
          </w:tcPr>
          <w:p>
            <w:pPr>
              <w:spacing w:after="0"/>
              <w:rPr>
                <w:sz w:val="22"/>
                <w:szCs w:val="22"/>
                <w:color w:val="auto"/>
              </w:rPr>
            </w:pPr>
          </w:p>
        </w:tc>
        <w:tc>
          <w:tcPr>
            <w:tcW w:w="700" w:type="dxa"/>
            <w:vAlign w:val="bottom"/>
            <w:shd w:val="clear" w:color="auto" w:fill="3465B0"/>
          </w:tcPr>
          <w:p>
            <w:pPr>
              <w:jc w:val="center"/>
              <w:ind w:right="10"/>
              <w:spacing w:after="0"/>
              <w:rPr>
                <w:sz w:val="20"/>
                <w:szCs w:val="20"/>
                <w:color w:val="auto"/>
              </w:rPr>
            </w:pPr>
            <w:r>
              <w:rPr>
                <w:rFonts w:ascii="Arial" w:cs="Arial" w:eastAsia="Arial" w:hAnsi="Arial"/>
                <w:sz w:val="18"/>
                <w:szCs w:val="18"/>
                <w:b w:val="1"/>
                <w:bCs w:val="1"/>
                <w:color w:val="FFFFFF"/>
                <w:w w:val="99"/>
              </w:rPr>
              <w:t>2024</w:t>
            </w:r>
          </w:p>
        </w:tc>
        <w:tc>
          <w:tcPr>
            <w:tcW w:w="200" w:type="dxa"/>
            <w:vAlign w:val="bottom"/>
            <w:tcBorders>
              <w:right w:val="single" w:sz="8" w:color="3465B0"/>
            </w:tcBorders>
            <w:shd w:val="clear" w:color="auto" w:fill="3465B0"/>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940" w:type="dxa"/>
            <w:vAlign w:val="bottom"/>
            <w:tcBorders>
              <w:right w:val="single" w:sz="8" w:color="3465B0"/>
            </w:tcBorders>
          </w:tcPr>
          <w:p>
            <w:pPr>
              <w:spacing w:after="0"/>
              <w:rPr>
                <w:sz w:val="23"/>
                <w:szCs w:val="23"/>
                <w:color w:val="auto"/>
              </w:rPr>
            </w:pPr>
          </w:p>
        </w:tc>
        <w:tc>
          <w:tcPr>
            <w:tcW w:w="6160" w:type="dxa"/>
            <w:vAlign w:val="bottom"/>
          </w:tcPr>
          <w:p>
            <w:pPr>
              <w:ind w:left="100"/>
              <w:spacing w:after="0"/>
              <w:rPr>
                <w:sz w:val="20"/>
                <w:szCs w:val="20"/>
                <w:color w:val="auto"/>
              </w:rPr>
            </w:pPr>
            <w:r>
              <w:rPr>
                <w:rFonts w:ascii="Arial" w:cs="Arial" w:eastAsia="Arial" w:hAnsi="Arial"/>
                <w:sz w:val="18"/>
                <w:szCs w:val="18"/>
                <w:b w:val="1"/>
                <w:bCs w:val="1"/>
                <w:color w:val="auto"/>
              </w:rPr>
              <w:t>Net Income (loss)</w:t>
            </w:r>
          </w:p>
        </w:tc>
        <w:tc>
          <w:tcPr>
            <w:tcW w:w="580" w:type="dxa"/>
            <w:vAlign w:val="bottom"/>
            <w:tcBorders>
              <w:right w:val="single" w:sz="8" w:color="93A1D2"/>
            </w:tcBorders>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29,600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(28,499)</w:t>
            </w:r>
          </w:p>
        </w:tc>
        <w:tc>
          <w:tcPr>
            <w:tcW w:w="200" w:type="dxa"/>
            <w:vAlign w:val="bottom"/>
            <w:tcBorders>
              <w:right w:val="single" w:sz="8" w:color="3465B0"/>
            </w:tcBorders>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940" w:type="dxa"/>
            <w:vAlign w:val="bottom"/>
            <w:tcBorders>
              <w:right w:val="single" w:sz="8" w:color="3465B0"/>
            </w:tcBorders>
          </w:tcPr>
          <w:p>
            <w:pPr>
              <w:spacing w:after="0"/>
              <w:rPr>
                <w:sz w:val="21"/>
                <w:szCs w:val="21"/>
                <w:color w:val="auto"/>
              </w:rPr>
            </w:pPr>
          </w:p>
        </w:tc>
        <w:tc>
          <w:tcPr>
            <w:tcW w:w="61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Income (loss) from discontinued operations, net of tax</w:t>
            </w:r>
          </w:p>
        </w:tc>
        <w:tc>
          <w:tcPr>
            <w:tcW w:w="580" w:type="dxa"/>
            <w:vAlign w:val="bottom"/>
            <w:tcBorders>
              <w:bottom w:val="single" w:sz="8" w:color="CCCCCC"/>
              <w:right w:val="single" w:sz="8" w:color="93A1D2"/>
            </w:tcBorders>
            <w:shd w:val="clear" w:color="auto" w:fill="CCCCCC"/>
          </w:tcPr>
          <w:p>
            <w:pPr>
              <w:spacing w:after="0"/>
              <w:rPr>
                <w:sz w:val="21"/>
                <w:szCs w:val="21"/>
                <w:color w:val="auto"/>
              </w:rPr>
            </w:pPr>
          </w:p>
        </w:tc>
        <w:tc>
          <w:tcPr>
            <w:tcW w:w="300" w:type="dxa"/>
            <w:vAlign w:val="bottom"/>
            <w:tcBorders>
              <w:bottom w:val="single" w:sz="8" w:color="CCCCCC"/>
            </w:tcBorders>
            <w:shd w:val="clear" w:color="auto" w:fill="CCCCCC"/>
          </w:tcPr>
          <w:p>
            <w:pPr>
              <w:spacing w:after="0"/>
              <w:rPr>
                <w:sz w:val="21"/>
                <w:szCs w:val="21"/>
                <w:color w:val="auto"/>
              </w:rPr>
            </w:pPr>
          </w:p>
        </w:tc>
        <w:tc>
          <w:tcPr>
            <w:tcW w:w="900" w:type="dxa"/>
            <w:vAlign w:val="bottom"/>
            <w:tcBorders>
              <w:bottom w:val="single" w:sz="8" w:color="CCCCCC"/>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CCCC"/>
            </w:tcBorders>
            <w:shd w:val="clear" w:color="auto" w:fill="CCCCCC"/>
          </w:tcPr>
          <w:p>
            <w:pPr>
              <w:spacing w:after="0"/>
              <w:rPr>
                <w:sz w:val="21"/>
                <w:szCs w:val="21"/>
                <w:color w:val="auto"/>
              </w:rPr>
            </w:pPr>
          </w:p>
        </w:tc>
        <w:tc>
          <w:tcPr>
            <w:tcW w:w="7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(1,334)</w:t>
            </w:r>
          </w:p>
        </w:tc>
        <w:tc>
          <w:tcPr>
            <w:tcW w:w="200" w:type="dxa"/>
            <w:vAlign w:val="bottom"/>
            <w:tcBorders>
              <w:bottom w:val="single" w:sz="8" w:color="CCCCCC"/>
              <w:right w:val="single" w:sz="8" w:color="3465B0"/>
            </w:tcBorders>
            <w:shd w:val="clear" w:color="auto" w:fill="CCCCCC"/>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940" w:type="dxa"/>
            <w:vAlign w:val="bottom"/>
            <w:tcBorders>
              <w:right w:val="single" w:sz="8" w:color="3465B0"/>
            </w:tcBorders>
          </w:tcPr>
          <w:p>
            <w:pPr>
              <w:spacing w:after="0"/>
              <w:rPr>
                <w:sz w:val="23"/>
                <w:szCs w:val="23"/>
                <w:color w:val="auto"/>
              </w:rPr>
            </w:pPr>
          </w:p>
        </w:tc>
        <w:tc>
          <w:tcPr>
            <w:tcW w:w="6160" w:type="dxa"/>
            <w:vAlign w:val="bottom"/>
          </w:tcPr>
          <w:p>
            <w:pPr>
              <w:ind w:left="100"/>
              <w:spacing w:after="0"/>
              <w:rPr>
                <w:sz w:val="20"/>
                <w:szCs w:val="20"/>
                <w:color w:val="auto"/>
              </w:rPr>
            </w:pPr>
            <w:r>
              <w:rPr>
                <w:rFonts w:ascii="Arial" w:cs="Arial" w:eastAsia="Arial" w:hAnsi="Arial"/>
                <w:sz w:val="18"/>
                <w:szCs w:val="18"/>
                <w:b w:val="1"/>
                <w:bCs w:val="1"/>
                <w:color w:val="auto"/>
              </w:rPr>
              <w:t>Income (loss) from continuing operations</w:t>
            </w:r>
          </w:p>
        </w:tc>
        <w:tc>
          <w:tcPr>
            <w:tcW w:w="580" w:type="dxa"/>
            <w:vAlign w:val="bottom"/>
            <w:tcBorders>
              <w:right w:val="single" w:sz="8" w:color="93A1D2"/>
            </w:tcBorders>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29,600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(27,165)</w:t>
            </w:r>
          </w:p>
        </w:tc>
        <w:tc>
          <w:tcPr>
            <w:tcW w:w="200" w:type="dxa"/>
            <w:vAlign w:val="bottom"/>
            <w:tcBorders>
              <w:right w:val="single" w:sz="8" w:color="3465B0"/>
            </w:tcBorders>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940" w:type="dxa"/>
            <w:vAlign w:val="bottom"/>
            <w:tcBorders>
              <w:right w:val="single" w:sz="8" w:color="3465B0"/>
            </w:tcBorders>
          </w:tcPr>
          <w:p>
            <w:pPr>
              <w:spacing w:after="0"/>
              <w:rPr>
                <w:sz w:val="21"/>
                <w:szCs w:val="21"/>
                <w:color w:val="auto"/>
              </w:rPr>
            </w:pPr>
          </w:p>
        </w:tc>
        <w:tc>
          <w:tcPr>
            <w:tcW w:w="616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Interest expense, net</w:t>
            </w:r>
          </w:p>
        </w:tc>
        <w:tc>
          <w:tcPr>
            <w:tcW w:w="580" w:type="dxa"/>
            <w:vAlign w:val="bottom"/>
            <w:tcBorders>
              <w:bottom w:val="single" w:sz="8" w:color="CCCCCC"/>
              <w:right w:val="single" w:sz="8" w:color="93A1D2"/>
            </w:tcBorders>
            <w:shd w:val="clear" w:color="auto" w:fill="CCCCCC"/>
          </w:tcPr>
          <w:p>
            <w:pPr>
              <w:spacing w:after="0"/>
              <w:rPr>
                <w:sz w:val="21"/>
                <w:szCs w:val="21"/>
                <w:color w:val="auto"/>
              </w:rPr>
            </w:pPr>
          </w:p>
        </w:tc>
        <w:tc>
          <w:tcPr>
            <w:tcW w:w="300" w:type="dxa"/>
            <w:vAlign w:val="bottom"/>
            <w:tcBorders>
              <w:bottom w:val="single" w:sz="8" w:color="CCCCCC"/>
            </w:tcBorders>
            <w:shd w:val="clear" w:color="auto" w:fill="CCCCCC"/>
          </w:tcPr>
          <w:p>
            <w:pPr>
              <w:spacing w:after="0"/>
              <w:rPr>
                <w:sz w:val="21"/>
                <w:szCs w:val="21"/>
                <w:color w:val="auto"/>
              </w:rPr>
            </w:pPr>
          </w:p>
        </w:tc>
        <w:tc>
          <w:tcPr>
            <w:tcW w:w="900" w:type="dxa"/>
            <w:vAlign w:val="bottom"/>
            <w:tcBorders>
              <w:bottom w:val="single" w:sz="8" w:color="CCCCCC"/>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17,148</w:t>
            </w:r>
          </w:p>
        </w:tc>
        <w:tc>
          <w:tcPr>
            <w:tcW w:w="300" w:type="dxa"/>
            <w:vAlign w:val="bottom"/>
            <w:tcBorders>
              <w:bottom w:val="single" w:sz="8" w:color="CCCCCC"/>
            </w:tcBorders>
            <w:shd w:val="clear" w:color="auto" w:fill="CCCCCC"/>
          </w:tcPr>
          <w:p>
            <w:pPr>
              <w:spacing w:after="0"/>
              <w:rPr>
                <w:sz w:val="21"/>
                <w:szCs w:val="21"/>
                <w:color w:val="auto"/>
              </w:rPr>
            </w:pPr>
          </w:p>
        </w:tc>
        <w:tc>
          <w:tcPr>
            <w:tcW w:w="7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16,184</w:t>
            </w:r>
          </w:p>
        </w:tc>
        <w:tc>
          <w:tcPr>
            <w:tcW w:w="200" w:type="dxa"/>
            <w:vAlign w:val="bottom"/>
            <w:tcBorders>
              <w:bottom w:val="single" w:sz="8" w:color="CCCCCC"/>
              <w:right w:val="single" w:sz="8" w:color="3465B0"/>
            </w:tcBorders>
            <w:shd w:val="clear" w:color="auto" w:fill="CCCCCC"/>
          </w:tcPr>
          <w:p>
            <w:pPr>
              <w:spacing w:after="0"/>
              <w:rPr>
                <w:sz w:val="21"/>
                <w:szCs w:val="21"/>
                <w:color w:val="auto"/>
              </w:rPr>
            </w:pPr>
          </w:p>
        </w:tc>
        <w:tc>
          <w:tcPr>
            <w:tcW w:w="940" w:type="dxa"/>
            <w:vAlign w:val="bottom"/>
          </w:tcPr>
          <w:p>
            <w:pPr>
              <w:spacing w:after="0"/>
              <w:rPr>
                <w:sz w:val="21"/>
                <w:szCs w:val="21"/>
                <w:color w:val="auto"/>
              </w:rPr>
            </w:pPr>
          </w:p>
        </w:tc>
      </w:tr>
      <w:tr>
        <w:trPr>
          <w:trHeight w:val="247"/>
        </w:trPr>
        <w:tc>
          <w:tcPr>
            <w:tcW w:w="940" w:type="dxa"/>
            <w:vAlign w:val="bottom"/>
            <w:tcBorders>
              <w:right w:val="single" w:sz="8" w:color="3465B0"/>
            </w:tcBorders>
          </w:tcPr>
          <w:p>
            <w:pPr>
              <w:spacing w:after="0"/>
              <w:rPr>
                <w:sz w:val="21"/>
                <w:szCs w:val="21"/>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Income tax provision (benefit)</w:t>
            </w:r>
          </w:p>
        </w:tc>
        <w:tc>
          <w:tcPr>
            <w:tcW w:w="580" w:type="dxa"/>
            <w:vAlign w:val="bottom"/>
            <w:tcBorders>
              <w:right w:val="single" w:sz="8" w:color="93A1D2"/>
            </w:tcBorders>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12,081</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1,481</w:t>
            </w:r>
          </w:p>
        </w:tc>
        <w:tc>
          <w:tcPr>
            <w:tcW w:w="200" w:type="dxa"/>
            <w:vAlign w:val="bottom"/>
            <w:tcBorders>
              <w:right w:val="single" w:sz="8" w:color="3465B0"/>
            </w:tcBorders>
          </w:tcPr>
          <w:p>
            <w:pPr>
              <w:spacing w:after="0"/>
              <w:rPr>
                <w:sz w:val="21"/>
                <w:szCs w:val="21"/>
                <w:color w:val="auto"/>
              </w:rPr>
            </w:pPr>
          </w:p>
        </w:tc>
        <w:tc>
          <w:tcPr>
            <w:tcW w:w="940" w:type="dxa"/>
            <w:vAlign w:val="bottom"/>
          </w:tcPr>
          <w:p>
            <w:pPr>
              <w:spacing w:after="0"/>
              <w:rPr>
                <w:sz w:val="21"/>
                <w:szCs w:val="21"/>
                <w:color w:val="auto"/>
              </w:rPr>
            </w:pPr>
          </w:p>
        </w:tc>
      </w:tr>
      <w:tr>
        <w:trPr>
          <w:trHeight w:val="23"/>
        </w:trPr>
        <w:tc>
          <w:tcPr>
            <w:tcW w:w="940" w:type="dxa"/>
            <w:vAlign w:val="bottom"/>
            <w:tcBorders>
              <w:right w:val="single" w:sz="8" w:color="3465B0"/>
            </w:tcBorders>
          </w:tcPr>
          <w:p>
            <w:pPr>
              <w:spacing w:after="0"/>
              <w:rPr>
                <w:sz w:val="2"/>
                <w:szCs w:val="2"/>
                <w:color w:val="auto"/>
              </w:rPr>
            </w:pPr>
          </w:p>
        </w:tc>
        <w:tc>
          <w:tcPr>
            <w:tcW w:w="6160" w:type="dxa"/>
            <w:vAlign w:val="bottom"/>
          </w:tcPr>
          <w:p>
            <w:pPr>
              <w:spacing w:after="0"/>
              <w:rPr>
                <w:sz w:val="2"/>
                <w:szCs w:val="2"/>
                <w:color w:val="auto"/>
              </w:rPr>
            </w:pPr>
          </w:p>
        </w:tc>
        <w:tc>
          <w:tcPr>
            <w:tcW w:w="580" w:type="dxa"/>
            <w:vAlign w:val="bottom"/>
            <w:tcBorders>
              <w:right w:val="single" w:sz="8" w:color="93A1D2"/>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right w:val="single" w:sz="8" w:color="93A1D2"/>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Borders>
              <w:right w:val="single" w:sz="8" w:color="3465B0"/>
            </w:tcBorders>
          </w:tcPr>
          <w:p>
            <w:pPr>
              <w:spacing w:after="0"/>
              <w:rPr>
                <w:sz w:val="2"/>
                <w:szCs w:val="2"/>
                <w:color w:val="auto"/>
              </w:rPr>
            </w:pPr>
          </w:p>
        </w:tc>
        <w:tc>
          <w:tcPr>
            <w:tcW w:w="940" w:type="dxa"/>
            <w:vAlign w:val="bottom"/>
          </w:tcPr>
          <w:p>
            <w:pPr>
              <w:spacing w:after="0"/>
              <w:rPr>
                <w:sz w:val="2"/>
                <w:szCs w:val="2"/>
                <w:color w:val="auto"/>
              </w:rPr>
            </w:pPr>
          </w:p>
        </w:tc>
      </w:tr>
      <w:tr>
        <w:trPr>
          <w:trHeight w:val="310"/>
        </w:trPr>
        <w:tc>
          <w:tcPr>
            <w:tcW w:w="940" w:type="dxa"/>
            <w:vAlign w:val="bottom"/>
            <w:tcBorders>
              <w:right w:val="single" w:sz="8" w:color="3465B0"/>
            </w:tcBorders>
          </w:tcPr>
          <w:p>
            <w:pPr>
              <w:spacing w:after="0"/>
              <w:rPr>
                <w:sz w:val="24"/>
                <w:szCs w:val="24"/>
                <w:color w:val="auto"/>
              </w:rPr>
            </w:pPr>
          </w:p>
        </w:tc>
        <w:tc>
          <w:tcPr>
            <w:tcW w:w="6160" w:type="dxa"/>
            <w:vAlign w:val="bottom"/>
            <w:shd w:val="clear" w:color="auto" w:fill="CCCCCC"/>
          </w:tcPr>
          <w:p>
            <w:pPr>
              <w:ind w:left="100"/>
              <w:spacing w:after="0" w:line="31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9"/>
                <w:szCs w:val="29"/>
                <w:color w:val="auto"/>
                <w:vertAlign w:val="superscript"/>
              </w:rPr>
              <w:t>(a)</w:t>
            </w:r>
          </w:p>
        </w:tc>
        <w:tc>
          <w:tcPr>
            <w:tcW w:w="580" w:type="dxa"/>
            <w:vAlign w:val="bottom"/>
            <w:tcBorders>
              <w:right w:val="single" w:sz="8" w:color="93A1D2"/>
            </w:tcBorders>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900" w:type="dxa"/>
            <w:vAlign w:val="bottom"/>
            <w:tcBorders>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23,686</w:t>
            </w:r>
          </w:p>
        </w:tc>
        <w:tc>
          <w:tcPr>
            <w:tcW w:w="3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16,708</w:t>
            </w:r>
          </w:p>
        </w:tc>
        <w:tc>
          <w:tcPr>
            <w:tcW w:w="200" w:type="dxa"/>
            <w:vAlign w:val="bottom"/>
            <w:tcBorders>
              <w:right w:val="single" w:sz="8" w:color="3465B0"/>
            </w:tcBorders>
            <w:shd w:val="clear" w:color="auto" w:fill="CCCCCC"/>
          </w:tcPr>
          <w:p>
            <w:pPr>
              <w:spacing w:after="0"/>
              <w:rPr>
                <w:sz w:val="24"/>
                <w:szCs w:val="24"/>
                <w:color w:val="auto"/>
              </w:rPr>
            </w:pPr>
          </w:p>
        </w:tc>
        <w:tc>
          <w:tcPr>
            <w:tcW w:w="940" w:type="dxa"/>
            <w:vAlign w:val="bottom"/>
          </w:tcPr>
          <w:p>
            <w:pPr>
              <w:spacing w:after="0"/>
              <w:rPr>
                <w:sz w:val="24"/>
                <w:szCs w:val="24"/>
                <w:color w:val="auto"/>
              </w:rPr>
            </w:pPr>
          </w:p>
        </w:tc>
      </w:tr>
      <w:tr>
        <w:trPr>
          <w:trHeight w:val="311"/>
        </w:trPr>
        <w:tc>
          <w:tcPr>
            <w:tcW w:w="940" w:type="dxa"/>
            <w:vAlign w:val="bottom"/>
            <w:tcBorders>
              <w:right w:val="single" w:sz="8" w:color="3465B0"/>
            </w:tcBorders>
          </w:tcPr>
          <w:p>
            <w:pPr>
              <w:spacing w:after="0"/>
              <w:rPr>
                <w:sz w:val="24"/>
                <w:szCs w:val="24"/>
                <w:color w:val="auto"/>
              </w:rPr>
            </w:pPr>
          </w:p>
        </w:tc>
        <w:tc>
          <w:tcPr>
            <w:tcW w:w="6160" w:type="dxa"/>
            <w:vAlign w:val="bottom"/>
          </w:tcPr>
          <w:p>
            <w:pPr>
              <w:ind w:left="100"/>
              <w:spacing w:after="0" w:line="310" w:lineRule="exact"/>
              <w:rPr>
                <w:sz w:val="20"/>
                <w:szCs w:val="20"/>
                <w:color w:val="auto"/>
              </w:rPr>
            </w:pPr>
            <w:r>
              <w:rPr>
                <w:rFonts w:ascii="Arial" w:cs="Arial" w:eastAsia="Arial" w:hAnsi="Arial"/>
                <w:sz w:val="18"/>
                <w:szCs w:val="18"/>
                <w:color w:val="auto"/>
              </w:rPr>
              <w:t>Gain on extinguishment of debt</w:t>
            </w:r>
            <w:r>
              <w:rPr>
                <w:rFonts w:ascii="Arial" w:cs="Arial" w:eastAsia="Arial" w:hAnsi="Arial"/>
                <w:sz w:val="29"/>
                <w:szCs w:val="29"/>
                <w:color w:val="auto"/>
                <w:vertAlign w:val="superscript"/>
              </w:rPr>
              <w:t>(b)</w:t>
            </w:r>
          </w:p>
        </w:tc>
        <w:tc>
          <w:tcPr>
            <w:tcW w:w="580" w:type="dxa"/>
            <w:vAlign w:val="bottom"/>
            <w:tcBorders>
              <w:right w:val="single" w:sz="8" w:color="93A1D2"/>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Borders>
              <w:right w:val="single" w:sz="8" w:color="3465B0"/>
            </w:tcBorders>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940" w:type="dxa"/>
            <w:vAlign w:val="bottom"/>
            <w:tcBorders>
              <w:right w:val="single" w:sz="8" w:color="3465B0"/>
            </w:tcBorders>
          </w:tcPr>
          <w:p>
            <w:pPr>
              <w:spacing w:after="0"/>
              <w:rPr>
                <w:sz w:val="24"/>
                <w:szCs w:val="24"/>
                <w:color w:val="auto"/>
              </w:rPr>
            </w:pPr>
          </w:p>
        </w:tc>
        <w:tc>
          <w:tcPr>
            <w:tcW w:w="6160" w:type="dxa"/>
            <w:vAlign w:val="bottom"/>
            <w:shd w:val="clear" w:color="auto" w:fill="CCCCCC"/>
          </w:tcPr>
          <w:p>
            <w:pPr>
              <w:ind w:left="100"/>
              <w:spacing w:after="0" w:line="310" w:lineRule="exact"/>
              <w:rPr>
                <w:sz w:val="20"/>
                <w:szCs w:val="20"/>
                <w:color w:val="auto"/>
              </w:rPr>
            </w:pPr>
            <w:r>
              <w:rPr>
                <w:rFonts w:ascii="Arial" w:cs="Arial" w:eastAsia="Arial" w:hAnsi="Arial"/>
                <w:sz w:val="18"/>
                <w:szCs w:val="18"/>
                <w:color w:val="auto"/>
              </w:rPr>
              <w:t>Asset impairment</w:t>
            </w:r>
            <w:r>
              <w:rPr>
                <w:rFonts w:ascii="Arial" w:cs="Arial" w:eastAsia="Arial" w:hAnsi="Arial"/>
                <w:sz w:val="29"/>
                <w:szCs w:val="29"/>
                <w:color w:val="auto"/>
                <w:vertAlign w:val="superscript"/>
              </w:rPr>
              <w:t>(c)</w:t>
            </w:r>
          </w:p>
        </w:tc>
        <w:tc>
          <w:tcPr>
            <w:tcW w:w="580" w:type="dxa"/>
            <w:vAlign w:val="bottom"/>
            <w:tcBorders>
              <w:right w:val="single" w:sz="8" w:color="93A1D2"/>
            </w:tcBorders>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900" w:type="dxa"/>
            <w:vAlign w:val="bottom"/>
            <w:tcBorders>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1,991</w:t>
            </w:r>
          </w:p>
        </w:tc>
        <w:tc>
          <w:tcPr>
            <w:tcW w:w="3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39,851</w:t>
            </w:r>
          </w:p>
        </w:tc>
        <w:tc>
          <w:tcPr>
            <w:tcW w:w="200" w:type="dxa"/>
            <w:vAlign w:val="bottom"/>
            <w:tcBorders>
              <w:right w:val="single" w:sz="8" w:color="3465B0"/>
            </w:tcBorders>
            <w:shd w:val="clear" w:color="auto" w:fill="CCCCCC"/>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940" w:type="dxa"/>
            <w:vAlign w:val="bottom"/>
            <w:tcBorders>
              <w:right w:val="single" w:sz="8" w:color="3465B0"/>
            </w:tcBorders>
          </w:tcPr>
          <w:p>
            <w:pPr>
              <w:spacing w:after="0"/>
              <w:rPr>
                <w:sz w:val="24"/>
                <w:szCs w:val="24"/>
                <w:color w:val="auto"/>
              </w:rPr>
            </w:pPr>
          </w:p>
        </w:tc>
        <w:tc>
          <w:tcPr>
            <w:tcW w:w="6160" w:type="dxa"/>
            <w:vAlign w:val="bottom"/>
          </w:tcPr>
          <w:p>
            <w:pPr>
              <w:ind w:left="100"/>
              <w:spacing w:after="0" w:line="31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9"/>
                <w:szCs w:val="29"/>
                <w:color w:val="auto"/>
                <w:vertAlign w:val="superscript"/>
              </w:rPr>
              <w:t>(d)</w:t>
            </w:r>
          </w:p>
        </w:tc>
        <w:tc>
          <w:tcPr>
            <w:tcW w:w="580" w:type="dxa"/>
            <w:vAlign w:val="bottom"/>
            <w:tcBorders>
              <w:right w:val="single" w:sz="8" w:color="93A1D2"/>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1,903</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4,450</w:t>
            </w:r>
          </w:p>
        </w:tc>
        <w:tc>
          <w:tcPr>
            <w:tcW w:w="200" w:type="dxa"/>
            <w:vAlign w:val="bottom"/>
            <w:tcBorders>
              <w:right w:val="single" w:sz="8" w:color="3465B0"/>
            </w:tcBorders>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940" w:type="dxa"/>
            <w:vAlign w:val="bottom"/>
            <w:tcBorders>
              <w:right w:val="single" w:sz="8" w:color="3465B0"/>
            </w:tcBorders>
          </w:tcPr>
          <w:p>
            <w:pPr>
              <w:spacing w:after="0"/>
              <w:rPr>
                <w:sz w:val="24"/>
                <w:szCs w:val="24"/>
                <w:color w:val="auto"/>
              </w:rPr>
            </w:pPr>
          </w:p>
        </w:tc>
        <w:tc>
          <w:tcPr>
            <w:tcW w:w="6160" w:type="dxa"/>
            <w:vAlign w:val="bottom"/>
            <w:shd w:val="clear" w:color="auto" w:fill="CCCCCC"/>
          </w:tcPr>
          <w:p>
            <w:pPr>
              <w:ind w:left="100"/>
              <w:spacing w:after="0" w:line="310" w:lineRule="exact"/>
              <w:rPr>
                <w:sz w:val="20"/>
                <w:szCs w:val="20"/>
                <w:color w:val="auto"/>
              </w:rPr>
            </w:pPr>
            <w:r>
              <w:rPr>
                <w:rFonts w:ascii="Arial" w:cs="Arial" w:eastAsia="Arial" w:hAnsi="Arial"/>
                <w:sz w:val="18"/>
                <w:szCs w:val="18"/>
                <w:color w:val="auto"/>
              </w:rPr>
              <w:t>Amortization of acquisition intangibles</w:t>
            </w:r>
            <w:r>
              <w:rPr>
                <w:rFonts w:ascii="Arial" w:cs="Arial" w:eastAsia="Arial" w:hAnsi="Arial"/>
                <w:sz w:val="29"/>
                <w:szCs w:val="29"/>
                <w:color w:val="auto"/>
                <w:vertAlign w:val="superscript"/>
              </w:rPr>
              <w:t>(e)</w:t>
            </w:r>
          </w:p>
        </w:tc>
        <w:tc>
          <w:tcPr>
            <w:tcW w:w="580" w:type="dxa"/>
            <w:vAlign w:val="bottom"/>
            <w:tcBorders>
              <w:right w:val="single" w:sz="8" w:color="93A1D2"/>
            </w:tcBorders>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900" w:type="dxa"/>
            <w:vAlign w:val="bottom"/>
            <w:tcBorders>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677</w:t>
            </w:r>
          </w:p>
        </w:tc>
        <w:tc>
          <w:tcPr>
            <w:tcW w:w="3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Borders>
              <w:right w:val="single" w:sz="8" w:color="3465B0"/>
            </w:tcBorders>
            <w:shd w:val="clear" w:color="auto" w:fill="CCCCCC"/>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940" w:type="dxa"/>
            <w:vAlign w:val="bottom"/>
            <w:tcBorders>
              <w:right w:val="single" w:sz="8" w:color="3465B0"/>
            </w:tcBorders>
          </w:tcPr>
          <w:p>
            <w:pPr>
              <w:spacing w:after="0"/>
              <w:rPr>
                <w:sz w:val="24"/>
                <w:szCs w:val="24"/>
                <w:color w:val="auto"/>
              </w:rPr>
            </w:pPr>
          </w:p>
        </w:tc>
        <w:tc>
          <w:tcPr>
            <w:tcW w:w="6160" w:type="dxa"/>
            <w:vAlign w:val="bottom"/>
          </w:tcPr>
          <w:p>
            <w:pPr>
              <w:ind w:left="100"/>
              <w:spacing w:after="0" w:line="310" w:lineRule="exact"/>
              <w:rPr>
                <w:sz w:val="20"/>
                <w:szCs w:val="20"/>
                <w:color w:val="auto"/>
              </w:rPr>
            </w:pPr>
            <w:r>
              <w:rPr>
                <w:rFonts w:ascii="Arial" w:cs="Arial" w:eastAsia="Arial" w:hAnsi="Arial"/>
                <w:sz w:val="18"/>
                <w:szCs w:val="18"/>
                <w:color w:val="auto"/>
              </w:rPr>
              <w:t>ERP and CRM implementation expenses</w:t>
            </w:r>
            <w:r>
              <w:rPr>
                <w:rFonts w:ascii="Arial" w:cs="Arial" w:eastAsia="Arial" w:hAnsi="Arial"/>
                <w:sz w:val="29"/>
                <w:szCs w:val="29"/>
                <w:color w:val="auto"/>
                <w:vertAlign w:val="superscript"/>
              </w:rPr>
              <w:t>(h)</w:t>
            </w:r>
          </w:p>
        </w:tc>
        <w:tc>
          <w:tcPr>
            <w:tcW w:w="580" w:type="dxa"/>
            <w:vAlign w:val="bottom"/>
            <w:tcBorders>
              <w:right w:val="single" w:sz="8" w:color="93A1D2"/>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6,420</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5,990</w:t>
            </w:r>
          </w:p>
        </w:tc>
        <w:tc>
          <w:tcPr>
            <w:tcW w:w="200" w:type="dxa"/>
            <w:vAlign w:val="bottom"/>
            <w:tcBorders>
              <w:right w:val="single" w:sz="8" w:color="3465B0"/>
            </w:tcBorders>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940" w:type="dxa"/>
            <w:vAlign w:val="bottom"/>
            <w:tcBorders>
              <w:right w:val="single" w:sz="8" w:color="3465B0"/>
            </w:tcBorders>
          </w:tcPr>
          <w:p>
            <w:pPr>
              <w:spacing w:after="0"/>
              <w:rPr>
                <w:sz w:val="24"/>
                <w:szCs w:val="24"/>
                <w:color w:val="auto"/>
              </w:rPr>
            </w:pPr>
          </w:p>
        </w:tc>
        <w:tc>
          <w:tcPr>
            <w:tcW w:w="6160" w:type="dxa"/>
            <w:vAlign w:val="bottom"/>
            <w:shd w:val="clear" w:color="auto" w:fill="CCCCCC"/>
          </w:tcPr>
          <w:p>
            <w:pPr>
              <w:ind w:left="100"/>
              <w:spacing w:after="0" w:line="31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(i)</w:t>
            </w:r>
          </w:p>
        </w:tc>
        <w:tc>
          <w:tcPr>
            <w:tcW w:w="580" w:type="dxa"/>
            <w:vAlign w:val="bottom"/>
            <w:tcBorders>
              <w:right w:val="single" w:sz="8" w:color="93A1D2"/>
            </w:tcBorders>
            <w:shd w:val="clear" w:color="auto" w:fill="CCCCCC"/>
          </w:tcPr>
          <w:p>
            <w:pPr>
              <w:spacing w:after="0"/>
              <w:rPr>
                <w:sz w:val="24"/>
                <w:szCs w:val="24"/>
                <w:color w:val="auto"/>
              </w:rPr>
            </w:pPr>
          </w:p>
        </w:tc>
        <w:tc>
          <w:tcPr>
            <w:tcW w:w="300" w:type="dxa"/>
            <w:vAlign w:val="bottom"/>
            <w:shd w:val="clear" w:color="auto" w:fill="CCCCCC"/>
          </w:tcPr>
          <w:p>
            <w:pPr>
              <w:spacing w:after="0"/>
              <w:rPr>
                <w:sz w:val="24"/>
                <w:szCs w:val="24"/>
                <w:color w:val="auto"/>
              </w:rPr>
            </w:pPr>
          </w:p>
        </w:tc>
        <w:tc>
          <w:tcPr>
            <w:tcW w:w="900" w:type="dxa"/>
            <w:vAlign w:val="bottom"/>
            <w:tcBorders>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8,962</w:t>
            </w:r>
          </w:p>
        </w:tc>
        <w:tc>
          <w:tcPr>
            <w:tcW w:w="3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7,536</w:t>
            </w:r>
          </w:p>
        </w:tc>
        <w:tc>
          <w:tcPr>
            <w:tcW w:w="200" w:type="dxa"/>
            <w:vAlign w:val="bottom"/>
            <w:tcBorders>
              <w:right w:val="single" w:sz="8" w:color="3465B0"/>
            </w:tcBorders>
            <w:shd w:val="clear" w:color="auto" w:fill="CCCCCC"/>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940" w:type="dxa"/>
            <w:vAlign w:val="bottom"/>
            <w:tcBorders>
              <w:right w:val="single" w:sz="8" w:color="3465B0"/>
            </w:tcBorders>
          </w:tcPr>
          <w:p>
            <w:pPr>
              <w:spacing w:after="0"/>
              <w:rPr>
                <w:sz w:val="23"/>
                <w:szCs w:val="23"/>
                <w:color w:val="auto"/>
              </w:rPr>
            </w:pPr>
          </w:p>
        </w:tc>
        <w:tc>
          <w:tcPr>
            <w:tcW w:w="6160" w:type="dxa"/>
            <w:vAlign w:val="bottom"/>
          </w:tcPr>
          <w:p>
            <w:pPr>
              <w:ind w:left="100"/>
              <w:spacing w:after="0"/>
              <w:rPr>
                <w:sz w:val="20"/>
                <w:szCs w:val="20"/>
                <w:color w:val="auto"/>
              </w:rPr>
            </w:pPr>
            <w:r>
              <w:rPr>
                <w:rFonts w:ascii="Arial" w:cs="Arial" w:eastAsia="Arial" w:hAnsi="Arial"/>
                <w:sz w:val="18"/>
                <w:szCs w:val="18"/>
                <w:b w:val="1"/>
                <w:bCs w:val="1"/>
                <w:color w:val="auto"/>
              </w:rPr>
              <w:t>Adjusted Operating Income (loss) from continuing operations</w:t>
            </w:r>
          </w:p>
        </w:tc>
        <w:tc>
          <w:tcPr>
            <w:tcW w:w="580" w:type="dxa"/>
            <w:vAlign w:val="bottom"/>
            <w:tcBorders>
              <w:right w:val="single" w:sz="8" w:color="93A1D2"/>
            </w:tcBorders>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w w:val="98"/>
              </w:rPr>
              <w:t>102,468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65,489</w:t>
            </w:r>
          </w:p>
        </w:tc>
        <w:tc>
          <w:tcPr>
            <w:tcW w:w="200" w:type="dxa"/>
            <w:vAlign w:val="bottom"/>
            <w:tcBorders>
              <w:right w:val="single" w:sz="8" w:color="3465B0"/>
            </w:tcBorders>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940" w:type="dxa"/>
            <w:vAlign w:val="bottom"/>
            <w:tcBorders>
              <w:right w:val="single" w:sz="8" w:color="3465B0"/>
            </w:tcBorders>
          </w:tcPr>
          <w:p>
            <w:pPr>
              <w:spacing w:after="0"/>
              <w:rPr>
                <w:sz w:val="23"/>
                <w:szCs w:val="23"/>
                <w:color w:val="auto"/>
              </w:rPr>
            </w:pPr>
          </w:p>
        </w:tc>
        <w:tc>
          <w:tcPr>
            <w:tcW w:w="6160" w:type="dxa"/>
            <w:vAlign w:val="bottom"/>
            <w:shd w:val="clear" w:color="auto" w:fill="CCCCCC"/>
          </w:tcPr>
          <w:p>
            <w:pPr>
              <w:spacing w:after="0"/>
              <w:rPr>
                <w:sz w:val="23"/>
                <w:szCs w:val="23"/>
                <w:color w:val="auto"/>
              </w:rPr>
            </w:pPr>
          </w:p>
        </w:tc>
        <w:tc>
          <w:tcPr>
            <w:tcW w:w="580" w:type="dxa"/>
            <w:vAlign w:val="bottom"/>
            <w:tcBorders>
              <w:right w:val="single" w:sz="8" w:color="93A1D2"/>
            </w:tcBorders>
            <w:shd w:val="clear" w:color="auto" w:fill="CCCCCC"/>
          </w:tcPr>
          <w:p>
            <w:pPr>
              <w:spacing w:after="0"/>
              <w:rPr>
                <w:sz w:val="23"/>
                <w:szCs w:val="23"/>
                <w:color w:val="auto"/>
              </w:rPr>
            </w:pPr>
          </w:p>
        </w:tc>
        <w:tc>
          <w:tcPr>
            <w:tcW w:w="300" w:type="dxa"/>
            <w:vAlign w:val="bottom"/>
            <w:shd w:val="clear" w:color="auto" w:fill="CCCCCC"/>
          </w:tcPr>
          <w:p>
            <w:pPr>
              <w:spacing w:after="0"/>
              <w:rPr>
                <w:sz w:val="23"/>
                <w:szCs w:val="23"/>
                <w:color w:val="auto"/>
              </w:rPr>
            </w:pPr>
          </w:p>
        </w:tc>
        <w:tc>
          <w:tcPr>
            <w:tcW w:w="900" w:type="dxa"/>
            <w:vAlign w:val="bottom"/>
            <w:tcBorders>
              <w:right w:val="single" w:sz="8" w:color="93A1D2"/>
            </w:tcBorders>
            <w:shd w:val="clear" w:color="auto" w:fill="CCCCCC"/>
          </w:tcPr>
          <w:p>
            <w:pPr>
              <w:spacing w:after="0"/>
              <w:rPr>
                <w:sz w:val="23"/>
                <w:szCs w:val="23"/>
                <w:color w:val="auto"/>
              </w:rPr>
            </w:pPr>
          </w:p>
        </w:tc>
        <w:tc>
          <w:tcPr>
            <w:tcW w:w="300" w:type="dxa"/>
            <w:vAlign w:val="bottom"/>
            <w:shd w:val="clear" w:color="auto" w:fill="CCCCCC"/>
          </w:tcPr>
          <w:p>
            <w:pPr>
              <w:spacing w:after="0"/>
              <w:rPr>
                <w:sz w:val="23"/>
                <w:szCs w:val="23"/>
                <w:color w:val="auto"/>
              </w:rPr>
            </w:pPr>
          </w:p>
        </w:tc>
        <w:tc>
          <w:tcPr>
            <w:tcW w:w="700" w:type="dxa"/>
            <w:vAlign w:val="bottom"/>
            <w:shd w:val="clear" w:color="auto" w:fill="CCCCCC"/>
          </w:tcPr>
          <w:p>
            <w:pPr>
              <w:spacing w:after="0"/>
              <w:rPr>
                <w:sz w:val="23"/>
                <w:szCs w:val="23"/>
                <w:color w:val="auto"/>
              </w:rPr>
            </w:pPr>
          </w:p>
        </w:tc>
        <w:tc>
          <w:tcPr>
            <w:tcW w:w="200" w:type="dxa"/>
            <w:vAlign w:val="bottom"/>
            <w:tcBorders>
              <w:right w:val="single" w:sz="8" w:color="3465B0"/>
            </w:tcBorders>
            <w:shd w:val="clear" w:color="auto" w:fill="CCCCCC"/>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940" w:type="dxa"/>
            <w:vAlign w:val="bottom"/>
            <w:tcBorders>
              <w:right w:val="single" w:sz="8" w:color="3465B0"/>
            </w:tcBorders>
          </w:tcPr>
          <w:p>
            <w:pPr>
              <w:spacing w:after="0"/>
              <w:rPr>
                <w:sz w:val="23"/>
                <w:szCs w:val="23"/>
                <w:color w:val="auto"/>
              </w:rPr>
            </w:pPr>
          </w:p>
        </w:tc>
        <w:tc>
          <w:tcPr>
            <w:tcW w:w="6160" w:type="dxa"/>
            <w:vAlign w:val="bottom"/>
          </w:tcPr>
          <w:p>
            <w:pPr>
              <w:ind w:left="100"/>
              <w:spacing w:after="0"/>
              <w:rPr>
                <w:sz w:val="20"/>
                <w:szCs w:val="20"/>
                <w:color w:val="auto"/>
              </w:rPr>
            </w:pPr>
            <w:r>
              <w:rPr>
                <w:rFonts w:ascii="Arial" w:cs="Arial" w:eastAsia="Arial" w:hAnsi="Arial"/>
                <w:sz w:val="18"/>
                <w:szCs w:val="18"/>
                <w:b w:val="1"/>
                <w:bCs w:val="1"/>
                <w:color w:val="auto"/>
              </w:rPr>
              <w:t>Income (loss) margin from continuing operations</w:t>
            </w:r>
          </w:p>
        </w:tc>
        <w:tc>
          <w:tcPr>
            <w:tcW w:w="580" w:type="dxa"/>
            <w:vAlign w:val="bottom"/>
            <w:tcBorders>
              <w:right w:val="single" w:sz="8" w:color="93A1D2"/>
            </w:tcBorders>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Borders>
              <w:right w:val="single" w:sz="8" w:color="93A1D2"/>
            </w:tcBorders>
          </w:tcPr>
          <w:p>
            <w:pPr>
              <w:jc w:val="right"/>
              <w:ind w:right="15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right w:val="single" w:sz="8" w:color="3465B0"/>
            </w:tcBorders>
          </w:tcPr>
          <w:p>
            <w:pPr>
              <w:spacing w:after="0"/>
              <w:rPr>
                <w:sz w:val="23"/>
                <w:szCs w:val="23"/>
                <w:color w:val="auto"/>
              </w:rPr>
            </w:pPr>
          </w:p>
        </w:tc>
        <w:tc>
          <w:tcPr>
            <w:tcW w:w="940" w:type="dxa"/>
            <w:vAlign w:val="bottom"/>
          </w:tcPr>
          <w:p>
            <w:pPr>
              <w:spacing w:after="0"/>
              <w:rPr>
                <w:sz w:val="23"/>
                <w:szCs w:val="23"/>
                <w:color w:val="auto"/>
              </w:rPr>
            </w:pPr>
          </w:p>
        </w:tc>
      </w:tr>
      <w:tr>
        <w:trPr>
          <w:trHeight w:val="240"/>
        </w:trPr>
        <w:tc>
          <w:tcPr>
            <w:tcW w:w="940" w:type="dxa"/>
            <w:vAlign w:val="bottom"/>
            <w:tcBorders>
              <w:right w:val="single" w:sz="8" w:color="3465B0"/>
            </w:tcBorders>
          </w:tcPr>
          <w:p>
            <w:pPr>
              <w:spacing w:after="0"/>
              <w:rPr>
                <w:sz w:val="20"/>
                <w:szCs w:val="20"/>
                <w:color w:val="auto"/>
              </w:rPr>
            </w:pPr>
          </w:p>
        </w:tc>
        <w:tc>
          <w:tcPr>
            <w:tcW w:w="6160" w:type="dxa"/>
            <w:vAlign w:val="bottom"/>
            <w:tcBorders>
              <w:bottom w:val="single" w:sz="8" w:color="3465B0"/>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Adjusted Operating Margin from continuing operations</w:t>
            </w:r>
          </w:p>
        </w:tc>
        <w:tc>
          <w:tcPr>
            <w:tcW w:w="580" w:type="dxa"/>
            <w:vAlign w:val="bottom"/>
            <w:tcBorders>
              <w:bottom w:val="single" w:sz="8" w:color="3465B0"/>
              <w:right w:val="single" w:sz="8" w:color="93A1D2"/>
            </w:tcBorders>
            <w:shd w:val="clear" w:color="auto" w:fill="CCCCCC"/>
          </w:tcPr>
          <w:p>
            <w:pPr>
              <w:spacing w:after="0"/>
              <w:rPr>
                <w:sz w:val="20"/>
                <w:szCs w:val="20"/>
                <w:color w:val="auto"/>
              </w:rPr>
            </w:pPr>
          </w:p>
        </w:tc>
        <w:tc>
          <w:tcPr>
            <w:tcW w:w="300" w:type="dxa"/>
            <w:vAlign w:val="bottom"/>
            <w:tcBorders>
              <w:bottom w:val="single" w:sz="8" w:color="3465B0"/>
            </w:tcBorders>
            <w:shd w:val="clear" w:color="auto" w:fill="CCCCCC"/>
          </w:tcPr>
          <w:p>
            <w:pPr>
              <w:spacing w:after="0"/>
              <w:rPr>
                <w:sz w:val="20"/>
                <w:szCs w:val="20"/>
                <w:color w:val="auto"/>
              </w:rPr>
            </w:pPr>
          </w:p>
        </w:tc>
        <w:tc>
          <w:tcPr>
            <w:tcW w:w="900" w:type="dxa"/>
            <w:vAlign w:val="bottom"/>
            <w:tcBorders>
              <w:bottom w:val="single" w:sz="8" w:color="3465B0"/>
              <w:right w:val="single" w:sz="8" w:color="93A1D2"/>
            </w:tcBorders>
            <w:shd w:val="clear" w:color="auto" w:fill="CCCCCC"/>
          </w:tcPr>
          <w:p>
            <w:pPr>
              <w:jc w:val="right"/>
              <w:ind w:right="150"/>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3465B0"/>
            </w:tcBorders>
            <w:shd w:val="clear" w:color="auto" w:fill="CCCCCC"/>
          </w:tcPr>
          <w:p>
            <w:pPr>
              <w:spacing w:after="0"/>
              <w:rPr>
                <w:sz w:val="20"/>
                <w:szCs w:val="20"/>
                <w:color w:val="auto"/>
              </w:rPr>
            </w:pPr>
          </w:p>
        </w:tc>
        <w:tc>
          <w:tcPr>
            <w:tcW w:w="700" w:type="dxa"/>
            <w:vAlign w:val="bottom"/>
            <w:tcBorders>
              <w:bottom w:val="single" w:sz="8" w:color="3465B0"/>
            </w:tcBorders>
            <w:shd w:val="clear" w:color="auto" w:fill="CCCCCC"/>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3465B0"/>
              <w:right w:val="single" w:sz="8" w:color="3465B0"/>
            </w:tcBorders>
            <w:shd w:val="clear" w:color="auto" w:fill="CCCCCC"/>
          </w:tcPr>
          <w:p>
            <w:pPr>
              <w:spacing w:after="0"/>
              <w:rPr>
                <w:sz w:val="20"/>
                <w:szCs w:val="20"/>
                <w:color w:val="auto"/>
              </w:rPr>
            </w:pPr>
          </w:p>
        </w:tc>
        <w:tc>
          <w:tcPr>
            <w:tcW w:w="940" w:type="dxa"/>
            <w:vAlign w:val="bottom"/>
          </w:tcPr>
          <w:p>
            <w:pPr>
              <w:spacing w:after="0"/>
              <w:rPr>
                <w:sz w:val="20"/>
                <w:szCs w:val="20"/>
                <w:color w:val="auto"/>
              </w:rPr>
            </w:pPr>
          </w:p>
        </w:tc>
      </w:tr>
      <w:tr>
        <w:trPr>
          <w:trHeight w:val="353"/>
        </w:trPr>
        <w:tc>
          <w:tcPr>
            <w:tcW w:w="9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9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780" w:type="dxa"/>
            <w:vAlign w:val="bottom"/>
            <w:gridSpan w:val="5"/>
          </w:tcPr>
          <w:p>
            <w:pPr>
              <w:jc w:val="right"/>
              <w:ind w:right="550"/>
              <w:spacing w:after="0"/>
              <w:rPr>
                <w:sz w:val="20"/>
                <w:szCs w:val="20"/>
                <w:color w:val="auto"/>
              </w:rPr>
            </w:pPr>
            <w:r>
              <w:rPr>
                <w:rFonts w:ascii="Arial" w:cs="Arial" w:eastAsia="Arial" w:hAnsi="Arial"/>
                <w:sz w:val="16"/>
                <w:szCs w:val="16"/>
                <w:color w:val="auto"/>
              </w:rPr>
              <w:t>2026 Proxy Statement  </w:t>
            </w:r>
          </w:p>
        </w:tc>
        <w:tc>
          <w:tcPr>
            <w:tcW w:w="114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79</w:t>
            </w:r>
          </w:p>
        </w:tc>
      </w:tr>
      <w:tr>
        <w:trPr>
          <w:trHeight w:val="244"/>
        </w:trPr>
        <w:tc>
          <w:tcPr>
            <w:tcW w:w="94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-368300</wp:posOffset>
            </wp:positionV>
            <wp:extent cx="205740" cy="2057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102870</wp:posOffset>
            </wp:positionV>
            <wp:extent cx="5734685" cy="431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734685" cy="431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sz w:val="1"/>
          <w:szCs w:val="1"/>
          <w:color w:val="auto"/>
        </w:rPr>
        <w:drawing>
          <wp:inline distT="0" distB="0" distL="0" distR="0">
            <wp:extent cx="68580" cy="17970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179705"/>
                    </a:xfrm>
                    <a:prstGeom prst="rect">
                      <a:avLst/>
                    </a:prstGeom>
                    <a:noFill/>
                    <a:ln>
                      <a:noFill/>
                    </a:ln>
                  </pic:spPr>
                </pic:pic>
              </a:graphicData>
            </a:graphic>
          </wp:inline>
        </w:drawing>
      </w:r>
      <w:r>
        <w:rPr>
          <w:rFonts w:ascii="Arial" w:cs="Arial" w:eastAsia="Arial" w:hAnsi="Arial"/>
          <w:sz w:val="18"/>
          <w:szCs w:val="18"/>
          <w:b w:val="1"/>
          <w:bCs w:val="1"/>
          <w:color w:val="FFFFFF"/>
        </w:rPr>
        <w:t xml:space="preserv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-144145</wp:posOffset>
            </wp:positionV>
            <wp:extent cx="5734685" cy="1371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71" w:lineRule="exact"/>
        <w:rPr>
          <w:sz w:val="20"/>
          <w:szCs w:val="20"/>
          <w:color w:val="auto"/>
        </w:rPr>
      </w:pPr>
    </w:p>
    <w:p>
      <w:pPr>
        <w:ind w:left="20"/>
        <w:spacing w:after="0" w:line="281" w:lineRule="auto"/>
        <w:rPr>
          <w:sz w:val="20"/>
          <w:szCs w:val="20"/>
          <w:color w:val="auto"/>
        </w:rPr>
      </w:pPr>
      <w:r>
        <w:rPr>
          <w:rFonts w:ascii="Arial" w:cs="Arial" w:eastAsia="Arial" w:hAnsi="Arial"/>
          <w:sz w:val="18"/>
          <w:szCs w:val="18"/>
          <w:b w:val="1"/>
          <w:bCs w:val="1"/>
          <w:color w:val="auto"/>
        </w:rPr>
        <w:t>Reconciliation of EBITDA from Continuing Operations and Adjusted EBITDA from Continuing Operations to Net Income (loss)</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308"/>
        </w:trPr>
        <w:tc>
          <w:tcPr>
            <w:tcW w:w="676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340" w:type="dxa"/>
            <w:vAlign w:val="bottom"/>
            <w:tcBorders>
              <w:top w:val="single" w:sz="8" w:color="3465B0"/>
            </w:tcBorders>
            <w:shd w:val="clear" w:color="auto" w:fill="3465B0"/>
          </w:tcPr>
          <w:p>
            <w:pPr>
              <w:spacing w:after="0"/>
              <w:rPr>
                <w:sz w:val="24"/>
                <w:szCs w:val="24"/>
                <w:color w:val="auto"/>
              </w:rPr>
            </w:pPr>
          </w:p>
        </w:tc>
        <w:tc>
          <w:tcPr>
            <w:tcW w:w="860" w:type="dxa"/>
            <w:vAlign w:val="bottom"/>
            <w:tcBorders>
              <w:top w:val="single" w:sz="8" w:color="3465B0"/>
              <w:right w:val="single" w:sz="8" w:color="93A1D2"/>
            </w:tcBorders>
            <w:shd w:val="clear" w:color="auto" w:fill="3465B0"/>
          </w:tcPr>
          <w:p>
            <w:pPr>
              <w:jc w:val="center"/>
              <w:ind w:right="270"/>
              <w:spacing w:after="0"/>
              <w:rPr>
                <w:sz w:val="20"/>
                <w:szCs w:val="20"/>
                <w:color w:val="auto"/>
              </w:rPr>
            </w:pPr>
            <w:r>
              <w:rPr>
                <w:rFonts w:ascii="Arial" w:cs="Arial" w:eastAsia="Arial" w:hAnsi="Arial"/>
                <w:sz w:val="18"/>
                <w:szCs w:val="18"/>
                <w:b w:val="1"/>
                <w:bCs w:val="1"/>
                <w:color w:val="FFFFFF"/>
                <w:w w:val="97"/>
              </w:rPr>
              <w:t>Fiscal</w:t>
            </w:r>
          </w:p>
        </w:tc>
        <w:tc>
          <w:tcPr>
            <w:tcW w:w="160" w:type="dxa"/>
            <w:vAlign w:val="bottom"/>
            <w:tcBorders>
              <w:top w:val="single" w:sz="8" w:color="3465B0"/>
            </w:tcBorders>
            <w:shd w:val="clear" w:color="auto" w:fill="3465B0"/>
          </w:tcPr>
          <w:p>
            <w:pPr>
              <w:spacing w:after="0"/>
              <w:rPr>
                <w:sz w:val="24"/>
                <w:szCs w:val="24"/>
                <w:color w:val="auto"/>
              </w:rPr>
            </w:pPr>
          </w:p>
        </w:tc>
        <w:tc>
          <w:tcPr>
            <w:tcW w:w="1040" w:type="dxa"/>
            <w:vAlign w:val="bottom"/>
            <w:tcBorders>
              <w:top w:val="single" w:sz="8" w:color="3465B0"/>
              <w:right w:val="single" w:sz="8" w:color="3465B0"/>
            </w:tcBorders>
            <w:shd w:val="clear" w:color="auto" w:fill="3465B0"/>
          </w:tcPr>
          <w:p>
            <w:pPr>
              <w:jc w:val="right"/>
              <w:ind w:right="250"/>
              <w:spacing w:after="0"/>
              <w:rPr>
                <w:sz w:val="20"/>
                <w:szCs w:val="20"/>
                <w:color w:val="auto"/>
              </w:rPr>
            </w:pPr>
            <w:r>
              <w:rPr>
                <w:rFonts w:ascii="Arial" w:cs="Arial" w:eastAsia="Arial" w:hAnsi="Arial"/>
                <w:sz w:val="18"/>
                <w:szCs w:val="18"/>
                <w:b w:val="1"/>
                <w:bCs w:val="1"/>
                <w:color w:val="FFFFFF"/>
              </w:rPr>
              <w:t>Fiscal</w:t>
            </w:r>
          </w:p>
        </w:tc>
      </w:tr>
      <w:tr>
        <w:trPr>
          <w:trHeight w:val="203"/>
        </w:trPr>
        <w:tc>
          <w:tcPr>
            <w:tcW w:w="6760" w:type="dxa"/>
            <w:vAlign w:val="bottom"/>
            <w:tcBorders>
              <w:left w:val="single" w:sz="8" w:color="3465B0"/>
              <w:right w:val="single" w:sz="8" w:color="93A1D2"/>
            </w:tcBorders>
            <w:shd w:val="clear" w:color="auto" w:fill="3465B0"/>
          </w:tcPr>
          <w:p>
            <w:pPr>
              <w:spacing w:after="0"/>
              <w:rPr>
                <w:sz w:val="17"/>
                <w:szCs w:val="17"/>
                <w:color w:val="auto"/>
              </w:rPr>
            </w:pPr>
          </w:p>
        </w:tc>
        <w:tc>
          <w:tcPr>
            <w:tcW w:w="340" w:type="dxa"/>
            <w:vAlign w:val="bottom"/>
            <w:shd w:val="clear" w:color="auto" w:fill="3465B0"/>
          </w:tcPr>
          <w:p>
            <w:pPr>
              <w:spacing w:after="0"/>
              <w:rPr>
                <w:sz w:val="17"/>
                <w:szCs w:val="17"/>
                <w:color w:val="auto"/>
              </w:rPr>
            </w:pPr>
          </w:p>
        </w:tc>
        <w:tc>
          <w:tcPr>
            <w:tcW w:w="860" w:type="dxa"/>
            <w:vAlign w:val="bottom"/>
            <w:tcBorders>
              <w:right w:val="single" w:sz="8" w:color="93A1D2"/>
            </w:tcBorders>
            <w:shd w:val="clear" w:color="auto" w:fill="3465B0"/>
          </w:tcPr>
          <w:p>
            <w:pPr>
              <w:jc w:val="center"/>
              <w:ind w:right="270"/>
              <w:spacing w:after="0" w:line="202" w:lineRule="exact"/>
              <w:rPr>
                <w:sz w:val="20"/>
                <w:szCs w:val="20"/>
                <w:color w:val="auto"/>
              </w:rPr>
            </w:pPr>
            <w:r>
              <w:rPr>
                <w:rFonts w:ascii="Arial" w:cs="Arial" w:eastAsia="Arial" w:hAnsi="Arial"/>
                <w:sz w:val="18"/>
                <w:szCs w:val="18"/>
                <w:b w:val="1"/>
                <w:bCs w:val="1"/>
                <w:color w:val="FFFFFF"/>
                <w:w w:val="97"/>
              </w:rPr>
              <w:t>Year</w:t>
            </w:r>
          </w:p>
        </w:tc>
        <w:tc>
          <w:tcPr>
            <w:tcW w:w="160" w:type="dxa"/>
            <w:vAlign w:val="bottom"/>
            <w:shd w:val="clear" w:color="auto" w:fill="3465B0"/>
          </w:tcPr>
          <w:p>
            <w:pPr>
              <w:spacing w:after="0"/>
              <w:rPr>
                <w:sz w:val="17"/>
                <w:szCs w:val="17"/>
                <w:color w:val="auto"/>
              </w:rPr>
            </w:pPr>
          </w:p>
        </w:tc>
        <w:tc>
          <w:tcPr>
            <w:tcW w:w="1040" w:type="dxa"/>
            <w:vAlign w:val="bottom"/>
            <w:tcBorders>
              <w:right w:val="single" w:sz="8" w:color="3465B0"/>
            </w:tcBorders>
            <w:shd w:val="clear" w:color="auto" w:fill="3465B0"/>
          </w:tcPr>
          <w:p>
            <w:pPr>
              <w:jc w:val="right"/>
              <w:ind w:right="310"/>
              <w:spacing w:after="0" w:line="202" w:lineRule="exact"/>
              <w:rPr>
                <w:sz w:val="20"/>
                <w:szCs w:val="20"/>
                <w:color w:val="auto"/>
              </w:rPr>
            </w:pPr>
            <w:r>
              <w:rPr>
                <w:rFonts w:ascii="Arial" w:cs="Arial" w:eastAsia="Arial" w:hAnsi="Arial"/>
                <w:sz w:val="18"/>
                <w:szCs w:val="18"/>
                <w:b w:val="1"/>
                <w:bCs w:val="1"/>
                <w:color w:val="FFFFFF"/>
              </w:rPr>
              <w:t>Year</w:t>
            </w:r>
          </w:p>
        </w:tc>
      </w:tr>
      <w:tr>
        <w:trPr>
          <w:trHeight w:val="262"/>
        </w:trPr>
        <w:tc>
          <w:tcPr>
            <w:tcW w:w="6760" w:type="dxa"/>
            <w:vAlign w:val="bottom"/>
            <w:tcBorders>
              <w:left w:val="single" w:sz="8" w:color="3465B0"/>
              <w:right w:val="single" w:sz="8" w:color="93A1D2"/>
            </w:tcBorders>
            <w:shd w:val="clear" w:color="auto" w:fill="3465B0"/>
          </w:tcPr>
          <w:p>
            <w:pPr>
              <w:ind w:left="2700"/>
              <w:spacing w:after="0"/>
              <w:rPr>
                <w:sz w:val="20"/>
                <w:szCs w:val="20"/>
                <w:color w:val="auto"/>
              </w:rPr>
            </w:pPr>
            <w:r>
              <w:rPr>
                <w:rFonts w:ascii="Arial" w:cs="Arial" w:eastAsia="Arial" w:hAnsi="Arial"/>
                <w:sz w:val="18"/>
                <w:szCs w:val="18"/>
                <w:b w:val="1"/>
                <w:bCs w:val="1"/>
                <w:color w:val="FFFFFF"/>
              </w:rPr>
              <w:t>(in thousands)</w:t>
            </w:r>
          </w:p>
        </w:tc>
        <w:tc>
          <w:tcPr>
            <w:tcW w:w="340" w:type="dxa"/>
            <w:vAlign w:val="bottom"/>
            <w:shd w:val="clear" w:color="auto" w:fill="3465B0"/>
          </w:tcPr>
          <w:p>
            <w:pPr>
              <w:spacing w:after="0"/>
              <w:rPr>
                <w:sz w:val="22"/>
                <w:szCs w:val="22"/>
                <w:color w:val="auto"/>
              </w:rPr>
            </w:pPr>
          </w:p>
        </w:tc>
        <w:tc>
          <w:tcPr>
            <w:tcW w:w="860" w:type="dxa"/>
            <w:vAlign w:val="bottom"/>
            <w:tcBorders>
              <w:right w:val="single" w:sz="8" w:color="93A1D2"/>
            </w:tcBorders>
            <w:shd w:val="clear" w:color="auto" w:fill="3465B0"/>
          </w:tcPr>
          <w:p>
            <w:pPr>
              <w:jc w:val="center"/>
              <w:ind w:right="250"/>
              <w:spacing w:after="0"/>
              <w:rPr>
                <w:sz w:val="20"/>
                <w:szCs w:val="20"/>
                <w:color w:val="auto"/>
              </w:rPr>
            </w:pPr>
            <w:r>
              <w:rPr>
                <w:rFonts w:ascii="Arial" w:cs="Arial" w:eastAsia="Arial" w:hAnsi="Arial"/>
                <w:sz w:val="18"/>
                <w:szCs w:val="18"/>
                <w:b w:val="1"/>
                <w:bCs w:val="1"/>
                <w:color w:val="FFFFFF"/>
                <w:w w:val="99"/>
              </w:rPr>
              <w:t>2025</w:t>
            </w:r>
          </w:p>
        </w:tc>
        <w:tc>
          <w:tcPr>
            <w:tcW w:w="160" w:type="dxa"/>
            <w:vAlign w:val="bottom"/>
            <w:shd w:val="clear" w:color="auto" w:fill="3465B0"/>
          </w:tcPr>
          <w:p>
            <w:pPr>
              <w:spacing w:after="0"/>
              <w:rPr>
                <w:sz w:val="22"/>
                <w:szCs w:val="22"/>
                <w:color w:val="auto"/>
              </w:rPr>
            </w:pPr>
          </w:p>
        </w:tc>
        <w:tc>
          <w:tcPr>
            <w:tcW w:w="1040" w:type="dxa"/>
            <w:vAlign w:val="bottom"/>
            <w:tcBorders>
              <w:right w:val="single" w:sz="8" w:color="3465B0"/>
            </w:tcBorders>
            <w:shd w:val="clear" w:color="auto" w:fill="3465B0"/>
          </w:tcPr>
          <w:p>
            <w:pPr>
              <w:jc w:val="right"/>
              <w:ind w:right="310"/>
              <w:spacing w:after="0"/>
              <w:rPr>
                <w:sz w:val="20"/>
                <w:szCs w:val="20"/>
                <w:color w:val="auto"/>
              </w:rPr>
            </w:pPr>
            <w:r>
              <w:rPr>
                <w:rFonts w:ascii="Arial" w:cs="Arial" w:eastAsia="Arial" w:hAnsi="Arial"/>
                <w:sz w:val="18"/>
                <w:szCs w:val="18"/>
                <w:b w:val="1"/>
                <w:bCs w:val="1"/>
                <w:color w:val="FFFFFF"/>
              </w:rPr>
              <w:t>2024</w:t>
            </w:r>
          </w:p>
        </w:tc>
      </w:tr>
      <w:tr>
        <w:trPr>
          <w:trHeight w:val="270"/>
        </w:trPr>
        <w:tc>
          <w:tcPr>
            <w:tcW w:w="67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93A1D2"/>
            </w:tcBorders>
          </w:tcPr>
          <w:p>
            <w:pPr>
              <w:jc w:val="right"/>
              <w:ind w:right="130"/>
              <w:spacing w:after="0"/>
              <w:rPr>
                <w:sz w:val="20"/>
                <w:szCs w:val="20"/>
                <w:color w:val="auto"/>
              </w:rPr>
            </w:pPr>
            <w:r>
              <w:rPr>
                <w:rFonts w:ascii="Arial" w:cs="Arial" w:eastAsia="Arial" w:hAnsi="Arial"/>
                <w:sz w:val="18"/>
                <w:szCs w:val="18"/>
                <w:color w:val="auto"/>
              </w:rPr>
              <w:t>29,600</w:t>
            </w:r>
          </w:p>
        </w:tc>
        <w:tc>
          <w:tcPr>
            <w:tcW w:w="1200" w:type="dxa"/>
            <w:vAlign w:val="bottom"/>
            <w:tcBorders>
              <w:right w:val="single" w:sz="8" w:color="3465B0"/>
            </w:tcBorders>
            <w:gridSpan w:val="2"/>
          </w:tcPr>
          <w:p>
            <w:pPr>
              <w:jc w:val="right"/>
              <w:ind w:right="150"/>
              <w:spacing w:after="0"/>
              <w:rPr>
                <w:sz w:val="20"/>
                <w:szCs w:val="20"/>
                <w:color w:val="auto"/>
              </w:rPr>
            </w:pPr>
            <w:r>
              <w:rPr>
                <w:rFonts w:ascii="Arial" w:cs="Arial" w:eastAsia="Arial" w:hAnsi="Arial"/>
                <w:sz w:val="18"/>
                <w:szCs w:val="18"/>
                <w:color w:val="auto"/>
              </w:rPr>
              <w:t>$(28,499)</w:t>
            </w:r>
          </w:p>
        </w:tc>
      </w:tr>
      <w:tr>
        <w:trPr>
          <w:trHeight w:val="250"/>
        </w:trPr>
        <w:tc>
          <w:tcPr>
            <w:tcW w:w="6760" w:type="dxa"/>
            <w:vAlign w:val="bottom"/>
            <w:tcBorders>
              <w:left w:val="single" w:sz="8" w:color="3465B0"/>
              <w:bottom w:val="single" w:sz="8" w:color="CCCCCC"/>
              <w:right w:val="single" w:sz="8" w:color="93A1D2"/>
            </w:tcBorders>
            <w:shd w:val="clear" w:color="auto" w:fill="CCCCCC"/>
          </w:tcPr>
          <w:p>
            <w:pPr>
              <w:ind w:left="12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Borders>
              <w:bottom w:val="single" w:sz="8" w:color="CCCCCC"/>
            </w:tcBorders>
            <w:shd w:val="clear" w:color="auto" w:fill="CCCCCC"/>
          </w:tcPr>
          <w:p>
            <w:pPr>
              <w:spacing w:after="0"/>
              <w:rPr>
                <w:sz w:val="21"/>
                <w:szCs w:val="21"/>
                <w:color w:val="auto"/>
              </w:rPr>
            </w:pPr>
          </w:p>
        </w:tc>
        <w:tc>
          <w:tcPr>
            <w:tcW w:w="860" w:type="dxa"/>
            <w:vAlign w:val="bottom"/>
            <w:tcBorders>
              <w:bottom w:val="single" w:sz="8" w:color="CCCCCC"/>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CCCC"/>
              <w:right w:val="single" w:sz="8" w:color="3465B0"/>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(1,334)</w:t>
            </w:r>
          </w:p>
        </w:tc>
      </w:tr>
      <w:tr>
        <w:trPr>
          <w:trHeight w:val="270"/>
        </w:trPr>
        <w:tc>
          <w:tcPr>
            <w:tcW w:w="67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8"/>
                <w:szCs w:val="18"/>
                <w:b w:val="1"/>
                <w:bCs w:val="1"/>
                <w:color w:val="auto"/>
              </w:rPr>
              <w:t>Income (loss) from continuing operations</w:t>
            </w:r>
          </w:p>
        </w:tc>
        <w:tc>
          <w:tcPr>
            <w:tcW w:w="340" w:type="dxa"/>
            <w:vAlign w:val="bottom"/>
          </w:tcPr>
          <w:p>
            <w:pPr>
              <w:spacing w:after="0"/>
              <w:rPr>
                <w:sz w:val="23"/>
                <w:szCs w:val="23"/>
                <w:color w:val="auto"/>
              </w:rPr>
            </w:pPr>
          </w:p>
        </w:tc>
        <w:tc>
          <w:tcPr>
            <w:tcW w:w="860" w:type="dxa"/>
            <w:vAlign w:val="bottom"/>
            <w:tcBorders>
              <w:right w:val="single" w:sz="8" w:color="93A1D2"/>
            </w:tcBorders>
          </w:tcPr>
          <w:p>
            <w:pPr>
              <w:jc w:val="right"/>
              <w:ind w:right="130"/>
              <w:spacing w:after="0"/>
              <w:rPr>
                <w:sz w:val="20"/>
                <w:szCs w:val="20"/>
                <w:color w:val="auto"/>
              </w:rPr>
            </w:pPr>
            <w:r>
              <w:rPr>
                <w:rFonts w:ascii="Arial" w:cs="Arial" w:eastAsia="Arial" w:hAnsi="Arial"/>
                <w:sz w:val="18"/>
                <w:szCs w:val="18"/>
                <w:color w:val="auto"/>
              </w:rPr>
              <w:t>29,600</w:t>
            </w:r>
          </w:p>
        </w:tc>
        <w:tc>
          <w:tcPr>
            <w:tcW w:w="1200" w:type="dxa"/>
            <w:vAlign w:val="bottom"/>
            <w:tcBorders>
              <w:right w:val="single" w:sz="8" w:color="3465B0"/>
            </w:tcBorders>
            <w:gridSpan w:val="2"/>
          </w:tcPr>
          <w:p>
            <w:pPr>
              <w:jc w:val="right"/>
              <w:ind w:right="150"/>
              <w:spacing w:after="0"/>
              <w:rPr>
                <w:sz w:val="20"/>
                <w:szCs w:val="20"/>
                <w:color w:val="auto"/>
              </w:rPr>
            </w:pPr>
            <w:r>
              <w:rPr>
                <w:rFonts w:ascii="Arial" w:cs="Arial" w:eastAsia="Arial" w:hAnsi="Arial"/>
                <w:sz w:val="18"/>
                <w:szCs w:val="18"/>
                <w:color w:val="auto"/>
              </w:rPr>
              <w:t>(27,165)</w:t>
            </w:r>
          </w:p>
        </w:tc>
      </w:tr>
      <w:tr>
        <w:trPr>
          <w:trHeight w:val="250"/>
        </w:trPr>
        <w:tc>
          <w:tcPr>
            <w:tcW w:w="6760" w:type="dxa"/>
            <w:vAlign w:val="bottom"/>
            <w:tcBorders>
              <w:left w:val="single" w:sz="8" w:color="3465B0"/>
              <w:bottom w:val="single" w:sz="8" w:color="CCCCCC"/>
              <w:right w:val="single" w:sz="8" w:color="93A1D2"/>
            </w:tcBorders>
            <w:shd w:val="clear" w:color="auto" w:fill="CCCCCC"/>
          </w:tcPr>
          <w:p>
            <w:pPr>
              <w:ind w:left="1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CCCC"/>
            </w:tcBorders>
            <w:shd w:val="clear" w:color="auto" w:fill="CCCCCC"/>
          </w:tcPr>
          <w:p>
            <w:pPr>
              <w:spacing w:after="0"/>
              <w:rPr>
                <w:sz w:val="21"/>
                <w:szCs w:val="21"/>
                <w:color w:val="auto"/>
              </w:rPr>
            </w:pPr>
          </w:p>
        </w:tc>
        <w:tc>
          <w:tcPr>
            <w:tcW w:w="860" w:type="dxa"/>
            <w:vAlign w:val="bottom"/>
            <w:tcBorders>
              <w:bottom w:val="single" w:sz="8" w:color="CCCCCC"/>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17,148</w:t>
            </w:r>
          </w:p>
        </w:tc>
        <w:tc>
          <w:tcPr>
            <w:tcW w:w="1200" w:type="dxa"/>
            <w:vAlign w:val="bottom"/>
            <w:tcBorders>
              <w:bottom w:val="single" w:sz="8" w:color="CCCCCC"/>
              <w:right w:val="single" w:sz="8" w:color="3465B0"/>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16,184</w:t>
            </w:r>
          </w:p>
        </w:tc>
      </w:tr>
      <w:tr>
        <w:trPr>
          <w:trHeight w:val="247"/>
        </w:trPr>
        <w:tc>
          <w:tcPr>
            <w:tcW w:w="67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860" w:type="dxa"/>
            <w:vAlign w:val="bottom"/>
            <w:tcBorders>
              <w:right w:val="single" w:sz="8" w:color="93A1D2"/>
            </w:tcBorders>
          </w:tcPr>
          <w:p>
            <w:pPr>
              <w:jc w:val="right"/>
              <w:ind w:right="130"/>
              <w:spacing w:after="0"/>
              <w:rPr>
                <w:sz w:val="20"/>
                <w:szCs w:val="20"/>
                <w:color w:val="auto"/>
              </w:rPr>
            </w:pPr>
            <w:r>
              <w:rPr>
                <w:rFonts w:ascii="Arial" w:cs="Arial" w:eastAsia="Arial" w:hAnsi="Arial"/>
                <w:sz w:val="18"/>
                <w:szCs w:val="18"/>
                <w:color w:val="auto"/>
              </w:rPr>
              <w:t>12,081</w:t>
            </w:r>
          </w:p>
        </w:tc>
        <w:tc>
          <w:tcPr>
            <w:tcW w:w="1200" w:type="dxa"/>
            <w:vAlign w:val="bottom"/>
            <w:tcBorders>
              <w:right w:val="single" w:sz="8" w:color="3465B0"/>
            </w:tcBorders>
            <w:gridSpan w:val="2"/>
          </w:tcPr>
          <w:p>
            <w:pPr>
              <w:jc w:val="right"/>
              <w:ind w:right="130"/>
              <w:spacing w:after="0"/>
              <w:rPr>
                <w:sz w:val="20"/>
                <w:szCs w:val="20"/>
                <w:color w:val="auto"/>
              </w:rPr>
            </w:pPr>
            <w:r>
              <w:rPr>
                <w:rFonts w:ascii="Arial" w:cs="Arial" w:eastAsia="Arial" w:hAnsi="Arial"/>
                <w:sz w:val="18"/>
                <w:szCs w:val="18"/>
                <w:color w:val="auto"/>
              </w:rPr>
              <w:t>1,481</w:t>
            </w:r>
          </w:p>
        </w:tc>
      </w:tr>
      <w:tr>
        <w:trPr>
          <w:trHeight w:val="23"/>
        </w:trPr>
        <w:tc>
          <w:tcPr>
            <w:tcW w:w="6760" w:type="dxa"/>
            <w:vAlign w:val="bottom"/>
            <w:tcBorders>
              <w:left w:val="single" w:sz="8" w:color="3465B0"/>
              <w:right w:val="single" w:sz="8" w:color="93A1D2"/>
            </w:tcBorders>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Borders>
              <w:right w:val="single" w:sz="8" w:color="93A1D2"/>
            </w:tcBorders>
          </w:tcPr>
          <w:p>
            <w:pPr>
              <w:spacing w:after="0"/>
              <w:rPr>
                <w:sz w:val="2"/>
                <w:szCs w:val="2"/>
                <w:color w:val="auto"/>
              </w:rPr>
            </w:pPr>
          </w:p>
        </w:tc>
        <w:tc>
          <w:tcPr>
            <w:tcW w:w="1200" w:type="dxa"/>
            <w:vAlign w:val="bottom"/>
            <w:tcBorders>
              <w:right w:val="single" w:sz="8" w:color="3465B0"/>
            </w:tcBorders>
            <w:gridSpan w:val="2"/>
          </w:tcPr>
          <w:p>
            <w:pPr>
              <w:spacing w:after="0"/>
              <w:rPr>
                <w:sz w:val="2"/>
                <w:szCs w:val="2"/>
                <w:color w:val="auto"/>
              </w:rPr>
            </w:pPr>
          </w:p>
        </w:tc>
      </w:tr>
      <w:tr>
        <w:trPr>
          <w:trHeight w:val="250"/>
        </w:trPr>
        <w:tc>
          <w:tcPr>
            <w:tcW w:w="6760" w:type="dxa"/>
            <w:vAlign w:val="bottom"/>
            <w:tcBorders>
              <w:left w:val="single" w:sz="8" w:color="3465B0"/>
              <w:bottom w:val="single" w:sz="8" w:color="CCCCCC"/>
              <w:right w:val="single" w:sz="8" w:color="93A1D2"/>
            </w:tcBorders>
            <w:shd w:val="clear" w:color="auto" w:fill="CCCCCC"/>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CCCC"/>
            </w:tcBorders>
            <w:shd w:val="clear" w:color="auto" w:fill="CCCCCC"/>
          </w:tcPr>
          <w:p>
            <w:pPr>
              <w:spacing w:after="0"/>
              <w:rPr>
                <w:sz w:val="21"/>
                <w:szCs w:val="21"/>
                <w:color w:val="auto"/>
              </w:rPr>
            </w:pPr>
          </w:p>
        </w:tc>
        <w:tc>
          <w:tcPr>
            <w:tcW w:w="860" w:type="dxa"/>
            <w:vAlign w:val="bottom"/>
            <w:tcBorders>
              <w:bottom w:val="single" w:sz="8" w:color="CCCCCC"/>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91,152</w:t>
            </w:r>
          </w:p>
        </w:tc>
        <w:tc>
          <w:tcPr>
            <w:tcW w:w="1200" w:type="dxa"/>
            <w:vAlign w:val="bottom"/>
            <w:tcBorders>
              <w:bottom w:val="single" w:sz="8" w:color="CCCCCC"/>
              <w:right w:val="single" w:sz="8" w:color="3465B0"/>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91,349</w:t>
            </w:r>
          </w:p>
        </w:tc>
      </w:tr>
      <w:tr>
        <w:trPr>
          <w:trHeight w:val="270"/>
        </w:trPr>
        <w:tc>
          <w:tcPr>
            <w:tcW w:w="676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8"/>
                <w:szCs w:val="18"/>
                <w:b w:val="1"/>
                <w:bCs w:val="1"/>
                <w:color w:val="auto"/>
              </w:rPr>
              <w:t>EBITDA from continuing operations</w:t>
            </w:r>
          </w:p>
        </w:tc>
        <w:tc>
          <w:tcPr>
            <w:tcW w:w="1200" w:type="dxa"/>
            <w:vAlign w:val="bottom"/>
            <w:tcBorders>
              <w:right w:val="single" w:sz="8" w:color="93A1D2"/>
            </w:tcBorders>
            <w:gridSpan w:val="2"/>
          </w:tcPr>
          <w:p>
            <w:pPr>
              <w:jc w:val="right"/>
              <w:ind w:right="130"/>
              <w:spacing w:after="0"/>
              <w:rPr>
                <w:sz w:val="20"/>
                <w:szCs w:val="20"/>
                <w:color w:val="auto"/>
              </w:rPr>
            </w:pPr>
            <w:r>
              <w:rPr>
                <w:rFonts w:ascii="Arial" w:cs="Arial" w:eastAsia="Arial" w:hAnsi="Arial"/>
                <w:sz w:val="18"/>
                <w:szCs w:val="18"/>
                <w:color w:val="auto"/>
              </w:rPr>
              <w:t>149,981</w:t>
            </w:r>
          </w:p>
        </w:tc>
        <w:tc>
          <w:tcPr>
            <w:tcW w:w="1200" w:type="dxa"/>
            <w:vAlign w:val="bottom"/>
            <w:tcBorders>
              <w:right w:val="single" w:sz="8" w:color="3465B0"/>
            </w:tcBorders>
            <w:gridSpan w:val="2"/>
          </w:tcPr>
          <w:p>
            <w:pPr>
              <w:jc w:val="right"/>
              <w:ind w:right="150"/>
              <w:spacing w:after="0"/>
              <w:rPr>
                <w:sz w:val="20"/>
                <w:szCs w:val="20"/>
                <w:color w:val="auto"/>
              </w:rPr>
            </w:pPr>
            <w:r>
              <w:rPr>
                <w:rFonts w:ascii="Arial" w:cs="Arial" w:eastAsia="Arial" w:hAnsi="Arial"/>
                <w:sz w:val="18"/>
                <w:szCs w:val="18"/>
                <w:color w:val="auto"/>
              </w:rPr>
              <w:t>81,849</w:t>
            </w:r>
          </w:p>
        </w:tc>
      </w:tr>
      <w:tr>
        <w:trPr>
          <w:trHeight w:val="311"/>
        </w:trPr>
        <w:tc>
          <w:tcPr>
            <w:tcW w:w="6760" w:type="dxa"/>
            <w:vAlign w:val="bottom"/>
            <w:tcBorders>
              <w:left w:val="single" w:sz="8" w:color="3465B0"/>
              <w:right w:val="single" w:sz="8" w:color="93A1D2"/>
            </w:tcBorders>
            <w:shd w:val="clear" w:color="auto" w:fill="CCCCCC"/>
          </w:tcPr>
          <w:p>
            <w:pPr>
              <w:ind w:left="120"/>
              <w:spacing w:after="0" w:line="31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9"/>
                <w:szCs w:val="29"/>
                <w:color w:val="auto"/>
                <w:vertAlign w:val="superscript"/>
              </w:rPr>
              <w:t>(a)</w:t>
            </w:r>
          </w:p>
        </w:tc>
        <w:tc>
          <w:tcPr>
            <w:tcW w:w="340" w:type="dxa"/>
            <w:vAlign w:val="bottom"/>
            <w:shd w:val="clear" w:color="auto" w:fill="CCCCCC"/>
          </w:tcPr>
          <w:p>
            <w:pPr>
              <w:spacing w:after="0"/>
              <w:rPr>
                <w:sz w:val="24"/>
                <w:szCs w:val="24"/>
                <w:color w:val="auto"/>
              </w:rPr>
            </w:pPr>
          </w:p>
        </w:tc>
        <w:tc>
          <w:tcPr>
            <w:tcW w:w="860" w:type="dxa"/>
            <w:vAlign w:val="bottom"/>
            <w:tcBorders>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23,686</w:t>
            </w:r>
          </w:p>
        </w:tc>
        <w:tc>
          <w:tcPr>
            <w:tcW w:w="1200" w:type="dxa"/>
            <w:vAlign w:val="bottom"/>
            <w:tcBorders>
              <w:right w:val="single" w:sz="8" w:color="3465B0"/>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16,708</w:t>
            </w:r>
          </w:p>
        </w:tc>
      </w:tr>
      <w:tr>
        <w:trPr>
          <w:trHeight w:val="310"/>
        </w:trPr>
        <w:tc>
          <w:tcPr>
            <w:tcW w:w="6760" w:type="dxa"/>
            <w:vAlign w:val="bottom"/>
            <w:tcBorders>
              <w:left w:val="single" w:sz="8" w:color="3465B0"/>
              <w:right w:val="single" w:sz="8" w:color="93A1D2"/>
            </w:tcBorders>
          </w:tcPr>
          <w:p>
            <w:pPr>
              <w:ind w:left="120"/>
              <w:spacing w:after="0" w:line="310" w:lineRule="exact"/>
              <w:rPr>
                <w:sz w:val="20"/>
                <w:szCs w:val="20"/>
                <w:color w:val="auto"/>
              </w:rPr>
            </w:pPr>
            <w:r>
              <w:rPr>
                <w:rFonts w:ascii="Arial" w:cs="Arial" w:eastAsia="Arial" w:hAnsi="Arial"/>
                <w:sz w:val="18"/>
                <w:szCs w:val="18"/>
                <w:color w:val="auto"/>
              </w:rPr>
              <w:t>(Gain) loss on extinguishment of debt</w:t>
            </w:r>
            <w:r>
              <w:rPr>
                <w:rFonts w:ascii="Arial" w:cs="Arial" w:eastAsia="Arial" w:hAnsi="Arial"/>
                <w:sz w:val="29"/>
                <w:szCs w:val="29"/>
                <w:color w:val="auto"/>
                <w:vertAlign w:val="superscript"/>
              </w:rPr>
              <w:t>(b)</w:t>
            </w:r>
          </w:p>
        </w:tc>
        <w:tc>
          <w:tcPr>
            <w:tcW w:w="340" w:type="dxa"/>
            <w:vAlign w:val="bottom"/>
          </w:tcPr>
          <w:p>
            <w:pPr>
              <w:spacing w:after="0"/>
              <w:rPr>
                <w:sz w:val="24"/>
                <w:szCs w:val="24"/>
                <w:color w:val="auto"/>
              </w:rPr>
            </w:pPr>
          </w:p>
        </w:tc>
        <w:tc>
          <w:tcPr>
            <w:tcW w:w="860" w:type="dxa"/>
            <w:vAlign w:val="bottom"/>
            <w:tcBorders>
              <w:right w:val="single" w:sz="8" w:color="93A1D2"/>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3465B0"/>
            </w:tcBorders>
            <w:gridSpan w:val="2"/>
          </w:tcPr>
          <w:p>
            <w:pPr>
              <w:jc w:val="right"/>
              <w:ind w:right="150"/>
              <w:spacing w:after="0"/>
              <w:rPr>
                <w:sz w:val="20"/>
                <w:szCs w:val="20"/>
                <w:color w:val="auto"/>
              </w:rPr>
            </w:pPr>
            <w:r>
              <w:rPr>
                <w:rFonts w:ascii="Arial" w:cs="Arial" w:eastAsia="Arial" w:hAnsi="Arial"/>
                <w:sz w:val="18"/>
                <w:szCs w:val="18"/>
                <w:color w:val="auto"/>
              </w:rPr>
              <w:t>(859)</w:t>
            </w:r>
          </w:p>
        </w:tc>
      </w:tr>
      <w:tr>
        <w:trPr>
          <w:trHeight w:val="311"/>
        </w:trPr>
        <w:tc>
          <w:tcPr>
            <w:tcW w:w="6760" w:type="dxa"/>
            <w:vAlign w:val="bottom"/>
            <w:tcBorders>
              <w:left w:val="single" w:sz="8" w:color="3465B0"/>
              <w:right w:val="single" w:sz="8" w:color="93A1D2"/>
            </w:tcBorders>
            <w:shd w:val="clear" w:color="auto" w:fill="CCCCCC"/>
          </w:tcPr>
          <w:p>
            <w:pPr>
              <w:ind w:left="120"/>
              <w:spacing w:after="0" w:line="310" w:lineRule="exact"/>
              <w:rPr>
                <w:sz w:val="20"/>
                <w:szCs w:val="20"/>
                <w:color w:val="auto"/>
              </w:rPr>
            </w:pPr>
            <w:r>
              <w:rPr>
                <w:rFonts w:ascii="Arial" w:cs="Arial" w:eastAsia="Arial" w:hAnsi="Arial"/>
                <w:sz w:val="18"/>
                <w:szCs w:val="18"/>
                <w:color w:val="auto"/>
              </w:rPr>
              <w:t>Asset impairment</w:t>
            </w:r>
            <w:r>
              <w:rPr>
                <w:rFonts w:ascii="Arial" w:cs="Arial" w:eastAsia="Arial" w:hAnsi="Arial"/>
                <w:sz w:val="29"/>
                <w:szCs w:val="29"/>
                <w:color w:val="auto"/>
                <w:vertAlign w:val="superscript"/>
              </w:rPr>
              <w:t>(c)</w:t>
            </w:r>
          </w:p>
        </w:tc>
        <w:tc>
          <w:tcPr>
            <w:tcW w:w="340" w:type="dxa"/>
            <w:vAlign w:val="bottom"/>
            <w:shd w:val="clear" w:color="auto" w:fill="CCCCCC"/>
          </w:tcPr>
          <w:p>
            <w:pPr>
              <w:spacing w:after="0"/>
              <w:rPr>
                <w:sz w:val="24"/>
                <w:szCs w:val="24"/>
                <w:color w:val="auto"/>
              </w:rPr>
            </w:pPr>
          </w:p>
        </w:tc>
        <w:tc>
          <w:tcPr>
            <w:tcW w:w="860" w:type="dxa"/>
            <w:vAlign w:val="bottom"/>
            <w:tcBorders>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1,991</w:t>
            </w:r>
          </w:p>
        </w:tc>
        <w:tc>
          <w:tcPr>
            <w:tcW w:w="1200" w:type="dxa"/>
            <w:vAlign w:val="bottom"/>
            <w:tcBorders>
              <w:right w:val="single" w:sz="8" w:color="3465B0"/>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39,851</w:t>
            </w:r>
          </w:p>
        </w:tc>
      </w:tr>
      <w:tr>
        <w:trPr>
          <w:trHeight w:val="310"/>
        </w:trPr>
        <w:tc>
          <w:tcPr>
            <w:tcW w:w="6760" w:type="dxa"/>
            <w:vAlign w:val="bottom"/>
            <w:tcBorders>
              <w:left w:val="single" w:sz="8" w:color="3465B0"/>
              <w:right w:val="single" w:sz="8" w:color="93A1D2"/>
            </w:tcBorders>
          </w:tcPr>
          <w:p>
            <w:pPr>
              <w:ind w:left="120"/>
              <w:spacing w:after="0" w:line="31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9"/>
                <w:szCs w:val="29"/>
                <w:color w:val="auto"/>
                <w:vertAlign w:val="superscript"/>
              </w:rPr>
              <w:t>(d)</w:t>
            </w:r>
          </w:p>
        </w:tc>
        <w:tc>
          <w:tcPr>
            <w:tcW w:w="340" w:type="dxa"/>
            <w:vAlign w:val="bottom"/>
          </w:tcPr>
          <w:p>
            <w:pPr>
              <w:spacing w:after="0"/>
              <w:rPr>
                <w:sz w:val="24"/>
                <w:szCs w:val="24"/>
                <w:color w:val="auto"/>
              </w:rPr>
            </w:pPr>
          </w:p>
        </w:tc>
        <w:tc>
          <w:tcPr>
            <w:tcW w:w="860" w:type="dxa"/>
            <w:vAlign w:val="bottom"/>
            <w:tcBorders>
              <w:right w:val="single" w:sz="8" w:color="93A1D2"/>
            </w:tcBorders>
          </w:tcPr>
          <w:p>
            <w:pPr>
              <w:jc w:val="right"/>
              <w:ind w:right="130"/>
              <w:spacing w:after="0"/>
              <w:rPr>
                <w:sz w:val="20"/>
                <w:szCs w:val="20"/>
                <w:color w:val="auto"/>
              </w:rPr>
            </w:pPr>
            <w:r>
              <w:rPr>
                <w:rFonts w:ascii="Arial" w:cs="Arial" w:eastAsia="Arial" w:hAnsi="Arial"/>
                <w:sz w:val="18"/>
                <w:szCs w:val="18"/>
                <w:color w:val="auto"/>
              </w:rPr>
              <w:t>1,903</w:t>
            </w:r>
          </w:p>
        </w:tc>
        <w:tc>
          <w:tcPr>
            <w:tcW w:w="1200" w:type="dxa"/>
            <w:vAlign w:val="bottom"/>
            <w:tcBorders>
              <w:right w:val="single" w:sz="8" w:color="3465B0"/>
            </w:tcBorders>
            <w:gridSpan w:val="2"/>
          </w:tcPr>
          <w:p>
            <w:pPr>
              <w:jc w:val="right"/>
              <w:ind w:right="130"/>
              <w:spacing w:after="0"/>
              <w:rPr>
                <w:sz w:val="20"/>
                <w:szCs w:val="20"/>
                <w:color w:val="auto"/>
              </w:rPr>
            </w:pPr>
            <w:r>
              <w:rPr>
                <w:rFonts w:ascii="Arial" w:cs="Arial" w:eastAsia="Arial" w:hAnsi="Arial"/>
                <w:sz w:val="18"/>
                <w:szCs w:val="18"/>
                <w:color w:val="auto"/>
              </w:rPr>
              <w:t>4,450</w:t>
            </w:r>
          </w:p>
        </w:tc>
      </w:tr>
      <w:tr>
        <w:trPr>
          <w:trHeight w:val="311"/>
        </w:trPr>
        <w:tc>
          <w:tcPr>
            <w:tcW w:w="6760" w:type="dxa"/>
            <w:vAlign w:val="bottom"/>
            <w:tcBorders>
              <w:left w:val="single" w:sz="8" w:color="3465B0"/>
              <w:right w:val="single" w:sz="8" w:color="93A1D2"/>
            </w:tcBorders>
            <w:shd w:val="clear" w:color="auto" w:fill="CCCCCC"/>
          </w:tcPr>
          <w:p>
            <w:pPr>
              <w:ind w:left="120"/>
              <w:spacing w:after="0" w:line="310" w:lineRule="exact"/>
              <w:rPr>
                <w:sz w:val="20"/>
                <w:szCs w:val="20"/>
                <w:color w:val="auto"/>
              </w:rPr>
            </w:pPr>
            <w:r>
              <w:rPr>
                <w:rFonts w:ascii="Arial" w:cs="Arial" w:eastAsia="Arial" w:hAnsi="Arial"/>
                <w:sz w:val="18"/>
                <w:szCs w:val="18"/>
                <w:color w:val="auto"/>
              </w:rPr>
              <w:t>ERP and CRM implementation expenses</w:t>
            </w:r>
            <w:r>
              <w:rPr>
                <w:rFonts w:ascii="Arial" w:cs="Arial" w:eastAsia="Arial" w:hAnsi="Arial"/>
                <w:sz w:val="29"/>
                <w:szCs w:val="29"/>
                <w:color w:val="auto"/>
                <w:vertAlign w:val="superscript"/>
              </w:rPr>
              <w:t>(h)</w:t>
            </w:r>
          </w:p>
        </w:tc>
        <w:tc>
          <w:tcPr>
            <w:tcW w:w="340" w:type="dxa"/>
            <w:vAlign w:val="bottom"/>
            <w:shd w:val="clear" w:color="auto" w:fill="CCCCCC"/>
          </w:tcPr>
          <w:p>
            <w:pPr>
              <w:spacing w:after="0"/>
              <w:rPr>
                <w:sz w:val="24"/>
                <w:szCs w:val="24"/>
                <w:color w:val="auto"/>
              </w:rPr>
            </w:pPr>
          </w:p>
        </w:tc>
        <w:tc>
          <w:tcPr>
            <w:tcW w:w="860" w:type="dxa"/>
            <w:vAlign w:val="bottom"/>
            <w:tcBorders>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6,420</w:t>
            </w:r>
          </w:p>
        </w:tc>
        <w:tc>
          <w:tcPr>
            <w:tcW w:w="1200" w:type="dxa"/>
            <w:vAlign w:val="bottom"/>
            <w:tcBorders>
              <w:right w:val="single" w:sz="8" w:color="3465B0"/>
            </w:tcBorders>
            <w:gridSpan w:val="2"/>
            <w:shd w:val="clear" w:color="auto" w:fill="CCCCCC"/>
          </w:tcPr>
          <w:p>
            <w:pPr>
              <w:jc w:val="right"/>
              <w:ind w:right="130"/>
              <w:spacing w:after="0"/>
              <w:rPr>
                <w:sz w:val="20"/>
                <w:szCs w:val="20"/>
                <w:color w:val="auto"/>
              </w:rPr>
            </w:pPr>
            <w:r>
              <w:rPr>
                <w:rFonts w:ascii="Arial" w:cs="Arial" w:eastAsia="Arial" w:hAnsi="Arial"/>
                <w:sz w:val="18"/>
                <w:szCs w:val="18"/>
                <w:color w:val="auto"/>
              </w:rPr>
              <w:t>5,990</w:t>
            </w:r>
          </w:p>
        </w:tc>
      </w:tr>
      <w:tr>
        <w:trPr>
          <w:trHeight w:val="311"/>
        </w:trPr>
        <w:tc>
          <w:tcPr>
            <w:tcW w:w="6760" w:type="dxa"/>
            <w:vAlign w:val="bottom"/>
            <w:tcBorders>
              <w:left w:val="single" w:sz="8" w:color="3465B0"/>
              <w:right w:val="single" w:sz="8" w:color="93A1D2"/>
            </w:tcBorders>
          </w:tcPr>
          <w:p>
            <w:pPr>
              <w:ind w:left="120"/>
              <w:spacing w:after="0" w:line="31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(i)</w:t>
            </w:r>
          </w:p>
        </w:tc>
        <w:tc>
          <w:tcPr>
            <w:tcW w:w="340" w:type="dxa"/>
            <w:vAlign w:val="bottom"/>
          </w:tcPr>
          <w:p>
            <w:pPr>
              <w:spacing w:after="0"/>
              <w:rPr>
                <w:sz w:val="24"/>
                <w:szCs w:val="24"/>
                <w:color w:val="auto"/>
              </w:rPr>
            </w:pPr>
          </w:p>
        </w:tc>
        <w:tc>
          <w:tcPr>
            <w:tcW w:w="860" w:type="dxa"/>
            <w:vAlign w:val="bottom"/>
            <w:tcBorders>
              <w:right w:val="single" w:sz="8" w:color="93A1D2"/>
            </w:tcBorders>
          </w:tcPr>
          <w:p>
            <w:pPr>
              <w:jc w:val="right"/>
              <w:ind w:right="130"/>
              <w:spacing w:after="0"/>
              <w:rPr>
                <w:sz w:val="20"/>
                <w:szCs w:val="20"/>
                <w:color w:val="auto"/>
              </w:rPr>
            </w:pPr>
            <w:r>
              <w:rPr>
                <w:rFonts w:ascii="Arial" w:cs="Arial" w:eastAsia="Arial" w:hAnsi="Arial"/>
                <w:sz w:val="18"/>
                <w:szCs w:val="18"/>
                <w:color w:val="auto"/>
              </w:rPr>
              <w:t>8,962</w:t>
            </w:r>
          </w:p>
        </w:tc>
        <w:tc>
          <w:tcPr>
            <w:tcW w:w="1200" w:type="dxa"/>
            <w:vAlign w:val="bottom"/>
            <w:tcBorders>
              <w:right w:val="single" w:sz="8" w:color="3465B0"/>
            </w:tcBorders>
            <w:gridSpan w:val="2"/>
          </w:tcPr>
          <w:p>
            <w:pPr>
              <w:jc w:val="right"/>
              <w:ind w:right="130"/>
              <w:spacing w:after="0"/>
              <w:rPr>
                <w:sz w:val="20"/>
                <w:szCs w:val="20"/>
                <w:color w:val="auto"/>
              </w:rPr>
            </w:pPr>
            <w:r>
              <w:rPr>
                <w:rFonts w:ascii="Arial" w:cs="Arial" w:eastAsia="Arial" w:hAnsi="Arial"/>
                <w:sz w:val="18"/>
                <w:szCs w:val="18"/>
                <w:color w:val="auto"/>
              </w:rPr>
              <w:t>7,536</w:t>
            </w:r>
          </w:p>
        </w:tc>
      </w:tr>
      <w:tr>
        <w:trPr>
          <w:trHeight w:val="270"/>
        </w:trPr>
        <w:tc>
          <w:tcPr>
            <w:tcW w:w="67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8"/>
                <w:szCs w:val="18"/>
                <w:b w:val="1"/>
                <w:bCs w:val="1"/>
                <w:color w:val="auto"/>
              </w:rPr>
              <w:t>Adjusted EBITDA from Continuing Operations</w:t>
            </w:r>
          </w:p>
        </w:tc>
        <w:tc>
          <w:tcPr>
            <w:tcW w:w="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w w:val="95"/>
              </w:rPr>
              <w:t>192,943</w:t>
            </w:r>
          </w:p>
        </w:tc>
        <w:tc>
          <w:tcPr>
            <w:tcW w:w="1200" w:type="dxa"/>
            <w:vAlign w:val="bottom"/>
            <w:tcBorders>
              <w:right w:val="single" w:sz="8" w:color="3465B0"/>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$155,525</w:t>
            </w:r>
          </w:p>
        </w:tc>
      </w:tr>
      <w:tr>
        <w:trPr>
          <w:trHeight w:val="270"/>
        </w:trPr>
        <w:tc>
          <w:tcPr>
            <w:tcW w:w="6760" w:type="dxa"/>
            <w:vAlign w:val="bottom"/>
            <w:tcBorders>
              <w:left w:val="single" w:sz="8" w:color="3465B0"/>
              <w:right w:val="single" w:sz="8" w:color="93A1D2"/>
            </w:tcBorders>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Borders>
              <w:right w:val="single" w:sz="8" w:color="93A1D2"/>
            </w:tcBorders>
          </w:tcPr>
          <w:p>
            <w:pPr>
              <w:spacing w:after="0"/>
              <w:rPr>
                <w:sz w:val="23"/>
                <w:szCs w:val="23"/>
                <w:color w:val="auto"/>
              </w:rPr>
            </w:pPr>
          </w:p>
        </w:tc>
        <w:tc>
          <w:tcPr>
            <w:tcW w:w="1200" w:type="dxa"/>
            <w:vAlign w:val="bottom"/>
            <w:tcBorders>
              <w:right w:val="single" w:sz="8" w:color="3465B0"/>
            </w:tcBorders>
            <w:gridSpan w:val="2"/>
          </w:tcPr>
          <w:p>
            <w:pPr>
              <w:spacing w:after="0"/>
              <w:rPr>
                <w:sz w:val="23"/>
                <w:szCs w:val="23"/>
                <w:color w:val="auto"/>
              </w:rPr>
            </w:pPr>
          </w:p>
        </w:tc>
      </w:tr>
      <w:tr>
        <w:trPr>
          <w:trHeight w:val="270"/>
        </w:trPr>
        <w:tc>
          <w:tcPr>
            <w:tcW w:w="676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8"/>
                <w:szCs w:val="18"/>
                <w:b w:val="1"/>
                <w:bCs w:val="1"/>
                <w:color w:val="auto"/>
              </w:rPr>
              <w:t>Income (loss) margin from continuing operations</w:t>
            </w:r>
          </w:p>
        </w:tc>
        <w:tc>
          <w:tcPr>
            <w:tcW w:w="340" w:type="dxa"/>
            <w:vAlign w:val="bottom"/>
            <w:shd w:val="clear" w:color="auto" w:fill="CCCCCC"/>
          </w:tcPr>
          <w:p>
            <w:pPr>
              <w:spacing w:after="0"/>
              <w:rPr>
                <w:sz w:val="23"/>
                <w:szCs w:val="23"/>
                <w:color w:val="auto"/>
              </w:rPr>
            </w:pPr>
          </w:p>
        </w:tc>
        <w:tc>
          <w:tcPr>
            <w:tcW w:w="860" w:type="dxa"/>
            <w:vAlign w:val="bottom"/>
            <w:tcBorders>
              <w:right w:val="single" w:sz="8" w:color="93A1D2"/>
            </w:tcBorders>
            <w:shd w:val="clear" w:color="auto" w:fill="CCCCCC"/>
          </w:tcPr>
          <w:p>
            <w:pPr>
              <w:jc w:val="right"/>
              <w:ind w:right="130"/>
              <w:spacing w:after="0"/>
              <w:rPr>
                <w:sz w:val="20"/>
                <w:szCs w:val="20"/>
                <w:color w:val="auto"/>
              </w:rPr>
            </w:pPr>
            <w:r>
              <w:rPr>
                <w:rFonts w:ascii="Arial" w:cs="Arial" w:eastAsia="Arial" w:hAnsi="Arial"/>
                <w:sz w:val="18"/>
                <w:szCs w:val="18"/>
                <w:color w:val="auto"/>
              </w:rPr>
              <w:t>1.5%</w:t>
            </w:r>
          </w:p>
        </w:tc>
        <w:tc>
          <w:tcPr>
            <w:tcW w:w="1200" w:type="dxa"/>
            <w:vAlign w:val="bottom"/>
            <w:tcBorders>
              <w:right w:val="single" w:sz="8" w:color="3465B0"/>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(1.5)%</w:t>
            </w:r>
          </w:p>
        </w:tc>
      </w:tr>
      <w:tr>
        <w:trPr>
          <w:trHeight w:val="240"/>
        </w:trPr>
        <w:tc>
          <w:tcPr>
            <w:tcW w:w="6760" w:type="dxa"/>
            <w:vAlign w:val="bottom"/>
            <w:tcBorders>
              <w:left w:val="single" w:sz="8" w:color="3465B0"/>
              <w:bottom w:val="single" w:sz="8" w:color="3465B0"/>
              <w:right w:val="single" w:sz="8" w:color="93A1D2"/>
            </w:tcBorders>
          </w:tcPr>
          <w:p>
            <w:pPr>
              <w:ind w:left="120"/>
              <w:spacing w:after="0"/>
              <w:rPr>
                <w:sz w:val="20"/>
                <w:szCs w:val="20"/>
                <w:color w:val="auto"/>
              </w:rPr>
            </w:pPr>
            <w:r>
              <w:rPr>
                <w:rFonts w:ascii="Arial" w:cs="Arial" w:eastAsia="Arial" w:hAnsi="Arial"/>
                <w:sz w:val="18"/>
                <w:szCs w:val="18"/>
                <w:b w:val="1"/>
                <w:bCs w:val="1"/>
                <w:color w:val="auto"/>
              </w:rPr>
              <w:t>Adjusted EBITDA Margin from Continuing Operations</w:t>
            </w:r>
          </w:p>
        </w:tc>
        <w:tc>
          <w:tcPr>
            <w:tcW w:w="340" w:type="dxa"/>
            <w:vAlign w:val="bottom"/>
            <w:tcBorders>
              <w:bottom w:val="single" w:sz="8" w:color="3465B0"/>
            </w:tcBorders>
          </w:tcPr>
          <w:p>
            <w:pPr>
              <w:spacing w:after="0"/>
              <w:rPr>
                <w:sz w:val="20"/>
                <w:szCs w:val="20"/>
                <w:color w:val="auto"/>
              </w:rPr>
            </w:pPr>
          </w:p>
        </w:tc>
        <w:tc>
          <w:tcPr>
            <w:tcW w:w="860" w:type="dxa"/>
            <w:vAlign w:val="bottom"/>
            <w:tcBorders>
              <w:bottom w:val="single" w:sz="8" w:color="3465B0"/>
              <w:right w:val="single" w:sz="8" w:color="93A1D2"/>
            </w:tcBorders>
          </w:tcPr>
          <w:p>
            <w:pPr>
              <w:jc w:val="right"/>
              <w:ind w:right="130"/>
              <w:spacing w:after="0"/>
              <w:rPr>
                <w:sz w:val="20"/>
                <w:szCs w:val="20"/>
                <w:color w:val="auto"/>
              </w:rPr>
            </w:pPr>
            <w:r>
              <w:rPr>
                <w:rFonts w:ascii="Arial" w:cs="Arial" w:eastAsia="Arial" w:hAnsi="Arial"/>
                <w:sz w:val="18"/>
                <w:szCs w:val="18"/>
                <w:color w:val="auto"/>
              </w:rPr>
              <w:t>9.7%</w:t>
            </w:r>
          </w:p>
        </w:tc>
        <w:tc>
          <w:tcPr>
            <w:tcW w:w="1200" w:type="dxa"/>
            <w:vAlign w:val="bottom"/>
            <w:tcBorders>
              <w:bottom w:val="single" w:sz="8" w:color="3465B0"/>
              <w:right w:val="single" w:sz="8" w:color="3465B0"/>
            </w:tcBorders>
            <w:gridSpan w:val="2"/>
          </w:tcPr>
          <w:p>
            <w:pPr>
              <w:jc w:val="right"/>
              <w:ind w:right="130"/>
              <w:spacing w:after="0"/>
              <w:rPr>
                <w:sz w:val="20"/>
                <w:szCs w:val="20"/>
                <w:color w:val="auto"/>
              </w:rPr>
            </w:pPr>
            <w:r>
              <w:rPr>
                <w:rFonts w:ascii="Arial" w:cs="Arial" w:eastAsia="Arial" w:hAnsi="Arial"/>
                <w:sz w:val="18"/>
                <w:szCs w:val="18"/>
                <w:color w:val="auto"/>
              </w:rPr>
              <w:t>8.5%</w:t>
            </w:r>
          </w:p>
        </w:tc>
      </w:tr>
    </w:tbl>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Adjusted Diluted EPS from Continuing Operations to Diluted EPS</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308"/>
        </w:trPr>
        <w:tc>
          <w:tcPr>
            <w:tcW w:w="674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160" w:type="dxa"/>
            <w:vAlign w:val="bottom"/>
            <w:tcBorders>
              <w:top w:val="single" w:sz="8" w:color="3465B0"/>
            </w:tcBorders>
            <w:shd w:val="clear" w:color="auto" w:fill="3465B0"/>
          </w:tcPr>
          <w:p>
            <w:pPr>
              <w:spacing w:after="0"/>
              <w:rPr>
                <w:sz w:val="24"/>
                <w:szCs w:val="24"/>
                <w:color w:val="auto"/>
              </w:rPr>
            </w:pPr>
          </w:p>
        </w:tc>
        <w:tc>
          <w:tcPr>
            <w:tcW w:w="1060" w:type="dxa"/>
            <w:vAlign w:val="bottom"/>
            <w:tcBorders>
              <w:top w:val="single" w:sz="8" w:color="3465B0"/>
              <w:right w:val="single" w:sz="8" w:color="93A1D2"/>
            </w:tcBorders>
            <w:gridSpan w:val="2"/>
            <w:shd w:val="clear" w:color="auto" w:fill="3465B0"/>
          </w:tcPr>
          <w:p>
            <w:pPr>
              <w:ind w:left="180"/>
              <w:spacing w:after="0"/>
              <w:rPr>
                <w:sz w:val="20"/>
                <w:szCs w:val="20"/>
                <w:color w:val="auto"/>
              </w:rPr>
            </w:pPr>
            <w:r>
              <w:rPr>
                <w:rFonts w:ascii="Arial" w:cs="Arial" w:eastAsia="Arial" w:hAnsi="Arial"/>
                <w:sz w:val="18"/>
                <w:szCs w:val="18"/>
                <w:b w:val="1"/>
                <w:bCs w:val="1"/>
                <w:color w:val="FFFFFF"/>
              </w:rPr>
              <w:t>Fiscal</w:t>
            </w:r>
          </w:p>
        </w:tc>
        <w:tc>
          <w:tcPr>
            <w:tcW w:w="140" w:type="dxa"/>
            <w:vAlign w:val="bottom"/>
            <w:tcBorders>
              <w:top w:val="single" w:sz="8" w:color="3465B0"/>
            </w:tcBorders>
            <w:shd w:val="clear" w:color="auto" w:fill="3465B0"/>
          </w:tcPr>
          <w:p>
            <w:pPr>
              <w:spacing w:after="0"/>
              <w:rPr>
                <w:sz w:val="24"/>
                <w:szCs w:val="24"/>
                <w:color w:val="auto"/>
              </w:rPr>
            </w:pPr>
          </w:p>
        </w:tc>
        <w:tc>
          <w:tcPr>
            <w:tcW w:w="1060" w:type="dxa"/>
            <w:vAlign w:val="bottom"/>
            <w:tcBorders>
              <w:top w:val="single" w:sz="8" w:color="3465B0"/>
              <w:right w:val="single" w:sz="8" w:color="3465B0"/>
            </w:tcBorders>
            <w:gridSpan w:val="2"/>
            <w:shd w:val="clear" w:color="auto" w:fill="3465B0"/>
          </w:tcPr>
          <w:p>
            <w:pPr>
              <w:jc w:val="right"/>
              <w:ind w:right="250"/>
              <w:spacing w:after="0"/>
              <w:rPr>
                <w:sz w:val="20"/>
                <w:szCs w:val="20"/>
                <w:color w:val="auto"/>
              </w:rPr>
            </w:pPr>
            <w:r>
              <w:rPr>
                <w:rFonts w:ascii="Arial" w:cs="Arial" w:eastAsia="Arial" w:hAnsi="Arial"/>
                <w:sz w:val="18"/>
                <w:szCs w:val="18"/>
                <w:b w:val="1"/>
                <w:bCs w:val="1"/>
                <w:color w:val="FFFFFF"/>
              </w:rPr>
              <w:t>Fiscal</w:t>
            </w:r>
          </w:p>
        </w:tc>
      </w:tr>
      <w:tr>
        <w:trPr>
          <w:trHeight w:val="203"/>
        </w:trPr>
        <w:tc>
          <w:tcPr>
            <w:tcW w:w="6740" w:type="dxa"/>
            <w:vAlign w:val="bottom"/>
            <w:tcBorders>
              <w:left w:val="single" w:sz="8" w:color="3465B0"/>
              <w:right w:val="single" w:sz="8" w:color="93A1D2"/>
            </w:tcBorders>
            <w:shd w:val="clear" w:color="auto" w:fill="3465B0"/>
          </w:tcPr>
          <w:p>
            <w:pPr>
              <w:spacing w:after="0"/>
              <w:rPr>
                <w:sz w:val="17"/>
                <w:szCs w:val="17"/>
                <w:color w:val="auto"/>
              </w:rPr>
            </w:pPr>
          </w:p>
        </w:tc>
        <w:tc>
          <w:tcPr>
            <w:tcW w:w="160" w:type="dxa"/>
            <w:vAlign w:val="bottom"/>
            <w:shd w:val="clear" w:color="auto" w:fill="3465B0"/>
          </w:tcPr>
          <w:p>
            <w:pPr>
              <w:spacing w:after="0"/>
              <w:rPr>
                <w:sz w:val="17"/>
                <w:szCs w:val="17"/>
                <w:color w:val="auto"/>
              </w:rPr>
            </w:pPr>
          </w:p>
        </w:tc>
        <w:tc>
          <w:tcPr>
            <w:tcW w:w="1060" w:type="dxa"/>
            <w:vAlign w:val="bottom"/>
            <w:tcBorders>
              <w:right w:val="single" w:sz="8" w:color="93A1D2"/>
            </w:tcBorders>
            <w:gridSpan w:val="2"/>
            <w:shd w:val="clear" w:color="auto" w:fill="3465B0"/>
          </w:tcPr>
          <w:p>
            <w:pPr>
              <w:jc w:val="right"/>
              <w:ind w:right="350"/>
              <w:spacing w:after="0" w:line="202" w:lineRule="exact"/>
              <w:rPr>
                <w:sz w:val="20"/>
                <w:szCs w:val="20"/>
                <w:color w:val="auto"/>
              </w:rPr>
            </w:pPr>
            <w:r>
              <w:rPr>
                <w:rFonts w:ascii="Arial" w:cs="Arial" w:eastAsia="Arial" w:hAnsi="Arial"/>
                <w:sz w:val="18"/>
                <w:szCs w:val="18"/>
                <w:b w:val="1"/>
                <w:bCs w:val="1"/>
                <w:color w:val="FFFFFF"/>
              </w:rPr>
              <w:t>Year</w:t>
            </w:r>
          </w:p>
        </w:tc>
        <w:tc>
          <w:tcPr>
            <w:tcW w:w="140" w:type="dxa"/>
            <w:vAlign w:val="bottom"/>
            <w:shd w:val="clear" w:color="auto" w:fill="3465B0"/>
          </w:tcPr>
          <w:p>
            <w:pPr>
              <w:spacing w:after="0"/>
              <w:rPr>
                <w:sz w:val="17"/>
                <w:szCs w:val="17"/>
                <w:color w:val="auto"/>
              </w:rPr>
            </w:pPr>
          </w:p>
        </w:tc>
        <w:tc>
          <w:tcPr>
            <w:tcW w:w="1060" w:type="dxa"/>
            <w:vAlign w:val="bottom"/>
            <w:tcBorders>
              <w:right w:val="single" w:sz="8" w:color="3465B0"/>
            </w:tcBorders>
            <w:gridSpan w:val="2"/>
            <w:shd w:val="clear" w:color="auto" w:fill="3465B0"/>
          </w:tcPr>
          <w:p>
            <w:pPr>
              <w:ind w:left="280"/>
              <w:spacing w:after="0" w:line="202" w:lineRule="exact"/>
              <w:rPr>
                <w:sz w:val="20"/>
                <w:szCs w:val="20"/>
                <w:color w:val="auto"/>
              </w:rPr>
            </w:pPr>
            <w:r>
              <w:rPr>
                <w:rFonts w:ascii="Arial" w:cs="Arial" w:eastAsia="Arial" w:hAnsi="Arial"/>
                <w:sz w:val="18"/>
                <w:szCs w:val="18"/>
                <w:b w:val="1"/>
                <w:bCs w:val="1"/>
                <w:color w:val="FFFFFF"/>
              </w:rPr>
              <w:t>Year</w:t>
            </w:r>
          </w:p>
        </w:tc>
      </w:tr>
      <w:tr>
        <w:trPr>
          <w:trHeight w:val="262"/>
        </w:trPr>
        <w:tc>
          <w:tcPr>
            <w:tcW w:w="6740" w:type="dxa"/>
            <w:vAlign w:val="bottom"/>
            <w:tcBorders>
              <w:left w:val="single" w:sz="8" w:color="3465B0"/>
              <w:right w:val="single" w:sz="8" w:color="93A1D2"/>
            </w:tcBorders>
            <w:shd w:val="clear" w:color="auto" w:fill="3465B0"/>
          </w:tcPr>
          <w:p>
            <w:pPr>
              <w:ind w:left="1540"/>
              <w:spacing w:after="0"/>
              <w:rPr>
                <w:sz w:val="20"/>
                <w:szCs w:val="20"/>
                <w:color w:val="auto"/>
              </w:rPr>
            </w:pPr>
            <w:r>
              <w:rPr>
                <w:rFonts w:ascii="Arial" w:cs="Arial" w:eastAsia="Arial" w:hAnsi="Arial"/>
                <w:sz w:val="18"/>
                <w:szCs w:val="18"/>
                <w:b w:val="1"/>
                <w:bCs w:val="1"/>
                <w:color w:val="FFFFFF"/>
              </w:rPr>
              <w:t>(in thousands, except per share amounts)</w:t>
            </w:r>
          </w:p>
        </w:tc>
        <w:tc>
          <w:tcPr>
            <w:tcW w:w="160" w:type="dxa"/>
            <w:vAlign w:val="bottom"/>
            <w:shd w:val="clear" w:color="auto" w:fill="3465B0"/>
          </w:tcPr>
          <w:p>
            <w:pPr>
              <w:spacing w:after="0"/>
              <w:rPr>
                <w:sz w:val="22"/>
                <w:szCs w:val="22"/>
                <w:color w:val="auto"/>
              </w:rPr>
            </w:pPr>
          </w:p>
        </w:tc>
        <w:tc>
          <w:tcPr>
            <w:tcW w:w="1060" w:type="dxa"/>
            <w:vAlign w:val="bottom"/>
            <w:tcBorders>
              <w:right w:val="single" w:sz="8" w:color="93A1D2"/>
            </w:tcBorders>
            <w:gridSpan w:val="2"/>
            <w:shd w:val="clear" w:color="auto" w:fill="3465B0"/>
          </w:tcPr>
          <w:p>
            <w:pPr>
              <w:jc w:val="right"/>
              <w:ind w:right="330"/>
              <w:spacing w:after="0"/>
              <w:rPr>
                <w:sz w:val="20"/>
                <w:szCs w:val="20"/>
                <w:color w:val="auto"/>
              </w:rPr>
            </w:pPr>
            <w:r>
              <w:rPr>
                <w:rFonts w:ascii="Arial" w:cs="Arial" w:eastAsia="Arial" w:hAnsi="Arial"/>
                <w:sz w:val="18"/>
                <w:szCs w:val="18"/>
                <w:b w:val="1"/>
                <w:bCs w:val="1"/>
                <w:color w:val="FFFFFF"/>
              </w:rPr>
              <w:t>2025</w:t>
            </w:r>
          </w:p>
        </w:tc>
        <w:tc>
          <w:tcPr>
            <w:tcW w:w="140" w:type="dxa"/>
            <w:vAlign w:val="bottom"/>
            <w:shd w:val="clear" w:color="auto" w:fill="3465B0"/>
          </w:tcPr>
          <w:p>
            <w:pPr>
              <w:spacing w:after="0"/>
              <w:rPr>
                <w:sz w:val="22"/>
                <w:szCs w:val="22"/>
                <w:color w:val="auto"/>
              </w:rPr>
            </w:pPr>
          </w:p>
        </w:tc>
        <w:tc>
          <w:tcPr>
            <w:tcW w:w="1060" w:type="dxa"/>
            <w:vAlign w:val="bottom"/>
            <w:tcBorders>
              <w:right w:val="single" w:sz="8" w:color="3465B0"/>
            </w:tcBorders>
            <w:gridSpan w:val="2"/>
            <w:shd w:val="clear" w:color="auto" w:fill="3465B0"/>
          </w:tcPr>
          <w:p>
            <w:pPr>
              <w:ind w:left="260"/>
              <w:spacing w:after="0"/>
              <w:rPr>
                <w:sz w:val="20"/>
                <w:szCs w:val="20"/>
                <w:color w:val="auto"/>
              </w:rPr>
            </w:pPr>
            <w:r>
              <w:rPr>
                <w:rFonts w:ascii="Arial" w:cs="Arial" w:eastAsia="Arial" w:hAnsi="Arial"/>
                <w:sz w:val="18"/>
                <w:szCs w:val="18"/>
                <w:b w:val="1"/>
                <w:bCs w:val="1"/>
                <w:color w:val="FFFFFF"/>
              </w:rPr>
              <w:t>2024</w:t>
            </w:r>
          </w:p>
        </w:tc>
      </w:tr>
      <w:tr>
        <w:trPr>
          <w:trHeight w:val="270"/>
        </w:trPr>
        <w:tc>
          <w:tcPr>
            <w:tcW w:w="674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8"/>
                <w:szCs w:val="18"/>
                <w:b w:val="1"/>
                <w:bCs w:val="1"/>
                <w:color w:val="auto"/>
              </w:rPr>
              <w:t>Diluted EPS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0.37</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(0.36)</w:t>
            </w:r>
          </w:p>
        </w:tc>
      </w:tr>
      <w:tr>
        <w:trPr>
          <w:trHeight w:val="250"/>
        </w:trPr>
        <w:tc>
          <w:tcPr>
            <w:tcW w:w="6740" w:type="dxa"/>
            <w:vAlign w:val="bottom"/>
            <w:tcBorders>
              <w:left w:val="single" w:sz="8" w:color="3465B0"/>
              <w:bottom w:val="single" w:sz="8" w:color="CCCCCC"/>
              <w:right w:val="single" w:sz="8" w:color="93A1D2"/>
            </w:tcBorders>
            <w:shd w:val="clear" w:color="auto" w:fill="CCCCCC"/>
          </w:tcPr>
          <w:p>
            <w:pPr>
              <w:ind w:left="120"/>
              <w:spacing w:after="0"/>
              <w:rPr>
                <w:sz w:val="20"/>
                <w:szCs w:val="20"/>
                <w:color w:val="auto"/>
              </w:rPr>
            </w:pPr>
            <w:r>
              <w:rPr>
                <w:rFonts w:ascii="Arial" w:cs="Arial" w:eastAsia="Arial" w:hAnsi="Arial"/>
                <w:sz w:val="18"/>
                <w:szCs w:val="18"/>
                <w:color w:val="auto"/>
              </w:rPr>
              <w:t>Diluted EPS from discontinued operations</w:t>
            </w:r>
          </w:p>
        </w:tc>
        <w:tc>
          <w:tcPr>
            <w:tcW w:w="160" w:type="dxa"/>
            <w:vAlign w:val="bottom"/>
            <w:tcBorders>
              <w:bottom w:val="single" w:sz="8" w:color="CCCCCC"/>
            </w:tcBorders>
            <w:shd w:val="clear" w:color="auto" w:fill="CCCCCC"/>
          </w:tcPr>
          <w:p>
            <w:pPr>
              <w:spacing w:after="0"/>
              <w:rPr>
                <w:sz w:val="21"/>
                <w:szCs w:val="21"/>
                <w:color w:val="auto"/>
              </w:rPr>
            </w:pPr>
          </w:p>
        </w:tc>
        <w:tc>
          <w:tcPr>
            <w:tcW w:w="340" w:type="dxa"/>
            <w:vAlign w:val="bottom"/>
            <w:tcBorders>
              <w:bottom w:val="single" w:sz="8" w:color="CCCCCC"/>
            </w:tcBorders>
            <w:shd w:val="clear" w:color="auto" w:fill="CCCCCC"/>
          </w:tcPr>
          <w:p>
            <w:pPr>
              <w:spacing w:after="0"/>
              <w:rPr>
                <w:sz w:val="21"/>
                <w:szCs w:val="21"/>
                <w:color w:val="auto"/>
              </w:rPr>
            </w:pPr>
          </w:p>
        </w:tc>
        <w:tc>
          <w:tcPr>
            <w:tcW w:w="720" w:type="dxa"/>
            <w:vAlign w:val="bottom"/>
            <w:tcBorders>
              <w:bottom w:val="single" w:sz="8" w:color="CCCCCC"/>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spacing w:after="0"/>
              <w:rPr>
                <w:sz w:val="21"/>
                <w:szCs w:val="21"/>
                <w:color w:val="auto"/>
              </w:rPr>
            </w:pPr>
          </w:p>
        </w:tc>
        <w:tc>
          <w:tcPr>
            <w:tcW w:w="400" w:type="dxa"/>
            <w:vAlign w:val="bottom"/>
            <w:tcBorders>
              <w:bottom w:val="single" w:sz="8" w:color="CCCCCC"/>
            </w:tcBorders>
            <w:shd w:val="clear" w:color="auto" w:fill="CCCCCC"/>
          </w:tcPr>
          <w:p>
            <w:pPr>
              <w:spacing w:after="0"/>
              <w:rPr>
                <w:sz w:val="21"/>
                <w:szCs w:val="21"/>
                <w:color w:val="auto"/>
              </w:rPr>
            </w:pPr>
          </w:p>
        </w:tc>
        <w:tc>
          <w:tcPr>
            <w:tcW w:w="660" w:type="dxa"/>
            <w:vAlign w:val="bottom"/>
            <w:tcBorders>
              <w:bottom w:val="single" w:sz="8" w:color="CCCCCC"/>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(0.02)</w:t>
            </w:r>
          </w:p>
        </w:tc>
      </w:tr>
      <w:tr>
        <w:trPr>
          <w:trHeight w:val="270"/>
        </w:trPr>
        <w:tc>
          <w:tcPr>
            <w:tcW w:w="6740" w:type="dxa"/>
            <w:vAlign w:val="bottom"/>
            <w:tcBorders>
              <w:left w:val="single" w:sz="8" w:color="3465B0"/>
              <w:right w:val="single" w:sz="8" w:color="93A1D2"/>
            </w:tcBorders>
          </w:tcPr>
          <w:p>
            <w:pPr>
              <w:ind w:left="120"/>
              <w:spacing w:after="0"/>
              <w:rPr>
                <w:sz w:val="20"/>
                <w:szCs w:val="20"/>
                <w:color w:val="auto"/>
              </w:rPr>
            </w:pPr>
            <w:r>
              <w:rPr>
                <w:rFonts w:ascii="Arial" w:cs="Arial" w:eastAsia="Arial" w:hAnsi="Arial"/>
                <w:sz w:val="18"/>
                <w:szCs w:val="18"/>
                <w:b w:val="1"/>
                <w:bCs w:val="1"/>
                <w:color w:val="auto"/>
              </w:rPr>
              <w:t>Diluted EPS from continuing operations</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(0.35)</w:t>
            </w:r>
          </w:p>
        </w:tc>
      </w:tr>
      <w:tr>
        <w:trPr>
          <w:trHeight w:val="310"/>
        </w:trPr>
        <w:tc>
          <w:tcPr>
            <w:tcW w:w="6740" w:type="dxa"/>
            <w:vAlign w:val="bottom"/>
            <w:tcBorders>
              <w:left w:val="single" w:sz="8" w:color="3465B0"/>
              <w:right w:val="single" w:sz="8" w:color="93A1D2"/>
            </w:tcBorders>
            <w:shd w:val="clear" w:color="auto" w:fill="CCCCCC"/>
          </w:tcPr>
          <w:p>
            <w:pPr>
              <w:ind w:left="120"/>
              <w:spacing w:after="0" w:line="31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9"/>
                <w:szCs w:val="29"/>
                <w:color w:val="auto"/>
                <w:vertAlign w:val="superscript"/>
              </w:rPr>
              <w:t>(a)</w:t>
            </w:r>
          </w:p>
        </w:tc>
        <w:tc>
          <w:tcPr>
            <w:tcW w:w="160" w:type="dxa"/>
            <w:vAlign w:val="bottom"/>
            <w:shd w:val="clear" w:color="auto" w:fill="CCCCCC"/>
          </w:tcPr>
          <w:p>
            <w:pPr>
              <w:spacing w:after="0"/>
              <w:rPr>
                <w:sz w:val="24"/>
                <w:szCs w:val="24"/>
                <w:color w:val="auto"/>
              </w:rPr>
            </w:pPr>
          </w:p>
        </w:tc>
        <w:tc>
          <w:tcPr>
            <w:tcW w:w="340" w:type="dxa"/>
            <w:vAlign w:val="bottom"/>
            <w:shd w:val="clear" w:color="auto" w:fill="CCCCCC"/>
          </w:tcPr>
          <w:p>
            <w:pPr>
              <w:spacing w:after="0"/>
              <w:rPr>
                <w:sz w:val="24"/>
                <w:szCs w:val="24"/>
                <w:color w:val="auto"/>
              </w:rPr>
            </w:pPr>
          </w:p>
        </w:tc>
        <w:tc>
          <w:tcPr>
            <w:tcW w:w="72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CCCC"/>
          </w:tcPr>
          <w:p>
            <w:pPr>
              <w:spacing w:after="0"/>
              <w:rPr>
                <w:sz w:val="24"/>
                <w:szCs w:val="24"/>
                <w:color w:val="auto"/>
              </w:rPr>
            </w:pPr>
          </w:p>
        </w:tc>
        <w:tc>
          <w:tcPr>
            <w:tcW w:w="400" w:type="dxa"/>
            <w:vAlign w:val="bottom"/>
            <w:shd w:val="clear" w:color="auto" w:fill="CCCCCC"/>
          </w:tcPr>
          <w:p>
            <w:pPr>
              <w:spacing w:after="0"/>
              <w:rPr>
                <w:sz w:val="24"/>
                <w:szCs w:val="24"/>
                <w:color w:val="auto"/>
              </w:rPr>
            </w:pPr>
          </w:p>
        </w:tc>
        <w:tc>
          <w:tcPr>
            <w:tcW w:w="66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0.21</w:t>
            </w:r>
          </w:p>
        </w:tc>
      </w:tr>
      <w:tr>
        <w:trPr>
          <w:trHeight w:val="310"/>
        </w:trPr>
        <w:tc>
          <w:tcPr>
            <w:tcW w:w="6740" w:type="dxa"/>
            <w:vAlign w:val="bottom"/>
            <w:tcBorders>
              <w:left w:val="single" w:sz="8" w:color="3465B0"/>
              <w:right w:val="single" w:sz="8" w:color="93A1D2"/>
            </w:tcBorders>
          </w:tcPr>
          <w:p>
            <w:pPr>
              <w:ind w:left="120"/>
              <w:spacing w:after="0" w:line="310" w:lineRule="exact"/>
              <w:rPr>
                <w:sz w:val="20"/>
                <w:szCs w:val="20"/>
                <w:color w:val="auto"/>
              </w:rPr>
            </w:pPr>
            <w:r>
              <w:rPr>
                <w:rFonts w:ascii="Arial" w:cs="Arial" w:eastAsia="Arial" w:hAnsi="Arial"/>
                <w:sz w:val="18"/>
                <w:szCs w:val="18"/>
                <w:color w:val="auto"/>
              </w:rPr>
              <w:t>(Gain) loss on extinguishment of debt</w:t>
            </w:r>
            <w:r>
              <w:rPr>
                <w:rFonts w:ascii="Arial" w:cs="Arial" w:eastAsia="Arial" w:hAnsi="Arial"/>
                <w:sz w:val="29"/>
                <w:szCs w:val="29"/>
                <w:color w:val="auto"/>
                <w:vertAlign w:val="superscript"/>
              </w:rPr>
              <w:t>(b)</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(0.01)</w:t>
            </w:r>
          </w:p>
        </w:tc>
      </w:tr>
      <w:tr>
        <w:trPr>
          <w:trHeight w:val="311"/>
        </w:trPr>
        <w:tc>
          <w:tcPr>
            <w:tcW w:w="6740" w:type="dxa"/>
            <w:vAlign w:val="bottom"/>
            <w:tcBorders>
              <w:left w:val="single" w:sz="8" w:color="3465B0"/>
              <w:right w:val="single" w:sz="8" w:color="93A1D2"/>
            </w:tcBorders>
            <w:shd w:val="clear" w:color="auto" w:fill="CCCCCC"/>
          </w:tcPr>
          <w:p>
            <w:pPr>
              <w:ind w:left="120"/>
              <w:spacing w:after="0" w:line="310" w:lineRule="exact"/>
              <w:rPr>
                <w:sz w:val="20"/>
                <w:szCs w:val="20"/>
                <w:color w:val="auto"/>
              </w:rPr>
            </w:pPr>
            <w:r>
              <w:rPr>
                <w:rFonts w:ascii="Arial" w:cs="Arial" w:eastAsia="Arial" w:hAnsi="Arial"/>
                <w:sz w:val="18"/>
                <w:szCs w:val="18"/>
                <w:color w:val="auto"/>
              </w:rPr>
              <w:t>Asset impairment</w:t>
            </w:r>
            <w:r>
              <w:rPr>
                <w:rFonts w:ascii="Arial" w:cs="Arial" w:eastAsia="Arial" w:hAnsi="Arial"/>
                <w:sz w:val="29"/>
                <w:szCs w:val="29"/>
                <w:color w:val="auto"/>
                <w:vertAlign w:val="superscript"/>
              </w:rPr>
              <w:t>(c)</w:t>
            </w:r>
          </w:p>
        </w:tc>
        <w:tc>
          <w:tcPr>
            <w:tcW w:w="160" w:type="dxa"/>
            <w:vAlign w:val="bottom"/>
            <w:shd w:val="clear" w:color="auto" w:fill="CCCCCC"/>
          </w:tcPr>
          <w:p>
            <w:pPr>
              <w:spacing w:after="0"/>
              <w:rPr>
                <w:sz w:val="24"/>
                <w:szCs w:val="24"/>
                <w:color w:val="auto"/>
              </w:rPr>
            </w:pPr>
          </w:p>
        </w:tc>
        <w:tc>
          <w:tcPr>
            <w:tcW w:w="340" w:type="dxa"/>
            <w:vAlign w:val="bottom"/>
            <w:shd w:val="clear" w:color="auto" w:fill="CCCCCC"/>
          </w:tcPr>
          <w:p>
            <w:pPr>
              <w:spacing w:after="0"/>
              <w:rPr>
                <w:sz w:val="24"/>
                <w:szCs w:val="24"/>
                <w:color w:val="auto"/>
              </w:rPr>
            </w:pPr>
          </w:p>
        </w:tc>
        <w:tc>
          <w:tcPr>
            <w:tcW w:w="72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CCCC"/>
          </w:tcPr>
          <w:p>
            <w:pPr>
              <w:spacing w:after="0"/>
              <w:rPr>
                <w:sz w:val="24"/>
                <w:szCs w:val="24"/>
                <w:color w:val="auto"/>
              </w:rPr>
            </w:pPr>
          </w:p>
        </w:tc>
        <w:tc>
          <w:tcPr>
            <w:tcW w:w="400" w:type="dxa"/>
            <w:vAlign w:val="bottom"/>
            <w:shd w:val="clear" w:color="auto" w:fill="CCCCCC"/>
          </w:tcPr>
          <w:p>
            <w:pPr>
              <w:spacing w:after="0"/>
              <w:rPr>
                <w:sz w:val="24"/>
                <w:szCs w:val="24"/>
                <w:color w:val="auto"/>
              </w:rPr>
            </w:pPr>
          </w:p>
        </w:tc>
        <w:tc>
          <w:tcPr>
            <w:tcW w:w="66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0.51</w:t>
            </w:r>
          </w:p>
        </w:tc>
      </w:tr>
      <w:tr>
        <w:trPr>
          <w:trHeight w:val="310"/>
        </w:trPr>
        <w:tc>
          <w:tcPr>
            <w:tcW w:w="6740" w:type="dxa"/>
            <w:vAlign w:val="bottom"/>
            <w:tcBorders>
              <w:left w:val="single" w:sz="8" w:color="3465B0"/>
              <w:right w:val="single" w:sz="8" w:color="93A1D2"/>
            </w:tcBorders>
          </w:tcPr>
          <w:p>
            <w:pPr>
              <w:ind w:left="120"/>
              <w:spacing w:after="0" w:line="31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9"/>
                <w:szCs w:val="29"/>
                <w:color w:val="auto"/>
                <w:vertAlign w:val="superscript"/>
              </w:rPr>
              <w:t>(d)</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0.06</w:t>
            </w:r>
          </w:p>
        </w:tc>
      </w:tr>
      <w:tr>
        <w:trPr>
          <w:trHeight w:val="310"/>
        </w:trPr>
        <w:tc>
          <w:tcPr>
            <w:tcW w:w="6740" w:type="dxa"/>
            <w:vAlign w:val="bottom"/>
            <w:tcBorders>
              <w:left w:val="single" w:sz="8" w:color="3465B0"/>
              <w:right w:val="single" w:sz="8" w:color="93A1D2"/>
            </w:tcBorders>
            <w:shd w:val="clear" w:color="auto" w:fill="CCCCCC"/>
          </w:tcPr>
          <w:p>
            <w:pPr>
              <w:ind w:left="120"/>
              <w:spacing w:after="0" w:line="310" w:lineRule="exact"/>
              <w:rPr>
                <w:sz w:val="20"/>
                <w:szCs w:val="20"/>
                <w:color w:val="auto"/>
              </w:rPr>
            </w:pPr>
            <w:r>
              <w:rPr>
                <w:rFonts w:ascii="Arial" w:cs="Arial" w:eastAsia="Arial" w:hAnsi="Arial"/>
                <w:sz w:val="18"/>
                <w:szCs w:val="18"/>
                <w:color w:val="auto"/>
              </w:rPr>
              <w:t>Amortization of acquisition intangibles</w:t>
            </w:r>
            <w:r>
              <w:rPr>
                <w:rFonts w:ascii="Arial" w:cs="Arial" w:eastAsia="Arial" w:hAnsi="Arial"/>
                <w:sz w:val="29"/>
                <w:szCs w:val="29"/>
                <w:color w:val="auto"/>
                <w:vertAlign w:val="superscript"/>
              </w:rPr>
              <w:t>(e)</w:t>
            </w:r>
          </w:p>
        </w:tc>
        <w:tc>
          <w:tcPr>
            <w:tcW w:w="160" w:type="dxa"/>
            <w:vAlign w:val="bottom"/>
            <w:shd w:val="clear" w:color="auto" w:fill="CCCCCC"/>
          </w:tcPr>
          <w:p>
            <w:pPr>
              <w:spacing w:after="0"/>
              <w:rPr>
                <w:sz w:val="24"/>
                <w:szCs w:val="24"/>
                <w:color w:val="auto"/>
              </w:rPr>
            </w:pPr>
          </w:p>
        </w:tc>
        <w:tc>
          <w:tcPr>
            <w:tcW w:w="340" w:type="dxa"/>
            <w:vAlign w:val="bottom"/>
            <w:shd w:val="clear" w:color="auto" w:fill="CCCCCC"/>
          </w:tcPr>
          <w:p>
            <w:pPr>
              <w:spacing w:after="0"/>
              <w:rPr>
                <w:sz w:val="24"/>
                <w:szCs w:val="24"/>
                <w:color w:val="auto"/>
              </w:rPr>
            </w:pPr>
          </w:p>
        </w:tc>
        <w:tc>
          <w:tcPr>
            <w:tcW w:w="72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CCCC"/>
          </w:tcPr>
          <w:p>
            <w:pPr>
              <w:spacing w:after="0"/>
              <w:rPr>
                <w:sz w:val="24"/>
                <w:szCs w:val="24"/>
                <w:color w:val="auto"/>
              </w:rPr>
            </w:pPr>
          </w:p>
        </w:tc>
        <w:tc>
          <w:tcPr>
            <w:tcW w:w="400" w:type="dxa"/>
            <w:vAlign w:val="bottom"/>
            <w:shd w:val="clear" w:color="auto" w:fill="CCCCCC"/>
          </w:tcPr>
          <w:p>
            <w:pPr>
              <w:spacing w:after="0"/>
              <w:rPr>
                <w:sz w:val="24"/>
                <w:szCs w:val="24"/>
                <w:color w:val="auto"/>
              </w:rPr>
            </w:pPr>
          </w:p>
        </w:tc>
        <w:tc>
          <w:tcPr>
            <w:tcW w:w="66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0.02</w:t>
            </w:r>
          </w:p>
        </w:tc>
      </w:tr>
      <w:tr>
        <w:trPr>
          <w:trHeight w:val="310"/>
        </w:trPr>
        <w:tc>
          <w:tcPr>
            <w:tcW w:w="6740" w:type="dxa"/>
            <w:vAlign w:val="bottom"/>
            <w:tcBorders>
              <w:left w:val="single" w:sz="8" w:color="3465B0"/>
              <w:right w:val="single" w:sz="8" w:color="93A1D2"/>
            </w:tcBorders>
          </w:tcPr>
          <w:p>
            <w:pPr>
              <w:ind w:left="120"/>
              <w:spacing w:after="0" w:line="310" w:lineRule="exact"/>
              <w:rPr>
                <w:sz w:val="20"/>
                <w:szCs w:val="20"/>
                <w:color w:val="auto"/>
              </w:rPr>
            </w:pPr>
            <w:r>
              <w:rPr>
                <w:rFonts w:ascii="Arial" w:cs="Arial" w:eastAsia="Arial" w:hAnsi="Arial"/>
                <w:sz w:val="18"/>
                <w:szCs w:val="18"/>
                <w:color w:val="auto"/>
              </w:rPr>
              <w:t>Amortization of debt discounts and deferred financing costs</w:t>
            </w:r>
            <w:r>
              <w:rPr>
                <w:rFonts w:ascii="Arial" w:cs="Arial" w:eastAsia="Arial" w:hAnsi="Arial"/>
                <w:sz w:val="29"/>
                <w:szCs w:val="29"/>
                <w:color w:val="auto"/>
                <w:vertAlign w:val="superscript"/>
              </w:rPr>
              <w:t>(f)</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0.03</w:t>
            </w:r>
          </w:p>
        </w:tc>
      </w:tr>
      <w:tr>
        <w:trPr>
          <w:trHeight w:val="310"/>
        </w:trPr>
        <w:tc>
          <w:tcPr>
            <w:tcW w:w="6740" w:type="dxa"/>
            <w:vAlign w:val="bottom"/>
            <w:tcBorders>
              <w:left w:val="single" w:sz="8" w:color="3465B0"/>
              <w:right w:val="single" w:sz="8" w:color="93A1D2"/>
            </w:tcBorders>
            <w:shd w:val="clear" w:color="auto" w:fill="CCCCCC"/>
          </w:tcPr>
          <w:p>
            <w:pPr>
              <w:ind w:left="120"/>
              <w:spacing w:after="0" w:line="310" w:lineRule="exact"/>
              <w:rPr>
                <w:sz w:val="20"/>
                <w:szCs w:val="20"/>
                <w:color w:val="auto"/>
              </w:rPr>
            </w:pPr>
            <w:r>
              <w:rPr>
                <w:rFonts w:ascii="Arial" w:cs="Arial" w:eastAsia="Arial" w:hAnsi="Arial"/>
                <w:sz w:val="18"/>
                <w:szCs w:val="18"/>
                <w:color w:val="auto"/>
              </w:rPr>
              <w:t>Derivative fair value adjustments</w:t>
            </w:r>
            <w:r>
              <w:rPr>
                <w:rFonts w:ascii="Arial" w:cs="Arial" w:eastAsia="Arial" w:hAnsi="Arial"/>
                <w:sz w:val="29"/>
                <w:szCs w:val="29"/>
                <w:color w:val="auto"/>
                <w:vertAlign w:val="superscript"/>
              </w:rPr>
              <w:t>(g)</w:t>
            </w:r>
          </w:p>
        </w:tc>
        <w:tc>
          <w:tcPr>
            <w:tcW w:w="160" w:type="dxa"/>
            <w:vAlign w:val="bottom"/>
            <w:shd w:val="clear" w:color="auto" w:fill="CCCCCC"/>
          </w:tcPr>
          <w:p>
            <w:pPr>
              <w:spacing w:after="0"/>
              <w:rPr>
                <w:sz w:val="24"/>
                <w:szCs w:val="24"/>
                <w:color w:val="auto"/>
              </w:rPr>
            </w:pPr>
          </w:p>
        </w:tc>
        <w:tc>
          <w:tcPr>
            <w:tcW w:w="340" w:type="dxa"/>
            <w:vAlign w:val="bottom"/>
            <w:shd w:val="clear" w:color="auto" w:fill="CCCCCC"/>
          </w:tcPr>
          <w:p>
            <w:pPr>
              <w:spacing w:after="0"/>
              <w:rPr>
                <w:sz w:val="24"/>
                <w:szCs w:val="24"/>
                <w:color w:val="auto"/>
              </w:rPr>
            </w:pPr>
          </w:p>
        </w:tc>
        <w:tc>
          <w:tcPr>
            <w:tcW w:w="72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CCCC"/>
          </w:tcPr>
          <w:p>
            <w:pPr>
              <w:spacing w:after="0"/>
              <w:rPr>
                <w:sz w:val="24"/>
                <w:szCs w:val="24"/>
                <w:color w:val="auto"/>
              </w:rPr>
            </w:pPr>
          </w:p>
        </w:tc>
        <w:tc>
          <w:tcPr>
            <w:tcW w:w="400" w:type="dxa"/>
            <w:vAlign w:val="bottom"/>
            <w:shd w:val="clear" w:color="auto" w:fill="CCCCCC"/>
          </w:tcPr>
          <w:p>
            <w:pPr>
              <w:spacing w:after="0"/>
              <w:rPr>
                <w:sz w:val="24"/>
                <w:szCs w:val="24"/>
                <w:color w:val="auto"/>
              </w:rPr>
            </w:pPr>
          </w:p>
        </w:tc>
        <w:tc>
          <w:tcPr>
            <w:tcW w:w="66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0.08</w:t>
            </w:r>
          </w:p>
        </w:tc>
      </w:tr>
      <w:tr>
        <w:trPr>
          <w:trHeight w:val="311"/>
        </w:trPr>
        <w:tc>
          <w:tcPr>
            <w:tcW w:w="6740" w:type="dxa"/>
            <w:vAlign w:val="bottom"/>
            <w:tcBorders>
              <w:left w:val="single" w:sz="8" w:color="3465B0"/>
              <w:right w:val="single" w:sz="8" w:color="93A1D2"/>
            </w:tcBorders>
          </w:tcPr>
          <w:p>
            <w:pPr>
              <w:ind w:left="120"/>
              <w:spacing w:after="0" w:line="310" w:lineRule="exact"/>
              <w:rPr>
                <w:sz w:val="20"/>
                <w:szCs w:val="20"/>
                <w:color w:val="auto"/>
              </w:rPr>
            </w:pPr>
            <w:r>
              <w:rPr>
                <w:rFonts w:ascii="Arial" w:cs="Arial" w:eastAsia="Arial" w:hAnsi="Arial"/>
                <w:sz w:val="18"/>
                <w:szCs w:val="18"/>
                <w:color w:val="auto"/>
              </w:rPr>
              <w:t>ERP and CRM implementation expenses</w:t>
            </w:r>
            <w:r>
              <w:rPr>
                <w:rFonts w:ascii="Arial" w:cs="Arial" w:eastAsia="Arial" w:hAnsi="Arial"/>
                <w:sz w:val="29"/>
                <w:szCs w:val="29"/>
                <w:color w:val="auto"/>
                <w:vertAlign w:val="superscript"/>
              </w:rPr>
              <w:t>(h)</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0.08</w:t>
            </w:r>
          </w:p>
        </w:tc>
      </w:tr>
      <w:tr>
        <w:trPr>
          <w:trHeight w:val="310"/>
        </w:trPr>
        <w:tc>
          <w:tcPr>
            <w:tcW w:w="6740" w:type="dxa"/>
            <w:vAlign w:val="bottom"/>
            <w:tcBorders>
              <w:left w:val="single" w:sz="8" w:color="3465B0"/>
              <w:right w:val="single" w:sz="8" w:color="93A1D2"/>
            </w:tcBorders>
            <w:shd w:val="clear" w:color="auto" w:fill="CCCCCC"/>
          </w:tcPr>
          <w:p>
            <w:pPr>
              <w:ind w:left="120"/>
              <w:spacing w:after="0" w:line="31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(i)</w:t>
            </w:r>
          </w:p>
        </w:tc>
        <w:tc>
          <w:tcPr>
            <w:tcW w:w="160" w:type="dxa"/>
            <w:vAlign w:val="bottom"/>
            <w:shd w:val="clear" w:color="auto" w:fill="CCCCCC"/>
          </w:tcPr>
          <w:p>
            <w:pPr>
              <w:spacing w:after="0"/>
              <w:rPr>
                <w:sz w:val="24"/>
                <w:szCs w:val="24"/>
                <w:color w:val="auto"/>
              </w:rPr>
            </w:pPr>
          </w:p>
        </w:tc>
        <w:tc>
          <w:tcPr>
            <w:tcW w:w="340" w:type="dxa"/>
            <w:vAlign w:val="bottom"/>
            <w:shd w:val="clear" w:color="auto" w:fill="CCCCCC"/>
          </w:tcPr>
          <w:p>
            <w:pPr>
              <w:spacing w:after="0"/>
              <w:rPr>
                <w:sz w:val="24"/>
                <w:szCs w:val="24"/>
                <w:color w:val="auto"/>
              </w:rPr>
            </w:pPr>
          </w:p>
        </w:tc>
        <w:tc>
          <w:tcPr>
            <w:tcW w:w="72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CCCC"/>
          </w:tcPr>
          <w:p>
            <w:pPr>
              <w:spacing w:after="0"/>
              <w:rPr>
                <w:sz w:val="24"/>
                <w:szCs w:val="24"/>
                <w:color w:val="auto"/>
              </w:rPr>
            </w:pPr>
          </w:p>
        </w:tc>
        <w:tc>
          <w:tcPr>
            <w:tcW w:w="400" w:type="dxa"/>
            <w:vAlign w:val="bottom"/>
            <w:shd w:val="clear" w:color="auto" w:fill="CCCCCC"/>
          </w:tcPr>
          <w:p>
            <w:pPr>
              <w:spacing w:after="0"/>
              <w:rPr>
                <w:sz w:val="24"/>
                <w:szCs w:val="24"/>
                <w:color w:val="auto"/>
              </w:rPr>
            </w:pPr>
          </w:p>
        </w:tc>
        <w:tc>
          <w:tcPr>
            <w:tcW w:w="66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0.10</w:t>
            </w:r>
          </w:p>
        </w:tc>
      </w:tr>
      <w:tr>
        <w:trPr>
          <w:trHeight w:val="310"/>
        </w:trPr>
        <w:tc>
          <w:tcPr>
            <w:tcW w:w="6740" w:type="dxa"/>
            <w:vAlign w:val="bottom"/>
            <w:tcBorders>
              <w:left w:val="single" w:sz="8" w:color="3465B0"/>
              <w:right w:val="single" w:sz="8" w:color="93A1D2"/>
            </w:tcBorders>
          </w:tcPr>
          <w:p>
            <w:pPr>
              <w:ind w:left="120"/>
              <w:spacing w:after="0" w:line="310" w:lineRule="exact"/>
              <w:rPr>
                <w:sz w:val="20"/>
                <w:szCs w:val="20"/>
                <w:color w:val="auto"/>
              </w:rPr>
            </w:pPr>
            <w:r>
              <w:rPr>
                <w:rFonts w:ascii="Arial" w:cs="Arial" w:eastAsia="Arial" w:hAnsi="Arial"/>
                <w:sz w:val="18"/>
                <w:szCs w:val="18"/>
                <w:color w:val="auto"/>
              </w:rPr>
              <w:t>Tax effect</w:t>
            </w:r>
            <w:r>
              <w:rPr>
                <w:rFonts w:ascii="Arial" w:cs="Arial" w:eastAsia="Arial" w:hAnsi="Arial"/>
                <w:sz w:val="29"/>
                <w:szCs w:val="29"/>
                <w:color w:val="auto"/>
                <w:vertAlign w:val="superscript"/>
              </w:rPr>
              <w:t>(j)</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right w:val="single" w:sz="8" w:color="93A1D2"/>
            </w:tcBorders>
          </w:tcPr>
          <w:p>
            <w:pPr>
              <w:jc w:val="right"/>
              <w:ind w:right="11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right w:val="single" w:sz="8" w:color="3465B0"/>
            </w:tcBorders>
          </w:tcPr>
          <w:p>
            <w:pPr>
              <w:jc w:val="right"/>
              <w:ind w:right="70"/>
              <w:spacing w:after="0"/>
              <w:rPr>
                <w:sz w:val="20"/>
                <w:szCs w:val="20"/>
                <w:color w:val="auto"/>
              </w:rPr>
            </w:pPr>
            <w:r>
              <w:rPr>
                <w:rFonts w:ascii="Arial" w:cs="Arial" w:eastAsia="Arial" w:hAnsi="Arial"/>
                <w:sz w:val="18"/>
                <w:szCs w:val="18"/>
                <w:color w:val="auto"/>
              </w:rPr>
              <w:t>(0.19)</w:t>
            </w:r>
          </w:p>
        </w:tc>
      </w:tr>
      <w:tr>
        <w:trPr>
          <w:trHeight w:val="270"/>
        </w:trPr>
        <w:tc>
          <w:tcPr>
            <w:tcW w:w="6740" w:type="dxa"/>
            <w:vAlign w:val="bottom"/>
            <w:tcBorders>
              <w:left w:val="single" w:sz="8" w:color="3465B0"/>
              <w:right w:val="single" w:sz="8" w:color="93A1D2"/>
            </w:tcBorders>
            <w:shd w:val="clear" w:color="auto" w:fill="CCCCCC"/>
          </w:tcPr>
          <w:p>
            <w:pPr>
              <w:ind w:left="120"/>
              <w:spacing w:after="0"/>
              <w:rPr>
                <w:sz w:val="20"/>
                <w:szCs w:val="20"/>
                <w:color w:val="auto"/>
              </w:rPr>
            </w:pPr>
            <w:r>
              <w:rPr>
                <w:rFonts w:ascii="Arial" w:cs="Arial" w:eastAsia="Arial" w:hAnsi="Arial"/>
                <w:sz w:val="18"/>
                <w:szCs w:val="18"/>
                <w:b w:val="1"/>
                <w:bCs w:val="1"/>
                <w:color w:val="auto"/>
              </w:rPr>
              <w:t>Adjusted Diluted EPS from continuing operations</w:t>
            </w:r>
          </w:p>
        </w:tc>
        <w:tc>
          <w:tcPr>
            <w:tcW w:w="500" w:type="dxa"/>
            <w:vAlign w:val="bottom"/>
            <w:gridSpan w:val="2"/>
            <w:shd w:val="clear" w:color="auto" w:fill="CCCCCC"/>
          </w:tcPr>
          <w:p>
            <w:pPr>
              <w:ind w:left="3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0.80</w:t>
            </w:r>
          </w:p>
        </w:tc>
        <w:tc>
          <w:tcPr>
            <w:tcW w:w="540" w:type="dxa"/>
            <w:vAlign w:val="bottom"/>
            <w:gridSpan w:val="2"/>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3465B0"/>
            </w:tcBorders>
            <w:shd w:val="clear" w:color="auto" w:fill="CCCCCC"/>
          </w:tcPr>
          <w:p>
            <w:pPr>
              <w:jc w:val="right"/>
              <w:ind w:right="70"/>
              <w:spacing w:after="0"/>
              <w:rPr>
                <w:sz w:val="20"/>
                <w:szCs w:val="20"/>
                <w:color w:val="auto"/>
              </w:rPr>
            </w:pPr>
            <w:r>
              <w:rPr>
                <w:rFonts w:ascii="Arial" w:cs="Arial" w:eastAsia="Arial" w:hAnsi="Arial"/>
                <w:sz w:val="18"/>
                <w:szCs w:val="18"/>
                <w:color w:val="auto"/>
              </w:rPr>
              <w:t>0.52</w:t>
            </w:r>
          </w:p>
        </w:tc>
      </w:tr>
      <w:tr>
        <w:trPr>
          <w:trHeight w:val="240"/>
        </w:trPr>
        <w:tc>
          <w:tcPr>
            <w:tcW w:w="6740" w:type="dxa"/>
            <w:vAlign w:val="bottom"/>
            <w:tcBorders>
              <w:left w:val="single" w:sz="8" w:color="3465B0"/>
              <w:bottom w:val="single" w:sz="8" w:color="3465B0"/>
              <w:right w:val="single" w:sz="8" w:color="93A1D2"/>
            </w:tcBorders>
          </w:tcPr>
          <w:p>
            <w:pPr>
              <w:ind w:left="120"/>
              <w:spacing w:after="0"/>
              <w:rPr>
                <w:sz w:val="20"/>
                <w:szCs w:val="20"/>
                <w:color w:val="auto"/>
              </w:rPr>
            </w:pPr>
            <w:r>
              <w:rPr>
                <w:rFonts w:ascii="Arial" w:cs="Arial" w:eastAsia="Arial" w:hAnsi="Arial"/>
                <w:sz w:val="18"/>
                <w:szCs w:val="18"/>
                <w:b w:val="1"/>
                <w:bCs w:val="1"/>
                <w:color w:val="auto"/>
              </w:rPr>
              <w:t>Weighted average diluted shares outstanding</w:t>
            </w:r>
          </w:p>
        </w:tc>
        <w:tc>
          <w:tcPr>
            <w:tcW w:w="1220" w:type="dxa"/>
            <w:vAlign w:val="bottom"/>
            <w:tcBorders>
              <w:bottom w:val="single" w:sz="8" w:color="3465B0"/>
              <w:right w:val="single" w:sz="8" w:color="93A1D2"/>
            </w:tcBorders>
            <w:gridSpan w:val="3"/>
          </w:tcPr>
          <w:p>
            <w:pPr>
              <w:jc w:val="right"/>
              <w:ind w:right="110"/>
              <w:spacing w:after="0"/>
              <w:rPr>
                <w:sz w:val="20"/>
                <w:szCs w:val="20"/>
                <w:color w:val="auto"/>
              </w:rPr>
            </w:pPr>
            <w:r>
              <w:rPr>
                <w:rFonts w:ascii="Arial" w:cs="Arial" w:eastAsia="Arial" w:hAnsi="Arial"/>
                <w:sz w:val="18"/>
                <w:szCs w:val="18"/>
                <w:color w:val="auto"/>
              </w:rPr>
              <w:t>80,576</w:t>
            </w:r>
          </w:p>
        </w:tc>
        <w:tc>
          <w:tcPr>
            <w:tcW w:w="1200" w:type="dxa"/>
            <w:vAlign w:val="bottom"/>
            <w:tcBorders>
              <w:bottom w:val="single" w:sz="8" w:color="3465B0"/>
              <w:right w:val="single" w:sz="8" w:color="3465B0"/>
            </w:tcBorders>
            <w:gridSpan w:val="3"/>
          </w:tcPr>
          <w:p>
            <w:pPr>
              <w:jc w:val="right"/>
              <w:ind w:right="70"/>
              <w:spacing w:after="0"/>
              <w:rPr>
                <w:sz w:val="20"/>
                <w:szCs w:val="20"/>
                <w:color w:val="auto"/>
              </w:rPr>
            </w:pPr>
            <w:r>
              <w:rPr>
                <w:rFonts w:ascii="Arial" w:cs="Arial" w:eastAsia="Arial" w:hAnsi="Arial"/>
                <w:sz w:val="18"/>
                <w:szCs w:val="18"/>
                <w:color w:val="auto"/>
              </w:rPr>
              <w:t>78,592</w:t>
            </w:r>
          </w:p>
        </w:tc>
      </w:tr>
    </w:tbl>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Some of the totals in the table above may not foot due to rounding.</w:t>
      </w:r>
    </w:p>
    <w:p>
      <w:pPr>
        <w:spacing w:after="0" w:line="109" w:lineRule="exact"/>
        <w:rPr>
          <w:sz w:val="20"/>
          <w:szCs w:val="20"/>
          <w:color w:val="auto"/>
        </w:rPr>
      </w:pPr>
    </w:p>
    <w:p>
      <w:pPr>
        <w:ind w:left="360" w:hanging="348"/>
        <w:spacing w:after="0" w:line="285" w:lineRule="auto"/>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49" w:lineRule="exact"/>
        <w:rPr>
          <w:rFonts w:ascii="Arial" w:cs="Arial" w:eastAsia="Arial" w:hAnsi="Arial"/>
          <w:sz w:val="14"/>
          <w:szCs w:val="14"/>
          <w:color w:val="auto"/>
        </w:rPr>
      </w:pPr>
    </w:p>
    <w:p>
      <w:pPr>
        <w:ind w:left="360" w:hanging="348"/>
        <w:spacing w:after="0"/>
        <w:tabs>
          <w:tab w:leader="none" w:pos="3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Reflects the extinguishment (gain) loss related to the repurchase of the 2025 Notes of $217.7 million during fiscal year 2024.</w:t>
      </w:r>
    </w:p>
    <w:p>
      <w:pPr>
        <w:sectPr>
          <w:pgSz w:w="11900" w:h="16838" w:orient="portrait"/>
          <w:cols w:equalWidth="0" w:num="1">
            <w:col w:w="9160"/>
          </w:cols>
          <w:pgMar w:left="1360" w:top="114" w:right="1379" w:bottom="1440" w:gutter="0" w:footer="0" w:header="0"/>
        </w:sectPr>
      </w:pPr>
    </w:p>
    <w:p>
      <w:pPr>
        <w:spacing w:after="0" w:line="86" w:lineRule="exact"/>
        <w:rPr>
          <w:sz w:val="20"/>
          <w:szCs w:val="20"/>
          <w:color w:val="auto"/>
        </w:rPr>
      </w:pPr>
    </w:p>
    <w:p>
      <w:pPr>
        <w:ind w:left="360" w:hanging="346"/>
        <w:spacing w:after="0"/>
        <w:tabs>
          <w:tab w:leader="none" w:pos="360" w:val="left"/>
        </w:tabs>
        <w:numPr>
          <w:ilvl w:val="0"/>
          <w:numId w:val="95"/>
        </w:numPr>
        <w:rPr>
          <w:rFonts w:ascii="Arial" w:cs="Arial" w:eastAsia="Arial" w:hAnsi="Arial"/>
          <w:sz w:val="15"/>
          <w:szCs w:val="15"/>
          <w:b w:val="1"/>
          <w:bCs w:val="1"/>
          <w:color w:val="auto"/>
        </w:rPr>
      </w:pPr>
      <w:r>
        <w:rPr>
          <w:rFonts w:ascii="Arial" w:cs="Arial" w:eastAsia="Arial" w:hAnsi="Arial"/>
          <w:sz w:val="1"/>
          <w:szCs w:val="1"/>
          <w:b w:val="1"/>
          <w:bCs w:val="1"/>
          <w:color w:val="auto"/>
        </w:rPr>
        <w:drawing>
          <wp:inline distT="0" distB="0" distL="0" distR="0">
            <wp:extent cx="205740" cy="20574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146050</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type w:val="continuous"/>
        </w:sectPr>
      </w:pPr>
    </w:p>
    <w:bookmarkStart w:id="87" w:name="page88"/>
    <w:bookmarkEnd w:id="87"/>
    <w:p>
      <w:pPr>
        <w:ind w:left="9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102870</wp:posOffset>
            </wp:positionV>
            <wp:extent cx="5803265" cy="1797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803265" cy="179705"/>
                    </a:xfrm>
                    <a:prstGeom prst="rect">
                      <a:avLst/>
                    </a:prstGeom>
                    <a:noFill/>
                  </pic:spPr>
                </pic:pic>
              </a:graphicData>
            </a:graphic>
          </wp:anchor>
        </w:drawing>
      </w:r>
    </w:p>
    <w:p>
      <w:pPr>
        <w:spacing w:after="0" w:line="191"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FFFFF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-118745</wp:posOffset>
            </wp:positionV>
            <wp:extent cx="5734685" cy="1371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93" w:lineRule="exact"/>
        <w:rPr>
          <w:sz w:val="20"/>
          <w:szCs w:val="20"/>
          <w:color w:val="auto"/>
        </w:rPr>
      </w:pPr>
    </w:p>
    <w:p>
      <w:pPr>
        <w:jc w:val="both"/>
        <w:ind w:left="1280" w:right="960" w:hanging="348"/>
        <w:spacing w:after="0" w:line="256" w:lineRule="auto"/>
        <w:tabs>
          <w:tab w:leader="none" w:pos="1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Reflects write-off related to non-cash impairment charges, primarily impairment of Eyeglass World goodwill of $19.2 million for fiscal year 2024, Fred Meyer contracts and relationship asset of $10.5 million for fiscal year 2024, impairment of property, equipment and lease-related assets on closed or underperforming stores in fiscal year 2025 and certain store closure decisions made as part of the Company’s store optimization review during fiscal year 2024.</w:t>
      </w:r>
    </w:p>
    <w:p>
      <w:pPr>
        <w:spacing w:after="0" w:line="69" w:lineRule="exact"/>
        <w:rPr>
          <w:rFonts w:ascii="Arial" w:cs="Arial" w:eastAsia="Arial" w:hAnsi="Arial"/>
          <w:sz w:val="14"/>
          <w:szCs w:val="14"/>
          <w:color w:val="auto"/>
        </w:rPr>
      </w:pPr>
    </w:p>
    <w:p>
      <w:pPr>
        <w:ind w:left="1280" w:hanging="348"/>
        <w:spacing w:after="0"/>
        <w:tabs>
          <w:tab w:leader="none" w:pos="1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09" w:lineRule="exact"/>
        <w:rPr>
          <w:rFonts w:ascii="Arial" w:cs="Arial" w:eastAsia="Arial" w:hAnsi="Arial"/>
          <w:sz w:val="14"/>
          <w:szCs w:val="14"/>
          <w:color w:val="auto"/>
        </w:rPr>
      </w:pPr>
    </w:p>
    <w:p>
      <w:pPr>
        <w:ind w:left="1280" w:right="960" w:hanging="348"/>
        <w:spacing w:after="0" w:line="285" w:lineRule="auto"/>
        <w:tabs>
          <w:tab w:leader="none" w:pos="1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purchase accounting following the acquisition of the Company by affiliates of KKR &amp; Co. Inc.</w:t>
      </w:r>
    </w:p>
    <w:p>
      <w:pPr>
        <w:spacing w:after="0" w:line="49" w:lineRule="exact"/>
        <w:rPr>
          <w:rFonts w:ascii="Arial" w:cs="Arial" w:eastAsia="Arial" w:hAnsi="Arial"/>
          <w:sz w:val="14"/>
          <w:szCs w:val="14"/>
          <w:color w:val="auto"/>
        </w:rPr>
      </w:pPr>
    </w:p>
    <w:p>
      <w:pPr>
        <w:jc w:val="both"/>
        <w:ind w:left="1280" w:right="940" w:hanging="348"/>
        <w:spacing w:after="0" w:line="263" w:lineRule="auto"/>
        <w:tabs>
          <w:tab w:leader="none" w:pos="1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spacing w:after="0" w:line="64" w:lineRule="exact"/>
        <w:rPr>
          <w:rFonts w:ascii="Arial" w:cs="Arial" w:eastAsia="Arial" w:hAnsi="Arial"/>
          <w:sz w:val="14"/>
          <w:szCs w:val="14"/>
          <w:color w:val="auto"/>
        </w:rPr>
      </w:pPr>
    </w:p>
    <w:p>
      <w:pPr>
        <w:jc w:val="both"/>
        <w:ind w:left="1280" w:right="960" w:hanging="348"/>
        <w:spacing w:after="0" w:line="263" w:lineRule="auto"/>
        <w:tabs>
          <w:tab w:leader="none" w:pos="1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64" w:lineRule="exact"/>
        <w:rPr>
          <w:rFonts w:ascii="Arial" w:cs="Arial" w:eastAsia="Arial" w:hAnsi="Arial"/>
          <w:sz w:val="14"/>
          <w:szCs w:val="14"/>
          <w:color w:val="auto"/>
        </w:rPr>
      </w:pPr>
    </w:p>
    <w:p>
      <w:pPr>
        <w:ind w:left="1280" w:hanging="348"/>
        <w:spacing w:after="0"/>
        <w:tabs>
          <w:tab w:leader="none" w:pos="1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Costs related to the Company’s ERP and CRM implementation.</w:t>
      </w:r>
    </w:p>
    <w:p>
      <w:pPr>
        <w:spacing w:after="0" w:line="109" w:lineRule="exact"/>
        <w:rPr>
          <w:rFonts w:ascii="Arial" w:cs="Arial" w:eastAsia="Arial" w:hAnsi="Arial"/>
          <w:sz w:val="14"/>
          <w:szCs w:val="14"/>
          <w:color w:val="auto"/>
        </w:rPr>
      </w:pPr>
    </w:p>
    <w:p>
      <w:pPr>
        <w:jc w:val="both"/>
        <w:ind w:left="1280" w:right="960" w:hanging="348"/>
        <w:spacing w:after="0" w:line="252" w:lineRule="auto"/>
        <w:tabs>
          <w:tab w:leader="none" w:pos="1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$2.2 million for fiscal 2025 and $5.8 million for fiscal 2024, shareholder activism of $2.1 million for fiscal 2025, severance and associate-related costs related to organizational restructuring of $3.6 million for fiscal 2025 and other expenses and adjustments.</w:t>
      </w:r>
    </w:p>
    <w:p>
      <w:pPr>
        <w:spacing w:after="0" w:line="72" w:lineRule="exact"/>
        <w:rPr>
          <w:rFonts w:ascii="Arial" w:cs="Arial" w:eastAsia="Arial" w:hAnsi="Arial"/>
          <w:sz w:val="14"/>
          <w:szCs w:val="14"/>
          <w:color w:val="auto"/>
        </w:rPr>
      </w:pPr>
    </w:p>
    <w:p>
      <w:pPr>
        <w:jc w:val="both"/>
        <w:ind w:left="1280" w:right="960" w:hanging="348"/>
        <w:spacing w:after="0" w:line="263" w:lineRule="auto"/>
        <w:tabs>
          <w:tab w:leader="none" w:pos="12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 excluding a portion of Eyeglass World goodwill impairment charge, which was disallowed for income tax purposes in fiscal year 2024, and including tax expense (benefit) from stock-based compensation.</w:t>
      </w:r>
    </w:p>
    <w:p>
      <w:pPr>
        <w:spacing w:after="0" w:line="10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126" w:lineRule="exact"/>
        <w:rPr>
          <w:sz w:val="20"/>
          <w:szCs w:val="20"/>
          <w:color w:val="auto"/>
        </w:rPr>
      </w:pPr>
    </w:p>
    <w:tbl>
      <w:tblPr>
        <w:tblLayout w:type="fixed"/>
        <w:tblInd w:w="930" w:type="dxa"/>
        <w:tblCellMar>
          <w:top w:w="0" w:type="dxa"/>
          <w:left w:w="0" w:type="dxa"/>
          <w:bottom w:w="0" w:type="dxa"/>
          <w:right w:w="0" w:type="dxa"/>
        </w:tblCellMar>
      </w:tblPr>
      <w:tr>
        <w:trPr>
          <w:trHeight w:val="308"/>
        </w:trPr>
        <w:tc>
          <w:tcPr>
            <w:tcW w:w="6600" w:type="dxa"/>
            <w:vAlign w:val="bottom"/>
            <w:tcBorders>
              <w:top w:val="single" w:sz="8" w:color="3465B0"/>
              <w:left w:val="single" w:sz="8" w:color="3465B0"/>
              <w:right w:val="single" w:sz="8" w:color="93A1D2"/>
            </w:tcBorders>
            <w:shd w:val="clear" w:color="auto" w:fill="3465B0"/>
          </w:tcPr>
          <w:p>
            <w:pPr>
              <w:spacing w:after="0"/>
              <w:rPr>
                <w:sz w:val="24"/>
                <w:szCs w:val="24"/>
                <w:color w:val="auto"/>
              </w:rPr>
            </w:pPr>
          </w:p>
        </w:tc>
        <w:tc>
          <w:tcPr>
            <w:tcW w:w="140" w:type="dxa"/>
            <w:vAlign w:val="bottom"/>
            <w:tcBorders>
              <w:top w:val="single" w:sz="8" w:color="3465B0"/>
            </w:tcBorders>
            <w:shd w:val="clear" w:color="auto" w:fill="3465B0"/>
          </w:tcPr>
          <w:p>
            <w:pPr>
              <w:spacing w:after="0"/>
              <w:rPr>
                <w:sz w:val="24"/>
                <w:szCs w:val="24"/>
                <w:color w:val="auto"/>
              </w:rPr>
            </w:pPr>
          </w:p>
        </w:tc>
        <w:tc>
          <w:tcPr>
            <w:tcW w:w="2420" w:type="dxa"/>
            <w:vAlign w:val="bottom"/>
            <w:tcBorders>
              <w:top w:val="single" w:sz="8" w:color="3465B0"/>
              <w:right w:val="single" w:sz="8" w:color="3465B0"/>
            </w:tcBorders>
            <w:gridSpan w:val="2"/>
            <w:shd w:val="clear" w:color="auto" w:fill="3465B0"/>
          </w:tcPr>
          <w:p>
            <w:pPr>
              <w:jc w:val="center"/>
              <w:spacing w:after="0"/>
              <w:rPr>
                <w:sz w:val="20"/>
                <w:szCs w:val="20"/>
                <w:color w:val="auto"/>
              </w:rPr>
            </w:pPr>
            <w:r>
              <w:rPr>
                <w:rFonts w:ascii="Arial" w:cs="Arial" w:eastAsia="Arial" w:hAnsi="Arial"/>
                <w:sz w:val="18"/>
                <w:szCs w:val="18"/>
                <w:b w:val="1"/>
                <w:bCs w:val="1"/>
                <w:color w:val="FFFFFF"/>
              </w:rPr>
              <w:t>Comparable store sales</w:t>
            </w:r>
          </w:p>
        </w:tc>
      </w:tr>
      <w:tr>
        <w:trPr>
          <w:trHeight w:val="203"/>
        </w:trPr>
        <w:tc>
          <w:tcPr>
            <w:tcW w:w="6600" w:type="dxa"/>
            <w:vAlign w:val="bottom"/>
            <w:tcBorders>
              <w:left w:val="single" w:sz="8" w:color="3465B0"/>
              <w:right w:val="single" w:sz="8" w:color="93A1D2"/>
            </w:tcBorders>
            <w:shd w:val="clear" w:color="auto" w:fill="3465B0"/>
          </w:tcPr>
          <w:p>
            <w:pPr>
              <w:spacing w:after="0"/>
              <w:rPr>
                <w:sz w:val="17"/>
                <w:szCs w:val="17"/>
                <w:color w:val="auto"/>
              </w:rPr>
            </w:pPr>
          </w:p>
        </w:tc>
        <w:tc>
          <w:tcPr>
            <w:tcW w:w="140" w:type="dxa"/>
            <w:vAlign w:val="bottom"/>
            <w:shd w:val="clear" w:color="auto" w:fill="3465B0"/>
          </w:tcPr>
          <w:p>
            <w:pPr>
              <w:spacing w:after="0"/>
              <w:rPr>
                <w:sz w:val="17"/>
                <w:szCs w:val="17"/>
                <w:color w:val="auto"/>
              </w:rPr>
            </w:pPr>
          </w:p>
        </w:tc>
        <w:tc>
          <w:tcPr>
            <w:tcW w:w="2420" w:type="dxa"/>
            <w:vAlign w:val="bottom"/>
            <w:tcBorders>
              <w:right w:val="single" w:sz="8" w:color="3465B0"/>
            </w:tcBorders>
            <w:gridSpan w:val="2"/>
            <w:shd w:val="clear" w:color="auto" w:fill="3465B0"/>
          </w:tcPr>
          <w:p>
            <w:pPr>
              <w:jc w:val="center"/>
              <w:ind w:right="30"/>
              <w:spacing w:after="0" w:line="202" w:lineRule="exact"/>
              <w:rPr>
                <w:sz w:val="20"/>
                <w:szCs w:val="20"/>
                <w:color w:val="auto"/>
              </w:rPr>
            </w:pPr>
            <w:r>
              <w:rPr>
                <w:rFonts w:ascii="Arial" w:cs="Arial" w:eastAsia="Arial" w:hAnsi="Arial"/>
                <w:sz w:val="18"/>
                <w:szCs w:val="18"/>
                <w:b w:val="1"/>
                <w:bCs w:val="1"/>
                <w:color w:val="FFFFFF"/>
              </w:rPr>
              <w:t>growth from</w:t>
            </w:r>
          </w:p>
        </w:tc>
      </w:tr>
      <w:tr>
        <w:trPr>
          <w:trHeight w:val="207"/>
        </w:trPr>
        <w:tc>
          <w:tcPr>
            <w:tcW w:w="6600" w:type="dxa"/>
            <w:vAlign w:val="bottom"/>
            <w:tcBorders>
              <w:left w:val="single" w:sz="8" w:color="3465B0"/>
              <w:right w:val="single" w:sz="8" w:color="93A1D2"/>
            </w:tcBorders>
            <w:shd w:val="clear" w:color="auto" w:fill="3465B0"/>
          </w:tcPr>
          <w:p>
            <w:pPr>
              <w:spacing w:after="0"/>
              <w:rPr>
                <w:sz w:val="17"/>
                <w:szCs w:val="17"/>
                <w:color w:val="auto"/>
              </w:rPr>
            </w:pPr>
          </w:p>
        </w:tc>
        <w:tc>
          <w:tcPr>
            <w:tcW w:w="140" w:type="dxa"/>
            <w:vAlign w:val="bottom"/>
            <w:shd w:val="clear" w:color="auto" w:fill="3465B0"/>
          </w:tcPr>
          <w:p>
            <w:pPr>
              <w:spacing w:after="0"/>
              <w:rPr>
                <w:sz w:val="17"/>
                <w:szCs w:val="17"/>
                <w:color w:val="auto"/>
              </w:rPr>
            </w:pPr>
          </w:p>
        </w:tc>
        <w:tc>
          <w:tcPr>
            <w:tcW w:w="2420" w:type="dxa"/>
            <w:vAlign w:val="bottom"/>
            <w:tcBorders>
              <w:right w:val="single" w:sz="8" w:color="3465B0"/>
            </w:tcBorders>
            <w:gridSpan w:val="2"/>
            <w:shd w:val="clear" w:color="auto" w:fill="3465B0"/>
          </w:tcPr>
          <w:p>
            <w:pPr>
              <w:jc w:val="center"/>
              <w:ind w:right="10"/>
              <w:spacing w:after="0"/>
              <w:rPr>
                <w:sz w:val="20"/>
                <w:szCs w:val="20"/>
                <w:color w:val="auto"/>
              </w:rPr>
            </w:pPr>
            <w:r>
              <w:rPr>
                <w:rFonts w:ascii="Arial" w:cs="Arial" w:eastAsia="Arial" w:hAnsi="Arial"/>
                <w:sz w:val="18"/>
                <w:szCs w:val="18"/>
                <w:b w:val="1"/>
                <w:bCs w:val="1"/>
                <w:color w:val="FFFFFF"/>
                <w:w w:val="99"/>
              </w:rPr>
              <w:t>continuing</w:t>
            </w:r>
          </w:p>
        </w:tc>
      </w:tr>
      <w:tr>
        <w:trPr>
          <w:trHeight w:val="298"/>
        </w:trPr>
        <w:tc>
          <w:tcPr>
            <w:tcW w:w="6600" w:type="dxa"/>
            <w:vAlign w:val="bottom"/>
            <w:tcBorders>
              <w:left w:val="single" w:sz="8" w:color="3465B0"/>
              <w:right w:val="single" w:sz="8" w:color="93A1D2"/>
            </w:tcBorders>
            <w:shd w:val="clear" w:color="auto" w:fill="3465B0"/>
          </w:tcPr>
          <w:p>
            <w:pPr>
              <w:spacing w:after="0"/>
              <w:rPr>
                <w:sz w:val="24"/>
                <w:szCs w:val="24"/>
                <w:color w:val="auto"/>
              </w:rPr>
            </w:pPr>
          </w:p>
        </w:tc>
        <w:tc>
          <w:tcPr>
            <w:tcW w:w="140" w:type="dxa"/>
            <w:vAlign w:val="bottom"/>
            <w:shd w:val="clear" w:color="auto" w:fill="3465B0"/>
          </w:tcPr>
          <w:p>
            <w:pPr>
              <w:spacing w:after="0"/>
              <w:rPr>
                <w:sz w:val="24"/>
                <w:szCs w:val="24"/>
                <w:color w:val="auto"/>
              </w:rPr>
            </w:pPr>
          </w:p>
        </w:tc>
        <w:tc>
          <w:tcPr>
            <w:tcW w:w="2420" w:type="dxa"/>
            <w:vAlign w:val="bottom"/>
            <w:tcBorders>
              <w:right w:val="single" w:sz="8" w:color="3465B0"/>
            </w:tcBorders>
            <w:gridSpan w:val="2"/>
            <w:shd w:val="clear" w:color="auto" w:fill="3465B0"/>
          </w:tcPr>
          <w:p>
            <w:pPr>
              <w:jc w:val="center"/>
              <w:spacing w:after="0" w:line="298" w:lineRule="exact"/>
              <w:rPr>
                <w:sz w:val="20"/>
                <w:szCs w:val="20"/>
                <w:color w:val="auto"/>
              </w:rPr>
            </w:pPr>
            <w:r>
              <w:rPr>
                <w:rFonts w:ascii="Arial" w:cs="Arial" w:eastAsia="Arial" w:hAnsi="Arial"/>
                <w:sz w:val="18"/>
                <w:szCs w:val="18"/>
                <w:b w:val="1"/>
                <w:bCs w:val="1"/>
                <w:color w:val="FFFFFF"/>
                <w:w w:val="95"/>
              </w:rPr>
              <w:t>operations</w:t>
            </w:r>
            <w:r>
              <w:rPr>
                <w:rFonts w:ascii="Arial" w:cs="Arial" w:eastAsia="Arial" w:hAnsi="Arial"/>
                <w:sz w:val="29"/>
                <w:szCs w:val="29"/>
                <w:b w:val="1"/>
                <w:bCs w:val="1"/>
                <w:color w:val="FFFFFF"/>
                <w:w w:val="95"/>
                <w:vertAlign w:val="superscript"/>
              </w:rPr>
              <w:t>(a)</w:t>
            </w:r>
          </w:p>
        </w:tc>
      </w:tr>
      <w:tr>
        <w:trPr>
          <w:trHeight w:val="211"/>
        </w:trPr>
        <w:tc>
          <w:tcPr>
            <w:tcW w:w="6600" w:type="dxa"/>
            <w:vAlign w:val="bottom"/>
            <w:tcBorders>
              <w:left w:val="single" w:sz="8" w:color="3465B0"/>
              <w:right w:val="single" w:sz="8" w:color="93A1D2"/>
            </w:tcBorders>
            <w:shd w:val="clear" w:color="auto" w:fill="3465B0"/>
          </w:tcPr>
          <w:p>
            <w:pPr>
              <w:spacing w:after="0"/>
              <w:rPr>
                <w:sz w:val="18"/>
                <w:szCs w:val="18"/>
                <w:color w:val="auto"/>
              </w:rPr>
            </w:pPr>
          </w:p>
        </w:tc>
        <w:tc>
          <w:tcPr>
            <w:tcW w:w="140" w:type="dxa"/>
            <w:vAlign w:val="bottom"/>
            <w:shd w:val="clear" w:color="auto" w:fill="3465B0"/>
          </w:tcPr>
          <w:p>
            <w:pPr>
              <w:spacing w:after="0"/>
              <w:rPr>
                <w:sz w:val="18"/>
                <w:szCs w:val="18"/>
                <w:color w:val="auto"/>
              </w:rPr>
            </w:pPr>
          </w:p>
        </w:tc>
        <w:tc>
          <w:tcPr>
            <w:tcW w:w="1180" w:type="dxa"/>
            <w:vAlign w:val="bottom"/>
            <w:tcBorders>
              <w:right w:val="single" w:sz="8" w:color="93A1D2"/>
            </w:tcBorders>
            <w:shd w:val="clear" w:color="auto" w:fill="3465B0"/>
          </w:tcPr>
          <w:p>
            <w:pPr>
              <w:jc w:val="right"/>
              <w:ind w:right="110"/>
              <w:spacing w:after="0"/>
              <w:rPr>
                <w:sz w:val="20"/>
                <w:szCs w:val="20"/>
                <w:color w:val="auto"/>
              </w:rPr>
            </w:pPr>
            <w:r>
              <w:rPr>
                <w:rFonts w:ascii="Arial" w:cs="Arial" w:eastAsia="Arial" w:hAnsi="Arial"/>
                <w:sz w:val="18"/>
                <w:szCs w:val="18"/>
                <w:b w:val="1"/>
                <w:bCs w:val="1"/>
                <w:color w:val="FFFFFF"/>
              </w:rPr>
              <w:t>Fiscal Year</w:t>
            </w:r>
          </w:p>
        </w:tc>
        <w:tc>
          <w:tcPr>
            <w:tcW w:w="1240" w:type="dxa"/>
            <w:vAlign w:val="bottom"/>
            <w:tcBorders>
              <w:right w:val="single" w:sz="8" w:color="3465B0"/>
            </w:tcBorders>
            <w:shd w:val="clear" w:color="auto" w:fill="3465B0"/>
          </w:tcPr>
          <w:p>
            <w:pPr>
              <w:jc w:val="right"/>
              <w:ind w:right="10"/>
              <w:spacing w:after="0"/>
              <w:rPr>
                <w:sz w:val="20"/>
                <w:szCs w:val="20"/>
                <w:color w:val="auto"/>
              </w:rPr>
            </w:pPr>
            <w:r>
              <w:rPr>
                <w:rFonts w:ascii="Arial" w:cs="Arial" w:eastAsia="Arial" w:hAnsi="Arial"/>
                <w:sz w:val="18"/>
                <w:szCs w:val="18"/>
                <w:b w:val="1"/>
                <w:bCs w:val="1"/>
                <w:color w:val="FFFFFF"/>
              </w:rPr>
              <w:t>Fiscal Year</w:t>
            </w:r>
          </w:p>
        </w:tc>
      </w:tr>
      <w:tr>
        <w:trPr>
          <w:trHeight w:val="262"/>
        </w:trPr>
        <w:tc>
          <w:tcPr>
            <w:tcW w:w="6600" w:type="dxa"/>
            <w:vAlign w:val="bottom"/>
            <w:tcBorders>
              <w:left w:val="single" w:sz="8" w:color="3465B0"/>
              <w:right w:val="single" w:sz="8" w:color="93A1D2"/>
            </w:tcBorders>
            <w:shd w:val="clear" w:color="auto" w:fill="3465B0"/>
          </w:tcPr>
          <w:p>
            <w:pPr>
              <w:spacing w:after="0"/>
              <w:rPr>
                <w:sz w:val="22"/>
                <w:szCs w:val="22"/>
                <w:color w:val="auto"/>
              </w:rPr>
            </w:pPr>
          </w:p>
        </w:tc>
        <w:tc>
          <w:tcPr>
            <w:tcW w:w="140" w:type="dxa"/>
            <w:vAlign w:val="bottom"/>
            <w:shd w:val="clear" w:color="auto" w:fill="3465B0"/>
          </w:tcPr>
          <w:p>
            <w:pPr>
              <w:spacing w:after="0"/>
              <w:rPr>
                <w:sz w:val="22"/>
                <w:szCs w:val="22"/>
                <w:color w:val="auto"/>
              </w:rPr>
            </w:pPr>
          </w:p>
        </w:tc>
        <w:tc>
          <w:tcPr>
            <w:tcW w:w="1180" w:type="dxa"/>
            <w:vAlign w:val="bottom"/>
            <w:tcBorders>
              <w:right w:val="single" w:sz="8" w:color="93A1D2"/>
            </w:tcBorders>
            <w:shd w:val="clear" w:color="auto" w:fill="3465B0"/>
          </w:tcPr>
          <w:p>
            <w:pPr>
              <w:jc w:val="right"/>
              <w:ind w:right="370"/>
              <w:spacing w:after="0"/>
              <w:rPr>
                <w:sz w:val="20"/>
                <w:szCs w:val="20"/>
                <w:color w:val="auto"/>
              </w:rPr>
            </w:pPr>
            <w:r>
              <w:rPr>
                <w:rFonts w:ascii="Arial" w:cs="Arial" w:eastAsia="Arial" w:hAnsi="Arial"/>
                <w:sz w:val="18"/>
                <w:szCs w:val="18"/>
                <w:b w:val="1"/>
                <w:bCs w:val="1"/>
                <w:color w:val="FFFFFF"/>
              </w:rPr>
              <w:t>2025</w:t>
            </w:r>
          </w:p>
        </w:tc>
        <w:tc>
          <w:tcPr>
            <w:tcW w:w="1240" w:type="dxa"/>
            <w:vAlign w:val="bottom"/>
            <w:tcBorders>
              <w:right w:val="single" w:sz="8" w:color="3465B0"/>
            </w:tcBorders>
            <w:shd w:val="clear" w:color="auto" w:fill="3465B0"/>
          </w:tcPr>
          <w:p>
            <w:pPr>
              <w:jc w:val="right"/>
              <w:ind w:right="290"/>
              <w:spacing w:after="0"/>
              <w:rPr>
                <w:sz w:val="20"/>
                <w:szCs w:val="20"/>
                <w:color w:val="auto"/>
              </w:rPr>
            </w:pPr>
            <w:r>
              <w:rPr>
                <w:rFonts w:ascii="Arial" w:cs="Arial" w:eastAsia="Arial" w:hAnsi="Arial"/>
                <w:sz w:val="18"/>
                <w:szCs w:val="18"/>
                <w:b w:val="1"/>
                <w:bCs w:val="1"/>
                <w:color w:val="FFFFFF"/>
              </w:rPr>
              <w:t>2024</w:t>
            </w:r>
          </w:p>
        </w:tc>
      </w:tr>
      <w:tr>
        <w:trPr>
          <w:trHeight w:val="270"/>
        </w:trPr>
        <w:tc>
          <w:tcPr>
            <w:tcW w:w="660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b w:val="1"/>
                <w:bCs w:val="1"/>
                <w:color w:val="auto"/>
              </w:rPr>
              <w:t>Owned &amp; Host segment</w:t>
            </w:r>
          </w:p>
        </w:tc>
        <w:tc>
          <w:tcPr>
            <w:tcW w:w="140" w:type="dxa"/>
            <w:vAlign w:val="bottom"/>
          </w:tcPr>
          <w:p>
            <w:pPr>
              <w:spacing w:after="0"/>
              <w:rPr>
                <w:sz w:val="23"/>
                <w:szCs w:val="23"/>
                <w:color w:val="auto"/>
              </w:rPr>
            </w:pPr>
          </w:p>
        </w:tc>
        <w:tc>
          <w:tcPr>
            <w:tcW w:w="1180" w:type="dxa"/>
            <w:vAlign w:val="bottom"/>
            <w:tcBorders>
              <w:right w:val="single" w:sz="8" w:color="93A1D2"/>
            </w:tcBorders>
          </w:tcPr>
          <w:p>
            <w:pPr>
              <w:spacing w:after="0"/>
              <w:rPr>
                <w:sz w:val="23"/>
                <w:szCs w:val="23"/>
                <w:color w:val="auto"/>
              </w:rPr>
            </w:pPr>
          </w:p>
        </w:tc>
        <w:tc>
          <w:tcPr>
            <w:tcW w:w="1240" w:type="dxa"/>
            <w:vAlign w:val="bottom"/>
            <w:tcBorders>
              <w:right w:val="single" w:sz="8" w:color="3465B0"/>
            </w:tcBorders>
          </w:tcPr>
          <w:p>
            <w:pPr>
              <w:spacing w:after="0"/>
              <w:rPr>
                <w:sz w:val="23"/>
                <w:szCs w:val="23"/>
                <w:color w:val="auto"/>
              </w:rPr>
            </w:pPr>
          </w:p>
        </w:tc>
      </w:tr>
      <w:tr>
        <w:trPr>
          <w:trHeight w:val="250"/>
        </w:trPr>
        <w:tc>
          <w:tcPr>
            <w:tcW w:w="660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America’s Best</w:t>
            </w:r>
          </w:p>
        </w:tc>
        <w:tc>
          <w:tcPr>
            <w:tcW w:w="1320" w:type="dxa"/>
            <w:vAlign w:val="bottom"/>
            <w:tcBorders>
              <w:bottom w:val="single" w:sz="8" w:color="CCCCCC"/>
              <w:right w:val="single" w:sz="8" w:color="93A1D2"/>
            </w:tcBorders>
            <w:gridSpan w:val="2"/>
            <w:shd w:val="clear" w:color="auto" w:fill="CCCCCC"/>
          </w:tcPr>
          <w:p>
            <w:pPr>
              <w:jc w:val="right"/>
              <w:ind w:right="110"/>
              <w:spacing w:after="0"/>
              <w:rPr>
                <w:sz w:val="20"/>
                <w:szCs w:val="20"/>
                <w:color w:val="auto"/>
              </w:rPr>
            </w:pPr>
            <w:r>
              <w:rPr>
                <w:rFonts w:ascii="Arial" w:cs="Arial" w:eastAsia="Arial" w:hAnsi="Arial"/>
                <w:sz w:val="18"/>
                <w:szCs w:val="18"/>
                <w:color w:val="auto"/>
              </w:rPr>
              <w:t>6.3%</w:t>
            </w:r>
          </w:p>
        </w:tc>
        <w:tc>
          <w:tcPr>
            <w:tcW w:w="1240" w:type="dxa"/>
            <w:vAlign w:val="bottom"/>
            <w:tcBorders>
              <w:bottom w:val="single" w:sz="8" w:color="CCCCCC"/>
              <w:right w:val="single" w:sz="8" w:color="3465B0"/>
            </w:tcBorders>
            <w:shd w:val="clear" w:color="auto" w:fill="CCCCCC"/>
          </w:tcPr>
          <w:p>
            <w:pPr>
              <w:jc w:val="right"/>
              <w:ind w:right="30"/>
              <w:spacing w:after="0"/>
              <w:rPr>
                <w:sz w:val="20"/>
                <w:szCs w:val="20"/>
                <w:color w:val="auto"/>
              </w:rPr>
            </w:pPr>
            <w:r>
              <w:rPr>
                <w:rFonts w:ascii="Arial" w:cs="Arial" w:eastAsia="Arial" w:hAnsi="Arial"/>
                <w:sz w:val="18"/>
                <w:szCs w:val="18"/>
                <w:color w:val="auto"/>
              </w:rPr>
              <w:t>1.8%</w:t>
            </w:r>
          </w:p>
        </w:tc>
      </w:tr>
      <w:tr>
        <w:trPr>
          <w:trHeight w:val="247"/>
        </w:trPr>
        <w:tc>
          <w:tcPr>
            <w:tcW w:w="660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Eyeglass World</w:t>
            </w:r>
          </w:p>
        </w:tc>
        <w:tc>
          <w:tcPr>
            <w:tcW w:w="1320" w:type="dxa"/>
            <w:vAlign w:val="bottom"/>
            <w:tcBorders>
              <w:right w:val="single" w:sz="8" w:color="93A1D2"/>
            </w:tcBorders>
            <w:gridSpan w:val="2"/>
          </w:tcPr>
          <w:p>
            <w:pPr>
              <w:jc w:val="right"/>
              <w:ind w:right="110"/>
              <w:spacing w:after="0"/>
              <w:rPr>
                <w:sz w:val="20"/>
                <w:szCs w:val="20"/>
                <w:color w:val="auto"/>
              </w:rPr>
            </w:pPr>
            <w:r>
              <w:rPr>
                <w:rFonts w:ascii="Arial" w:cs="Arial" w:eastAsia="Arial" w:hAnsi="Arial"/>
                <w:sz w:val="18"/>
                <w:szCs w:val="18"/>
                <w:color w:val="auto"/>
              </w:rPr>
              <w:t>4.2%</w:t>
            </w:r>
          </w:p>
        </w:tc>
        <w:tc>
          <w:tcPr>
            <w:tcW w:w="1240" w:type="dxa"/>
            <w:vAlign w:val="bottom"/>
            <w:tcBorders>
              <w:right w:val="single" w:sz="8" w:color="3465B0"/>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3"/>
        </w:trPr>
        <w:tc>
          <w:tcPr>
            <w:tcW w:w="6600" w:type="dxa"/>
            <w:vAlign w:val="bottom"/>
            <w:tcBorders>
              <w:left w:val="single" w:sz="8" w:color="3465B0"/>
              <w:right w:val="single" w:sz="8" w:color="93A1D2"/>
            </w:tcBorders>
          </w:tcPr>
          <w:p>
            <w:pPr>
              <w:spacing w:after="0"/>
              <w:rPr>
                <w:sz w:val="2"/>
                <w:szCs w:val="2"/>
                <w:color w:val="auto"/>
              </w:rPr>
            </w:pPr>
          </w:p>
        </w:tc>
        <w:tc>
          <w:tcPr>
            <w:tcW w:w="1320" w:type="dxa"/>
            <w:vAlign w:val="bottom"/>
            <w:tcBorders>
              <w:right w:val="single" w:sz="8" w:color="93A1D2"/>
            </w:tcBorders>
            <w:gridSpan w:val="2"/>
          </w:tcPr>
          <w:p>
            <w:pPr>
              <w:spacing w:after="0"/>
              <w:rPr>
                <w:sz w:val="2"/>
                <w:szCs w:val="2"/>
                <w:color w:val="auto"/>
              </w:rPr>
            </w:pPr>
          </w:p>
        </w:tc>
        <w:tc>
          <w:tcPr>
            <w:tcW w:w="1240" w:type="dxa"/>
            <w:vAlign w:val="bottom"/>
            <w:tcBorders>
              <w:right w:val="single" w:sz="8" w:color="3465B0"/>
            </w:tcBorders>
          </w:tcPr>
          <w:p>
            <w:pPr>
              <w:spacing w:after="0"/>
              <w:rPr>
                <w:sz w:val="2"/>
                <w:szCs w:val="2"/>
                <w:color w:val="auto"/>
              </w:rPr>
            </w:pPr>
          </w:p>
        </w:tc>
      </w:tr>
      <w:tr>
        <w:trPr>
          <w:trHeight w:val="250"/>
        </w:trPr>
        <w:tc>
          <w:tcPr>
            <w:tcW w:w="660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Military</w:t>
            </w:r>
          </w:p>
        </w:tc>
        <w:tc>
          <w:tcPr>
            <w:tcW w:w="1320" w:type="dxa"/>
            <w:vAlign w:val="bottom"/>
            <w:tcBorders>
              <w:bottom w:val="single" w:sz="8" w:color="CCCCCC"/>
              <w:right w:val="single" w:sz="8" w:color="93A1D2"/>
            </w:tcBorders>
            <w:gridSpan w:val="2"/>
            <w:shd w:val="clear" w:color="auto" w:fill="CCCCCC"/>
          </w:tcPr>
          <w:p>
            <w:pPr>
              <w:jc w:val="right"/>
              <w:ind w:right="110"/>
              <w:spacing w:after="0"/>
              <w:rPr>
                <w:sz w:val="20"/>
                <w:szCs w:val="20"/>
                <w:color w:val="auto"/>
              </w:rPr>
            </w:pPr>
            <w:r>
              <w:rPr>
                <w:rFonts w:ascii="Arial" w:cs="Arial" w:eastAsia="Arial" w:hAnsi="Arial"/>
                <w:sz w:val="18"/>
                <w:szCs w:val="18"/>
                <w:color w:val="auto"/>
              </w:rPr>
              <w:t>2.6%</w:t>
            </w:r>
          </w:p>
        </w:tc>
        <w:tc>
          <w:tcPr>
            <w:tcW w:w="1240" w:type="dxa"/>
            <w:vAlign w:val="bottom"/>
            <w:tcBorders>
              <w:bottom w:val="single" w:sz="8" w:color="CCCCCC"/>
              <w:right w:val="single" w:sz="8" w:color="3465B0"/>
            </w:tcBorders>
            <w:shd w:val="clear" w:color="auto" w:fill="CCCCCC"/>
          </w:tcPr>
          <w:p>
            <w:pPr>
              <w:jc w:val="right"/>
              <w:ind w:right="10"/>
              <w:spacing w:after="0"/>
              <w:rPr>
                <w:sz w:val="20"/>
                <w:szCs w:val="20"/>
                <w:color w:val="auto"/>
              </w:rPr>
            </w:pPr>
            <w:r>
              <w:rPr>
                <w:rFonts w:ascii="Arial" w:cs="Arial" w:eastAsia="Arial" w:hAnsi="Arial"/>
                <w:sz w:val="18"/>
                <w:szCs w:val="18"/>
                <w:color w:val="auto"/>
              </w:rPr>
              <w:t>(0.5)%</w:t>
            </w:r>
          </w:p>
        </w:tc>
      </w:tr>
      <w:tr>
        <w:trPr>
          <w:trHeight w:val="247"/>
        </w:trPr>
        <w:tc>
          <w:tcPr>
            <w:tcW w:w="6600" w:type="dxa"/>
            <w:vAlign w:val="bottom"/>
            <w:tcBorders>
              <w:left w:val="single" w:sz="8" w:color="3465B0"/>
              <w:right w:val="single" w:sz="8" w:color="93A1D2"/>
            </w:tcBorders>
          </w:tcPr>
          <w:p>
            <w:pPr>
              <w:ind w:left="100"/>
              <w:spacing w:after="0"/>
              <w:rPr>
                <w:sz w:val="20"/>
                <w:szCs w:val="20"/>
                <w:color w:val="auto"/>
              </w:rPr>
            </w:pPr>
            <w:r>
              <w:rPr>
                <w:rFonts w:ascii="Arial" w:cs="Arial" w:eastAsia="Arial" w:hAnsi="Arial"/>
                <w:sz w:val="18"/>
                <w:szCs w:val="18"/>
                <w:color w:val="auto"/>
              </w:rPr>
              <w:t>Fred Meyer</w:t>
            </w:r>
          </w:p>
        </w:tc>
        <w:tc>
          <w:tcPr>
            <w:tcW w:w="1320" w:type="dxa"/>
            <w:vAlign w:val="bottom"/>
            <w:tcBorders>
              <w:right w:val="single" w:sz="8" w:color="93A1D2"/>
            </w:tcBorders>
            <w:gridSpan w:val="2"/>
          </w:tcPr>
          <w:p>
            <w:pPr>
              <w:jc w:val="right"/>
              <w:ind w:right="110"/>
              <w:spacing w:after="0"/>
              <w:rPr>
                <w:sz w:val="20"/>
                <w:szCs w:val="20"/>
                <w:color w:val="auto"/>
              </w:rPr>
            </w:pPr>
            <w:r>
              <w:rPr>
                <w:rFonts w:ascii="Arial" w:cs="Arial" w:eastAsia="Arial" w:hAnsi="Arial"/>
                <w:sz w:val="18"/>
                <w:szCs w:val="18"/>
                <w:color w:val="auto"/>
              </w:rPr>
              <w:t>4.9%</w:t>
            </w:r>
          </w:p>
        </w:tc>
        <w:tc>
          <w:tcPr>
            <w:tcW w:w="1240" w:type="dxa"/>
            <w:vAlign w:val="bottom"/>
            <w:tcBorders>
              <w:right w:val="single" w:sz="8" w:color="3465B0"/>
            </w:tcBorders>
          </w:tcPr>
          <w:p>
            <w:pPr>
              <w:jc w:val="right"/>
              <w:ind w:right="10"/>
              <w:spacing w:after="0"/>
              <w:rPr>
                <w:sz w:val="20"/>
                <w:szCs w:val="20"/>
                <w:color w:val="auto"/>
              </w:rPr>
            </w:pPr>
            <w:r>
              <w:rPr>
                <w:rFonts w:ascii="Arial" w:cs="Arial" w:eastAsia="Arial" w:hAnsi="Arial"/>
                <w:sz w:val="18"/>
                <w:szCs w:val="18"/>
                <w:color w:val="auto"/>
              </w:rPr>
              <w:t>(4.5)%</w:t>
            </w:r>
          </w:p>
        </w:tc>
      </w:tr>
      <w:tr>
        <w:trPr>
          <w:trHeight w:val="23"/>
        </w:trPr>
        <w:tc>
          <w:tcPr>
            <w:tcW w:w="6600" w:type="dxa"/>
            <w:vAlign w:val="bottom"/>
            <w:tcBorders>
              <w:left w:val="single" w:sz="8" w:color="3465B0"/>
              <w:right w:val="single" w:sz="8" w:color="93A1D2"/>
            </w:tcBorders>
          </w:tcPr>
          <w:p>
            <w:pPr>
              <w:spacing w:after="0"/>
              <w:rPr>
                <w:sz w:val="2"/>
                <w:szCs w:val="2"/>
                <w:color w:val="auto"/>
              </w:rPr>
            </w:pPr>
          </w:p>
        </w:tc>
        <w:tc>
          <w:tcPr>
            <w:tcW w:w="1320" w:type="dxa"/>
            <w:vAlign w:val="bottom"/>
            <w:tcBorders>
              <w:right w:val="single" w:sz="8" w:color="93A1D2"/>
            </w:tcBorders>
            <w:gridSpan w:val="2"/>
          </w:tcPr>
          <w:p>
            <w:pPr>
              <w:spacing w:after="0"/>
              <w:rPr>
                <w:sz w:val="2"/>
                <w:szCs w:val="2"/>
                <w:color w:val="auto"/>
              </w:rPr>
            </w:pPr>
          </w:p>
        </w:tc>
        <w:tc>
          <w:tcPr>
            <w:tcW w:w="1240" w:type="dxa"/>
            <w:vAlign w:val="bottom"/>
            <w:tcBorders>
              <w:right w:val="single" w:sz="8" w:color="3465B0"/>
            </w:tcBorders>
          </w:tcPr>
          <w:p>
            <w:pPr>
              <w:spacing w:after="0"/>
              <w:rPr>
                <w:sz w:val="2"/>
                <w:szCs w:val="2"/>
                <w:color w:val="auto"/>
              </w:rPr>
            </w:pPr>
          </w:p>
        </w:tc>
      </w:tr>
      <w:tr>
        <w:trPr>
          <w:trHeight w:val="250"/>
        </w:trPr>
        <w:tc>
          <w:tcPr>
            <w:tcW w:w="6600" w:type="dxa"/>
            <w:vAlign w:val="bottom"/>
            <w:tcBorders>
              <w:left w:val="single" w:sz="8" w:color="3465B0"/>
              <w:bottom w:val="single" w:sz="8" w:color="CCCCCC"/>
              <w:right w:val="single" w:sz="8" w:color="93A1D2"/>
            </w:tcBorders>
            <w:shd w:val="clear" w:color="auto" w:fill="CCCCCC"/>
          </w:tcPr>
          <w:p>
            <w:pPr>
              <w:ind w:left="100"/>
              <w:spacing w:after="0"/>
              <w:rPr>
                <w:sz w:val="20"/>
                <w:szCs w:val="20"/>
                <w:color w:val="auto"/>
              </w:rPr>
            </w:pPr>
            <w:r>
              <w:rPr>
                <w:rFonts w:ascii="Arial" w:cs="Arial" w:eastAsia="Arial" w:hAnsi="Arial"/>
                <w:sz w:val="18"/>
                <w:szCs w:val="18"/>
                <w:color w:val="auto"/>
              </w:rPr>
              <w:t>Total comparable store sales growth from continuing operations</w:t>
            </w:r>
          </w:p>
        </w:tc>
        <w:tc>
          <w:tcPr>
            <w:tcW w:w="1320" w:type="dxa"/>
            <w:vAlign w:val="bottom"/>
            <w:tcBorders>
              <w:bottom w:val="single" w:sz="8" w:color="CCCCCC"/>
              <w:right w:val="single" w:sz="8" w:color="93A1D2"/>
            </w:tcBorders>
            <w:gridSpan w:val="2"/>
            <w:shd w:val="clear" w:color="auto" w:fill="CCCCCC"/>
          </w:tcPr>
          <w:p>
            <w:pPr>
              <w:jc w:val="right"/>
              <w:ind w:right="110"/>
              <w:spacing w:after="0"/>
              <w:rPr>
                <w:sz w:val="20"/>
                <w:szCs w:val="20"/>
                <w:color w:val="auto"/>
              </w:rPr>
            </w:pPr>
            <w:r>
              <w:rPr>
                <w:rFonts w:ascii="Arial" w:cs="Arial" w:eastAsia="Arial" w:hAnsi="Arial"/>
                <w:sz w:val="18"/>
                <w:szCs w:val="18"/>
                <w:color w:val="auto"/>
              </w:rPr>
              <w:t>5.9%</w:t>
            </w:r>
          </w:p>
        </w:tc>
        <w:tc>
          <w:tcPr>
            <w:tcW w:w="1240" w:type="dxa"/>
            <w:vAlign w:val="bottom"/>
            <w:tcBorders>
              <w:bottom w:val="single" w:sz="8" w:color="CCCCCC"/>
              <w:right w:val="single" w:sz="8" w:color="3465B0"/>
            </w:tcBorders>
            <w:shd w:val="clear" w:color="auto" w:fill="CCCCCC"/>
          </w:tcPr>
          <w:p>
            <w:pPr>
              <w:jc w:val="right"/>
              <w:ind w:right="30"/>
              <w:spacing w:after="0"/>
              <w:rPr>
                <w:sz w:val="20"/>
                <w:szCs w:val="20"/>
                <w:color w:val="auto"/>
              </w:rPr>
            </w:pPr>
            <w:r>
              <w:rPr>
                <w:rFonts w:ascii="Arial" w:cs="Arial" w:eastAsia="Arial" w:hAnsi="Arial"/>
                <w:sz w:val="18"/>
                <w:szCs w:val="18"/>
                <w:color w:val="auto"/>
              </w:rPr>
              <w:t>1.9%</w:t>
            </w:r>
          </w:p>
        </w:tc>
      </w:tr>
      <w:tr>
        <w:trPr>
          <w:trHeight w:val="310"/>
        </w:trPr>
        <w:tc>
          <w:tcPr>
            <w:tcW w:w="6600" w:type="dxa"/>
            <w:vAlign w:val="bottom"/>
            <w:tcBorders>
              <w:left w:val="single" w:sz="8" w:color="3465B0"/>
              <w:right w:val="single" w:sz="8" w:color="93A1D2"/>
            </w:tcBorders>
          </w:tcPr>
          <w:p>
            <w:pPr>
              <w:ind w:left="100"/>
              <w:spacing w:after="0" w:line="310" w:lineRule="exact"/>
              <w:rPr>
                <w:sz w:val="20"/>
                <w:szCs w:val="20"/>
                <w:color w:val="auto"/>
              </w:rPr>
            </w:pPr>
            <w:r>
              <w:rPr>
                <w:rFonts w:ascii="Arial" w:cs="Arial" w:eastAsia="Arial" w:hAnsi="Arial"/>
                <w:sz w:val="18"/>
                <w:szCs w:val="18"/>
                <w:color w:val="auto"/>
              </w:rPr>
              <w:t>Adjustment for effect of unearned &amp; deferred revenue</w:t>
            </w:r>
            <w:r>
              <w:rPr>
                <w:rFonts w:ascii="Arial" w:cs="Arial" w:eastAsia="Arial" w:hAnsi="Arial"/>
                <w:sz w:val="29"/>
                <w:szCs w:val="29"/>
                <w:color w:val="auto"/>
                <w:vertAlign w:val="superscript"/>
              </w:rPr>
              <w:t>(b)</w:t>
            </w:r>
          </w:p>
        </w:tc>
        <w:tc>
          <w:tcPr>
            <w:tcW w:w="1320" w:type="dxa"/>
            <w:vAlign w:val="bottom"/>
            <w:tcBorders>
              <w:right w:val="single" w:sz="8" w:color="93A1D2"/>
            </w:tcBorders>
            <w:gridSpan w:val="2"/>
          </w:tcPr>
          <w:p>
            <w:pPr>
              <w:jc w:val="right"/>
              <w:ind w:right="90"/>
              <w:spacing w:after="0"/>
              <w:rPr>
                <w:sz w:val="20"/>
                <w:szCs w:val="20"/>
                <w:color w:val="auto"/>
              </w:rPr>
            </w:pPr>
            <w:r>
              <w:rPr>
                <w:rFonts w:ascii="Arial" w:cs="Arial" w:eastAsia="Arial" w:hAnsi="Arial"/>
                <w:sz w:val="18"/>
                <w:szCs w:val="18"/>
                <w:color w:val="auto"/>
              </w:rPr>
              <w:t>0.1%</w:t>
            </w:r>
          </w:p>
        </w:tc>
        <w:tc>
          <w:tcPr>
            <w:tcW w:w="1240" w:type="dxa"/>
            <w:vAlign w:val="bottom"/>
            <w:tcBorders>
              <w:right w:val="single" w:sz="8" w:color="3465B0"/>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280"/>
        </w:trPr>
        <w:tc>
          <w:tcPr>
            <w:tcW w:w="6600" w:type="dxa"/>
            <w:vAlign w:val="bottom"/>
            <w:tcBorders>
              <w:left w:val="single" w:sz="8" w:color="3465B0"/>
              <w:bottom w:val="single" w:sz="8" w:color="3465B0"/>
              <w:right w:val="single" w:sz="8" w:color="93A1D2"/>
            </w:tcBorders>
            <w:shd w:val="clear" w:color="auto" w:fill="CCCCCC"/>
          </w:tcPr>
          <w:p>
            <w:pPr>
              <w:ind w:left="100"/>
              <w:spacing w:after="0" w:line="270" w:lineRule="exact"/>
              <w:rPr>
                <w:sz w:val="20"/>
                <w:szCs w:val="20"/>
                <w:color w:val="auto"/>
              </w:rPr>
            </w:pPr>
            <w:r>
              <w:rPr>
                <w:rFonts w:ascii="Arial" w:cs="Arial" w:eastAsia="Arial" w:hAnsi="Arial"/>
                <w:sz w:val="18"/>
                <w:szCs w:val="18"/>
                <w:color w:val="auto"/>
              </w:rPr>
              <w:t>Adjusted comparable store sales growth from continuing operations</w:t>
            </w:r>
            <w:r>
              <w:rPr>
                <w:rFonts w:ascii="Arial" w:cs="Arial" w:eastAsia="Arial" w:hAnsi="Arial"/>
                <w:sz w:val="29"/>
                <w:szCs w:val="29"/>
                <w:color w:val="auto"/>
                <w:vertAlign w:val="superscript"/>
              </w:rPr>
              <w:t>(b)</w:t>
            </w:r>
          </w:p>
        </w:tc>
        <w:tc>
          <w:tcPr>
            <w:tcW w:w="140" w:type="dxa"/>
            <w:vAlign w:val="bottom"/>
            <w:tcBorders>
              <w:bottom w:val="single" w:sz="8" w:color="3465B0"/>
            </w:tcBorders>
            <w:shd w:val="clear" w:color="auto" w:fill="CCCCCC"/>
          </w:tcPr>
          <w:p>
            <w:pPr>
              <w:spacing w:after="0"/>
              <w:rPr>
                <w:sz w:val="24"/>
                <w:szCs w:val="24"/>
                <w:color w:val="auto"/>
              </w:rPr>
            </w:pPr>
          </w:p>
        </w:tc>
        <w:tc>
          <w:tcPr>
            <w:tcW w:w="1180" w:type="dxa"/>
            <w:vAlign w:val="bottom"/>
            <w:tcBorders>
              <w:bottom w:val="single" w:sz="8" w:color="3465B0"/>
              <w:right w:val="single" w:sz="8" w:color="93A1D2"/>
            </w:tcBorders>
            <w:shd w:val="clear" w:color="auto" w:fill="CCCCCC"/>
          </w:tcPr>
          <w:p>
            <w:pPr>
              <w:jc w:val="right"/>
              <w:ind w:right="110"/>
              <w:spacing w:after="0"/>
              <w:rPr>
                <w:sz w:val="20"/>
                <w:szCs w:val="20"/>
                <w:color w:val="auto"/>
              </w:rPr>
            </w:pPr>
            <w:r>
              <w:rPr>
                <w:rFonts w:ascii="Arial" w:cs="Arial" w:eastAsia="Arial" w:hAnsi="Arial"/>
                <w:sz w:val="18"/>
                <w:szCs w:val="18"/>
                <w:color w:val="auto"/>
              </w:rPr>
              <w:t>6.0%</w:t>
            </w:r>
          </w:p>
        </w:tc>
        <w:tc>
          <w:tcPr>
            <w:tcW w:w="1240" w:type="dxa"/>
            <w:vAlign w:val="bottom"/>
            <w:tcBorders>
              <w:bottom w:val="single" w:sz="8" w:color="3465B0"/>
              <w:right w:val="single" w:sz="8" w:color="3465B0"/>
            </w:tcBorders>
            <w:shd w:val="clear" w:color="auto" w:fill="CCCCCC"/>
          </w:tcPr>
          <w:p>
            <w:pPr>
              <w:jc w:val="right"/>
              <w:ind w:right="3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-1724660</wp:posOffset>
            </wp:positionV>
            <wp:extent cx="161163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30" w:lineRule="exact"/>
        <w:rPr>
          <w:sz w:val="20"/>
          <w:szCs w:val="20"/>
          <w:color w:val="auto"/>
        </w:rPr>
      </w:pPr>
    </w:p>
    <w:p>
      <w:pPr>
        <w:jc w:val="both"/>
        <w:ind w:left="1280" w:right="960" w:hanging="348"/>
        <w:spacing w:after="0" w:line="250" w:lineRule="auto"/>
        <w:tabs>
          <w:tab w:leader="none" w:pos="12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Total comparable store sales from continuing operations is calculated based on consolidated net revenue from continuing operations excluding the impact of (i) Corporate and other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point of sale revenues consistent with what the CODM reviews, and consistent with reportable segment revenues presented in Note 15 to our Consolidated Financial Statements for the year ended January 3, 2026.</w:t>
      </w:r>
    </w:p>
    <w:p>
      <w:pPr>
        <w:spacing w:after="0" w:line="73" w:lineRule="exact"/>
        <w:rPr>
          <w:rFonts w:ascii="Arial" w:cs="Arial" w:eastAsia="Arial" w:hAnsi="Arial"/>
          <w:sz w:val="14"/>
          <w:szCs w:val="14"/>
          <w:color w:val="auto"/>
        </w:rPr>
      </w:pPr>
    </w:p>
    <w:p>
      <w:pPr>
        <w:jc w:val="both"/>
        <w:ind w:left="1280" w:right="960" w:hanging="348"/>
        <w:spacing w:after="0" w:line="263" w:lineRule="auto"/>
        <w:tabs>
          <w:tab w:leader="none" w:pos="12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Adjusted Comparable Store Sales Growth from continuing operations includes the effect of deferred and unearned revenue as if such revenues were earned at the point of sale, resulting in the following changes from total comparable store sales growth based on consolidated net revenue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46990</wp:posOffset>
            </wp:positionV>
            <wp:extent cx="205740" cy="2057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7560"/>
              <w:spacing w:after="0"/>
              <w:rPr>
                <w:sz w:val="20"/>
                <w:szCs w:val="20"/>
                <w:color w:val="auto"/>
              </w:rPr>
            </w:pPr>
            <w:r>
              <w:rPr>
                <w:rFonts w:ascii="Arial" w:cs="Arial" w:eastAsia="Arial" w:hAnsi="Arial"/>
                <w:sz w:val="16"/>
                <w:szCs w:val="16"/>
                <w:color w:val="auto"/>
              </w:rPr>
              <w:t>2026 Proxy Statement  </w:t>
            </w:r>
          </w:p>
        </w:tc>
        <w:tc>
          <w:tcPr>
            <w:tcW w:w="1460" w:type="dxa"/>
            <w:vAlign w:val="bottom"/>
          </w:tcPr>
          <w:p>
            <w:pPr>
              <w:jc w:val="right"/>
              <w:ind w:right="859"/>
              <w:spacing w:after="0"/>
              <w:rPr>
                <w:sz w:val="20"/>
                <w:szCs w:val="20"/>
                <w:color w:val="auto"/>
              </w:rPr>
            </w:pPr>
            <w:r>
              <w:rPr>
                <w:rFonts w:ascii="Arial" w:cs="Arial" w:eastAsia="Arial" w:hAnsi="Arial"/>
                <w:sz w:val="16"/>
                <w:szCs w:val="16"/>
                <w:b w:val="1"/>
                <w:bCs w:val="1"/>
                <w:color w:val="auto"/>
              </w:rPr>
              <w:t>81</w:t>
            </w:r>
          </w:p>
        </w:tc>
      </w:tr>
      <w:tr>
        <w:trPr>
          <w:trHeight w:val="258"/>
        </w:trPr>
        <w:tc>
          <w:tcPr>
            <w:tcW w:w="9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88" w:name="page89"/>
    <w:bookmarkEnd w:id="8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1046480</wp:posOffset>
            </wp:positionV>
            <wp:extent cx="4277360" cy="60775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277360" cy="607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lvl w:ilvl="1">
      <w:lvlJc w:val="left"/>
      <w:lvlText w:val="☐"/>
      <w:numFmt w:val="bullet"/>
      <w:start w:val="1"/>
    </w:lvl>
  </w:abstractNum>
  <w:abstractNum w:abstractNumId="1">
    <w:nsid w:val="579478FE"/>
    <w:multiLevelType w:val="hybridMultilevel"/>
    <w:lvl w:ilvl="0">
      <w:lvlJc w:val="left"/>
      <w:lvlText w:val="☒"/>
      <w:numFmt w:val="bullet"/>
      <w:start w:val="1"/>
    </w:lvl>
    <w:lvl w:ilvl="1">
      <w:lvlJc w:val="left"/>
      <w:lvlText w:val="☐"/>
      <w:numFmt w:val="bullet"/>
      <w:start w:val="1"/>
    </w:lvl>
  </w:abstractNum>
  <w:abstractNum w:abstractNumId="2">
    <w:nsid w:val="749ABB43"/>
    <w:multiLevelType w:val="hybridMultilevel"/>
    <w:lvl w:ilvl="0">
      <w:lvlJc w:val="left"/>
      <w:lvlText w:val="%1"/>
      <w:numFmt w:val="lowerRoman"/>
      <w:start w:val="2"/>
    </w:lvl>
  </w:abstractNum>
  <w:abstractNum w:abstractNumId="3">
    <w:nsid w:val="3DC240FB"/>
    <w:multiLevelType w:val="hybridMultilevel"/>
    <w:lvl w:ilvl="0">
      <w:lvlJc w:val="left"/>
      <w:lvlText w:val="%1"/>
      <w:numFmt w:val="lowerRoman"/>
      <w:start w:val="4"/>
    </w:lvl>
  </w:abstractNum>
  <w:abstractNum w:abstractNumId="4">
    <w:nsid w:val="1BA026FA"/>
    <w:multiLevelType w:val="hybridMultilevel"/>
    <w:lvl w:ilvl="0">
      <w:lvlJc w:val="left"/>
      <w:lvlText w:val=" "/>
      <w:numFmt w:val="bullet"/>
      <w:start w:val="1"/>
    </w:lvl>
  </w:abstractNum>
  <w:abstractNum w:abstractNumId="5">
    <w:nsid w:val="79A1DEAA"/>
    <w:multiLevelType w:val="hybridMultilevel"/>
    <w:lvl w:ilvl="0">
      <w:lvlJc w:val="left"/>
      <w:lvlText w:val="2"/>
      <w:numFmt w:val="bullet"/>
      <w:start w:val="1"/>
    </w:lvl>
  </w:abstractNum>
  <w:abstractNum w:abstractNumId="6">
    <w:nsid w:val="75C6C33A"/>
    <w:multiLevelType w:val="hybridMultilevel"/>
    <w:lvl w:ilvl="0">
      <w:lvlJc w:val="left"/>
      <w:lvlText w:val="4"/>
      <w:numFmt w:val="bullet"/>
      <w:start w:val="1"/>
    </w:lvl>
  </w:abstractNum>
  <w:abstractNum w:abstractNumId="7">
    <w:nsid w:val="12E685FB"/>
    <w:multiLevelType w:val="hybridMultilevel"/>
    <w:lvl w:ilvl="0">
      <w:lvlJc w:val="left"/>
      <w:lvlText w:val="6"/>
      <w:numFmt w:val="bullet"/>
      <w:start w:val="1"/>
    </w:lvl>
  </w:abstractNum>
  <w:abstractNum w:abstractNumId="8">
    <w:nsid w:val="70C6A529"/>
    <w:multiLevelType w:val="hybridMultilevel"/>
    <w:lvl w:ilvl="0">
      <w:lvlJc w:val="left"/>
      <w:lvlText w:val="8"/>
      <w:numFmt w:val="bullet"/>
      <w:start w:val="1"/>
    </w:lvl>
  </w:abstractNum>
  <w:abstractNum w:abstractNumId="9">
    <w:nsid w:val="520EEDD1"/>
    <w:multiLevelType w:val="hybridMultilevel"/>
    <w:lvl w:ilvl="0">
      <w:lvlJc w:val="left"/>
      <w:lvlText w:val=" "/>
      <w:numFmt w:val="bullet"/>
      <w:start w:val="1"/>
    </w:lvl>
  </w:abstractNum>
  <w:abstractNum w:abstractNumId="10">
    <w:nsid w:val="374A3FE6"/>
    <w:multiLevelType w:val="hybridMultilevel"/>
    <w:lvl w:ilvl="0">
      <w:lvlJc w:val="left"/>
      <w:lvlText w:val=" "/>
      <w:numFmt w:val="bullet"/>
      <w:start w:val="1"/>
    </w:lvl>
  </w:abstractNum>
  <w:abstractNum w:abstractNumId="11">
    <w:nsid w:val="4F4EF005"/>
    <w:multiLevelType w:val="hybridMultilevel"/>
    <w:lvl w:ilvl="0">
      <w:lvlJc w:val="left"/>
      <w:lvlText w:val=" "/>
      <w:numFmt w:val="bullet"/>
      <w:start w:val="1"/>
    </w:lvl>
  </w:abstractNum>
  <w:abstractNum w:abstractNumId="12">
    <w:nsid w:val="23F9C13C"/>
    <w:multiLevelType w:val="hybridMultilevel"/>
    <w:lvl w:ilvl="0">
      <w:lvlJc w:val="left"/>
      <w:lvlText w:val=" "/>
      <w:numFmt w:val="bullet"/>
      <w:start w:val="1"/>
    </w:lvl>
  </w:abstractNum>
  <w:abstractNum w:abstractNumId="13">
    <w:nsid w:val="649BB77C"/>
    <w:multiLevelType w:val="hybridMultilevel"/>
    <w:lvl w:ilvl="0">
      <w:lvlJc w:val="left"/>
      <w:lvlText w:val=" "/>
      <w:numFmt w:val="bullet"/>
      <w:start w:val="1"/>
    </w:lvl>
  </w:abstractNum>
  <w:abstractNum w:abstractNumId="14">
    <w:nsid w:val="275AC794"/>
    <w:multiLevelType w:val="hybridMultilevel"/>
    <w:lvl w:ilvl="0">
      <w:lvlJc w:val="left"/>
      <w:lvlText w:val=" "/>
      <w:numFmt w:val="bullet"/>
      <w:start w:val="1"/>
    </w:lvl>
  </w:abstractNum>
  <w:abstractNum w:abstractNumId="15">
    <w:nsid w:val="39386575"/>
    <w:multiLevelType w:val="hybridMultilevel"/>
    <w:lvl w:ilvl="0">
      <w:lvlJc w:val="left"/>
      <w:lvlText w:val=" "/>
      <w:numFmt w:val="bullet"/>
      <w:start w:val="1"/>
    </w:lvl>
  </w:abstractNum>
  <w:abstractNum w:abstractNumId="16">
    <w:nsid w:val="1CF10FD8"/>
    <w:multiLevelType w:val="hybridMultilevel"/>
    <w:lvl w:ilvl="0">
      <w:lvlJc w:val="left"/>
      <w:lvlText w:val="%1"/>
      <w:numFmt w:val="decimal"/>
      <w:start w:val="10"/>
    </w:lvl>
  </w:abstractNum>
  <w:abstractNum w:abstractNumId="17">
    <w:nsid w:val="180115BE"/>
    <w:multiLevelType w:val="hybridMultilevel"/>
    <w:lvl w:ilvl="0">
      <w:lvlJc w:val="left"/>
      <w:lvlText w:val=" "/>
      <w:numFmt w:val="bullet"/>
      <w:start w:val="1"/>
    </w:lvl>
  </w:abstractNum>
  <w:abstractNum w:abstractNumId="18">
    <w:nsid w:val="235BA861"/>
    <w:multiLevelType w:val="hybridMultilevel"/>
    <w:lvl w:ilvl="0">
      <w:lvlJc w:val="left"/>
      <w:lvlText w:val=" "/>
      <w:numFmt w:val="bullet"/>
      <w:start w:val="1"/>
    </w:lvl>
  </w:abstractNum>
  <w:abstractNum w:abstractNumId="19">
    <w:nsid w:val="47398C89"/>
    <w:multiLevelType w:val="hybridMultilevel"/>
    <w:lvl w:ilvl="0">
      <w:lvlJc w:val="left"/>
      <w:lvlText w:val=" "/>
      <w:numFmt w:val="bullet"/>
      <w:start w:val="1"/>
    </w:lvl>
  </w:abstractNum>
  <w:abstractNum w:abstractNumId="20">
    <w:nsid w:val="354FE9F9"/>
    <w:multiLevelType w:val="hybridMultilevel"/>
    <w:lvl w:ilvl="0">
      <w:lvlJc w:val="left"/>
      <w:lvlText w:val=" "/>
      <w:numFmt w:val="bullet"/>
      <w:start w:val="1"/>
    </w:lvl>
  </w:abstractNum>
  <w:abstractNum w:abstractNumId="21">
    <w:nsid w:val="15B5AF5C"/>
    <w:multiLevelType w:val="hybridMultilevel"/>
    <w:lvl w:ilvl="0">
      <w:lvlJc w:val="left"/>
      <w:lvlText w:val=" "/>
      <w:numFmt w:val="bullet"/>
      <w:start w:val="1"/>
    </w:lvl>
  </w:abstractNum>
  <w:abstractNum w:abstractNumId="22">
    <w:nsid w:val="741226BB"/>
    <w:multiLevelType w:val="hybridMultilevel"/>
    <w:lvl w:ilvl="0">
      <w:lvlJc w:val="left"/>
      <w:lvlText w:val=" "/>
      <w:numFmt w:val="bullet"/>
      <w:start w:val="1"/>
    </w:lvl>
  </w:abstractNum>
  <w:abstractNum w:abstractNumId="23">
    <w:nsid w:val="D34B6A8"/>
    <w:multiLevelType w:val="hybridMultilevel"/>
    <w:lvl w:ilvl="0">
      <w:lvlJc w:val="left"/>
      <w:lvlText w:val=" "/>
      <w:numFmt w:val="bullet"/>
      <w:start w:val="1"/>
    </w:lvl>
  </w:abstractNum>
  <w:abstractNum w:abstractNumId="24">
    <w:nsid w:val="10233C99"/>
    <w:multiLevelType w:val="hybridMultilevel"/>
    <w:lvl w:ilvl="0">
      <w:lvlJc w:val="left"/>
      <w:lvlText w:val=" "/>
      <w:numFmt w:val="bullet"/>
      <w:start w:val="1"/>
    </w:lvl>
  </w:abstractNum>
  <w:abstractNum w:abstractNumId="25">
    <w:nsid w:val="3F6AB60F"/>
    <w:multiLevelType w:val="hybridMultilevel"/>
    <w:lvl w:ilvl="0">
      <w:lvlJc w:val="left"/>
      <w:lvlText w:val="%1"/>
      <w:numFmt w:val="decimal"/>
      <w:start w:val="12"/>
    </w:lvl>
  </w:abstractNum>
  <w:abstractNum w:abstractNumId="26">
    <w:nsid w:val="61574095"/>
    <w:multiLevelType w:val="hybridMultilevel"/>
    <w:lvl w:ilvl="0">
      <w:lvlJc w:val="left"/>
      <w:lvlText w:val=" "/>
      <w:numFmt w:val="bullet"/>
      <w:start w:val="1"/>
    </w:lvl>
  </w:abstractNum>
  <w:abstractNum w:abstractNumId="27">
    <w:nsid w:val="7E0C57B1"/>
    <w:multiLevelType w:val="hybridMultilevel"/>
    <w:lvl w:ilvl="0">
      <w:lvlJc w:val="left"/>
      <w:lvlText w:val=" "/>
      <w:numFmt w:val="bullet"/>
      <w:start w:val="1"/>
    </w:lvl>
  </w:abstractNum>
  <w:abstractNum w:abstractNumId="28">
    <w:nsid w:val="77AE35EB"/>
    <w:multiLevelType w:val="hybridMultilevel"/>
    <w:lvl w:ilvl="0">
      <w:lvlJc w:val="left"/>
      <w:lvlText w:val=" "/>
      <w:numFmt w:val="bullet"/>
      <w:start w:val="1"/>
    </w:lvl>
  </w:abstractNum>
  <w:abstractNum w:abstractNumId="29">
    <w:nsid w:val="579BE4F1"/>
    <w:multiLevelType w:val="hybridMultilevel"/>
    <w:lvl w:ilvl="0">
      <w:lvlJc w:val="left"/>
      <w:lvlText w:val=" "/>
      <w:numFmt w:val="bullet"/>
      <w:start w:val="1"/>
    </w:lvl>
  </w:abstractNum>
  <w:abstractNum w:abstractNumId="30">
    <w:nsid w:val="310C50B3"/>
    <w:multiLevelType w:val="hybridMultilevel"/>
    <w:lvl w:ilvl="0">
      <w:lvlJc w:val="left"/>
      <w:lvlText w:val=" "/>
      <w:numFmt w:val="bullet"/>
      <w:start w:val="1"/>
    </w:lvl>
  </w:abstractNum>
  <w:abstractNum w:abstractNumId="31">
    <w:nsid w:val="5FF87E05"/>
    <w:multiLevelType w:val="hybridMultilevel"/>
    <w:lvl w:ilvl="0">
      <w:lvlJc w:val="left"/>
      <w:lvlText w:val="%1"/>
      <w:numFmt w:val="decimal"/>
      <w:start w:val="14"/>
    </w:lvl>
  </w:abstractNum>
  <w:abstractNum w:abstractNumId="32">
    <w:nsid w:val="2F305DEF"/>
    <w:multiLevelType w:val="hybridMultilevel"/>
    <w:lvl w:ilvl="0">
      <w:lvlJc w:val="left"/>
      <w:lvlText w:val="%1"/>
      <w:numFmt w:val="decimal"/>
      <w:start w:val="16"/>
    </w:lvl>
  </w:abstractNum>
  <w:abstractNum w:abstractNumId="33">
    <w:nsid w:val="25A70BF7"/>
    <w:multiLevelType w:val="hybridMultilevel"/>
    <w:lvl w:ilvl="0">
      <w:lvlJc w:val="left"/>
      <w:lvlText w:val="%1"/>
      <w:numFmt w:val="decimal"/>
      <w:start w:val="18"/>
    </w:lvl>
  </w:abstractNum>
  <w:abstractNum w:abstractNumId="34">
    <w:nsid w:val="1DBABF00"/>
    <w:multiLevelType w:val="hybridMultilevel"/>
    <w:lvl w:ilvl="0">
      <w:lvlJc w:val="left"/>
      <w:lvlText w:val="%1"/>
      <w:numFmt w:val="decimal"/>
      <w:start w:val="20"/>
    </w:lvl>
  </w:abstractNum>
  <w:abstractNum w:abstractNumId="35">
    <w:nsid w:val="4AD084E9"/>
    <w:multiLevelType w:val="hybridMultilevel"/>
    <w:lvl w:ilvl="0">
      <w:lvlJc w:val="left"/>
      <w:lvlText w:val="%1"/>
      <w:numFmt w:val="decimal"/>
      <w:start w:val="22"/>
    </w:lvl>
  </w:abstractNum>
  <w:abstractNum w:abstractNumId="36">
    <w:nsid w:val="1F48EAA1"/>
    <w:multiLevelType w:val="hybridMultilevel"/>
    <w:lvl w:ilvl="0">
      <w:lvlJc w:val="left"/>
      <w:lvlText w:val="%1"/>
      <w:numFmt w:val="decimal"/>
      <w:start w:val="24"/>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3"/>
    </w:lvl>
  </w:abstractNum>
  <w:abstractNum w:abstractNumId="40">
    <w:nsid w:val="6590700B"/>
    <w:multiLevelType w:val="hybridMultilevel"/>
    <w:lvl w:ilvl="0">
      <w:lvlJc w:val="left"/>
      <w:lvlText w:val="%1"/>
      <w:numFmt w:val="decimal"/>
      <w:start w:val="26"/>
    </w:lvl>
  </w:abstractNum>
  <w:abstractNum w:abstractNumId="41">
    <w:nsid w:val="15014ACB"/>
    <w:multiLevelType w:val="hybridMultilevel"/>
    <w:lvl w:ilvl="0">
      <w:lvlJc w:val="left"/>
      <w:lvlText w:val="%1"/>
      <w:numFmt w:val="decimal"/>
      <w:start w:val="28"/>
    </w:lvl>
  </w:abstractNum>
  <w:abstractNum w:abstractNumId="42">
    <w:nsid w:val="5F5E7FD0"/>
    <w:multiLevelType w:val="hybridMultilevel"/>
    <w:lvl w:ilvl="0">
      <w:lvlJc w:val="left"/>
      <w:lvlText w:val="%1"/>
      <w:numFmt w:val="decimal"/>
      <w:start w:val="30"/>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32"/>
    </w:lvl>
  </w:abstractNum>
  <w:abstractNum w:abstractNumId="45">
    <w:nsid w:val="6B94764"/>
    <w:multiLevelType w:val="hybridMultilevel"/>
    <w:lvl w:ilvl="0">
      <w:lvlJc w:val="left"/>
      <w:lvlText w:val="%1"/>
      <w:numFmt w:val="decimal"/>
      <w:start w:val="34"/>
    </w:lvl>
  </w:abstractNum>
  <w:abstractNum w:abstractNumId="46">
    <w:nsid w:val="42C296BD"/>
    <w:multiLevelType w:val="hybridMultilevel"/>
    <w:lvl w:ilvl="0">
      <w:lvlJc w:val="left"/>
      <w:lvlText w:val="%1"/>
      <w:numFmt w:val="decimal"/>
      <w:start w:val="36"/>
    </w:lvl>
  </w:abstractNum>
  <w:abstractNum w:abstractNumId="47">
    <w:nsid w:val="168E121F"/>
    <w:multiLevelType w:val="hybridMultilevel"/>
    <w:lvl w:ilvl="0">
      <w:lvlJc w:val="left"/>
      <w:lvlText w:val="%1"/>
      <w:numFmt w:val="decimal"/>
      <w:start w:val="38"/>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40"/>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2"/>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decimal"/>
      <w:start w:val="42"/>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44"/>
    </w:lvl>
  </w:abstractNum>
  <w:abstractNum w:abstractNumId="57">
    <w:nsid w:val="42963E5A"/>
    <w:multiLevelType w:val="hybridMultilevel"/>
    <w:lvl w:ilvl="0">
      <w:lvlJc w:val="left"/>
      <w:lvlText w:val="(%1)"/>
      <w:numFmt w:val="lowerRoman"/>
      <w:start w:val="2"/>
    </w:lvl>
  </w:abstractNum>
  <w:abstractNum w:abstractNumId="58">
    <w:nsid w:val="A0382C5"/>
    <w:multiLevelType w:val="hybridMultilevel"/>
    <w:lvl w:ilvl="0">
      <w:lvlJc w:val="left"/>
      <w:lvlText w:val="%1"/>
      <w:numFmt w:val="decimal"/>
      <w:start w:val="46"/>
    </w:lvl>
  </w:abstractNum>
  <w:abstractNum w:abstractNumId="59">
    <w:nsid w:val="8F2B15E"/>
    <w:multiLevelType w:val="hybridMultilevel"/>
    <w:lvl w:ilvl="0">
      <w:lvlJc w:val="left"/>
      <w:lvlText w:val="%1"/>
      <w:numFmt w:val="decimal"/>
      <w:start w:val="48"/>
    </w:lvl>
  </w:abstractNum>
  <w:abstractNum w:abstractNumId="60">
    <w:nsid w:val="1A32234B"/>
    <w:multiLevelType w:val="hybridMultilevel"/>
    <w:lvl w:ilvl="0">
      <w:lvlJc w:val="left"/>
      <w:lvlText w:val="(%1)"/>
      <w:numFmt w:val="decimal"/>
      <w:start w:val="1"/>
    </w:lvl>
    <w:lvl w:ilvl="1">
      <w:lvlJc w:val="left"/>
      <w:lvlText w:val="(%2)"/>
      <w:numFmt w:val="lowerLetter"/>
      <w:start w:val="1"/>
    </w:lvl>
  </w:abstractNum>
  <w:abstractNum w:abstractNumId="61">
    <w:nsid w:val="3B0FD379"/>
    <w:multiLevelType w:val="hybridMultilevel"/>
    <w:lvl w:ilvl="0">
      <w:lvlJc w:val="left"/>
      <w:lvlText w:val="%1"/>
      <w:numFmt w:val="decimal"/>
      <w:start w:val="1"/>
    </w:lvl>
    <w:lvl w:ilvl="1">
      <w:lvlJc w:val="left"/>
      <w:lvlText w:val="(%2)"/>
      <w:numFmt w:val="lowerLetter"/>
      <w:start w:val="2"/>
    </w:lvl>
  </w:abstractNum>
  <w:abstractNum w:abstractNumId="62">
    <w:nsid w:val="68EB2F63"/>
    <w:multiLevelType w:val="hybridMultilevel"/>
    <w:lvl w:ilvl="0">
      <w:lvlJc w:val="left"/>
      <w:lvlText w:val="(%1)"/>
      <w:numFmt w:val="decimal"/>
      <w:start w:val="6"/>
    </w:lvl>
    <w:lvl w:ilvl="1">
      <w:lvlJc w:val="left"/>
      <w:lvlText w:val="%2"/>
      <w:numFmt w:val="lowerLetter"/>
      <w:start w:val="1"/>
    </w:lvl>
  </w:abstractNum>
  <w:abstractNum w:abstractNumId="63">
    <w:nsid w:val="4962813B"/>
    <w:multiLevelType w:val="hybridMultilevel"/>
    <w:lvl w:ilvl="0">
      <w:lvlJc w:val="left"/>
      <w:lvlText w:val="%1"/>
      <w:numFmt w:val="decimal"/>
      <w:start w:val="50"/>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52"/>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54"/>
    </w:lvl>
  </w:abstractNum>
  <w:abstractNum w:abstractNumId="69">
    <w:nsid w:val="71EA1109"/>
    <w:multiLevelType w:val="hybridMultilevel"/>
    <w:lvl w:ilvl="0">
      <w:lvlJc w:val="left"/>
      <w:lvlText w:val="%1"/>
      <w:numFmt w:val="decimal"/>
      <w:start w:val="56"/>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58"/>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1"/>
      <w:numFmt w:val="decimal"/>
      <w:start w:val="60"/>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1"/>
    </w:lvl>
    <w:lvl w:ilvl="1">
      <w:lvlJc w:val="left"/>
      <w:lvlText w:val="(%2)"/>
      <w:numFmt w:val="lowerLetter"/>
      <w:start w:val="1"/>
    </w:lvl>
  </w:abstractNum>
  <w:abstractNum w:abstractNumId="76">
    <w:nsid w:val="76272110"/>
    <w:multiLevelType w:val="hybridMultilevel"/>
    <w:lvl w:ilvl="0">
      <w:lvlJc w:val="left"/>
      <w:lvlText w:val="(%1)"/>
      <w:numFmt w:val="decimal"/>
      <w:start w:val="2"/>
    </w:lvl>
    <w:lvl w:ilvl="1">
      <w:lvlJc w:val="left"/>
      <w:lvlText w:val="%2"/>
      <w:numFmt w:val="lowerLetter"/>
      <w:start w:val="1"/>
    </w:lvl>
  </w:abstractNum>
  <w:abstractNum w:abstractNumId="77">
    <w:nsid w:val="4C04A8AF"/>
    <w:multiLevelType w:val="hybridMultilevel"/>
    <w:lvl w:ilvl="0">
      <w:lvlJc w:val="left"/>
      <w:lvlText w:val="(%1)"/>
      <w:numFmt w:val="decimal"/>
      <w:start w:val="3"/>
    </w:lvl>
  </w:abstractNum>
  <w:abstractNum w:abstractNumId="78">
    <w:nsid w:val="1716703B"/>
    <w:multiLevelType w:val="hybridMultilevel"/>
    <w:lvl w:ilvl="0">
      <w:lvlJc w:val="left"/>
      <w:lvlText w:val="(%1)"/>
      <w:numFmt w:val="decimal"/>
      <w:start w:val="4"/>
    </w:lvl>
  </w:abstractNum>
  <w:abstractNum w:abstractNumId="79">
    <w:nsid w:val="14E17E33"/>
    <w:multiLevelType w:val="hybridMultilevel"/>
    <w:lvl w:ilvl="0">
      <w:lvlJc w:val="left"/>
      <w:lvlText w:val="(%1)"/>
      <w:numFmt w:val="decimal"/>
      <w:start w:val="5"/>
    </w:lvl>
  </w:abstractNum>
  <w:abstractNum w:abstractNumId="80">
    <w:nsid w:val="3222E7CD"/>
    <w:multiLevelType w:val="hybridMultilevel"/>
    <w:lvl w:ilvl="0">
      <w:lvlJc w:val="left"/>
      <w:lvlText w:val="%1"/>
      <w:numFmt w:val="decimal"/>
      <w:start w:val="64"/>
    </w:lvl>
  </w:abstractNum>
  <w:abstractNum w:abstractNumId="81">
    <w:nsid w:val="74DE0EE3"/>
    <w:multiLevelType w:val="hybridMultilevel"/>
    <w:lvl w:ilvl="0">
      <w:lvlJc w:val="left"/>
      <w:lvlText w:val="%1"/>
      <w:numFmt w:val="decimal"/>
      <w:start w:val="66"/>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3"/>
    </w:lvl>
  </w:abstractNum>
  <w:abstractNum w:abstractNumId="85">
    <w:nsid w:val="4A2AC315"/>
    <w:multiLevelType w:val="hybridMultilevel"/>
    <w:lvl w:ilvl="0">
      <w:lvlJc w:val="left"/>
      <w:lvlText w:val="%1"/>
      <w:numFmt w:val="decimal"/>
      <w:start w:val="68"/>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70"/>
    </w:lvl>
  </w:abstractNum>
  <w:abstractNum w:abstractNumId="88">
    <w:nsid w:val="CC1016F"/>
    <w:multiLevelType w:val="hybridMultilevel"/>
    <w:lvl w:ilvl="0">
      <w:lvlJc w:val="left"/>
      <w:lvlText w:val="%1"/>
      <w:numFmt w:val="decimal"/>
      <w:start w:val="72"/>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1"/>
      <w:numFmt w:val="decimal"/>
      <w:start w:val="74"/>
    </w:lvl>
  </w:abstractNum>
  <w:abstractNum w:abstractNumId="91">
    <w:nsid w:val="26F324BA"/>
    <w:multiLevelType w:val="hybridMultilevel"/>
    <w:lvl w:ilvl="0">
      <w:lvlJc w:val="left"/>
      <w:lvlText w:val="%1"/>
      <w:numFmt w:val="decimal"/>
      <w:start w:val="76"/>
    </w:lvl>
  </w:abstractNum>
  <w:abstractNum w:abstractNumId="92">
    <w:nsid w:val="7F01579B"/>
    <w:multiLevelType w:val="hybridMultilevel"/>
    <w:lvl w:ilvl="0">
      <w:lvlJc w:val="left"/>
      <w:lvlText w:val="%1"/>
      <w:numFmt w:val="decimal"/>
      <w:start w:val="78"/>
    </w:lvl>
  </w:abstractNum>
  <w:abstractNum w:abstractNumId="93">
    <w:nsid w:val="49DA307D"/>
    <w:multiLevelType w:val="hybridMultilevel"/>
    <w:lvl w:ilvl="0">
      <w:lvlJc w:val="left"/>
      <w:lvlText w:val="(%1)"/>
      <w:numFmt w:val="lowerLetter"/>
      <w:start w:val="1"/>
    </w:lvl>
  </w:abstractNum>
  <w:abstractNum w:abstractNumId="94">
    <w:nsid w:val="7055A5F5"/>
    <w:multiLevelType w:val="hybridMultilevel"/>
    <w:lvl w:ilvl="0">
      <w:lvlJc w:val="left"/>
      <w:lvlText w:val="%1"/>
      <w:numFmt w:val="decimal"/>
      <w:start w:val="80"/>
    </w:lvl>
  </w:abstractNum>
  <w:abstractNum w:abstractNumId="95">
    <w:nsid w:val="5FB8370B"/>
    <w:multiLevelType w:val="hybridMultilevel"/>
    <w:lvl w:ilvl="0">
      <w:lvlJc w:val="left"/>
      <w:lvlText w:val="(%1)"/>
      <w:numFmt w:val="lowerLetter"/>
      <w:start w:val="3"/>
    </w:lvl>
  </w:abstractNum>
  <w:abstractNum w:abstractNumId="96">
    <w:nsid w:val="50801E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2026-05-04T05:10:09Z</dcterms:created>
  <dcterms:modified xsi:type="dcterms:W3CDTF">2026-05-04T05:10:09Z</dcterms:modified>
</cp:coreProperties>
</file>