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01" w:lineRule="exact"/>
        <w:rPr>
          <w:sz w:val="24"/>
          <w:szCs w:val="24"/>
          <w:color w:val="auto"/>
        </w:rPr>
      </w:pPr>
    </w:p>
    <w:p>
      <w:pPr>
        <w:jc w:val="center"/>
        <w:ind w:right="-780"/>
        <w:spacing w:after="0"/>
        <w:rPr>
          <w:sz w:val="20"/>
          <w:szCs w:val="20"/>
          <w:color w:val="auto"/>
        </w:rPr>
      </w:pPr>
      <w:r>
        <w:rPr>
          <w:rFonts w:ascii="Arial" w:cs="Arial" w:eastAsia="Arial" w:hAnsi="Arial"/>
          <w:sz w:val="29"/>
          <w:szCs w:val="29"/>
          <w:b w:val="1"/>
          <w:bCs w:val="1"/>
          <w:color w:val="auto"/>
        </w:rPr>
        <w:t>UNITED STATES</w:t>
      </w:r>
    </w:p>
    <w:p>
      <w:pPr>
        <w:jc w:val="center"/>
        <w:ind w:right="-86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SCHEDULE 14A</w:t>
      </w:r>
    </w:p>
    <w:p>
      <w:pPr>
        <w:spacing w:after="0" w:line="5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800"/>
        <w:spacing w:after="0" w:line="203" w:lineRule="auto"/>
        <w:rPr>
          <w:sz w:val="20"/>
          <w:szCs w:val="20"/>
          <w:color w:val="auto"/>
        </w:rPr>
      </w:pPr>
      <w:r>
        <w:rPr>
          <w:rFonts w:ascii="Arial" w:cs="Arial" w:eastAsia="Arial" w:hAnsi="Arial"/>
          <w:sz w:val="18"/>
          <w:szCs w:val="18"/>
          <w:b w:val="1"/>
          <w:bCs w:val="1"/>
          <w:color w:val="auto"/>
        </w:rPr>
        <w:t>Securities Exchange Act of 1934</w:t>
      </w:r>
    </w:p>
    <w:p>
      <w:pPr>
        <w:jc w:val="center"/>
        <w:ind w:right="-860"/>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44" w:lineRule="exact"/>
        <w:rPr>
          <w:sz w:val="24"/>
          <w:szCs w:val="24"/>
          <w:color w:val="auto"/>
        </w:rPr>
      </w:pPr>
    </w:p>
    <w:p>
      <w:pPr>
        <w:ind w:left="1260"/>
        <w:spacing w:after="0" w:line="207" w:lineRule="exact"/>
        <w:tabs>
          <w:tab w:leader="none" w:pos="4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6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9" w:lineRule="exact"/>
        <w:rPr>
          <w:sz w:val="24"/>
          <w:szCs w:val="24"/>
          <w:color w:val="auto"/>
        </w:rPr>
      </w:pPr>
    </w:p>
    <w:p>
      <w:pPr>
        <w:ind w:left="1620" w:hanging="354"/>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 w:lineRule="exact"/>
        <w:rPr>
          <w:sz w:val="24"/>
          <w:szCs w:val="24"/>
          <w:color w:val="auto"/>
        </w:rPr>
      </w:pPr>
    </w:p>
    <w:p>
      <w:pPr>
        <w:ind w:left="1620" w:hanging="354"/>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 w:lineRule="exact"/>
        <w:rPr>
          <w:rFonts w:ascii="MS PGothic" w:cs="MS PGothic" w:eastAsia="MS PGothic" w:hAnsi="MS PGothic"/>
          <w:sz w:val="18"/>
          <w:szCs w:val="18"/>
          <w:color w:val="auto"/>
        </w:rPr>
      </w:pPr>
    </w:p>
    <w:p>
      <w:pPr>
        <w:ind w:left="1620" w:hanging="354"/>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620" w:hanging="354"/>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620" w:hanging="354"/>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55"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NATIONAL VISION HOLDINGS, INC.</w:t>
      </w:r>
    </w:p>
    <w:p>
      <w:pPr>
        <w:spacing w:after="0" w:line="11"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99" w:lineRule="exact"/>
        <w:rPr>
          <w:sz w:val="24"/>
          <w:szCs w:val="24"/>
          <w:color w:val="auto"/>
        </w:rPr>
      </w:pPr>
    </w:p>
    <w:p>
      <w:pPr>
        <w:ind w:left="29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35"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620" w:hanging="354"/>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620" w:hanging="354"/>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980" w:hanging="354"/>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980" w:right="759" w:hanging="354"/>
        <w:spacing w:after="0" w:line="256" w:lineRule="auto"/>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1980" w:hanging="354"/>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620" w:hanging="354"/>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1620" w:right="419" w:hanging="354"/>
        <w:spacing w:after="0" w:line="256" w:lineRule="auto"/>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3" w:lineRule="exact"/>
        <w:rPr>
          <w:rFonts w:ascii="MS PGothic" w:cs="MS PGothic" w:eastAsia="MS PGothic" w:hAnsi="MS PGothic"/>
          <w:sz w:val="18"/>
          <w:szCs w:val="18"/>
          <w:color w:val="auto"/>
        </w:rPr>
      </w:pPr>
    </w:p>
    <w:p>
      <w:pPr>
        <w:ind w:left="1980" w:hanging="354"/>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980" w:hanging="354"/>
        <w:spacing w:after="0"/>
        <w:tabs>
          <w:tab w:leader="none" w:pos="1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1263015</wp:posOffset>
            </wp:positionH>
            <wp:positionV relativeFrom="paragraph">
              <wp:posOffset>-4022090</wp:posOffset>
            </wp:positionV>
            <wp:extent cx="4749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-3619500</wp:posOffset>
            </wp:positionV>
            <wp:extent cx="4749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-2941955</wp:posOffset>
            </wp:positionV>
            <wp:extent cx="4749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-2530475</wp:posOffset>
            </wp:positionV>
            <wp:extent cx="4749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-2127885</wp:posOffset>
            </wp:positionV>
            <wp:extent cx="4749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-1038860</wp:posOffset>
            </wp:positionV>
            <wp:extent cx="4749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-627380</wp:posOffset>
            </wp:positionV>
            <wp:extent cx="4749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-224790</wp:posOffset>
            </wp:positionV>
            <wp:extent cx="4749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177800</wp:posOffset>
            </wp:positionV>
            <wp:extent cx="4749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422275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8"/>
          <w:szCs w:val="18"/>
          <w:color w:val="FC0014"/>
        </w:rPr>
        <w:t>Preliminary Copy</w:t>
      </w:r>
    </w:p>
    <w:p>
      <w:pPr>
        <w:jc w:val="both"/>
        <w:ind w:left="1020"/>
        <w:spacing w:after="0"/>
        <w:rPr>
          <w:sz w:val="20"/>
          <w:szCs w:val="20"/>
          <w:color w:val="auto"/>
        </w:rPr>
      </w:pPr>
      <w:r>
        <w:rPr>
          <w:rFonts w:ascii="Arial" w:cs="Arial" w:eastAsia="Arial" w:hAnsi="Arial"/>
          <w:sz w:val="18"/>
          <w:szCs w:val="18"/>
          <w:color w:val="FC0014"/>
        </w:rPr>
        <w:t>In accordance with Rule 14a-6(d) under Regulation 14A of the Securities Exchange Act of 1934, please be advised that National Vision Holdings, Inc. intends to release definitive copies of this Proxy Statement to security holders on or about April 30, 2021.</w:t>
      </w:r>
    </w:p>
    <w:p>
      <w:pPr>
        <w:spacing w:after="0" w:line="2" w:lineRule="exact"/>
        <w:rPr>
          <w:sz w:val="20"/>
          <w:szCs w:val="20"/>
          <w:color w:val="auto"/>
        </w:rPr>
      </w:pPr>
    </w:p>
    <w:p>
      <w:pPr>
        <w:jc w:val="center"/>
        <w:ind w:right="-659"/>
        <w:spacing w:after="0"/>
        <w:rPr>
          <w:sz w:val="20"/>
          <w:szCs w:val="20"/>
          <w:color w:val="auto"/>
        </w:rPr>
      </w:pPr>
      <w:r>
        <w:rPr>
          <w:rFonts w:ascii="Arial" w:cs="Arial" w:eastAsia="Arial" w:hAnsi="Arial"/>
          <w:sz w:val="58"/>
          <w:szCs w:val="58"/>
          <w:b w:val="1"/>
          <w:bCs w:val="1"/>
          <w:color w:val="3C5896"/>
        </w:rPr>
        <w:t>National Vision Holdings, Inc.</w:t>
      </w:r>
    </w:p>
    <w:p>
      <w:pPr>
        <w:spacing w:after="0" w:line="200" w:lineRule="exact"/>
        <w:rPr>
          <w:sz w:val="20"/>
          <w:szCs w:val="20"/>
          <w:color w:val="auto"/>
        </w:rPr>
      </w:pPr>
    </w:p>
    <w:p>
      <w:pPr>
        <w:spacing w:after="0" w:line="258" w:lineRule="exact"/>
        <w:rPr>
          <w:sz w:val="20"/>
          <w:szCs w:val="20"/>
          <w:color w:val="auto"/>
        </w:rPr>
      </w:pPr>
    </w:p>
    <w:p>
      <w:pPr>
        <w:jc w:val="center"/>
        <w:ind w:right="-559"/>
        <w:spacing w:after="0"/>
        <w:rPr>
          <w:sz w:val="20"/>
          <w:szCs w:val="20"/>
          <w:color w:val="auto"/>
        </w:rPr>
      </w:pPr>
      <w:r>
        <w:rPr>
          <w:rFonts w:ascii="Arial" w:cs="Arial" w:eastAsia="Arial" w:hAnsi="Arial"/>
          <w:sz w:val="40"/>
          <w:szCs w:val="40"/>
          <w:color w:val="3C5896"/>
        </w:rPr>
        <w:t>2021 Proxy Statement</w:t>
      </w:r>
    </w:p>
    <w:p>
      <w:pPr>
        <w:jc w:val="center"/>
        <w:ind w:right="-659"/>
        <w:spacing w:after="0"/>
        <w:rPr>
          <w:sz w:val="20"/>
          <w:szCs w:val="20"/>
          <w:color w:val="auto"/>
        </w:rPr>
      </w:pPr>
      <w:r>
        <w:rPr>
          <w:rFonts w:ascii="Arial" w:cs="Arial" w:eastAsia="Arial" w:hAnsi="Arial"/>
          <w:sz w:val="40"/>
          <w:szCs w:val="40"/>
          <w:color w:val="3C5896"/>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732790</wp:posOffset>
            </wp:positionV>
            <wp:extent cx="3017520" cy="2305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1752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59"/>
        <w:spacing w:after="0"/>
        <w:rPr>
          <w:sz w:val="20"/>
          <w:szCs w:val="20"/>
          <w:color w:val="auto"/>
        </w:rPr>
      </w:pPr>
      <w:r>
        <w:rPr>
          <w:rFonts w:ascii="Arial" w:cs="Arial" w:eastAsia="Arial" w:hAnsi="Arial"/>
          <w:sz w:val="40"/>
          <w:szCs w:val="40"/>
          <w:color w:val="3C5896"/>
        </w:rPr>
        <w:t>Tuesday, June 8, 2021</w:t>
      </w:r>
    </w:p>
    <w:p>
      <w:pPr>
        <w:spacing w:after="0" w:line="24" w:lineRule="exact"/>
        <w:rPr>
          <w:sz w:val="20"/>
          <w:szCs w:val="20"/>
          <w:color w:val="auto"/>
        </w:rPr>
      </w:pPr>
    </w:p>
    <w:p>
      <w:pPr>
        <w:ind w:left="3740"/>
        <w:spacing w:after="0"/>
        <w:rPr>
          <w:sz w:val="20"/>
          <w:szCs w:val="20"/>
          <w:color w:val="auto"/>
        </w:rPr>
      </w:pPr>
      <w:r>
        <w:rPr>
          <w:rFonts w:ascii="Arial" w:cs="Arial" w:eastAsia="Arial" w:hAnsi="Arial"/>
          <w:sz w:val="32"/>
          <w:szCs w:val="32"/>
          <w:color w:val="auto"/>
        </w:rPr>
        <w:t>1:00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1242695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9000" w:type="dxa"/>
            <w:vAlign w:val="bottom"/>
            <w:gridSpan w:val="36"/>
            <w:shd w:val="clear" w:color="auto" w:fill="CCEEFF"/>
          </w:tcPr>
          <w:p>
            <w:pPr>
              <w:spacing w:after="0"/>
              <w:rPr>
                <w:rFonts w:ascii="Arial" w:cs="Arial" w:eastAsia="Arial" w:hAnsi="Arial"/>
                <w:sz w:val="22"/>
                <w:szCs w:val="22"/>
                <w:b w:val="1"/>
                <w:bCs w:val="1"/>
                <w:color w:val="3C5896"/>
              </w:rPr>
            </w:pPr>
            <w:hyperlink w:anchor="page4">
              <w:r>
                <w:rPr>
                  <w:rFonts w:ascii="Arial" w:cs="Arial" w:eastAsia="Arial" w:hAnsi="Arial"/>
                  <w:sz w:val="22"/>
                  <w:szCs w:val="22"/>
                  <w:b w:val="1"/>
                  <w:bCs w:val="1"/>
                  <w:color w:val="3C5896"/>
                </w:rPr>
                <w:t>Letter to Stockholders from our Chairman of the Board of Directors and</w:t>
              </w:r>
            </w:hyperlink>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7280" w:type="dxa"/>
            <w:vAlign w:val="bottom"/>
            <w:tcBorders>
              <w:top w:val="single" w:sz="8" w:color="3C5896"/>
              <w:bottom w:val="single" w:sz="8" w:color="auto"/>
            </w:tcBorders>
            <w:gridSpan w:val="33"/>
            <w:shd w:val="clear" w:color="auto" w:fill="CCEEFF"/>
          </w:tcPr>
          <w:p>
            <w:pPr>
              <w:spacing w:after="0" w:line="183" w:lineRule="exact"/>
              <w:rPr>
                <w:rFonts w:ascii="Arial" w:cs="Arial" w:eastAsia="Arial" w:hAnsi="Arial"/>
                <w:sz w:val="21"/>
                <w:szCs w:val="21"/>
                <w:b w:val="1"/>
                <w:bCs w:val="1"/>
                <w:color w:val="3C5896"/>
              </w:rPr>
            </w:pPr>
            <w:hyperlink w:anchor="page4">
              <w:r>
                <w:rPr>
                  <w:rFonts w:ascii="Arial" w:cs="Arial" w:eastAsia="Arial" w:hAnsi="Arial"/>
                  <w:sz w:val="21"/>
                  <w:szCs w:val="21"/>
                  <w:b w:val="1"/>
                  <w:bCs w:val="1"/>
                  <w:color w:val="3C5896"/>
                </w:rPr>
                <w:t>Chief Executive Officer</w:t>
              </w:r>
            </w:hyperlink>
          </w:p>
        </w:tc>
        <w:tc>
          <w:tcPr>
            <w:tcW w:w="760" w:type="dxa"/>
            <w:vAlign w:val="bottom"/>
            <w:tcBorders>
              <w:top w:val="single" w:sz="8" w:color="CCEEFF"/>
              <w:bottom w:val="single" w:sz="8" w:color="auto"/>
            </w:tcBorders>
            <w:shd w:val="clear" w:color="auto" w:fill="CCEEFF"/>
          </w:tcPr>
          <w:p>
            <w:pPr>
              <w:spacing w:after="0"/>
              <w:rPr>
                <w:sz w:val="22"/>
                <w:szCs w:val="22"/>
                <w:color w:val="auto"/>
              </w:rPr>
            </w:pPr>
          </w:p>
        </w:tc>
        <w:tc>
          <w:tcPr>
            <w:tcW w:w="260" w:type="dxa"/>
            <w:vAlign w:val="bottom"/>
            <w:tcBorders>
              <w:top w:val="single" w:sz="8" w:color="CCEEFF"/>
              <w:bottom w:val="single" w:sz="8" w:color="auto"/>
            </w:tcBorders>
            <w:shd w:val="clear" w:color="auto" w:fill="CCEEFF"/>
          </w:tcPr>
          <w:p>
            <w:pPr>
              <w:spacing w:after="0"/>
              <w:rPr>
                <w:sz w:val="22"/>
                <w:szCs w:val="22"/>
                <w:color w:val="auto"/>
              </w:rPr>
            </w:pPr>
          </w:p>
        </w:tc>
        <w:tc>
          <w:tcPr>
            <w:tcW w:w="700" w:type="dxa"/>
            <w:vAlign w:val="bottom"/>
            <w:tcBorders>
              <w:top w:val="single" w:sz="8" w:color="CCEEFF"/>
              <w:bottom w:val="single" w:sz="8" w:color="auto"/>
            </w:tcBorders>
            <w:shd w:val="clear" w:color="auto" w:fill="CCEEFF"/>
          </w:tcPr>
          <w:p>
            <w:pPr>
              <w:spacing w:after="0"/>
              <w:rPr>
                <w:sz w:val="22"/>
                <w:szCs w:val="22"/>
                <w:color w:val="auto"/>
              </w:rPr>
            </w:pPr>
          </w:p>
        </w:tc>
        <w:tc>
          <w:tcPr>
            <w:tcW w:w="200" w:type="dxa"/>
            <w:vAlign w:val="bottom"/>
            <w:tcBorders>
              <w:top w:val="single" w:sz="8" w:color="CCEEFF"/>
              <w:bottom w:val="single" w:sz="8" w:color="auto"/>
            </w:tcBorders>
            <w:gridSpan w:val="2"/>
            <w:shd w:val="clear" w:color="auto" w:fill="CCEEFF"/>
          </w:tcPr>
          <w:p>
            <w:pPr>
              <w:jc w:val="right"/>
              <w:spacing w:after="0" w:line="182" w:lineRule="exact"/>
              <w:rPr>
                <w:rFonts w:ascii="Arial" w:cs="Arial" w:eastAsia="Arial" w:hAnsi="Arial"/>
                <w:sz w:val="18"/>
                <w:szCs w:val="18"/>
                <w:b w:val="1"/>
                <w:bCs w:val="1"/>
                <w:color w:val="3C5896"/>
              </w:rPr>
            </w:pPr>
            <w:hyperlink w:anchor="page4">
              <w:r>
                <w:rPr>
                  <w:rFonts w:ascii="Arial" w:cs="Arial" w:eastAsia="Arial" w:hAnsi="Arial"/>
                  <w:sz w:val="18"/>
                  <w:szCs w:val="18"/>
                  <w:b w:val="1"/>
                  <w:bCs w:val="1"/>
                  <w:color w:val="3C5896"/>
                </w:rPr>
                <w:t>1</w:t>
              </w:r>
            </w:hyperlink>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9000" w:type="dxa"/>
            <w:vAlign w:val="bottom"/>
            <w:gridSpan w:val="36"/>
          </w:tcPr>
          <w:p>
            <w:pPr>
              <w:spacing w:after="0"/>
              <w:rPr>
                <w:sz w:val="20"/>
                <w:szCs w:val="20"/>
                <w:color w:val="auto"/>
              </w:rPr>
            </w:pPr>
            <w:r>
              <w:rPr>
                <w:rFonts w:ascii="Arial" w:cs="Arial" w:eastAsia="Arial" w:hAnsi="Arial"/>
                <w:sz w:val="22"/>
                <w:szCs w:val="22"/>
                <w:b w:val="1"/>
                <w:bCs w:val="1"/>
                <w:color w:val="3C5896"/>
              </w:rPr>
              <w:t>Notice of Annual Meeting of Stockholders</w:t>
            </w:r>
          </w:p>
        </w:tc>
        <w:tc>
          <w:tcPr>
            <w:tcW w:w="960" w:type="dxa"/>
            <w:vAlign w:val="bottom"/>
            <w:gridSpan w:val="3"/>
          </w:tcPr>
          <w:p>
            <w:pPr>
              <w:jc w:val="right"/>
              <w:ind w:right="760"/>
              <w:spacing w:after="0"/>
              <w:rPr>
                <w:rFonts w:ascii="Arial" w:cs="Arial" w:eastAsia="Arial" w:hAnsi="Arial"/>
                <w:sz w:val="18"/>
                <w:szCs w:val="18"/>
                <w:b w:val="1"/>
                <w:bCs w:val="1"/>
                <w:color w:val="3C5896"/>
              </w:rPr>
            </w:pPr>
            <w:hyperlink w:anchor="page6">
              <w:r>
                <w:rPr>
                  <w:rFonts w:ascii="Arial" w:cs="Arial" w:eastAsia="Arial" w:hAnsi="Arial"/>
                  <w:sz w:val="18"/>
                  <w:szCs w:val="18"/>
                  <w:b w:val="1"/>
                  <w:bCs w:val="1"/>
                  <w:color w:val="3C5896"/>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top w:val="single" w:sz="8" w:color="3C5896"/>
              <w:bottom w:val="single" w:sz="8" w:color="auto"/>
            </w:tcBorders>
          </w:tcPr>
          <w:p>
            <w:pPr>
              <w:spacing w:after="0" w:line="20" w:lineRule="exact"/>
              <w:rPr>
                <w:sz w:val="1"/>
                <w:szCs w:val="1"/>
                <w:color w:val="auto"/>
              </w:rPr>
            </w:pPr>
          </w:p>
        </w:tc>
        <w:tc>
          <w:tcPr>
            <w:tcW w:w="920" w:type="dxa"/>
            <w:vAlign w:val="bottom"/>
            <w:tcBorders>
              <w:top w:val="single" w:sz="8" w:color="3C5896"/>
              <w:bottom w:val="single" w:sz="8" w:color="auto"/>
            </w:tcBorders>
          </w:tcPr>
          <w:p>
            <w:pPr>
              <w:spacing w:after="0" w:line="20" w:lineRule="exact"/>
              <w:rPr>
                <w:sz w:val="1"/>
                <w:szCs w:val="1"/>
                <w:color w:val="auto"/>
              </w:rPr>
            </w:pPr>
          </w:p>
        </w:tc>
        <w:tc>
          <w:tcPr>
            <w:tcW w:w="300" w:type="dxa"/>
            <w:vAlign w:val="bottom"/>
            <w:tcBorders>
              <w:top w:val="single" w:sz="8" w:color="3C5896"/>
              <w:bottom w:val="single" w:sz="8" w:color="auto"/>
            </w:tcBorders>
          </w:tcPr>
          <w:p>
            <w:pPr>
              <w:spacing w:after="0" w:line="20" w:lineRule="exact"/>
              <w:rPr>
                <w:sz w:val="1"/>
                <w:szCs w:val="1"/>
                <w:color w:val="auto"/>
              </w:rPr>
            </w:pPr>
          </w:p>
        </w:tc>
        <w:tc>
          <w:tcPr>
            <w:tcW w:w="160" w:type="dxa"/>
            <w:vAlign w:val="bottom"/>
            <w:tcBorders>
              <w:top w:val="single" w:sz="8" w:color="3C5896"/>
              <w:bottom w:val="single" w:sz="8" w:color="auto"/>
            </w:tcBorders>
          </w:tcPr>
          <w:p>
            <w:pPr>
              <w:spacing w:after="0" w:line="20" w:lineRule="exact"/>
              <w:rPr>
                <w:sz w:val="1"/>
                <w:szCs w:val="1"/>
                <w:color w:val="auto"/>
              </w:rPr>
            </w:pPr>
          </w:p>
        </w:tc>
        <w:tc>
          <w:tcPr>
            <w:tcW w:w="180" w:type="dxa"/>
            <w:vAlign w:val="bottom"/>
            <w:tcBorders>
              <w:top w:val="single" w:sz="8" w:color="3C5896"/>
              <w:bottom w:val="single" w:sz="8" w:color="auto"/>
            </w:tcBorders>
          </w:tcPr>
          <w:p>
            <w:pPr>
              <w:spacing w:after="0" w:line="20" w:lineRule="exact"/>
              <w:rPr>
                <w:sz w:val="1"/>
                <w:szCs w:val="1"/>
                <w:color w:val="auto"/>
              </w:rPr>
            </w:pPr>
          </w:p>
        </w:tc>
        <w:tc>
          <w:tcPr>
            <w:tcW w:w="260" w:type="dxa"/>
            <w:vAlign w:val="bottom"/>
            <w:tcBorders>
              <w:top w:val="single" w:sz="8" w:color="3C5896"/>
              <w:bottom w:val="single" w:sz="8" w:color="auto"/>
            </w:tcBorders>
          </w:tcPr>
          <w:p>
            <w:pPr>
              <w:spacing w:after="0" w:line="20" w:lineRule="exact"/>
              <w:rPr>
                <w:sz w:val="1"/>
                <w:szCs w:val="1"/>
                <w:color w:val="auto"/>
              </w:rPr>
            </w:pPr>
          </w:p>
        </w:tc>
        <w:tc>
          <w:tcPr>
            <w:tcW w:w="2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180" w:type="dxa"/>
            <w:vAlign w:val="bottom"/>
            <w:tcBorders>
              <w:top w:val="single" w:sz="8" w:color="3C5896"/>
              <w:bottom w:val="single" w:sz="8" w:color="auto"/>
            </w:tcBorders>
          </w:tcPr>
          <w:p>
            <w:pPr>
              <w:spacing w:after="0" w:line="20" w:lineRule="exact"/>
              <w:rPr>
                <w:sz w:val="1"/>
                <w:szCs w:val="1"/>
                <w:color w:val="auto"/>
              </w:rPr>
            </w:pPr>
          </w:p>
        </w:tc>
        <w:tc>
          <w:tcPr>
            <w:tcW w:w="2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480" w:type="dxa"/>
            <w:vAlign w:val="bottom"/>
            <w:tcBorders>
              <w:top w:val="single" w:sz="8" w:color="3C5896"/>
              <w:bottom w:val="single" w:sz="8" w:color="auto"/>
            </w:tcBorders>
          </w:tcPr>
          <w:p>
            <w:pPr>
              <w:spacing w:after="0" w:line="20" w:lineRule="exact"/>
              <w:rPr>
                <w:sz w:val="1"/>
                <w:szCs w:val="1"/>
                <w:color w:val="auto"/>
              </w:rPr>
            </w:pPr>
          </w:p>
        </w:tc>
        <w:tc>
          <w:tcPr>
            <w:tcW w:w="220" w:type="dxa"/>
            <w:vAlign w:val="bottom"/>
            <w:tcBorders>
              <w:top w:val="single" w:sz="8" w:color="3C5896"/>
              <w:bottom w:val="single" w:sz="8" w:color="auto"/>
            </w:tcBorders>
          </w:tcPr>
          <w:p>
            <w:pPr>
              <w:spacing w:after="0" w:line="20" w:lineRule="exact"/>
              <w:rPr>
                <w:sz w:val="1"/>
                <w:szCs w:val="1"/>
                <w:color w:val="auto"/>
              </w:rPr>
            </w:pPr>
          </w:p>
        </w:tc>
        <w:tc>
          <w:tcPr>
            <w:tcW w:w="40" w:type="dxa"/>
            <w:vAlign w:val="bottom"/>
            <w:tcBorders>
              <w:top w:val="single" w:sz="8" w:color="3C5896"/>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 w:type="dxa"/>
            <w:vAlign w:val="bottom"/>
          </w:tcPr>
          <w:p>
            <w:pPr>
              <w:spacing w:after="0"/>
              <w:rPr>
                <w:sz w:val="24"/>
                <w:szCs w:val="24"/>
                <w:color w:val="auto"/>
              </w:rPr>
            </w:pPr>
          </w:p>
        </w:tc>
        <w:tc>
          <w:tcPr>
            <w:tcW w:w="9000" w:type="dxa"/>
            <w:vAlign w:val="bottom"/>
            <w:tcBorders>
              <w:bottom w:val="single" w:sz="8" w:color="auto"/>
            </w:tcBorders>
            <w:gridSpan w:val="36"/>
            <w:shd w:val="clear" w:color="auto" w:fill="CCEEFF"/>
          </w:tcPr>
          <w:p>
            <w:pPr>
              <w:spacing w:after="0"/>
              <w:rPr>
                <w:sz w:val="20"/>
                <w:szCs w:val="20"/>
                <w:color w:val="auto"/>
              </w:rPr>
            </w:pPr>
            <w:r>
              <w:rPr>
                <w:rFonts w:ascii="Arial" w:cs="Arial" w:eastAsia="Arial" w:hAnsi="Arial"/>
                <w:sz w:val="22"/>
                <w:szCs w:val="22"/>
                <w:b w:val="1"/>
                <w:bCs w:val="1"/>
                <w:color w:val="3C5896"/>
              </w:rPr>
              <w:t>Proxy Statement Summary</w:t>
            </w:r>
          </w:p>
        </w:tc>
        <w:tc>
          <w:tcPr>
            <w:tcW w:w="200" w:type="dxa"/>
            <w:vAlign w:val="bottom"/>
            <w:tcBorders>
              <w:bottom w:val="single" w:sz="8" w:color="auto"/>
            </w:tcBorders>
            <w:gridSpan w:val="2"/>
            <w:shd w:val="clear" w:color="auto" w:fill="CCEEFF"/>
          </w:tcPr>
          <w:p>
            <w:pPr>
              <w:jc w:val="right"/>
              <w:spacing w:after="0"/>
              <w:rPr>
                <w:rFonts w:ascii="Arial" w:cs="Arial" w:eastAsia="Arial" w:hAnsi="Arial"/>
                <w:sz w:val="18"/>
                <w:szCs w:val="18"/>
                <w:b w:val="1"/>
                <w:bCs w:val="1"/>
                <w:color w:val="3C5896"/>
              </w:rPr>
            </w:pPr>
            <w:hyperlink w:anchor="page7">
              <w:r>
                <w:rPr>
                  <w:rFonts w:ascii="Arial" w:cs="Arial" w:eastAsia="Arial" w:hAnsi="Arial"/>
                  <w:sz w:val="18"/>
                  <w:szCs w:val="18"/>
                  <w:b w:val="1"/>
                  <w:bCs w:val="1"/>
                  <w:color w:val="3C5896"/>
                </w:rPr>
                <w:t>4</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9000" w:type="dxa"/>
            <w:vAlign w:val="bottom"/>
            <w:gridSpan w:val="36"/>
          </w:tcPr>
          <w:p>
            <w:pPr>
              <w:spacing w:after="0"/>
              <w:rPr>
                <w:sz w:val="20"/>
                <w:szCs w:val="20"/>
                <w:color w:val="auto"/>
              </w:rPr>
            </w:pPr>
            <w:r>
              <w:rPr>
                <w:rFonts w:ascii="Arial" w:cs="Arial" w:eastAsia="Arial" w:hAnsi="Arial"/>
                <w:sz w:val="22"/>
                <w:szCs w:val="22"/>
                <w:b w:val="1"/>
                <w:bCs w:val="1"/>
                <w:color w:val="3C5896"/>
              </w:rPr>
              <w:t>Proxy Statement</w:t>
            </w:r>
          </w:p>
        </w:tc>
        <w:tc>
          <w:tcPr>
            <w:tcW w:w="960" w:type="dxa"/>
            <w:vAlign w:val="bottom"/>
            <w:gridSpan w:val="3"/>
          </w:tcPr>
          <w:p>
            <w:pPr>
              <w:jc w:val="right"/>
              <w:ind w:right="760"/>
              <w:spacing w:after="0"/>
              <w:rPr>
                <w:rFonts w:ascii="Arial" w:cs="Arial" w:eastAsia="Arial" w:hAnsi="Arial"/>
                <w:sz w:val="18"/>
                <w:szCs w:val="18"/>
                <w:b w:val="1"/>
                <w:bCs w:val="1"/>
                <w:color w:val="3C5896"/>
                <w:w w:val="89"/>
              </w:rPr>
            </w:pPr>
            <w:hyperlink w:anchor="page14">
              <w:r>
                <w:rPr>
                  <w:rFonts w:ascii="Arial" w:cs="Arial" w:eastAsia="Arial" w:hAnsi="Arial"/>
                  <w:sz w:val="18"/>
                  <w:szCs w:val="18"/>
                  <w:b w:val="1"/>
                  <w:bCs w:val="1"/>
                  <w:color w:val="3C5896"/>
                  <w:w w:val="89"/>
                </w:rPr>
                <w:t>11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Borders>
              <w:top w:val="single" w:sz="8" w:color="3C5896"/>
              <w:bottom w:val="single" w:sz="8" w:color="auto"/>
            </w:tcBorders>
          </w:tcPr>
          <w:p>
            <w:pPr>
              <w:spacing w:after="0" w:line="20" w:lineRule="exact"/>
              <w:rPr>
                <w:sz w:val="1"/>
                <w:szCs w:val="1"/>
                <w:color w:val="auto"/>
              </w:rPr>
            </w:pPr>
          </w:p>
        </w:tc>
        <w:tc>
          <w:tcPr>
            <w:tcW w:w="920" w:type="dxa"/>
            <w:vAlign w:val="bottom"/>
            <w:tcBorders>
              <w:top w:val="single" w:sz="8" w:color="3C5896"/>
              <w:bottom w:val="single" w:sz="8" w:color="auto"/>
            </w:tcBorders>
          </w:tcPr>
          <w:p>
            <w:pPr>
              <w:spacing w:after="0" w:line="20" w:lineRule="exact"/>
              <w:rPr>
                <w:sz w:val="1"/>
                <w:szCs w:val="1"/>
                <w:color w:val="auto"/>
              </w:rPr>
            </w:pPr>
          </w:p>
        </w:tc>
        <w:tc>
          <w:tcPr>
            <w:tcW w:w="300" w:type="dxa"/>
            <w:vAlign w:val="bottom"/>
            <w:tcBorders>
              <w:top w:val="single" w:sz="8" w:color="3C5896"/>
              <w:bottom w:val="single" w:sz="8" w:color="auto"/>
            </w:tcBorders>
          </w:tcPr>
          <w:p>
            <w:pPr>
              <w:spacing w:after="0" w:line="20" w:lineRule="exact"/>
              <w:rPr>
                <w:sz w:val="1"/>
                <w:szCs w:val="1"/>
                <w:color w:val="auto"/>
              </w:rPr>
            </w:pPr>
          </w:p>
        </w:tc>
        <w:tc>
          <w:tcPr>
            <w:tcW w:w="160" w:type="dxa"/>
            <w:vAlign w:val="bottom"/>
            <w:tcBorders>
              <w:top w:val="single" w:sz="8" w:color="3C5896"/>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60" w:type="dxa"/>
            <w:vAlign w:val="bottom"/>
          </w:tcPr>
          <w:p>
            <w:pPr>
              <w:spacing w:after="0"/>
              <w:rPr>
                <w:sz w:val="24"/>
                <w:szCs w:val="24"/>
                <w:color w:val="auto"/>
              </w:rPr>
            </w:pPr>
          </w:p>
        </w:tc>
        <w:tc>
          <w:tcPr>
            <w:tcW w:w="9000" w:type="dxa"/>
            <w:vAlign w:val="bottom"/>
            <w:tcBorders>
              <w:bottom w:val="single" w:sz="8" w:color="CCEEFF"/>
            </w:tcBorders>
            <w:gridSpan w:val="36"/>
            <w:shd w:val="clear" w:color="auto" w:fill="CCEEFF"/>
          </w:tcPr>
          <w:p>
            <w:pPr>
              <w:spacing w:after="0"/>
              <w:rPr>
                <w:sz w:val="20"/>
                <w:szCs w:val="20"/>
                <w:color w:val="auto"/>
              </w:rPr>
            </w:pPr>
            <w:r>
              <w:rPr>
                <w:rFonts w:ascii="Arial" w:cs="Arial" w:eastAsia="Arial" w:hAnsi="Arial"/>
                <w:sz w:val="22"/>
                <w:szCs w:val="22"/>
                <w:b w:val="1"/>
                <w:bCs w:val="1"/>
                <w:color w:val="3C5896"/>
              </w:rPr>
              <w:t>Board of Directors and Certain Governance Matters</w:t>
            </w:r>
          </w:p>
        </w:tc>
        <w:tc>
          <w:tcPr>
            <w:tcW w:w="200" w:type="dxa"/>
            <w:vAlign w:val="bottom"/>
            <w:tcBorders>
              <w:bottom w:val="single" w:sz="8" w:color="3C5896"/>
            </w:tcBorders>
            <w:gridSpan w:val="2"/>
            <w:shd w:val="clear" w:color="auto" w:fill="CCEEFF"/>
          </w:tcPr>
          <w:p>
            <w:pPr>
              <w:jc w:val="right"/>
              <w:spacing w:after="0"/>
              <w:rPr>
                <w:rFonts w:ascii="Arial" w:cs="Arial" w:eastAsia="Arial" w:hAnsi="Arial"/>
                <w:sz w:val="18"/>
                <w:szCs w:val="18"/>
                <w:b w:val="1"/>
                <w:bCs w:val="1"/>
                <w:color w:val="3C5896"/>
                <w:w w:val="89"/>
              </w:rPr>
            </w:pPr>
            <w:hyperlink w:anchor="page14">
              <w:r>
                <w:rPr>
                  <w:rFonts w:ascii="Arial" w:cs="Arial" w:eastAsia="Arial" w:hAnsi="Arial"/>
                  <w:sz w:val="18"/>
                  <w:szCs w:val="18"/>
                  <w:b w:val="1"/>
                  <w:bCs w:val="1"/>
                  <w:color w:val="3C5896"/>
                  <w:w w:val="89"/>
                </w:rPr>
                <w:t>11</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180" w:type="dxa"/>
            <w:vAlign w:val="bottom"/>
            <w:tcBorders>
              <w:top w:val="single" w:sz="8" w:color="auto"/>
              <w:bottom w:val="single" w:sz="8" w:color="3C5896"/>
            </w:tcBorders>
            <w:gridSpan w:val="23"/>
          </w:tcPr>
          <w:p>
            <w:pPr>
              <w:spacing w:after="0" w:line="203" w:lineRule="exact"/>
              <w:rPr>
                <w:rFonts w:ascii="Arial" w:cs="Arial" w:eastAsia="Arial" w:hAnsi="Arial"/>
                <w:sz w:val="18"/>
                <w:szCs w:val="18"/>
                <w:b w:val="1"/>
                <w:bCs w:val="1"/>
                <w:color w:val="3C5896"/>
                <w:w w:val="98"/>
              </w:rPr>
            </w:pPr>
            <w:hyperlink w:anchor="page14">
              <w:r>
                <w:rPr>
                  <w:rFonts w:ascii="Arial" w:cs="Arial" w:eastAsia="Arial" w:hAnsi="Arial"/>
                  <w:sz w:val="18"/>
                  <w:szCs w:val="18"/>
                  <w:b w:val="1"/>
                  <w:bCs w:val="1"/>
                  <w:color w:val="3C5896"/>
                  <w:w w:val="98"/>
                </w:rPr>
                <w:t>Proposal No. 1—Election of Directors</w:t>
              </w:r>
            </w:hyperlink>
          </w:p>
        </w:tc>
        <w:tc>
          <w:tcPr>
            <w:tcW w:w="5500" w:type="dxa"/>
            <w:vAlign w:val="bottom"/>
            <w:tcBorders>
              <w:top w:val="single" w:sz="8" w:color="auto"/>
            </w:tcBorders>
            <w:gridSpan w:val="12"/>
          </w:tcPr>
          <w:p>
            <w:pPr>
              <w:spacing w:after="0"/>
              <w:rPr>
                <w:sz w:val="17"/>
                <w:szCs w:val="17"/>
                <w:color w:val="auto"/>
              </w:rPr>
            </w:pPr>
          </w:p>
        </w:tc>
        <w:tc>
          <w:tcPr>
            <w:tcW w:w="200" w:type="dxa"/>
            <w:vAlign w:val="bottom"/>
            <w:tcBorders>
              <w:top w:val="single" w:sz="8" w:color="auto"/>
              <w:bottom w:val="single" w:sz="8" w:color="0000EE"/>
            </w:tcBorders>
            <w:gridSpan w:val="2"/>
          </w:tcPr>
          <w:p>
            <w:pPr>
              <w:jc w:val="right"/>
              <w:spacing w:after="0" w:line="203"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11</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80" w:type="dxa"/>
            <w:vAlign w:val="bottom"/>
            <w:gridSpan w:val="35"/>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Oversight</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Director Independence</w:t>
              </w:r>
            </w:hyperlink>
          </w:p>
        </w:tc>
        <w:tc>
          <w:tcPr>
            <w:tcW w:w="6860" w:type="dxa"/>
            <w:vAlign w:val="bottom"/>
            <w:gridSpan w:val="30"/>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5"/>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Composition of the Board of Directors</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980" w:type="dxa"/>
            <w:vAlign w:val="bottom"/>
            <w:tcBorders>
              <w:top w:val="single" w:sz="8" w:color="0000EE"/>
            </w:tcBorders>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Director Nomination Process</w:t>
              </w:r>
            </w:hyperlink>
          </w:p>
        </w:tc>
        <w:tc>
          <w:tcPr>
            <w:tcW w:w="5700" w:type="dxa"/>
            <w:vAlign w:val="bottom"/>
            <w:tcBorders>
              <w:top w:val="single" w:sz="8" w:color="CCEEFF"/>
            </w:tcBorders>
            <w:gridSpan w:val="16"/>
          </w:tcPr>
          <w:p>
            <w:pPr>
              <w:spacing w:after="0"/>
              <w:rPr>
                <w:sz w:val="19"/>
                <w:szCs w:val="19"/>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15</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Leadership Structure of the Board of Directors</w:t>
              </w:r>
            </w:hyperlink>
          </w:p>
        </w:tc>
        <w:tc>
          <w:tcPr>
            <w:tcW w:w="5020" w:type="dxa"/>
            <w:vAlign w:val="bottom"/>
            <w:tcBorders>
              <w:bottom w:val="single" w:sz="8" w:color="CCEEFF"/>
            </w:tcBorders>
            <w:gridSpan w:val="11"/>
            <w:shd w:val="clear" w:color="auto" w:fill="CCEEFF"/>
          </w:tcPr>
          <w:p>
            <w:pPr>
              <w:spacing w:after="0"/>
              <w:rPr>
                <w:sz w:val="19"/>
                <w:szCs w:val="19"/>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17</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Board Oversight of Risk Management</w:t>
              </w:r>
            </w:hyperlink>
          </w:p>
        </w:tc>
        <w:tc>
          <w:tcPr>
            <w:tcW w:w="5680" w:type="dxa"/>
            <w:vAlign w:val="bottom"/>
            <w:gridSpan w:val="15"/>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17</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5"/>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 Succession Planning</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17</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Executive Sessions</w:t>
              </w:r>
            </w:hyperlink>
          </w:p>
        </w:tc>
        <w:tc>
          <w:tcPr>
            <w:tcW w:w="1200" w:type="dxa"/>
            <w:vAlign w:val="bottom"/>
            <w:tcBorders>
              <w:top w:val="single" w:sz="8" w:color="0000EE"/>
            </w:tcBorders>
            <w:gridSpan w:val="13"/>
          </w:tcPr>
          <w:p>
            <w:pPr>
              <w:spacing w:after="0"/>
              <w:rPr>
                <w:sz w:val="19"/>
                <w:szCs w:val="19"/>
                <w:color w:val="auto"/>
              </w:rPr>
            </w:pPr>
          </w:p>
        </w:tc>
        <w:tc>
          <w:tcPr>
            <w:tcW w:w="5920" w:type="dxa"/>
            <w:vAlign w:val="bottom"/>
            <w:tcBorders>
              <w:top w:val="single" w:sz="8" w:color="CCEEFF"/>
            </w:tcBorders>
            <w:gridSpan w:val="18"/>
          </w:tcPr>
          <w:p>
            <w:pPr>
              <w:spacing w:after="0"/>
              <w:rPr>
                <w:sz w:val="19"/>
                <w:szCs w:val="19"/>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5"/>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Board and Committee Evaluations</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5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Communications with the Board</w:t>
              </w:r>
            </w:hyperlink>
          </w:p>
        </w:tc>
        <w:tc>
          <w:tcPr>
            <w:tcW w:w="180" w:type="dxa"/>
            <w:vAlign w:val="bottom"/>
            <w:tcBorders>
              <w:top w:val="single" w:sz="8" w:color="0000EE"/>
            </w:tcBorders>
            <w:gridSpan w:val="3"/>
          </w:tcPr>
          <w:p>
            <w:pPr>
              <w:spacing w:after="0"/>
              <w:rPr>
                <w:sz w:val="19"/>
                <w:szCs w:val="19"/>
                <w:color w:val="auto"/>
              </w:rPr>
            </w:pPr>
          </w:p>
        </w:tc>
        <w:tc>
          <w:tcPr>
            <w:tcW w:w="5960" w:type="dxa"/>
            <w:vAlign w:val="bottom"/>
            <w:tcBorders>
              <w:top w:val="single" w:sz="8" w:color="CCEEFF"/>
            </w:tcBorders>
            <w:gridSpan w:val="19"/>
          </w:tcPr>
          <w:p>
            <w:pPr>
              <w:spacing w:after="0"/>
              <w:rPr>
                <w:sz w:val="19"/>
                <w:szCs w:val="19"/>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Board Committees and Meetings</w:t>
              </w:r>
            </w:hyperlink>
          </w:p>
        </w:tc>
        <w:tc>
          <w:tcPr>
            <w:tcW w:w="6060" w:type="dxa"/>
            <w:vAlign w:val="bottom"/>
            <w:tcBorders>
              <w:bottom w:val="single" w:sz="8" w:color="CCEEFF"/>
            </w:tcBorders>
            <w:gridSpan w:val="21"/>
            <w:shd w:val="clear" w:color="auto" w:fill="CCEEFF"/>
          </w:tcPr>
          <w:p>
            <w:pPr>
              <w:spacing w:after="0"/>
              <w:rPr>
                <w:sz w:val="19"/>
                <w:szCs w:val="19"/>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80" w:type="dxa"/>
            <w:vAlign w:val="bottom"/>
            <w:gridSpan w:val="3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Committee Charters &amp; Corporate Governance Guidelines</w:t>
              </w:r>
            </w:hyperlink>
          </w:p>
        </w:tc>
        <w:tc>
          <w:tcPr>
            <w:tcW w:w="960" w:type="dxa"/>
            <w:vAlign w:val="bottom"/>
            <w:gridSpan w:val="3"/>
          </w:tcPr>
          <w:p>
            <w:pPr>
              <w:jc w:val="right"/>
              <w:ind w:right="76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540" w:type="dxa"/>
            <w:vAlign w:val="bottom"/>
            <w:tcBorders>
              <w:top w:val="single" w:sz="8" w:color="0000EE"/>
            </w:tcBorders>
            <w:gridSpan w:val="28"/>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Code of Conduct</w:t>
              </w:r>
            </w:hyperlink>
          </w:p>
        </w:tc>
        <w:tc>
          <w:tcPr>
            <w:tcW w:w="4140" w:type="dxa"/>
            <w:vAlign w:val="bottom"/>
            <w:gridSpan w:val="7"/>
            <w:shd w:val="clear" w:color="auto" w:fill="CCEEFF"/>
          </w:tcPr>
          <w:p>
            <w:pPr>
              <w:spacing w:after="0"/>
              <w:rPr>
                <w:sz w:val="19"/>
                <w:szCs w:val="19"/>
                <w:color w:val="auto"/>
              </w:rPr>
            </w:pPr>
          </w:p>
        </w:tc>
        <w:tc>
          <w:tcPr>
            <w:tcW w:w="20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Hedging &amp; Pledging Policies</w:t>
              </w:r>
            </w:hyperlink>
          </w:p>
        </w:tc>
        <w:tc>
          <w:tcPr>
            <w:tcW w:w="6400" w:type="dxa"/>
            <w:vAlign w:val="bottom"/>
            <w:gridSpan w:val="26"/>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5"/>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Transactions with Related Persons</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Stockholder Engagement</w:t>
              </w:r>
            </w:hyperlink>
          </w:p>
        </w:tc>
        <w:tc>
          <w:tcPr>
            <w:tcW w:w="740" w:type="dxa"/>
            <w:vAlign w:val="bottom"/>
            <w:tcBorders>
              <w:top w:val="single" w:sz="8" w:color="0000EE"/>
            </w:tcBorders>
            <w:gridSpan w:val="11"/>
          </w:tcPr>
          <w:p>
            <w:pPr>
              <w:spacing w:after="0"/>
              <w:rPr>
                <w:sz w:val="19"/>
                <w:szCs w:val="19"/>
                <w:color w:val="auto"/>
              </w:rPr>
            </w:pPr>
          </w:p>
        </w:tc>
        <w:tc>
          <w:tcPr>
            <w:tcW w:w="5920" w:type="dxa"/>
            <w:vAlign w:val="bottom"/>
            <w:tcBorders>
              <w:top w:val="single" w:sz="8" w:color="CCEEFF"/>
            </w:tcBorders>
            <w:gridSpan w:val="18"/>
          </w:tcPr>
          <w:p>
            <w:pPr>
              <w:spacing w:after="0"/>
              <w:rPr>
                <w:sz w:val="19"/>
                <w:szCs w:val="19"/>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5"/>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Philanthropy and Corporate Social Responsibility</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880" w:type="dxa"/>
            <w:vAlign w:val="bottom"/>
            <w:tcBorders>
              <w:top w:val="single" w:sz="8" w:color="0000EE"/>
            </w:tcBorders>
            <w:gridSpan w:val="2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Compensation of Directors</w:t>
              </w:r>
            </w:hyperlink>
          </w:p>
        </w:tc>
        <w:tc>
          <w:tcPr>
            <w:tcW w:w="4800" w:type="dxa"/>
            <w:vAlign w:val="bottom"/>
            <w:tcBorders>
              <w:top w:val="single" w:sz="8" w:color="CCEEFF"/>
            </w:tcBorders>
            <w:gridSpan w:val="10"/>
          </w:tcPr>
          <w:p>
            <w:pPr>
              <w:spacing w:after="0"/>
              <w:rPr>
                <w:sz w:val="19"/>
                <w:szCs w:val="19"/>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22</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3C5896"/>
            </w:tcBorders>
            <w:gridSpan w:val="33"/>
            <w:shd w:val="clear" w:color="auto" w:fill="CCEEFF"/>
          </w:tcPr>
          <w:p>
            <w:pPr>
              <w:spacing w:after="0"/>
              <w:rPr>
                <w:rFonts w:ascii="Arial" w:cs="Arial" w:eastAsia="Arial" w:hAnsi="Arial"/>
                <w:sz w:val="18"/>
                <w:szCs w:val="18"/>
                <w:b w:val="1"/>
                <w:bCs w:val="1"/>
                <w:color w:val="3C5896"/>
                <w:w w:val="98"/>
              </w:rPr>
            </w:pPr>
            <w:hyperlink w:anchor="page27">
              <w:r>
                <w:rPr>
                  <w:rFonts w:ascii="Arial" w:cs="Arial" w:eastAsia="Arial" w:hAnsi="Arial"/>
                  <w:sz w:val="18"/>
                  <w:szCs w:val="18"/>
                  <w:b w:val="1"/>
                  <w:bCs w:val="1"/>
                  <w:color w:val="3C5896"/>
                  <w:w w:val="98"/>
                </w:rPr>
                <w:t>Proposal No. 2—Amendment to Eliminate the Classified Structure of the Board of Directors</w:t>
              </w:r>
            </w:hyperlink>
          </w:p>
        </w:tc>
        <w:tc>
          <w:tcPr>
            <w:tcW w:w="96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80" w:type="dxa"/>
            <w:vAlign w:val="bottom"/>
            <w:gridSpan w:val="35"/>
          </w:tcPr>
          <w:p>
            <w:pPr>
              <w:spacing w:after="0"/>
              <w:rPr>
                <w:rFonts w:ascii="Arial" w:cs="Arial" w:eastAsia="Arial" w:hAnsi="Arial"/>
                <w:sz w:val="18"/>
                <w:szCs w:val="18"/>
                <w:b w:val="1"/>
                <w:bCs w:val="1"/>
                <w:color w:val="3C5896"/>
              </w:rPr>
            </w:pPr>
            <w:hyperlink w:anchor="page29">
              <w:r>
                <w:rPr>
                  <w:rFonts w:ascii="Arial" w:cs="Arial" w:eastAsia="Arial" w:hAnsi="Arial"/>
                  <w:sz w:val="18"/>
                  <w:szCs w:val="18"/>
                  <w:b w:val="1"/>
                  <w:bCs w:val="1"/>
                  <w:color w:val="3C5896"/>
                </w:rPr>
                <w:t>Proposal No. 3—Amendment to Eliminate Supermajority Voting Standards and Other Obsolete</w:t>
              </w:r>
            </w:hyperlink>
          </w:p>
        </w:tc>
        <w:tc>
          <w:tcPr>
            <w:tcW w:w="200" w:type="dxa"/>
            <w:vAlign w:val="bottom"/>
            <w:gridSpan w:val="2"/>
            <w:vMerge w:val="restart"/>
          </w:tcPr>
          <w:p>
            <w:pPr>
              <w:jc w:val="right"/>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7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top w:val="single" w:sz="8" w:color="3C5896"/>
              <w:bottom w:val="single" w:sz="8" w:color="3C5896"/>
            </w:tcBorders>
          </w:tcPr>
          <w:p>
            <w:pPr>
              <w:spacing w:after="0" w:line="169" w:lineRule="exact"/>
              <w:rPr>
                <w:rFonts w:ascii="Arial" w:cs="Arial" w:eastAsia="Arial" w:hAnsi="Arial"/>
                <w:sz w:val="18"/>
                <w:szCs w:val="18"/>
                <w:b w:val="1"/>
                <w:bCs w:val="1"/>
                <w:color w:val="3C5896"/>
                <w:w w:val="97"/>
              </w:rPr>
            </w:pPr>
            <w:hyperlink w:anchor="page29">
              <w:r>
                <w:rPr>
                  <w:rFonts w:ascii="Arial" w:cs="Arial" w:eastAsia="Arial" w:hAnsi="Arial"/>
                  <w:sz w:val="18"/>
                  <w:szCs w:val="18"/>
                  <w:b w:val="1"/>
                  <w:bCs w:val="1"/>
                  <w:color w:val="3C5896"/>
                  <w:w w:val="97"/>
                </w:rPr>
                <w:t>Provisions</w:t>
              </w:r>
            </w:hyperlink>
          </w:p>
        </w:tc>
        <w:tc>
          <w:tcPr>
            <w:tcW w:w="7060" w:type="dxa"/>
            <w:vAlign w:val="bottom"/>
            <w:tcBorders>
              <w:top w:val="single" w:sz="8" w:color="3C5896"/>
            </w:tcBorders>
            <w:gridSpan w:val="33"/>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Borders>
              <w:bottom w:val="single" w:sz="8" w:color="0000EE"/>
            </w:tcBorders>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10"/>
        </w:trPr>
        <w:tc>
          <w:tcPr>
            <w:tcW w:w="760" w:type="dxa"/>
            <w:vAlign w:val="bottom"/>
          </w:tcPr>
          <w:p>
            <w:pPr>
              <w:spacing w:after="0"/>
              <w:rPr>
                <w:sz w:val="24"/>
                <w:szCs w:val="24"/>
                <w:color w:val="auto"/>
              </w:rPr>
            </w:pPr>
          </w:p>
        </w:tc>
        <w:tc>
          <w:tcPr>
            <w:tcW w:w="9000" w:type="dxa"/>
            <w:vAlign w:val="bottom"/>
            <w:tcBorders>
              <w:bottom w:val="single" w:sz="8" w:color="CCEEFF"/>
            </w:tcBorders>
            <w:gridSpan w:val="36"/>
            <w:shd w:val="clear" w:color="auto" w:fill="CCEEFF"/>
          </w:tcPr>
          <w:p>
            <w:pPr>
              <w:spacing w:after="0"/>
              <w:rPr>
                <w:sz w:val="20"/>
                <w:szCs w:val="20"/>
                <w:color w:val="auto"/>
              </w:rPr>
            </w:pPr>
            <w:r>
              <w:rPr>
                <w:rFonts w:ascii="Arial" w:cs="Arial" w:eastAsia="Arial" w:hAnsi="Arial"/>
                <w:sz w:val="22"/>
                <w:szCs w:val="22"/>
                <w:b w:val="1"/>
                <w:bCs w:val="1"/>
                <w:color w:val="3C5896"/>
              </w:rPr>
              <w:t>Executive Compensation</w:t>
            </w:r>
          </w:p>
        </w:tc>
        <w:tc>
          <w:tcPr>
            <w:tcW w:w="200" w:type="dxa"/>
            <w:vAlign w:val="bottom"/>
            <w:tcBorders>
              <w:bottom w:val="single" w:sz="8" w:color="3C5896"/>
            </w:tcBorders>
            <w:gridSpan w:val="2"/>
            <w:shd w:val="clear" w:color="auto" w:fill="CCEEFF"/>
          </w:tcPr>
          <w:p>
            <w:pPr>
              <w:jc w:val="right"/>
              <w:spacing w:after="0"/>
              <w:rPr>
                <w:rFonts w:ascii="Arial" w:cs="Arial" w:eastAsia="Arial" w:hAnsi="Arial"/>
                <w:sz w:val="18"/>
                <w:szCs w:val="18"/>
                <w:b w:val="1"/>
                <w:bCs w:val="1"/>
                <w:color w:val="3C5896"/>
                <w:w w:val="89"/>
              </w:rPr>
            </w:pPr>
            <w:hyperlink w:anchor="page32">
              <w:r>
                <w:rPr>
                  <w:rFonts w:ascii="Arial" w:cs="Arial" w:eastAsia="Arial" w:hAnsi="Arial"/>
                  <w:sz w:val="18"/>
                  <w:szCs w:val="18"/>
                  <w:b w:val="1"/>
                  <w:bCs w:val="1"/>
                  <w:color w:val="3C5896"/>
                  <w:w w:val="89"/>
                </w:rPr>
                <w:t>29</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180" w:type="dxa"/>
            <w:vAlign w:val="bottom"/>
            <w:tcBorders>
              <w:top w:val="single" w:sz="8" w:color="auto"/>
              <w:bottom w:val="single" w:sz="8" w:color="3C5896"/>
            </w:tcBorders>
            <w:gridSpan w:val="31"/>
          </w:tcPr>
          <w:p>
            <w:pPr>
              <w:spacing w:after="0"/>
              <w:rPr>
                <w:rFonts w:ascii="Arial" w:cs="Arial" w:eastAsia="Arial" w:hAnsi="Arial"/>
                <w:sz w:val="18"/>
                <w:szCs w:val="18"/>
                <w:b w:val="1"/>
                <w:bCs w:val="1"/>
                <w:color w:val="3C5896"/>
                <w:w w:val="98"/>
              </w:rPr>
            </w:pPr>
            <w:hyperlink w:anchor="page32">
              <w:r>
                <w:rPr>
                  <w:rFonts w:ascii="Arial" w:cs="Arial" w:eastAsia="Arial" w:hAnsi="Arial"/>
                  <w:sz w:val="18"/>
                  <w:szCs w:val="18"/>
                  <w:b w:val="1"/>
                  <w:bCs w:val="1"/>
                  <w:color w:val="3C5896"/>
                  <w:w w:val="98"/>
                </w:rPr>
                <w:t>Proposal No. 4—Non-Binding Advisory Vote on Executive Compensation</w:t>
              </w:r>
            </w:hyperlink>
          </w:p>
        </w:tc>
        <w:tc>
          <w:tcPr>
            <w:tcW w:w="2500" w:type="dxa"/>
            <w:vAlign w:val="bottom"/>
            <w:tcBorders>
              <w:top w:val="single" w:sz="8" w:color="auto"/>
            </w:tcBorders>
            <w:gridSpan w:val="4"/>
          </w:tcPr>
          <w:p>
            <w:pPr>
              <w:spacing w:after="0"/>
              <w:rPr>
                <w:sz w:val="18"/>
                <w:szCs w:val="18"/>
                <w:color w:val="auto"/>
              </w:rPr>
            </w:pPr>
          </w:p>
        </w:tc>
        <w:tc>
          <w:tcPr>
            <w:tcW w:w="200" w:type="dxa"/>
            <w:vAlign w:val="bottom"/>
            <w:tcBorders>
              <w:top w:val="single" w:sz="8" w:color="auto"/>
              <w:bottom w:val="single" w:sz="8" w:color="0000EE"/>
            </w:tcBorders>
            <w:gridSpan w:val="2"/>
          </w:tcPr>
          <w:p>
            <w:pPr>
              <w:jc w:val="right"/>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80" w:type="dxa"/>
            <w:vAlign w:val="bottom"/>
            <w:gridSpan w:val="35"/>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Compensation Discussion and Analysis</w:t>
              </w:r>
            </w:hyperlink>
          </w:p>
        </w:tc>
        <w:tc>
          <w:tcPr>
            <w:tcW w:w="200" w:type="dxa"/>
            <w:vAlign w:val="bottom"/>
            <w:gridSpan w:val="2"/>
            <w:shd w:val="clear" w:color="auto" w:fill="CCEEFF"/>
          </w:tcPr>
          <w:p>
            <w:pPr>
              <w:jc w:val="right"/>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140" w:type="dxa"/>
            <w:vAlign w:val="bottom"/>
            <w:tcBorders>
              <w:top w:val="single" w:sz="8" w:color="0000EE"/>
            </w:tcBorders>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Compensation Committee Report</w:t>
              </w:r>
            </w:hyperlink>
          </w:p>
        </w:tc>
        <w:tc>
          <w:tcPr>
            <w:tcW w:w="5540" w:type="dxa"/>
            <w:vAlign w:val="bottom"/>
            <w:tcBorders>
              <w:top w:val="single" w:sz="8" w:color="CCEEFF"/>
            </w:tcBorders>
            <w:gridSpan w:val="13"/>
          </w:tcPr>
          <w:p>
            <w:pPr>
              <w:spacing w:after="0"/>
              <w:rPr>
                <w:sz w:val="19"/>
                <w:szCs w:val="19"/>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41</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top w:val="single" w:sz="8" w:color="0000EE"/>
              <w:bottom w:val="single" w:sz="8" w:color="0000EE"/>
            </w:tcBorders>
            <w:gridSpan w:val="12"/>
            <w:shd w:val="clear" w:color="auto" w:fill="CCEEFF"/>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Summary Compensation Table</w:t>
              </w:r>
            </w:hyperlink>
          </w:p>
        </w:tc>
        <w:tc>
          <w:tcPr>
            <w:tcW w:w="200" w:type="dxa"/>
            <w:vAlign w:val="bottom"/>
            <w:tcBorders>
              <w:top w:val="single" w:sz="8" w:color="0000EE"/>
              <w:bottom w:val="single" w:sz="8" w:color="CCEEFF"/>
            </w:tcBorders>
            <w:gridSpan w:val="3"/>
            <w:shd w:val="clear" w:color="auto" w:fill="CCEEFF"/>
          </w:tcPr>
          <w:p>
            <w:pPr>
              <w:spacing w:after="0"/>
              <w:rPr>
                <w:sz w:val="19"/>
                <w:szCs w:val="19"/>
                <w:color w:val="auto"/>
              </w:rPr>
            </w:pPr>
          </w:p>
        </w:tc>
        <w:tc>
          <w:tcPr>
            <w:tcW w:w="6020" w:type="dxa"/>
            <w:vAlign w:val="bottom"/>
            <w:tcBorders>
              <w:bottom w:val="single" w:sz="8" w:color="CCEEFF"/>
            </w:tcBorders>
            <w:gridSpan w:val="20"/>
            <w:shd w:val="clear" w:color="auto" w:fill="CCEEFF"/>
          </w:tcPr>
          <w:p>
            <w:pPr>
              <w:spacing w:after="0"/>
              <w:rPr>
                <w:sz w:val="19"/>
                <w:szCs w:val="19"/>
                <w:color w:val="auto"/>
              </w:rPr>
            </w:pPr>
          </w:p>
        </w:tc>
        <w:tc>
          <w:tcPr>
            <w:tcW w:w="20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80" w:type="dxa"/>
            <w:vAlign w:val="bottom"/>
            <w:gridSpan w:val="3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Grants of Plan-Based Awards</w:t>
              </w:r>
            </w:hyperlink>
          </w:p>
        </w:tc>
        <w:tc>
          <w:tcPr>
            <w:tcW w:w="960" w:type="dxa"/>
            <w:vAlign w:val="bottom"/>
            <w:gridSpan w:val="3"/>
          </w:tcPr>
          <w:p>
            <w:pPr>
              <w:jc w:val="right"/>
              <w:ind w:right="76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Outstanding Equity Awards at Fiscal Year End</w:t>
              </w:r>
            </w:hyperlink>
          </w:p>
        </w:tc>
        <w:tc>
          <w:tcPr>
            <w:tcW w:w="5020" w:type="dxa"/>
            <w:vAlign w:val="bottom"/>
            <w:tcBorders>
              <w:bottom w:val="single" w:sz="8" w:color="CCEEFF"/>
            </w:tcBorders>
            <w:gridSpan w:val="11"/>
            <w:shd w:val="clear" w:color="auto" w:fill="CCEEFF"/>
          </w:tcPr>
          <w:p>
            <w:pPr>
              <w:spacing w:after="0"/>
              <w:rPr>
                <w:sz w:val="19"/>
                <w:szCs w:val="19"/>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80" w:type="dxa"/>
            <w:vAlign w:val="bottom"/>
            <w:gridSpan w:val="3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Option Exercises and Stock Vested</w:t>
              </w:r>
            </w:hyperlink>
          </w:p>
        </w:tc>
        <w:tc>
          <w:tcPr>
            <w:tcW w:w="960" w:type="dxa"/>
            <w:vAlign w:val="bottom"/>
            <w:gridSpan w:val="3"/>
          </w:tcPr>
          <w:p>
            <w:pPr>
              <w:jc w:val="right"/>
              <w:ind w:right="76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0" w:type="dxa"/>
            <w:vAlign w:val="bottom"/>
            <w:tcBorders>
              <w:top w:val="single" w:sz="8" w:color="0000EE"/>
            </w:tcBorders>
            <w:gridSpan w:val="18"/>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Pension Benefits</w:t>
              </w:r>
            </w:hyperlink>
          </w:p>
        </w:tc>
        <w:tc>
          <w:tcPr>
            <w:tcW w:w="5880" w:type="dxa"/>
            <w:vAlign w:val="bottom"/>
            <w:gridSpan w:val="17"/>
            <w:shd w:val="clear" w:color="auto" w:fill="CCEEFF"/>
          </w:tcPr>
          <w:p>
            <w:pPr>
              <w:spacing w:after="0"/>
              <w:rPr>
                <w:sz w:val="19"/>
                <w:szCs w:val="19"/>
                <w:color w:val="auto"/>
              </w:rPr>
            </w:pPr>
          </w:p>
        </w:tc>
        <w:tc>
          <w:tcPr>
            <w:tcW w:w="20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Non-Qualified Deferred Compensation</w:t>
              </w:r>
            </w:hyperlink>
          </w:p>
        </w:tc>
        <w:tc>
          <w:tcPr>
            <w:tcW w:w="5620" w:type="dxa"/>
            <w:vAlign w:val="bottom"/>
            <w:gridSpan w:val="14"/>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48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Potential Payments on Termination or Change in Control</w:t>
              </w:r>
            </w:hyperlink>
          </w:p>
        </w:tc>
        <w:tc>
          <w:tcPr>
            <w:tcW w:w="4200" w:type="dxa"/>
            <w:vAlign w:val="bottom"/>
            <w:tcBorders>
              <w:bottom w:val="single" w:sz="8" w:color="CCEEFF"/>
            </w:tcBorders>
            <w:gridSpan w:val="8"/>
            <w:shd w:val="clear" w:color="auto" w:fill="CCEEFF"/>
          </w:tcPr>
          <w:p>
            <w:pPr>
              <w:spacing w:after="0"/>
              <w:rPr>
                <w:sz w:val="19"/>
                <w:szCs w:val="19"/>
                <w:color w:val="auto"/>
              </w:rPr>
            </w:pPr>
          </w:p>
        </w:tc>
        <w:tc>
          <w:tcPr>
            <w:tcW w:w="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80" w:type="dxa"/>
            <w:vAlign w:val="bottom"/>
            <w:gridSpan w:val="3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Compensation Committee Interlocks and Insider Participation</w:t>
              </w:r>
            </w:hyperlink>
          </w:p>
        </w:tc>
        <w:tc>
          <w:tcPr>
            <w:tcW w:w="960" w:type="dxa"/>
            <w:vAlign w:val="bottom"/>
            <w:gridSpan w:val="3"/>
          </w:tcPr>
          <w:p>
            <w:pPr>
              <w:jc w:val="right"/>
              <w:ind w:right="76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60" w:type="dxa"/>
            <w:vAlign w:val="bottom"/>
            <w:tcBorders>
              <w:top w:val="single" w:sz="8" w:color="0000EE"/>
            </w:tcBorders>
            <w:gridSpan w:val="29"/>
            <w:shd w:val="clear" w:color="auto" w:fill="CCEEFF"/>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Equity Compensation Plan Information</w:t>
              </w:r>
            </w:hyperlink>
          </w:p>
        </w:tc>
        <w:tc>
          <w:tcPr>
            <w:tcW w:w="3820" w:type="dxa"/>
            <w:vAlign w:val="bottom"/>
            <w:gridSpan w:val="6"/>
            <w:shd w:val="clear" w:color="auto" w:fill="CCEEFF"/>
          </w:tcPr>
          <w:p>
            <w:pPr>
              <w:spacing w:after="0"/>
              <w:rPr>
                <w:sz w:val="19"/>
                <w:szCs w:val="19"/>
                <w:color w:val="auto"/>
              </w:rPr>
            </w:pPr>
          </w:p>
        </w:tc>
        <w:tc>
          <w:tcPr>
            <w:tcW w:w="20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50</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60" w:type="dxa"/>
            <w:vAlign w:val="bottom"/>
            <w:tcBorders>
              <w:top w:val="single" w:sz="8" w:color="0000EE"/>
            </w:tcBorders>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CEO Pay Ratio</w:t>
              </w:r>
            </w:hyperlink>
          </w:p>
        </w:tc>
        <w:tc>
          <w:tcPr>
            <w:tcW w:w="5620" w:type="dxa"/>
            <w:vAlign w:val="bottom"/>
            <w:tcBorders>
              <w:top w:val="single" w:sz="8" w:color="CCEEFF"/>
            </w:tcBorders>
            <w:gridSpan w:val="14"/>
          </w:tcPr>
          <w:p>
            <w:pPr>
              <w:spacing w:after="0"/>
              <w:rPr>
                <w:sz w:val="19"/>
                <w:szCs w:val="19"/>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9"/>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gridSpan w:val="4"/>
          </w:tcPr>
          <w:p>
            <w:pPr>
              <w:ind w:left="180"/>
              <w:spacing w:after="0"/>
              <w:rPr>
                <w:sz w:val="20"/>
                <w:szCs w:val="20"/>
                <w:color w:val="auto"/>
              </w:rPr>
            </w:pPr>
            <w:r>
              <w:rPr>
                <w:rFonts w:ascii="Arial" w:cs="Arial" w:eastAsia="Arial" w:hAnsi="Arial"/>
                <w:sz w:val="16"/>
                <w:szCs w:val="16"/>
                <w:color w:val="auto"/>
              </w:rPr>
              <w:t>2021 Proxy Statement</w:t>
            </w: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jc w:val="right"/>
              <w:spacing w:after="0"/>
              <w:rPr>
                <w:sz w:val="20"/>
                <w:szCs w:val="20"/>
                <w:color w:val="auto"/>
              </w:rPr>
            </w:pPr>
            <w:r>
              <w:rPr>
                <w:rFonts w:ascii="Arial" w:cs="Arial" w:eastAsia="Arial" w:hAnsi="Arial"/>
                <w:sz w:val="16"/>
                <w:szCs w:val="16"/>
                <w:b w:val="1"/>
                <w:bCs w:val="1"/>
                <w:color w:val="auto"/>
                <w:w w:val="88"/>
              </w:rPr>
              <w:t>i</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-471170</wp:posOffset>
            </wp:positionV>
            <wp:extent cx="299720" cy="231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720" cy="23114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60" w:type="dxa"/>
        <w:tblCellMar>
          <w:top w:w="0" w:type="dxa"/>
          <w:left w:w="0" w:type="dxa"/>
          <w:bottom w:w="0" w:type="dxa"/>
          <w:right w:w="0" w:type="dxa"/>
        </w:tblCellMar>
      </w:tblPr>
      <w:tr>
        <w:trPr>
          <w:trHeight w:val="338"/>
        </w:trPr>
        <w:tc>
          <w:tcPr>
            <w:tcW w:w="9000" w:type="dxa"/>
            <w:vAlign w:val="bottom"/>
            <w:tcBorders>
              <w:bottom w:val="single" w:sz="8" w:color="CCEEFF"/>
            </w:tcBorders>
            <w:gridSpan w:val="18"/>
            <w:shd w:val="clear" w:color="auto" w:fill="CCEEFF"/>
          </w:tcPr>
          <w:p>
            <w:pPr>
              <w:spacing w:after="0"/>
              <w:rPr>
                <w:rFonts w:ascii="Arial" w:cs="Arial" w:eastAsia="Arial" w:hAnsi="Arial"/>
                <w:sz w:val="22"/>
                <w:szCs w:val="22"/>
                <w:b w:val="1"/>
                <w:bCs w:val="1"/>
                <w:color w:val="3C5896"/>
              </w:rPr>
            </w:pPr>
            <w:hyperlink w:anchor="page55">
              <w:r>
                <w:rPr>
                  <w:rFonts w:ascii="Arial" w:cs="Arial" w:eastAsia="Arial" w:hAnsi="Arial"/>
                  <w:sz w:val="22"/>
                  <w:szCs w:val="22"/>
                  <w:b w:val="1"/>
                  <w:bCs w:val="1"/>
                  <w:color w:val="3C5896"/>
                </w:rPr>
                <w:t>Ownership of Our Securities</w:t>
              </w:r>
            </w:hyperlink>
          </w:p>
        </w:tc>
        <w:tc>
          <w:tcPr>
            <w:tcW w:w="200" w:type="dxa"/>
            <w:vAlign w:val="bottom"/>
            <w:tcBorders>
              <w:bottom w:val="single" w:sz="8" w:color="3C5896"/>
            </w:tcBorders>
            <w:shd w:val="clear" w:color="auto" w:fill="CCEEFF"/>
          </w:tcPr>
          <w:p>
            <w:pPr>
              <w:jc w:val="right"/>
              <w:spacing w:after="0"/>
              <w:rPr>
                <w:rFonts w:ascii="Arial" w:cs="Arial" w:eastAsia="Arial" w:hAnsi="Arial"/>
                <w:sz w:val="18"/>
                <w:szCs w:val="18"/>
                <w:b w:val="1"/>
                <w:bCs w:val="1"/>
                <w:color w:val="3C5896"/>
                <w:w w:val="89"/>
              </w:rPr>
            </w:pPr>
            <w:hyperlink w:anchor="page55">
              <w:r>
                <w:rPr>
                  <w:rFonts w:ascii="Arial" w:cs="Arial" w:eastAsia="Arial" w:hAnsi="Arial"/>
                  <w:sz w:val="18"/>
                  <w:szCs w:val="18"/>
                  <w:b w:val="1"/>
                  <w:bCs w:val="1"/>
                  <w:color w:val="3C5896"/>
                  <w:w w:val="89"/>
                </w:rPr>
                <w:t>52</w:t>
              </w:r>
            </w:hyperlink>
          </w:p>
        </w:tc>
      </w:tr>
      <w:tr>
        <w:trPr>
          <w:trHeight w:val="197"/>
        </w:trPr>
        <w:tc>
          <w:tcPr>
            <w:tcW w:w="320" w:type="dxa"/>
            <w:vAlign w:val="bottom"/>
            <w:tcBorders>
              <w:top w:val="single" w:sz="8" w:color="auto"/>
            </w:tcBorders>
          </w:tcPr>
          <w:p>
            <w:pPr>
              <w:spacing w:after="0"/>
              <w:rPr>
                <w:sz w:val="17"/>
                <w:szCs w:val="17"/>
                <w:color w:val="auto"/>
              </w:rPr>
            </w:pPr>
          </w:p>
        </w:tc>
        <w:tc>
          <w:tcPr>
            <w:tcW w:w="2660" w:type="dxa"/>
            <w:vAlign w:val="bottom"/>
            <w:tcBorders>
              <w:top w:val="single" w:sz="8" w:color="auto"/>
              <w:bottom w:val="single" w:sz="8" w:color="0000EE"/>
            </w:tcBorders>
            <w:gridSpan w:val="8"/>
          </w:tcPr>
          <w:p>
            <w:pPr>
              <w:spacing w:after="0" w:line="190"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Delinquent Section 16(a) Reports</w:t>
              </w:r>
            </w:hyperlink>
          </w:p>
        </w:tc>
        <w:tc>
          <w:tcPr>
            <w:tcW w:w="6020" w:type="dxa"/>
            <w:vAlign w:val="bottom"/>
            <w:tcBorders>
              <w:top w:val="single" w:sz="8" w:color="auto"/>
            </w:tcBorders>
            <w:gridSpan w:val="9"/>
          </w:tcPr>
          <w:p>
            <w:pPr>
              <w:spacing w:after="0"/>
              <w:rPr>
                <w:sz w:val="17"/>
                <w:szCs w:val="17"/>
                <w:color w:val="auto"/>
              </w:rPr>
            </w:pPr>
          </w:p>
        </w:tc>
        <w:tc>
          <w:tcPr>
            <w:tcW w:w="200" w:type="dxa"/>
            <w:vAlign w:val="bottom"/>
            <w:tcBorders>
              <w:top w:val="single" w:sz="8" w:color="auto"/>
              <w:bottom w:val="single" w:sz="8" w:color="0000EE"/>
            </w:tcBorders>
          </w:tcPr>
          <w:p>
            <w:pPr>
              <w:jc w:val="right"/>
              <w:spacing w:after="0" w:line="190"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3"/>
        </w:trPr>
        <w:tc>
          <w:tcPr>
            <w:tcW w:w="320" w:type="dxa"/>
            <w:vAlign w:val="bottom"/>
            <w:shd w:val="clear" w:color="auto" w:fill="CCEEFF"/>
          </w:tcPr>
          <w:p>
            <w:pPr>
              <w:spacing w:after="0"/>
              <w:rPr>
                <w:sz w:val="17"/>
                <w:szCs w:val="17"/>
                <w:color w:val="auto"/>
              </w:rPr>
            </w:pPr>
          </w:p>
        </w:tc>
        <w:tc>
          <w:tcPr>
            <w:tcW w:w="8680" w:type="dxa"/>
            <w:vAlign w:val="bottom"/>
            <w:gridSpan w:val="17"/>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Beneficial Ownership of National Vision Common Stock</w:t>
              </w:r>
            </w:hyperlink>
          </w:p>
        </w:tc>
        <w:tc>
          <w:tcPr>
            <w:tcW w:w="200" w:type="dxa"/>
            <w:vAlign w:val="bottom"/>
            <w:shd w:val="clear" w:color="auto" w:fill="CCEEFF"/>
          </w:tcPr>
          <w:p>
            <w:pPr>
              <w:jc w:val="right"/>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7"/>
        </w:trPr>
        <w:tc>
          <w:tcPr>
            <w:tcW w:w="320" w:type="dxa"/>
            <w:vAlign w:val="bottom"/>
            <w:shd w:val="clear" w:color="auto" w:fill="CCEEFF"/>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r>
      <w:tr>
        <w:trPr>
          <w:trHeight w:val="452"/>
        </w:trPr>
        <w:tc>
          <w:tcPr>
            <w:tcW w:w="9000" w:type="dxa"/>
            <w:vAlign w:val="bottom"/>
            <w:gridSpan w:val="18"/>
          </w:tcPr>
          <w:p>
            <w:pPr>
              <w:spacing w:after="0"/>
              <w:rPr>
                <w:sz w:val="20"/>
                <w:szCs w:val="20"/>
                <w:color w:val="auto"/>
              </w:rPr>
            </w:pPr>
            <w:r>
              <w:rPr>
                <w:rFonts w:ascii="Arial" w:cs="Arial" w:eastAsia="Arial" w:hAnsi="Arial"/>
                <w:sz w:val="22"/>
                <w:szCs w:val="22"/>
                <w:b w:val="1"/>
                <w:bCs w:val="1"/>
                <w:color w:val="3C5896"/>
              </w:rPr>
              <w:t>Audit Committee Matters</w:t>
            </w:r>
          </w:p>
        </w:tc>
        <w:tc>
          <w:tcPr>
            <w:tcW w:w="200" w:type="dxa"/>
            <w:vAlign w:val="bottom"/>
            <w:tcBorders>
              <w:bottom w:val="single" w:sz="8" w:color="3C5896"/>
            </w:tcBorders>
          </w:tcPr>
          <w:p>
            <w:pPr>
              <w:jc w:val="right"/>
              <w:spacing w:after="0"/>
              <w:rPr>
                <w:rFonts w:ascii="Arial" w:cs="Arial" w:eastAsia="Arial" w:hAnsi="Arial"/>
                <w:sz w:val="18"/>
                <w:szCs w:val="18"/>
                <w:b w:val="1"/>
                <w:bCs w:val="1"/>
                <w:color w:val="3C5896"/>
                <w:w w:val="89"/>
              </w:rPr>
            </w:pPr>
            <w:hyperlink w:anchor="page57">
              <w:r>
                <w:rPr>
                  <w:rFonts w:ascii="Arial" w:cs="Arial" w:eastAsia="Arial" w:hAnsi="Arial"/>
                  <w:sz w:val="18"/>
                  <w:szCs w:val="18"/>
                  <w:b w:val="1"/>
                  <w:bCs w:val="1"/>
                  <w:color w:val="3C5896"/>
                  <w:w w:val="89"/>
                </w:rPr>
                <w:t>54</w:t>
              </w:r>
            </w:hyperlink>
          </w:p>
        </w:tc>
      </w:tr>
      <w:tr>
        <w:trPr>
          <w:trHeight w:val="20"/>
        </w:trPr>
        <w:tc>
          <w:tcPr>
            <w:tcW w:w="320" w:type="dxa"/>
            <w:vAlign w:val="bottom"/>
            <w:tcBorders>
              <w:top w:val="single" w:sz="8" w:color="3C5896"/>
              <w:bottom w:val="single" w:sz="8" w:color="auto"/>
            </w:tcBorders>
          </w:tcPr>
          <w:p>
            <w:pPr>
              <w:spacing w:after="0" w:line="20" w:lineRule="exact"/>
              <w:rPr>
                <w:sz w:val="1"/>
                <w:szCs w:val="1"/>
                <w:color w:val="auto"/>
              </w:rPr>
            </w:pPr>
          </w:p>
        </w:tc>
        <w:tc>
          <w:tcPr>
            <w:tcW w:w="124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860" w:type="dxa"/>
            <w:vAlign w:val="bottom"/>
            <w:tcBorders>
              <w:top w:val="single" w:sz="8" w:color="3C5896"/>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97"/>
        </w:trPr>
        <w:tc>
          <w:tcPr>
            <w:tcW w:w="320" w:type="dxa"/>
            <w:vAlign w:val="bottom"/>
            <w:shd w:val="clear" w:color="auto" w:fill="CCEEFF"/>
          </w:tcPr>
          <w:p>
            <w:pPr>
              <w:spacing w:after="0"/>
              <w:rPr>
                <w:sz w:val="17"/>
                <w:szCs w:val="17"/>
                <w:color w:val="auto"/>
              </w:rPr>
            </w:pPr>
          </w:p>
        </w:tc>
        <w:tc>
          <w:tcPr>
            <w:tcW w:w="8680" w:type="dxa"/>
            <w:vAlign w:val="bottom"/>
            <w:gridSpan w:val="17"/>
            <w:shd w:val="clear" w:color="auto" w:fill="CCEEFF"/>
          </w:tcPr>
          <w:p>
            <w:pPr>
              <w:spacing w:after="0" w:line="190" w:lineRule="exact"/>
              <w:rPr>
                <w:rFonts w:ascii="Arial" w:cs="Arial" w:eastAsia="Arial" w:hAnsi="Arial"/>
                <w:sz w:val="18"/>
                <w:szCs w:val="18"/>
                <w:b w:val="1"/>
                <w:bCs w:val="1"/>
                <w:color w:val="3C5896"/>
              </w:rPr>
            </w:pPr>
            <w:hyperlink w:anchor="page57">
              <w:r>
                <w:rPr>
                  <w:rFonts w:ascii="Arial" w:cs="Arial" w:eastAsia="Arial" w:hAnsi="Arial"/>
                  <w:sz w:val="18"/>
                  <w:szCs w:val="18"/>
                  <w:b w:val="1"/>
                  <w:bCs w:val="1"/>
                  <w:color w:val="3C5896"/>
                </w:rPr>
                <w:t>Proposal No. 5—Ratification of Independent Registered Public Accounting Firm</w:t>
              </w:r>
            </w:hyperlink>
          </w:p>
        </w:tc>
        <w:tc>
          <w:tcPr>
            <w:tcW w:w="200" w:type="dxa"/>
            <w:vAlign w:val="bottom"/>
            <w:shd w:val="clear" w:color="auto" w:fill="CCEEFF"/>
          </w:tcPr>
          <w:p>
            <w:pPr>
              <w:jc w:val="right"/>
              <w:spacing w:after="0" w:line="190"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54</w:t>
              </w:r>
            </w:hyperlink>
          </w:p>
        </w:tc>
      </w:tr>
      <w:tr>
        <w:trPr>
          <w:trHeight w:val="209"/>
        </w:trPr>
        <w:tc>
          <w:tcPr>
            <w:tcW w:w="320" w:type="dxa"/>
            <w:vAlign w:val="bottom"/>
            <w:tcBorders>
              <w:top w:val="single" w:sz="8" w:color="CCEEFF"/>
            </w:tcBorders>
          </w:tcPr>
          <w:p>
            <w:pPr>
              <w:spacing w:after="0"/>
              <w:rPr>
                <w:sz w:val="18"/>
                <w:szCs w:val="18"/>
                <w:color w:val="auto"/>
              </w:rPr>
            </w:pPr>
          </w:p>
        </w:tc>
        <w:tc>
          <w:tcPr>
            <w:tcW w:w="2420" w:type="dxa"/>
            <w:vAlign w:val="bottom"/>
            <w:tcBorders>
              <w:top w:val="single" w:sz="8" w:color="3C5896"/>
              <w:bottom w:val="single" w:sz="8" w:color="0000EE"/>
            </w:tcBorders>
            <w:gridSpan w:val="5"/>
          </w:tcPr>
          <w:p>
            <w:pPr>
              <w:spacing w:after="0" w:line="20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Report of the Audit Committee</w:t>
              </w:r>
            </w:hyperlink>
          </w:p>
        </w:tc>
        <w:tc>
          <w:tcPr>
            <w:tcW w:w="4320" w:type="dxa"/>
            <w:vAlign w:val="bottom"/>
            <w:tcBorders>
              <w:top w:val="single" w:sz="8" w:color="3C5896"/>
            </w:tcBorders>
            <w:gridSpan w:val="10"/>
          </w:tcPr>
          <w:p>
            <w:pPr>
              <w:spacing w:after="0"/>
              <w:rPr>
                <w:sz w:val="18"/>
                <w:szCs w:val="18"/>
                <w:color w:val="auto"/>
              </w:rPr>
            </w:pPr>
          </w:p>
        </w:tc>
        <w:tc>
          <w:tcPr>
            <w:tcW w:w="194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r>
      <w:tr>
        <w:trPr>
          <w:trHeight w:val="497"/>
        </w:trPr>
        <w:tc>
          <w:tcPr>
            <w:tcW w:w="900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22"/>
                <w:szCs w:val="22"/>
                <w:b w:val="1"/>
                <w:bCs w:val="1"/>
                <w:color w:val="3C5896"/>
              </w:rPr>
              <w:t>Important Information About Voting at the Annual Meeting</w:t>
            </w:r>
          </w:p>
        </w:tc>
        <w:tc>
          <w:tcPr>
            <w:tcW w:w="200" w:type="dxa"/>
            <w:vAlign w:val="bottom"/>
            <w:tcBorders>
              <w:bottom w:val="single" w:sz="8" w:color="3C5896"/>
            </w:tcBorders>
            <w:shd w:val="clear" w:color="auto" w:fill="CCEEFF"/>
          </w:tcPr>
          <w:p>
            <w:pPr>
              <w:jc w:val="right"/>
              <w:spacing w:after="0"/>
              <w:rPr>
                <w:rFonts w:ascii="Arial" w:cs="Arial" w:eastAsia="Arial" w:hAnsi="Arial"/>
                <w:sz w:val="18"/>
                <w:szCs w:val="18"/>
                <w:b w:val="1"/>
                <w:bCs w:val="1"/>
                <w:color w:val="3C5896"/>
                <w:w w:val="89"/>
              </w:rPr>
            </w:pPr>
            <w:hyperlink w:anchor="page59">
              <w:r>
                <w:rPr>
                  <w:rFonts w:ascii="Arial" w:cs="Arial" w:eastAsia="Arial" w:hAnsi="Arial"/>
                  <w:sz w:val="18"/>
                  <w:szCs w:val="18"/>
                  <w:b w:val="1"/>
                  <w:bCs w:val="1"/>
                  <w:color w:val="3C5896"/>
                  <w:w w:val="89"/>
                </w:rPr>
                <w:t>56</w:t>
              </w:r>
            </w:hyperlink>
          </w:p>
        </w:tc>
      </w:tr>
      <w:tr>
        <w:trPr>
          <w:trHeight w:val="440"/>
        </w:trPr>
        <w:tc>
          <w:tcPr>
            <w:tcW w:w="9000" w:type="dxa"/>
            <w:vAlign w:val="bottom"/>
            <w:tcBorders>
              <w:top w:val="single" w:sz="8" w:color="auto"/>
            </w:tcBorders>
            <w:gridSpan w:val="18"/>
          </w:tcPr>
          <w:p>
            <w:pPr>
              <w:spacing w:after="0"/>
              <w:rPr>
                <w:sz w:val="20"/>
                <w:szCs w:val="20"/>
                <w:color w:val="auto"/>
              </w:rPr>
            </w:pPr>
            <w:r>
              <w:rPr>
                <w:rFonts w:ascii="Arial" w:cs="Arial" w:eastAsia="Arial" w:hAnsi="Arial"/>
                <w:sz w:val="22"/>
                <w:szCs w:val="22"/>
                <w:b w:val="1"/>
                <w:bCs w:val="1"/>
                <w:color w:val="3C5896"/>
              </w:rPr>
              <w:t>Other Information for Stockholders</w:t>
            </w:r>
          </w:p>
        </w:tc>
        <w:tc>
          <w:tcPr>
            <w:tcW w:w="200" w:type="dxa"/>
            <w:vAlign w:val="bottom"/>
            <w:tcBorders>
              <w:top w:val="single" w:sz="8" w:color="auto"/>
              <w:bottom w:val="single" w:sz="8" w:color="3C5896"/>
            </w:tcBorders>
          </w:tcPr>
          <w:p>
            <w:pPr>
              <w:jc w:val="right"/>
              <w:spacing w:after="0"/>
              <w:rPr>
                <w:rFonts w:ascii="Arial" w:cs="Arial" w:eastAsia="Arial" w:hAnsi="Arial"/>
                <w:sz w:val="18"/>
                <w:szCs w:val="18"/>
                <w:b w:val="1"/>
                <w:bCs w:val="1"/>
                <w:color w:val="3C5896"/>
                <w:w w:val="89"/>
              </w:rPr>
            </w:pPr>
            <w:hyperlink w:anchor="page61">
              <w:r>
                <w:rPr>
                  <w:rFonts w:ascii="Arial" w:cs="Arial" w:eastAsia="Arial" w:hAnsi="Arial"/>
                  <w:sz w:val="18"/>
                  <w:szCs w:val="18"/>
                  <w:b w:val="1"/>
                  <w:bCs w:val="1"/>
                  <w:color w:val="3C5896"/>
                  <w:w w:val="89"/>
                </w:rPr>
                <w:t>58</w:t>
              </w:r>
            </w:hyperlink>
          </w:p>
        </w:tc>
      </w:tr>
      <w:tr>
        <w:trPr>
          <w:trHeight w:val="20"/>
        </w:trPr>
        <w:tc>
          <w:tcPr>
            <w:tcW w:w="320" w:type="dxa"/>
            <w:vAlign w:val="bottom"/>
            <w:tcBorders>
              <w:top w:val="single" w:sz="8" w:color="3C5896"/>
              <w:bottom w:val="single" w:sz="8" w:color="auto"/>
            </w:tcBorders>
          </w:tcPr>
          <w:p>
            <w:pPr>
              <w:spacing w:after="0" w:line="20" w:lineRule="exact"/>
              <w:rPr>
                <w:sz w:val="1"/>
                <w:szCs w:val="1"/>
                <w:color w:val="auto"/>
              </w:rPr>
            </w:pPr>
          </w:p>
        </w:tc>
        <w:tc>
          <w:tcPr>
            <w:tcW w:w="124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860" w:type="dxa"/>
            <w:vAlign w:val="bottom"/>
            <w:tcBorders>
              <w:top w:val="single" w:sz="8" w:color="3C5896"/>
              <w:bottom w:val="single" w:sz="8" w:color="auto"/>
            </w:tcBorders>
          </w:tcPr>
          <w:p>
            <w:pPr>
              <w:spacing w:after="0" w:line="20" w:lineRule="exact"/>
              <w:rPr>
                <w:sz w:val="1"/>
                <w:szCs w:val="1"/>
                <w:color w:val="auto"/>
              </w:rPr>
            </w:pPr>
          </w:p>
        </w:tc>
        <w:tc>
          <w:tcPr>
            <w:tcW w:w="140" w:type="dxa"/>
            <w:vAlign w:val="bottom"/>
            <w:tcBorders>
              <w:top w:val="single" w:sz="8" w:color="3C5896"/>
              <w:bottom w:val="single" w:sz="8" w:color="auto"/>
            </w:tcBorders>
          </w:tcPr>
          <w:p>
            <w:pPr>
              <w:spacing w:after="0" w:line="20" w:lineRule="exact"/>
              <w:rPr>
                <w:sz w:val="1"/>
                <w:szCs w:val="1"/>
                <w:color w:val="auto"/>
              </w:rPr>
            </w:pPr>
          </w:p>
        </w:tc>
        <w:tc>
          <w:tcPr>
            <w:tcW w:w="60" w:type="dxa"/>
            <w:vAlign w:val="bottom"/>
            <w:tcBorders>
              <w:top w:val="single" w:sz="8" w:color="3C5896"/>
              <w:bottom w:val="single" w:sz="8" w:color="auto"/>
            </w:tcBorders>
          </w:tcPr>
          <w:p>
            <w:pPr>
              <w:spacing w:after="0" w:line="20" w:lineRule="exact"/>
              <w:rPr>
                <w:sz w:val="1"/>
                <w:szCs w:val="1"/>
                <w:color w:val="auto"/>
              </w:rPr>
            </w:pPr>
          </w:p>
        </w:tc>
        <w:tc>
          <w:tcPr>
            <w:tcW w:w="140" w:type="dxa"/>
            <w:vAlign w:val="bottom"/>
            <w:tcBorders>
              <w:top w:val="single" w:sz="8" w:color="3C5896"/>
              <w:bottom w:val="single" w:sz="8" w:color="auto"/>
            </w:tcBorders>
          </w:tcPr>
          <w:p>
            <w:pPr>
              <w:spacing w:after="0" w:line="20" w:lineRule="exact"/>
              <w:rPr>
                <w:sz w:val="1"/>
                <w:szCs w:val="1"/>
                <w:color w:val="auto"/>
              </w:rPr>
            </w:pPr>
          </w:p>
        </w:tc>
        <w:tc>
          <w:tcPr>
            <w:tcW w:w="2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580" w:type="dxa"/>
            <w:vAlign w:val="bottom"/>
            <w:tcBorders>
              <w:top w:val="single" w:sz="8" w:color="3C5896"/>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97"/>
        </w:trPr>
        <w:tc>
          <w:tcPr>
            <w:tcW w:w="32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0000EE"/>
            </w:tcBorders>
            <w:gridSpan w:val="10"/>
            <w:shd w:val="clear" w:color="auto" w:fill="CCEEFF"/>
          </w:tcPr>
          <w:p>
            <w:pPr>
              <w:spacing w:after="0" w:line="190"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Stockholder Proposals for the 2022 Annual Meeting</w:t>
              </w:r>
            </w:hyperlink>
          </w:p>
        </w:tc>
        <w:tc>
          <w:tcPr>
            <w:tcW w:w="4580" w:type="dxa"/>
            <w:vAlign w:val="bottom"/>
            <w:tcBorders>
              <w:bottom w:val="single" w:sz="8" w:color="CCEEFF"/>
            </w:tcBorders>
            <w:gridSpan w:val="7"/>
            <w:shd w:val="clear" w:color="auto" w:fill="CCEEFF"/>
          </w:tcPr>
          <w:p>
            <w:pPr>
              <w:spacing w:after="0"/>
              <w:rPr>
                <w:sz w:val="17"/>
                <w:szCs w:val="17"/>
                <w:color w:val="auto"/>
              </w:rPr>
            </w:pPr>
          </w:p>
        </w:tc>
        <w:tc>
          <w:tcPr>
            <w:tcW w:w="200" w:type="dxa"/>
            <w:vAlign w:val="bottom"/>
            <w:tcBorders>
              <w:bottom w:val="single" w:sz="8" w:color="0000EE"/>
            </w:tcBorders>
            <w:shd w:val="clear" w:color="auto" w:fill="CCEEFF"/>
          </w:tcPr>
          <w:p>
            <w:pPr>
              <w:jc w:val="right"/>
              <w:spacing w:after="0" w:line="190"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09"/>
        </w:trPr>
        <w:tc>
          <w:tcPr>
            <w:tcW w:w="320" w:type="dxa"/>
            <w:vAlign w:val="bottom"/>
          </w:tcPr>
          <w:p>
            <w:pPr>
              <w:spacing w:after="0"/>
              <w:rPr>
                <w:sz w:val="18"/>
                <w:szCs w:val="18"/>
                <w:color w:val="auto"/>
              </w:rPr>
            </w:pPr>
          </w:p>
        </w:tc>
        <w:tc>
          <w:tcPr>
            <w:tcW w:w="8680" w:type="dxa"/>
            <w:vAlign w:val="bottom"/>
            <w:gridSpan w:val="17"/>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Householding of Proxy Materials</w:t>
              </w:r>
            </w:hyperlink>
          </w:p>
        </w:tc>
        <w:tc>
          <w:tcPr>
            <w:tcW w:w="200" w:type="dxa"/>
            <w:vAlign w:val="bottom"/>
          </w:tcPr>
          <w:p>
            <w:pPr>
              <w:jc w:val="right"/>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10"/>
        </w:trPr>
        <w:tc>
          <w:tcPr>
            <w:tcW w:w="3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0000EE"/>
              <w:bottom w:val="single" w:sz="8" w:color="0000EE"/>
            </w:tcBorders>
            <w:shd w:val="clear" w:color="auto" w:fill="CCEEFF"/>
          </w:tcPr>
          <w:p>
            <w:pPr>
              <w:spacing w:after="0" w:line="20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Other Business</w:t>
              </w:r>
            </w:hyperlink>
          </w:p>
        </w:tc>
        <w:tc>
          <w:tcPr>
            <w:tcW w:w="134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6100" w:type="dxa"/>
            <w:vAlign w:val="bottom"/>
            <w:tcBorders>
              <w:bottom w:val="single" w:sz="8" w:color="CCEEFF"/>
            </w:tcBorders>
            <w:gridSpan w:val="10"/>
            <w:shd w:val="clear" w:color="auto" w:fill="CCEEFF"/>
          </w:tcPr>
          <w:p>
            <w:pPr>
              <w:spacing w:after="0"/>
              <w:rPr>
                <w:sz w:val="18"/>
                <w:szCs w:val="18"/>
                <w:color w:val="auto"/>
              </w:rPr>
            </w:pPr>
          </w:p>
        </w:tc>
        <w:tc>
          <w:tcPr>
            <w:tcW w:w="200" w:type="dxa"/>
            <w:vAlign w:val="bottom"/>
            <w:tcBorders>
              <w:top w:val="single" w:sz="8" w:color="0000EE"/>
              <w:bottom w:val="single" w:sz="8" w:color="0000EE"/>
            </w:tcBorders>
            <w:shd w:val="clear" w:color="auto" w:fill="CCEEFF"/>
          </w:tcPr>
          <w:p>
            <w:pPr>
              <w:jc w:val="right"/>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23"/>
        </w:trPr>
        <w:tc>
          <w:tcPr>
            <w:tcW w:w="320" w:type="dxa"/>
            <w:vAlign w:val="bottom"/>
          </w:tcPr>
          <w:p>
            <w:pPr>
              <w:spacing w:after="0"/>
              <w:rPr>
                <w:sz w:val="19"/>
                <w:szCs w:val="19"/>
                <w:color w:val="auto"/>
              </w:rPr>
            </w:pPr>
          </w:p>
        </w:tc>
        <w:tc>
          <w:tcPr>
            <w:tcW w:w="236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About the Meeting and Voting</w:t>
              </w:r>
            </w:hyperlink>
          </w:p>
        </w:tc>
        <w:tc>
          <w:tcPr>
            <w:tcW w:w="6320" w:type="dxa"/>
            <w:vAlign w:val="bottom"/>
            <w:gridSpan w:val="13"/>
          </w:tcPr>
          <w:p>
            <w:pPr>
              <w:spacing w:after="0"/>
              <w:rPr>
                <w:sz w:val="19"/>
                <w:szCs w:val="19"/>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511"/>
        </w:trPr>
        <w:tc>
          <w:tcPr>
            <w:tcW w:w="900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22"/>
                <w:szCs w:val="22"/>
                <w:b w:val="1"/>
                <w:bCs w:val="1"/>
                <w:color w:val="3C5896"/>
              </w:rPr>
              <w:t>Appendix A—Non-GAAP Financial Measures</w:t>
            </w:r>
          </w:p>
        </w:tc>
        <w:tc>
          <w:tcPr>
            <w:tcW w:w="200" w:type="dxa"/>
            <w:vAlign w:val="bottom"/>
            <w:tcBorders>
              <w:bottom w:val="single" w:sz="8" w:color="3C5896"/>
            </w:tcBorders>
            <w:shd w:val="clear" w:color="auto" w:fill="CCEEFF"/>
          </w:tcPr>
          <w:p>
            <w:pPr>
              <w:jc w:val="right"/>
              <w:spacing w:after="0"/>
              <w:rPr>
                <w:rFonts w:ascii="Arial" w:cs="Arial" w:eastAsia="Arial" w:hAnsi="Arial"/>
                <w:sz w:val="18"/>
                <w:szCs w:val="18"/>
                <w:b w:val="1"/>
                <w:bCs w:val="1"/>
                <w:color w:val="3C5896"/>
                <w:w w:val="89"/>
              </w:rPr>
            </w:pPr>
            <w:hyperlink w:anchor="page66">
              <w:r>
                <w:rPr>
                  <w:rFonts w:ascii="Arial" w:cs="Arial" w:eastAsia="Arial" w:hAnsi="Arial"/>
                  <w:sz w:val="18"/>
                  <w:szCs w:val="18"/>
                  <w:b w:val="1"/>
                  <w:bCs w:val="1"/>
                  <w:color w:val="3C5896"/>
                  <w:w w:val="89"/>
                </w:rPr>
                <w:t>63</w:t>
              </w:r>
            </w:hyperlink>
          </w:p>
        </w:tc>
      </w:tr>
      <w:tr>
        <w:trPr>
          <w:trHeight w:val="447"/>
        </w:trPr>
        <w:tc>
          <w:tcPr>
            <w:tcW w:w="9000" w:type="dxa"/>
            <w:vAlign w:val="bottom"/>
            <w:tcBorders>
              <w:top w:val="single" w:sz="8" w:color="auto"/>
            </w:tcBorders>
            <w:gridSpan w:val="18"/>
          </w:tcPr>
          <w:p>
            <w:pPr>
              <w:spacing w:after="0"/>
              <w:rPr>
                <w:rFonts w:ascii="Arial" w:cs="Arial" w:eastAsia="Arial" w:hAnsi="Arial"/>
                <w:sz w:val="22"/>
                <w:szCs w:val="22"/>
                <w:b w:val="1"/>
                <w:bCs w:val="1"/>
                <w:color w:val="3C5896"/>
              </w:rPr>
            </w:pPr>
            <w:hyperlink w:anchor="page72">
              <w:r>
                <w:rPr>
                  <w:rFonts w:ascii="Arial" w:cs="Arial" w:eastAsia="Arial" w:hAnsi="Arial"/>
                  <w:sz w:val="22"/>
                  <w:szCs w:val="22"/>
                  <w:b w:val="1"/>
                  <w:bCs w:val="1"/>
                  <w:color w:val="3C5896"/>
                </w:rPr>
                <w:t>Appendix B—Proposed Amendments to Certificate of Incorporation Eliminating</w:t>
              </w:r>
            </w:hyperlink>
          </w:p>
        </w:tc>
        <w:tc>
          <w:tcPr>
            <w:tcW w:w="200" w:type="dxa"/>
            <w:vAlign w:val="bottom"/>
            <w:tcBorders>
              <w:top w:val="single" w:sz="8" w:color="auto"/>
            </w:tcBorders>
          </w:tcPr>
          <w:p>
            <w:pPr>
              <w:spacing w:after="0"/>
              <w:rPr>
                <w:sz w:val="24"/>
                <w:szCs w:val="24"/>
                <w:color w:val="auto"/>
              </w:rPr>
            </w:pPr>
          </w:p>
        </w:tc>
      </w:tr>
      <w:tr>
        <w:trPr>
          <w:trHeight w:val="216"/>
        </w:trPr>
        <w:tc>
          <w:tcPr>
            <w:tcW w:w="8080" w:type="dxa"/>
            <w:vAlign w:val="bottom"/>
            <w:tcBorders>
              <w:top w:val="single" w:sz="8" w:color="3C5896"/>
            </w:tcBorders>
            <w:gridSpan w:val="17"/>
          </w:tcPr>
          <w:p>
            <w:pPr>
              <w:spacing w:after="0" w:line="183" w:lineRule="exact"/>
              <w:rPr>
                <w:rFonts w:ascii="Arial" w:cs="Arial" w:eastAsia="Arial" w:hAnsi="Arial"/>
                <w:sz w:val="21"/>
                <w:szCs w:val="21"/>
                <w:b w:val="1"/>
                <w:bCs w:val="1"/>
                <w:color w:val="3C5896"/>
              </w:rPr>
            </w:pPr>
            <w:hyperlink w:anchor="page72">
              <w:r>
                <w:rPr>
                  <w:rFonts w:ascii="Arial" w:cs="Arial" w:eastAsia="Arial" w:hAnsi="Arial"/>
                  <w:sz w:val="21"/>
                  <w:szCs w:val="21"/>
                  <w:b w:val="1"/>
                  <w:bCs w:val="1"/>
                  <w:color w:val="3C5896"/>
                </w:rPr>
                <w:t>Classified Board</w:t>
              </w:r>
            </w:hyperlink>
          </w:p>
        </w:tc>
        <w:tc>
          <w:tcPr>
            <w:tcW w:w="920" w:type="dxa"/>
            <w:vAlign w:val="bottom"/>
          </w:tcPr>
          <w:p>
            <w:pPr>
              <w:spacing w:after="0"/>
              <w:rPr>
                <w:sz w:val="18"/>
                <w:szCs w:val="18"/>
                <w:color w:val="auto"/>
              </w:rPr>
            </w:pPr>
          </w:p>
        </w:tc>
        <w:tc>
          <w:tcPr>
            <w:tcW w:w="200" w:type="dxa"/>
            <w:vAlign w:val="bottom"/>
            <w:tcBorders>
              <w:bottom w:val="single" w:sz="8" w:color="3C5896"/>
            </w:tcBorders>
          </w:tcPr>
          <w:p>
            <w:pPr>
              <w:jc w:val="right"/>
              <w:spacing w:after="0" w:line="182" w:lineRule="exact"/>
              <w:rPr>
                <w:rFonts w:ascii="Arial" w:cs="Arial" w:eastAsia="Arial" w:hAnsi="Arial"/>
                <w:sz w:val="18"/>
                <w:szCs w:val="18"/>
                <w:b w:val="1"/>
                <w:bCs w:val="1"/>
                <w:color w:val="3C5896"/>
                <w:w w:val="89"/>
              </w:rPr>
            </w:pPr>
            <w:hyperlink w:anchor="page72">
              <w:r>
                <w:rPr>
                  <w:rFonts w:ascii="Arial" w:cs="Arial" w:eastAsia="Arial" w:hAnsi="Arial"/>
                  <w:sz w:val="18"/>
                  <w:szCs w:val="18"/>
                  <w:b w:val="1"/>
                  <w:bCs w:val="1"/>
                  <w:color w:val="3C5896"/>
                  <w:w w:val="89"/>
                </w:rPr>
                <w:t>69</w:t>
              </w:r>
            </w:hyperlink>
          </w:p>
        </w:tc>
      </w:tr>
      <w:tr>
        <w:trPr>
          <w:trHeight w:val="20"/>
        </w:trPr>
        <w:tc>
          <w:tcPr>
            <w:tcW w:w="320" w:type="dxa"/>
            <w:vAlign w:val="bottom"/>
            <w:tcBorders>
              <w:top w:val="single" w:sz="8" w:color="3C5896"/>
              <w:bottom w:val="single" w:sz="8" w:color="auto"/>
            </w:tcBorders>
          </w:tcPr>
          <w:p>
            <w:pPr>
              <w:spacing w:after="0" w:line="20" w:lineRule="exact"/>
              <w:rPr>
                <w:sz w:val="1"/>
                <w:szCs w:val="1"/>
                <w:color w:val="auto"/>
              </w:rPr>
            </w:pPr>
          </w:p>
        </w:tc>
        <w:tc>
          <w:tcPr>
            <w:tcW w:w="1240" w:type="dxa"/>
            <w:vAlign w:val="bottom"/>
            <w:tcBorders>
              <w:top w:val="single" w:sz="8" w:color="3C5896"/>
              <w:bottom w:val="single" w:sz="8" w:color="auto"/>
            </w:tcBorders>
          </w:tcPr>
          <w:p>
            <w:pPr>
              <w:spacing w:after="0" w:line="20" w:lineRule="exact"/>
              <w:rPr>
                <w:sz w:val="1"/>
                <w:szCs w:val="1"/>
                <w:color w:val="auto"/>
              </w:rPr>
            </w:pPr>
          </w:p>
        </w:tc>
        <w:tc>
          <w:tcPr>
            <w:tcW w:w="120" w:type="dxa"/>
            <w:vAlign w:val="bottom"/>
            <w:tcBorders>
              <w:top w:val="single" w:sz="8" w:color="3C5896"/>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33"/>
        </w:trPr>
        <w:tc>
          <w:tcPr>
            <w:tcW w:w="9000" w:type="dxa"/>
            <w:vAlign w:val="bottom"/>
            <w:gridSpan w:val="18"/>
            <w:shd w:val="clear" w:color="auto" w:fill="CCEEFF"/>
          </w:tcPr>
          <w:p>
            <w:pPr>
              <w:spacing w:after="0"/>
              <w:rPr>
                <w:rFonts w:ascii="Arial" w:cs="Arial" w:eastAsia="Arial" w:hAnsi="Arial"/>
                <w:sz w:val="22"/>
                <w:szCs w:val="22"/>
                <w:b w:val="1"/>
                <w:bCs w:val="1"/>
                <w:color w:val="3C5896"/>
              </w:rPr>
            </w:pPr>
            <w:hyperlink w:anchor="page74">
              <w:r>
                <w:rPr>
                  <w:rFonts w:ascii="Arial" w:cs="Arial" w:eastAsia="Arial" w:hAnsi="Arial"/>
                  <w:sz w:val="22"/>
                  <w:szCs w:val="22"/>
                  <w:b w:val="1"/>
                  <w:bCs w:val="1"/>
                  <w:color w:val="3C5896"/>
                </w:rPr>
                <w:t>Appendix C—Proposed Amendments to Certificate of Incorporation Eliminating</w:t>
              </w:r>
            </w:hyperlink>
          </w:p>
        </w:tc>
        <w:tc>
          <w:tcPr>
            <w:tcW w:w="200" w:type="dxa"/>
            <w:vAlign w:val="bottom"/>
            <w:shd w:val="clear" w:color="auto" w:fill="CCEEFF"/>
          </w:tcPr>
          <w:p>
            <w:pPr>
              <w:spacing w:after="0"/>
              <w:rPr>
                <w:sz w:val="24"/>
                <w:szCs w:val="24"/>
                <w:color w:val="auto"/>
              </w:rPr>
            </w:pPr>
          </w:p>
        </w:tc>
      </w:tr>
      <w:tr>
        <w:trPr>
          <w:trHeight w:val="241"/>
        </w:trPr>
        <w:tc>
          <w:tcPr>
            <w:tcW w:w="8080" w:type="dxa"/>
            <w:vAlign w:val="bottom"/>
            <w:tcBorders>
              <w:top w:val="single" w:sz="8" w:color="3C5896"/>
              <w:bottom w:val="single" w:sz="8" w:color="CCEEFF"/>
            </w:tcBorders>
            <w:gridSpan w:val="17"/>
            <w:shd w:val="clear" w:color="auto" w:fill="CCEEFF"/>
          </w:tcPr>
          <w:p>
            <w:pPr>
              <w:spacing w:after="0" w:line="183" w:lineRule="exact"/>
              <w:rPr>
                <w:rFonts w:ascii="Arial" w:cs="Arial" w:eastAsia="Arial" w:hAnsi="Arial"/>
                <w:sz w:val="21"/>
                <w:szCs w:val="21"/>
                <w:b w:val="1"/>
                <w:bCs w:val="1"/>
                <w:color w:val="3C5896"/>
              </w:rPr>
            </w:pPr>
            <w:hyperlink w:anchor="page74">
              <w:r>
                <w:rPr>
                  <w:rFonts w:ascii="Arial" w:cs="Arial" w:eastAsia="Arial" w:hAnsi="Arial"/>
                  <w:sz w:val="21"/>
                  <w:szCs w:val="21"/>
                  <w:b w:val="1"/>
                  <w:bCs w:val="1"/>
                  <w:color w:val="3C5896"/>
                </w:rPr>
                <w:t>Supermajority Voting Standards and Other Obsolete Provisions</w:t>
              </w:r>
            </w:hyperlink>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3C5896"/>
            </w:tcBorders>
            <w:shd w:val="clear" w:color="auto" w:fill="CCEEFF"/>
          </w:tcPr>
          <w:p>
            <w:pPr>
              <w:jc w:val="right"/>
              <w:spacing w:after="0" w:line="182" w:lineRule="exact"/>
              <w:rPr>
                <w:rFonts w:ascii="Arial" w:cs="Arial" w:eastAsia="Arial" w:hAnsi="Arial"/>
                <w:sz w:val="18"/>
                <w:szCs w:val="18"/>
                <w:b w:val="1"/>
                <w:bCs w:val="1"/>
                <w:color w:val="3C5896"/>
                <w:w w:val="89"/>
              </w:rPr>
            </w:pPr>
            <w:hyperlink w:anchor="page74">
              <w:r>
                <w:rPr>
                  <w:rFonts w:ascii="Arial" w:cs="Arial" w:eastAsia="Arial" w:hAnsi="Arial"/>
                  <w:sz w:val="18"/>
                  <w:szCs w:val="18"/>
                  <w:b w:val="1"/>
                  <w:bCs w:val="1"/>
                  <w:color w:val="3C5896"/>
                  <w:w w:val="89"/>
                </w:rPr>
                <w:t>71</w:t>
              </w:r>
            </w:hyperlink>
          </w:p>
        </w:tc>
      </w:tr>
      <w:tr>
        <w:trPr>
          <w:trHeight w:val="20"/>
        </w:trPr>
        <w:tc>
          <w:tcPr>
            <w:tcW w:w="320" w:type="dxa"/>
            <w:vAlign w:val="bottom"/>
            <w:tcBorders>
              <w:top w:val="single" w:sz="8" w:color="3C5896"/>
            </w:tcBorders>
            <w:shd w:val="clear" w:color="auto" w:fill="000000"/>
          </w:tcPr>
          <w:p>
            <w:pPr>
              <w:spacing w:after="0" w:line="20" w:lineRule="exact"/>
              <w:rPr>
                <w:sz w:val="1"/>
                <w:szCs w:val="1"/>
                <w:color w:val="auto"/>
              </w:rPr>
            </w:pPr>
          </w:p>
        </w:tc>
        <w:tc>
          <w:tcPr>
            <w:tcW w:w="1240" w:type="dxa"/>
            <w:vAlign w:val="bottom"/>
            <w:tcBorders>
              <w:top w:val="single" w:sz="8" w:color="3C5896"/>
            </w:tcBorders>
            <w:shd w:val="clear" w:color="auto" w:fill="000000"/>
          </w:tcPr>
          <w:p>
            <w:pPr>
              <w:spacing w:after="0" w:line="20" w:lineRule="exact"/>
              <w:rPr>
                <w:sz w:val="1"/>
                <w:szCs w:val="1"/>
                <w:color w:val="auto"/>
              </w:rPr>
            </w:pPr>
          </w:p>
        </w:tc>
        <w:tc>
          <w:tcPr>
            <w:tcW w:w="120" w:type="dxa"/>
            <w:vAlign w:val="bottom"/>
            <w:tcBorders>
              <w:top w:val="single" w:sz="8" w:color="3C5896"/>
            </w:tcBorders>
            <w:shd w:val="clear" w:color="auto" w:fill="000000"/>
          </w:tcPr>
          <w:p>
            <w:pPr>
              <w:spacing w:after="0" w:line="20" w:lineRule="exact"/>
              <w:rPr>
                <w:sz w:val="1"/>
                <w:szCs w:val="1"/>
                <w:color w:val="auto"/>
              </w:rPr>
            </w:pPr>
          </w:p>
        </w:tc>
        <w:tc>
          <w:tcPr>
            <w:tcW w:w="860" w:type="dxa"/>
            <w:vAlign w:val="bottom"/>
            <w:tcBorders>
              <w:top w:val="single" w:sz="8" w:color="3C5896"/>
            </w:tcBorders>
            <w:shd w:val="clear" w:color="auto" w:fill="000000"/>
          </w:tcPr>
          <w:p>
            <w:pPr>
              <w:spacing w:after="0" w:line="20" w:lineRule="exact"/>
              <w:rPr>
                <w:sz w:val="1"/>
                <w:szCs w:val="1"/>
                <w:color w:val="auto"/>
              </w:rPr>
            </w:pPr>
          </w:p>
        </w:tc>
        <w:tc>
          <w:tcPr>
            <w:tcW w:w="140" w:type="dxa"/>
            <w:vAlign w:val="bottom"/>
            <w:tcBorders>
              <w:top w:val="single" w:sz="8" w:color="3C5896"/>
            </w:tcBorders>
            <w:shd w:val="clear" w:color="auto" w:fill="000000"/>
          </w:tcPr>
          <w:p>
            <w:pPr>
              <w:spacing w:after="0" w:line="20" w:lineRule="exact"/>
              <w:rPr>
                <w:sz w:val="1"/>
                <w:szCs w:val="1"/>
                <w:color w:val="auto"/>
              </w:rPr>
            </w:pPr>
          </w:p>
        </w:tc>
        <w:tc>
          <w:tcPr>
            <w:tcW w:w="60" w:type="dxa"/>
            <w:vAlign w:val="bottom"/>
            <w:tcBorders>
              <w:top w:val="single" w:sz="8" w:color="3C5896"/>
            </w:tcBorders>
            <w:shd w:val="clear" w:color="auto" w:fill="000000"/>
          </w:tcPr>
          <w:p>
            <w:pPr>
              <w:spacing w:after="0" w:line="20" w:lineRule="exact"/>
              <w:rPr>
                <w:sz w:val="1"/>
                <w:szCs w:val="1"/>
                <w:color w:val="auto"/>
              </w:rPr>
            </w:pPr>
          </w:p>
        </w:tc>
        <w:tc>
          <w:tcPr>
            <w:tcW w:w="140" w:type="dxa"/>
            <w:vAlign w:val="bottom"/>
            <w:tcBorders>
              <w:top w:val="single" w:sz="8" w:color="3C5896"/>
            </w:tcBorders>
            <w:shd w:val="clear" w:color="auto" w:fill="000000"/>
          </w:tcPr>
          <w:p>
            <w:pPr>
              <w:spacing w:after="0" w:line="20" w:lineRule="exact"/>
              <w:rPr>
                <w:sz w:val="1"/>
                <w:szCs w:val="1"/>
                <w:color w:val="auto"/>
              </w:rPr>
            </w:pPr>
          </w:p>
        </w:tc>
        <w:tc>
          <w:tcPr>
            <w:tcW w:w="20" w:type="dxa"/>
            <w:vAlign w:val="bottom"/>
            <w:tcBorders>
              <w:top w:val="single" w:sz="8" w:color="3C5896"/>
            </w:tcBorders>
            <w:shd w:val="clear" w:color="auto" w:fill="000000"/>
          </w:tcPr>
          <w:p>
            <w:pPr>
              <w:spacing w:after="0" w:line="20" w:lineRule="exact"/>
              <w:rPr>
                <w:sz w:val="1"/>
                <w:szCs w:val="1"/>
                <w:color w:val="auto"/>
              </w:rPr>
            </w:pPr>
          </w:p>
        </w:tc>
        <w:tc>
          <w:tcPr>
            <w:tcW w:w="80" w:type="dxa"/>
            <w:vAlign w:val="bottom"/>
            <w:tcBorders>
              <w:top w:val="single" w:sz="8" w:color="3C5896"/>
            </w:tcBorders>
            <w:shd w:val="clear" w:color="auto" w:fill="000000"/>
          </w:tcPr>
          <w:p>
            <w:pPr>
              <w:spacing w:after="0" w:line="20" w:lineRule="exact"/>
              <w:rPr>
                <w:sz w:val="1"/>
                <w:szCs w:val="1"/>
                <w:color w:val="auto"/>
              </w:rPr>
            </w:pPr>
          </w:p>
        </w:tc>
        <w:tc>
          <w:tcPr>
            <w:tcW w:w="580" w:type="dxa"/>
            <w:vAlign w:val="bottom"/>
            <w:tcBorders>
              <w:top w:val="single" w:sz="8" w:color="3C5896"/>
            </w:tcBorders>
            <w:shd w:val="clear" w:color="auto" w:fill="000000"/>
          </w:tcPr>
          <w:p>
            <w:pPr>
              <w:spacing w:after="0" w:line="20" w:lineRule="exact"/>
              <w:rPr>
                <w:sz w:val="1"/>
                <w:szCs w:val="1"/>
                <w:color w:val="auto"/>
              </w:rPr>
            </w:pPr>
          </w:p>
        </w:tc>
        <w:tc>
          <w:tcPr>
            <w:tcW w:w="860" w:type="dxa"/>
            <w:vAlign w:val="bottom"/>
            <w:tcBorders>
              <w:top w:val="single" w:sz="8" w:color="3C5896"/>
            </w:tcBorders>
            <w:shd w:val="clear" w:color="auto" w:fill="000000"/>
          </w:tcPr>
          <w:p>
            <w:pPr>
              <w:spacing w:after="0" w:line="20" w:lineRule="exact"/>
              <w:rPr>
                <w:sz w:val="1"/>
                <w:szCs w:val="1"/>
                <w:color w:val="auto"/>
              </w:rPr>
            </w:pPr>
          </w:p>
        </w:tc>
        <w:tc>
          <w:tcPr>
            <w:tcW w:w="120" w:type="dxa"/>
            <w:vAlign w:val="bottom"/>
            <w:tcBorders>
              <w:top w:val="single" w:sz="8" w:color="3C5896"/>
            </w:tcBorders>
            <w:shd w:val="clear" w:color="auto" w:fill="000000"/>
          </w:tcPr>
          <w:p>
            <w:pPr>
              <w:spacing w:after="0" w:line="20" w:lineRule="exact"/>
              <w:rPr>
                <w:sz w:val="1"/>
                <w:szCs w:val="1"/>
                <w:color w:val="auto"/>
              </w:rPr>
            </w:pPr>
          </w:p>
        </w:tc>
        <w:tc>
          <w:tcPr>
            <w:tcW w:w="180" w:type="dxa"/>
            <w:vAlign w:val="bottom"/>
            <w:tcBorders>
              <w:top w:val="single" w:sz="8" w:color="3C5896"/>
            </w:tcBorders>
            <w:shd w:val="clear" w:color="auto" w:fill="000000"/>
          </w:tcPr>
          <w:p>
            <w:pPr>
              <w:spacing w:after="0" w:line="20" w:lineRule="exact"/>
              <w:rPr>
                <w:sz w:val="1"/>
                <w:szCs w:val="1"/>
                <w:color w:val="auto"/>
              </w:rPr>
            </w:pPr>
          </w:p>
        </w:tc>
        <w:tc>
          <w:tcPr>
            <w:tcW w:w="1160" w:type="dxa"/>
            <w:vAlign w:val="bottom"/>
            <w:tcBorders>
              <w:top w:val="single" w:sz="8" w:color="3C5896"/>
            </w:tcBorders>
            <w:shd w:val="clear" w:color="auto" w:fill="000000"/>
          </w:tcPr>
          <w:p>
            <w:pPr>
              <w:spacing w:after="0" w:line="20" w:lineRule="exact"/>
              <w:rPr>
                <w:sz w:val="1"/>
                <w:szCs w:val="1"/>
                <w:color w:val="auto"/>
              </w:rPr>
            </w:pPr>
          </w:p>
        </w:tc>
        <w:tc>
          <w:tcPr>
            <w:tcW w:w="580" w:type="dxa"/>
            <w:vAlign w:val="bottom"/>
            <w:tcBorders>
              <w:top w:val="single" w:sz="8" w:color="3C5896"/>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r>
    </w:tbl>
    <w:p>
      <w:pPr>
        <w:spacing w:after="0" w:line="251"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i w:val="1"/>
          <w:iCs w:val="1"/>
          <w:color w:val="auto"/>
        </w:rPr>
        <w:t>This proxy statement includes links to websites, which are provided solely for convenience purposes. The information on these websites is not, and will not be deemed to be, a part of this proxy statement or incorporated into any other Company filings with the Securities and Exchange Commission (the “SEC”).</w:t>
      </w:r>
    </w:p>
    <w:p>
      <w:pPr>
        <w:spacing w:after="0" w:line="68"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i w:val="1"/>
          <w:iCs w:val="1"/>
          <w:color w:val="auto"/>
        </w:rPr>
        <w:t>This proxy statement contains forward-looking statements. All statements, other than statements of historical facts included in this proxy statement, including statements concerning our plans, objectives, goals, beliefs, business strategies, future events, business conditions, results of operations, financial position, business outlook, business trends and other information, may be forward-looking statements. 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 All forward-looking statements in this proxy statement, apply only as of the date of this proxy statement or as of the date they were made and, except as required by applicable law, we undertake no obligation to publicly update or revise any forward-looking statement, whether as a result of new information, future developments or otherwise. There are a number of risks, uncertainties and other important factors, many of which are beyond our control, that could cause our actual results to differ materially from the forward-looking statements contained in this proxy statement. These risks and uncertainties include, but are not limited to, those described below in the “Risk Factors Summary,” in Part I. Item 1A. “Risk Factors” in our Annual Report on Form 10-K for the year ended January 2, 2021 (the “2020 10-K”) and those described from time to time in our future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ii  </w:t>
      </w:r>
      <w:r>
        <w:rPr>
          <w:sz w:val="1"/>
          <w:szCs w:val="1"/>
          <w:color w:val="auto"/>
        </w:rPr>
        <w:drawing>
          <wp:inline distT="0" distB="0" distL="0" distR="0">
            <wp:extent cx="299720" cy="2400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FFFFFF"/>
        </w:rPr>
        <w:t>LETTER TO STOCKHOLDERS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Dear Stockholders:</w:t>
      </w:r>
    </w:p>
    <w:p>
      <w:pPr>
        <w:spacing w:after="0" w:line="100"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We are pleased to invite you to attend the National Vision Holdings, Inc. 2021 Annual Meeting of Stockholders on Tuesday, June 8, 2021, at 1:00 p.m., Eastern Time. Due to the continued concerns related to the coronavirus (COVID-19) pandemic, this year we will be holding a virtual Annual Meeting, as described further below.</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Year In Review</w:t>
      </w:r>
    </w:p>
    <w:p>
      <w:pPr>
        <w:spacing w:after="0" w:line="100" w:lineRule="exact"/>
        <w:rPr>
          <w:sz w:val="20"/>
          <w:szCs w:val="20"/>
          <w:color w:val="auto"/>
        </w:rPr>
      </w:pPr>
    </w:p>
    <w:p>
      <w:pPr>
        <w:jc w:val="both"/>
        <w:ind w:left="760" w:right="760"/>
        <w:spacing w:after="0" w:line="267" w:lineRule="auto"/>
        <w:rPr>
          <w:sz w:val="20"/>
          <w:szCs w:val="20"/>
          <w:color w:val="auto"/>
        </w:rPr>
      </w:pPr>
      <w:r>
        <w:rPr>
          <w:rFonts w:ascii="Arial" w:cs="Arial" w:eastAsia="Arial" w:hAnsi="Arial"/>
          <w:sz w:val="17"/>
          <w:szCs w:val="17"/>
          <w:color w:val="auto"/>
        </w:rPr>
        <w:t>2020 was a year like none other in our Company’s history—filled with uncertainty and unprecedented challenges on a global scale. National Vision has been resilient in difficult times, including economic crises, and we are proud of the actions we took in order to navigate the pandemic. Last March, as we realized the significance of COVID-19, we placed the highest priority on the health and safety of our associates, doctors, patients and customers as well as the local communities we operate in by temporarily closing our stores to the public in order to implement enhanced safety protocols. Our management team and our Board of Directors also acted swiftly to preserve cash, implement certain operational and cost-cutting initiatives, and proactively took steps to strengthen our liquidity position. Most importantly, our associates and doctors met every challenge that came their way in 2020 and we are grateful for their hard work and dedication. Despite the extraordinary circumstances in 2020, we delivered double-digit growth in the second half of the year, as well as an increase in our overall store count by 4.7%, ending the year with 1,205 stores. We believe 2020 was ultimately successful and we are well positioned to capitalize on future opportunities.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Our Commitment to Corporate Responsibility</w:t>
      </w:r>
    </w:p>
    <w:p>
      <w:pPr>
        <w:spacing w:after="0" w:line="100"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We have a strong mission-focused culture where we believe everyone deserves to see their best to live their best. We are striving to build upon this culture and approach environmental, social and governance (ESG) topics, which we refer to as Corporate Responsibility, from a broad perspective. In 2020, we published our first Impact Report, focusing on our philanthropic efforts, and we began the process of developing a formal Corporate Responsibility strategy, including conducting a materiality assessment to identify our priority areas of focus, along with gaps and opportunities for us to address. We are continuing our efforts by defining our internal Corporate Responsibility governance structure, including Board and executive officer oversight, and creating our strategic framework to manage our Corporate Responsibility efforts and reporting metrics. We look forward to reporting our continued progress on our website’s newly launched Corporate Responsibility page.</w:t>
      </w:r>
    </w:p>
    <w:p>
      <w:pPr>
        <w:spacing w:after="0" w:line="104"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Corporate Responsibility includes our commitment to responsible corporate governance. Our Board of Directors is comprised of a group of industry-leading experts with diverse genders, ethnicities, experiences and backgrounds, who oversee the Company’s strategy and drive long-term value for our stockholders. A majority of our eight independent directors identify as diverse, with four women and two directors of racial/ethnic diversity. We are proud that our Board reflects the diversity of our associates and customers in that way.</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32"/>
          <w:szCs w:val="32"/>
          <w:color w:val="auto"/>
        </w:rPr>
        <w:t>Looking Ahead</w:t>
      </w:r>
    </w:p>
    <w:p>
      <w:pPr>
        <w:spacing w:after="0" w:line="100"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As we move into 2021, the safety and health of our associates, doctors, patients, and customers remains our highest priority as we continue to navigate the pandemic and provide reliable and quality low cost eye care and eyewear to our patients and customers. Despite the uncertainty created by the pandemic and the related volatility in the global economy, we remain focused on delivering value for you, our stockholders, over the long term.</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Our 2021 Annual Meeting:</w:t>
      </w:r>
    </w:p>
    <w:p>
      <w:pPr>
        <w:spacing w:after="0" w:line="100"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Whether you own a few shares or many, and whether or not you plan to attend the virtual Annual Meeting, your vote is important to us. We encourage you to review the proxy materials and submit your vote today. While this year’s meeting will be virtual, all stockholders will be afforded the same rights they would have had at a physical meeting. Detailed information concerning the Annual Meeting is set forth in the Notice of Annual Meeting of Stockholders, Notice of Internet Availability of Proxy Materials and proxy statement, which describe the business to be conducted at the meeting. Whether or not you plan to attend, it is important that your shares be represented and voted during the meeting. Instructions for voting your shares are set forth in the proxy statement as well as in the Notice of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465455</wp:posOffset>
            </wp:positionV>
            <wp:extent cx="30035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tcPr>
          <w:p>
            <w:pPr>
              <w:ind w:left="7400"/>
              <w:spacing w:after="0"/>
              <w:rPr>
                <w:sz w:val="20"/>
                <w:szCs w:val="20"/>
                <w:color w:val="auto"/>
              </w:rPr>
            </w:pPr>
            <w:r>
              <w:rPr>
                <w:rFonts w:ascii="Arial" w:cs="Arial" w:eastAsia="Arial" w:hAnsi="Arial"/>
                <w:sz w:val="16"/>
                <w:szCs w:val="16"/>
                <w:color w:val="auto"/>
              </w:rPr>
              <w:t>2021 Proxy Statement</w:t>
            </w: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1</w:t>
            </w:r>
          </w:p>
        </w:tc>
      </w:tr>
      <w:tr>
        <w:trPr>
          <w:trHeight w:val="432"/>
        </w:trPr>
        <w:tc>
          <w:tcPr>
            <w:tcW w:w="9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LETTER TO STOCKHOLDERS</w:t>
      </w:r>
    </w:p>
    <w:p>
      <w:pPr>
        <w:spacing w:after="0" w:line="24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Availability of Proxy Materials you received in the mail. The Notice of Internet Availability of Proxy Materials, the proxy statement, and the enclosed proxy card and annual report are first being sent to stockholders on or about April 30, 2021.</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behalf of the Board of Directors and everyone at National Vision, we are grateful for your continued support.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Thank you for being a stockholder of National Vision Holdings, Inc.</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100330</wp:posOffset>
            </wp:positionV>
            <wp:extent cx="4577715"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7715" cy="557530"/>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 Randolph Peeler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96" w:lineRule="exact"/>
        <w:rPr>
          <w:sz w:val="20"/>
          <w:szCs w:val="20"/>
          <w:color w:val="auto"/>
        </w:rPr>
      </w:pPr>
    </w:p>
    <w:p>
      <w:pPr>
        <w:sectPr>
          <w:pgSz w:w="11900" w:h="16838" w:orient="portrait"/>
          <w:cols w:equalWidth="0" w:num="2">
            <w:col w:w="4740" w:space="720"/>
            <w:col w:w="4500"/>
          </w:cols>
          <w:pgMar w:left="580" w:top="131" w:right="1359" w:bottom="1440" w:gutter="0" w:footer="0" w:header="0"/>
          <w:type w:val="continuous"/>
        </w:sectPr>
      </w:pPr>
    </w:p>
    <w:p>
      <w:pPr>
        <w:ind w:left="760"/>
        <w:spacing w:after="0"/>
        <w:rPr>
          <w:sz w:val="20"/>
          <w:szCs w:val="20"/>
          <w:color w:val="auto"/>
        </w:rPr>
      </w:pPr>
      <w:r>
        <w:rPr>
          <w:rFonts w:ascii="Arial" w:cs="Arial" w:eastAsia="Arial" w:hAnsi="Arial"/>
          <w:sz w:val="17"/>
          <w:szCs w:val="17"/>
          <w:color w:val="auto"/>
        </w:rPr>
        <w:t>April 30, 2021</w:t>
      </w:r>
    </w:p>
    <w:p>
      <w:pPr>
        <w:sectPr>
          <w:pgSz w:w="11900" w:h="16838" w:orient="portrait"/>
          <w:cols w:equalWidth="0" w:num="1">
            <w:col w:w="9960"/>
          </w:cols>
          <w:pgMar w:left="580" w:top="131"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  </w:t>
      </w:r>
      <w:r>
        <w:rPr>
          <w:sz w:val="1"/>
          <w:szCs w:val="1"/>
          <w:color w:val="auto"/>
        </w:rPr>
        <w:drawing>
          <wp:inline distT="0" distB="0" distL="0" distR="0">
            <wp:extent cx="299720" cy="2400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NOTICE OF ANNUAL MEETING OF STOCKHOLDERS</w:t>
      </w:r>
    </w:p>
    <w:p>
      <w:pPr>
        <w:spacing w:after="0" w:line="253" w:lineRule="exact"/>
        <w:rPr>
          <w:sz w:val="20"/>
          <w:szCs w:val="20"/>
          <w:color w:val="auto"/>
        </w:rPr>
      </w:pPr>
    </w:p>
    <w:tbl>
      <w:tblPr>
        <w:tblLayout w:type="fixed"/>
        <w:tblInd w:w="760" w:type="dxa"/>
        <w:tblCellMar>
          <w:top w:w="0" w:type="dxa"/>
          <w:left w:w="0" w:type="dxa"/>
          <w:bottom w:w="0" w:type="dxa"/>
          <w:right w:w="0" w:type="dxa"/>
        </w:tblCellMar>
      </w:tblPr>
      <w:tr>
        <w:trPr>
          <w:trHeight w:val="239"/>
        </w:trPr>
        <w:tc>
          <w:tcPr>
            <w:tcW w:w="2220" w:type="dxa"/>
            <w:vAlign w:val="bottom"/>
          </w:tcPr>
          <w:p>
            <w:pPr>
              <w:spacing w:after="0"/>
              <w:rPr>
                <w:sz w:val="20"/>
                <w:szCs w:val="20"/>
                <w:color w:val="auto"/>
              </w:rPr>
            </w:pPr>
            <w:r>
              <w:rPr>
                <w:rFonts w:ascii="Arial" w:cs="Arial" w:eastAsia="Arial" w:hAnsi="Arial"/>
                <w:sz w:val="18"/>
                <w:szCs w:val="18"/>
                <w:b w:val="1"/>
                <w:bCs w:val="1"/>
                <w:color w:val="auto"/>
              </w:rPr>
              <w:t>DATE &amp; TIME</w:t>
            </w:r>
          </w:p>
        </w:tc>
        <w:tc>
          <w:tcPr>
            <w:tcW w:w="6940" w:type="dxa"/>
            <w:vAlign w:val="bottom"/>
            <w:gridSpan w:val="2"/>
          </w:tcPr>
          <w:p>
            <w:pPr>
              <w:spacing w:after="0"/>
              <w:rPr>
                <w:sz w:val="20"/>
                <w:szCs w:val="20"/>
                <w:color w:val="auto"/>
              </w:rPr>
            </w:pPr>
            <w:r>
              <w:rPr>
                <w:rFonts w:ascii="Arial" w:cs="Arial" w:eastAsia="Arial" w:hAnsi="Arial"/>
                <w:sz w:val="18"/>
                <w:szCs w:val="18"/>
                <w:color w:val="auto"/>
              </w:rPr>
              <w:t>1:00 p.m., Eastern Time, on Tuesday, June 8, 2021</w:t>
            </w:r>
          </w:p>
        </w:tc>
      </w:tr>
      <w:tr>
        <w:trPr>
          <w:trHeight w:val="288"/>
        </w:trPr>
        <w:tc>
          <w:tcPr>
            <w:tcW w:w="2220" w:type="dxa"/>
            <w:vAlign w:val="bottom"/>
          </w:tcPr>
          <w:p>
            <w:pPr>
              <w:spacing w:after="0"/>
              <w:rPr>
                <w:sz w:val="20"/>
                <w:szCs w:val="20"/>
                <w:color w:val="auto"/>
              </w:rPr>
            </w:pPr>
            <w:r>
              <w:rPr>
                <w:rFonts w:ascii="Arial" w:cs="Arial" w:eastAsia="Arial" w:hAnsi="Arial"/>
                <w:sz w:val="18"/>
                <w:szCs w:val="18"/>
                <w:b w:val="1"/>
                <w:bCs w:val="1"/>
                <w:color w:val="auto"/>
              </w:rPr>
              <w:t>VIRTUAL MEETING</w:t>
            </w:r>
          </w:p>
        </w:tc>
        <w:tc>
          <w:tcPr>
            <w:tcW w:w="6940" w:type="dxa"/>
            <w:vAlign w:val="bottom"/>
            <w:gridSpan w:val="2"/>
          </w:tcPr>
          <w:p>
            <w:pPr>
              <w:spacing w:after="0"/>
              <w:rPr>
                <w:sz w:val="20"/>
                <w:szCs w:val="20"/>
                <w:color w:val="auto"/>
              </w:rPr>
            </w:pPr>
            <w:r>
              <w:rPr>
                <w:rFonts w:ascii="Arial" w:cs="Arial" w:eastAsia="Arial" w:hAnsi="Arial"/>
                <w:sz w:val="18"/>
                <w:szCs w:val="18"/>
                <w:color w:val="auto"/>
              </w:rPr>
              <w:t>The virtual Annual Meeting will be held exclusively online at</w:t>
            </w:r>
          </w:p>
        </w:tc>
      </w:tr>
      <w:tr>
        <w:trPr>
          <w:trHeight w:val="198"/>
        </w:trPr>
        <w:tc>
          <w:tcPr>
            <w:tcW w:w="2220" w:type="dxa"/>
            <w:vAlign w:val="bottom"/>
          </w:tcPr>
          <w:p>
            <w:pPr>
              <w:spacing w:after="0" w:line="198" w:lineRule="exact"/>
              <w:rPr>
                <w:sz w:val="20"/>
                <w:szCs w:val="20"/>
                <w:color w:val="auto"/>
              </w:rPr>
            </w:pPr>
            <w:r>
              <w:rPr>
                <w:rFonts w:ascii="Arial" w:cs="Arial" w:eastAsia="Arial" w:hAnsi="Arial"/>
                <w:sz w:val="18"/>
                <w:szCs w:val="18"/>
                <w:b w:val="1"/>
                <w:bCs w:val="1"/>
                <w:color w:val="auto"/>
              </w:rPr>
              <w:t>INFORMATION</w:t>
            </w:r>
          </w:p>
        </w:tc>
        <w:tc>
          <w:tcPr>
            <w:tcW w:w="6940" w:type="dxa"/>
            <w:vAlign w:val="bottom"/>
            <w:gridSpan w:val="2"/>
          </w:tcPr>
          <w:p>
            <w:pPr>
              <w:spacing w:after="0" w:line="198" w:lineRule="exact"/>
              <w:rPr>
                <w:sz w:val="20"/>
                <w:szCs w:val="20"/>
                <w:color w:val="auto"/>
              </w:rPr>
            </w:pPr>
            <w:r>
              <w:rPr>
                <w:rFonts w:ascii="Arial" w:cs="Arial" w:eastAsia="Arial" w:hAnsi="Arial"/>
                <w:sz w:val="18"/>
                <w:szCs w:val="18"/>
                <w:color w:val="auto"/>
                <w:w w:val="98"/>
              </w:rPr>
              <w:t>http://www.meetingcenter.io/208004347. To attend the meeting, please visit the meeting</w:t>
            </w:r>
          </w:p>
        </w:tc>
      </w:tr>
      <w:tr>
        <w:trPr>
          <w:trHeight w:val="20"/>
        </w:trPr>
        <w:tc>
          <w:tcPr>
            <w:tcW w:w="22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37"/>
        </w:trPr>
        <w:tc>
          <w:tcPr>
            <w:tcW w:w="222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website and enter your control number and then the password EYE2021.</w:t>
            </w:r>
          </w:p>
        </w:tc>
      </w:tr>
      <w:tr>
        <w:trPr>
          <w:trHeight w:val="323"/>
        </w:trPr>
        <w:tc>
          <w:tcPr>
            <w:tcW w:w="22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All stockholders will be afforded the same rights they would have had at a physical</w:t>
            </w:r>
          </w:p>
        </w:tc>
      </w:tr>
      <w:tr>
        <w:trPr>
          <w:trHeight w:val="216"/>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meeting. Thus, it is very important that you retain your Notice, proxy card and related</w:t>
            </w:r>
          </w:p>
        </w:tc>
      </w:tr>
      <w:tr>
        <w:trPr>
          <w:trHeight w:val="217"/>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materials, including your control number, through the date of the Annual Meeting.</w:t>
            </w:r>
          </w:p>
        </w:tc>
      </w:tr>
      <w:tr>
        <w:trPr>
          <w:trHeight w:val="338"/>
        </w:trPr>
        <w:tc>
          <w:tcPr>
            <w:tcW w:w="22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6940" w:type="dxa"/>
            <w:vAlign w:val="bottom"/>
            <w:gridSpan w:val="2"/>
          </w:tcPr>
          <w:p>
            <w:pPr>
              <w:spacing w:after="0"/>
              <w:rPr>
                <w:sz w:val="20"/>
                <w:szCs w:val="20"/>
                <w:color w:val="auto"/>
              </w:rPr>
            </w:pPr>
            <w:r>
              <w:rPr>
                <w:rFonts w:ascii="Arial" w:cs="Arial" w:eastAsia="Arial" w:hAnsi="Arial"/>
                <w:sz w:val="18"/>
                <w:szCs w:val="18"/>
                <w:color w:val="auto"/>
              </w:rPr>
              <w:t>1.  To elect the Class I director nominees listed in the Proxy Statement.</w:t>
            </w:r>
          </w:p>
        </w:tc>
      </w:tr>
      <w:tr>
        <w:trPr>
          <w:trHeight w:val="310"/>
        </w:trPr>
        <w:tc>
          <w:tcPr>
            <w:tcW w:w="22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2.  To approve an amendment to the second amended and restated certificate of</w:t>
            </w:r>
          </w:p>
        </w:tc>
      </w:tr>
      <w:tr>
        <w:trPr>
          <w:trHeight w:val="217"/>
        </w:trPr>
        <w:tc>
          <w:tcPr>
            <w:tcW w:w="22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incorporation to eliminate the classified structure of the board of directors.</w:t>
            </w:r>
          </w:p>
        </w:tc>
      </w:tr>
      <w:tr>
        <w:trPr>
          <w:trHeight w:val="323"/>
        </w:trPr>
        <w:tc>
          <w:tcPr>
            <w:tcW w:w="22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3.  To approve an amendment to the second amended and restated certificate of</w:t>
            </w:r>
          </w:p>
        </w:tc>
      </w:tr>
      <w:tr>
        <w:trPr>
          <w:trHeight w:val="216"/>
        </w:trPr>
        <w:tc>
          <w:tcPr>
            <w:tcW w:w="22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incorporation to eliminate supermajority voting standards and other obsolete</w:t>
            </w:r>
          </w:p>
        </w:tc>
      </w:tr>
      <w:tr>
        <w:trPr>
          <w:trHeight w:val="217"/>
        </w:trPr>
        <w:tc>
          <w:tcPr>
            <w:tcW w:w="22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provisions.</w:t>
            </w:r>
          </w:p>
        </w:tc>
      </w:tr>
      <w:tr>
        <w:trPr>
          <w:trHeight w:val="323"/>
        </w:trPr>
        <w:tc>
          <w:tcPr>
            <w:tcW w:w="22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4.  To approve, in a non-binding advisory vote, the compensation paid to the named</w:t>
            </w:r>
          </w:p>
        </w:tc>
      </w:tr>
      <w:tr>
        <w:trPr>
          <w:trHeight w:val="217"/>
        </w:trPr>
        <w:tc>
          <w:tcPr>
            <w:tcW w:w="22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executive officers.</w:t>
            </w:r>
          </w:p>
        </w:tc>
      </w:tr>
      <w:tr>
        <w:trPr>
          <w:trHeight w:val="323"/>
        </w:trPr>
        <w:tc>
          <w:tcPr>
            <w:tcW w:w="22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5.  To ratify the appointment of Deloitte &amp; Touche LLP as our independent registered</w:t>
            </w:r>
          </w:p>
        </w:tc>
      </w:tr>
      <w:tr>
        <w:trPr>
          <w:trHeight w:val="217"/>
        </w:trPr>
        <w:tc>
          <w:tcPr>
            <w:tcW w:w="22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public accounting firm for fiscal 2021.</w:t>
            </w:r>
          </w:p>
        </w:tc>
      </w:tr>
      <w:tr>
        <w:trPr>
          <w:trHeight w:val="323"/>
        </w:trPr>
        <w:tc>
          <w:tcPr>
            <w:tcW w:w="22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6.  To consider such other business as may properly come before the Annual Meeting</w:t>
            </w:r>
          </w:p>
        </w:tc>
      </w:tr>
      <w:tr>
        <w:trPr>
          <w:trHeight w:val="217"/>
        </w:trPr>
        <w:tc>
          <w:tcPr>
            <w:tcW w:w="22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and any adjournments or postponements thereof.</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6940" w:type="dxa"/>
            <w:vAlign w:val="bottom"/>
            <w:gridSpan w:val="2"/>
          </w:tcPr>
          <w:p>
            <w:pPr>
              <w:spacing w:after="0"/>
              <w:rPr>
                <w:sz w:val="20"/>
                <w:szCs w:val="20"/>
                <w:color w:val="auto"/>
              </w:rPr>
            </w:pPr>
            <w:r>
              <w:rPr>
                <w:rFonts w:ascii="Arial" w:cs="Arial" w:eastAsia="Arial" w:hAnsi="Arial"/>
                <w:sz w:val="18"/>
                <w:szCs w:val="18"/>
                <w:color w:val="auto"/>
              </w:rPr>
              <w:t>You may vote at the Annual Meeting if you were a stockholder of record at the close of</w:t>
            </w:r>
          </w:p>
        </w:tc>
      </w:tr>
      <w:tr>
        <w:trPr>
          <w:trHeight w:val="217"/>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business on April 15, 2021.</w:t>
            </w:r>
          </w:p>
        </w:tc>
      </w:tr>
      <w:tr>
        <w:trPr>
          <w:trHeight w:val="323"/>
        </w:trPr>
        <w:tc>
          <w:tcPr>
            <w:tcW w:w="222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6940" w:type="dxa"/>
            <w:vAlign w:val="bottom"/>
            <w:gridSpan w:val="2"/>
          </w:tcPr>
          <w:p>
            <w:pPr>
              <w:spacing w:after="0"/>
              <w:rPr>
                <w:sz w:val="20"/>
                <w:szCs w:val="20"/>
                <w:color w:val="auto"/>
              </w:rPr>
            </w:pPr>
            <w:r>
              <w:rPr>
                <w:rFonts w:ascii="Arial" w:cs="Arial" w:eastAsia="Arial" w:hAnsi="Arial"/>
                <w:sz w:val="18"/>
                <w:szCs w:val="18"/>
                <w:color w:val="auto"/>
              </w:rPr>
              <w:t>You may vote your shares on the Internet, by telephone or by completing, signing and</w:t>
            </w:r>
          </w:p>
        </w:tc>
      </w:tr>
      <w:tr>
        <w:trPr>
          <w:trHeight w:val="216"/>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9"/>
              </w:rPr>
              <w:t>promptly returning a proxy card or you may attend the Annual Meeting online, vote your</w:t>
            </w:r>
          </w:p>
        </w:tc>
      </w:tr>
      <w:tr>
        <w:trPr>
          <w:trHeight w:val="216"/>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shares and submit questions during the live meeting by visiting</w:t>
            </w:r>
          </w:p>
        </w:tc>
      </w:tr>
      <w:tr>
        <w:trPr>
          <w:trHeight w:val="176"/>
        </w:trPr>
        <w:tc>
          <w:tcPr>
            <w:tcW w:w="2220" w:type="dxa"/>
            <w:vAlign w:val="bottom"/>
          </w:tcPr>
          <w:p>
            <w:pPr>
              <w:spacing w:after="0"/>
              <w:rPr>
                <w:sz w:val="15"/>
                <w:szCs w:val="15"/>
                <w:color w:val="auto"/>
              </w:rPr>
            </w:pPr>
          </w:p>
        </w:tc>
        <w:tc>
          <w:tcPr>
            <w:tcW w:w="6940" w:type="dxa"/>
            <w:vAlign w:val="bottom"/>
            <w:gridSpan w:val="2"/>
          </w:tcPr>
          <w:p>
            <w:pPr>
              <w:spacing w:after="0" w:line="176" w:lineRule="exact"/>
              <w:rPr>
                <w:sz w:val="20"/>
                <w:szCs w:val="20"/>
                <w:color w:val="auto"/>
              </w:rPr>
            </w:pPr>
            <w:r>
              <w:rPr>
                <w:rFonts w:ascii="Arial" w:cs="Arial" w:eastAsia="Arial" w:hAnsi="Arial"/>
                <w:sz w:val="18"/>
                <w:szCs w:val="18"/>
                <w:color w:val="auto"/>
              </w:rPr>
              <w:t>http://www.meetingcenter.io/208004347. Voting online, by telephone or by returning</w:t>
            </w:r>
          </w:p>
        </w:tc>
      </w:tr>
      <w:tr>
        <w:trPr>
          <w:trHeight w:val="20"/>
        </w:trPr>
        <w:tc>
          <w:tcPr>
            <w:tcW w:w="22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36"/>
        </w:trPr>
        <w:tc>
          <w:tcPr>
            <w:tcW w:w="222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your proxy card does not deprive you of your right to attend the Annual Meeting online.</w:t>
            </w:r>
          </w:p>
        </w:tc>
      </w:tr>
      <w:tr>
        <w:trPr>
          <w:trHeight w:val="216"/>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If you do attend the Annual Meeting online and wish to vote your shares online during</w:t>
            </w:r>
          </w:p>
        </w:tc>
      </w:tr>
      <w:tr>
        <w:trPr>
          <w:trHeight w:val="216"/>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the Annual Meeting, you may do so and such vote will supersede any prior vote</w:t>
            </w:r>
          </w:p>
        </w:tc>
      </w:tr>
      <w:tr>
        <w:trPr>
          <w:trHeight w:val="216"/>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recorded. Voting procedures are described on the following page and on the Notice of</w:t>
            </w:r>
          </w:p>
        </w:tc>
      </w:tr>
      <w:tr>
        <w:trPr>
          <w:trHeight w:val="217"/>
        </w:trPr>
        <w:tc>
          <w:tcPr>
            <w:tcW w:w="22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Internet Availability of Proxy Materials and the proxy card.</w:t>
            </w:r>
          </w:p>
        </w:tc>
      </w:tr>
      <w:tr>
        <w:trPr>
          <w:trHeight w:val="500"/>
        </w:trPr>
        <w:tc>
          <w:tcPr>
            <w:tcW w:w="2220" w:type="dxa"/>
            <w:vAlign w:val="bottom"/>
          </w:tcPr>
          <w:p>
            <w:pPr>
              <w:spacing w:after="0"/>
              <w:rPr>
                <w:sz w:val="24"/>
                <w:szCs w:val="24"/>
                <w:color w:val="auto"/>
              </w:rPr>
            </w:pPr>
          </w:p>
        </w:tc>
        <w:tc>
          <w:tcPr>
            <w:tcW w:w="6940" w:type="dxa"/>
            <w:vAlign w:val="bottom"/>
            <w:gridSpan w:val="2"/>
          </w:tcPr>
          <w:p>
            <w:pPr>
              <w:ind w:left="2460"/>
              <w:spacing w:after="0"/>
              <w:rPr>
                <w:sz w:val="20"/>
                <w:szCs w:val="20"/>
                <w:color w:val="auto"/>
              </w:rPr>
            </w:pPr>
            <w:r>
              <w:rPr>
                <w:rFonts w:ascii="Arial" w:cs="Arial" w:eastAsia="Arial" w:hAnsi="Arial"/>
                <w:sz w:val="18"/>
                <w:szCs w:val="18"/>
                <w:color w:val="auto"/>
              </w:rPr>
              <w:t>By Order 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93980</wp:posOffset>
            </wp:positionV>
            <wp:extent cx="1440180" cy="625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18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Jared Brandman</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143510</wp:posOffset>
            </wp:positionV>
            <wp:extent cx="5837555" cy="48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7555" cy="480060"/>
                    </a:xfrm>
                    <a:prstGeom prst="rect">
                      <a:avLst/>
                    </a:prstGeom>
                    <a:noFill/>
                  </pic:spPr>
                </pic:pic>
              </a:graphicData>
            </a:graphic>
          </wp:anchor>
        </w:drawing>
      </w:r>
    </w:p>
    <w:p>
      <w:pPr>
        <w:spacing w:after="0" w:line="265" w:lineRule="exact"/>
        <w:rPr>
          <w:sz w:val="20"/>
          <w:szCs w:val="20"/>
          <w:color w:val="auto"/>
        </w:rPr>
      </w:pPr>
    </w:p>
    <w:p>
      <w:pPr>
        <w:jc w:val="center"/>
        <w:spacing w:after="0" w:line="265" w:lineRule="auto"/>
        <w:rPr>
          <w:sz w:val="20"/>
          <w:szCs w:val="20"/>
          <w:color w:val="auto"/>
        </w:rPr>
      </w:pPr>
      <w:r>
        <w:rPr>
          <w:rFonts w:ascii="Arial" w:cs="Arial" w:eastAsia="Arial" w:hAnsi="Arial"/>
          <w:sz w:val="15"/>
          <w:szCs w:val="15"/>
          <w:b w:val="1"/>
          <w:bCs w:val="1"/>
          <w:i w:val="1"/>
          <w:iCs w:val="1"/>
          <w:color w:val="auto"/>
        </w:rPr>
        <w:t xml:space="preserve">Important Notice Regarding the Availability of Proxy Materials for the Stockholder Meeting to Be Held on Tuesday, June 8, 2021: This Proxy Statement and our Annual Report are available free of charge at </w:t>
      </w:r>
      <w:r>
        <w:rPr>
          <w:rFonts w:ascii="Arial" w:cs="Arial" w:eastAsia="Arial" w:hAnsi="Arial"/>
          <w:sz w:val="15"/>
          <w:szCs w:val="15"/>
          <w:b w:val="1"/>
          <w:bCs w:val="1"/>
          <w:i w:val="1"/>
          <w:iCs w:val="1"/>
          <w:u w:val="single" w:color="auto"/>
          <w:color w:val="auto"/>
        </w:rPr>
        <w:t>www.edocumentview.com/EYE</w:t>
      </w:r>
      <w:r>
        <w:rPr>
          <w:rFonts w:ascii="Arial" w:cs="Arial" w:eastAsia="Arial" w:hAnsi="Arial"/>
          <w:sz w:val="15"/>
          <w:szCs w:val="15"/>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671195</wp:posOffset>
            </wp:positionV>
            <wp:extent cx="300355"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tcPr>
          <w:p>
            <w:pPr>
              <w:ind w:left="7400"/>
              <w:spacing w:after="0"/>
              <w:rPr>
                <w:sz w:val="20"/>
                <w:szCs w:val="20"/>
                <w:color w:val="auto"/>
              </w:rPr>
            </w:pPr>
            <w:r>
              <w:rPr>
                <w:rFonts w:ascii="Arial" w:cs="Arial" w:eastAsia="Arial" w:hAnsi="Arial"/>
                <w:sz w:val="16"/>
                <w:szCs w:val="16"/>
                <w:color w:val="auto"/>
              </w:rPr>
              <w:t>2021 Proxy Statement</w:t>
            </w: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3</w:t>
            </w:r>
          </w:p>
        </w:tc>
      </w:tr>
      <w:tr>
        <w:trPr>
          <w:trHeight w:val="431"/>
        </w:trPr>
        <w:tc>
          <w:tcPr>
            <w:tcW w:w="9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 SUMMARY</w:t>
      </w:r>
    </w:p>
    <w:p>
      <w:pPr>
        <w:spacing w:after="0" w:line="140"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We are providing this proxy statement to you in connection with the solicitation of proxies by the Board of Directors (the “Board of Directors” or the “Board”) of National Vision Holdings, Inc. (the “Company”) for the 2021 Annual Meeting of Stockholders (the “Annual Meeting”) and for any adjournment or postponement of the Annual Meeting. This summary highlights information contained elsewhere in this proxy statement. This summary does not contain all the information you should consider, and you should read the entire proxy statement carefully before voting.</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9" w:lineRule="exact"/>
        <w:rPr>
          <w:sz w:val="20"/>
          <w:szCs w:val="20"/>
          <w:color w:val="auto"/>
        </w:rPr>
      </w:pPr>
    </w:p>
    <w:tbl>
      <w:tblPr>
        <w:tblLayout w:type="fixed"/>
        <w:tblInd w:w="770" w:type="dxa"/>
        <w:tblCellMar>
          <w:top w:w="0" w:type="dxa"/>
          <w:left w:w="0" w:type="dxa"/>
          <w:bottom w:w="0" w:type="dxa"/>
          <w:right w:w="0" w:type="dxa"/>
        </w:tblCellMar>
      </w:tblPr>
      <w:tr>
        <w:trPr>
          <w:trHeight w:val="283"/>
        </w:trPr>
        <w:tc>
          <w:tcPr>
            <w:tcW w:w="60" w:type="dxa"/>
            <w:vAlign w:val="bottom"/>
            <w:tcBorders>
              <w:top w:val="single" w:sz="8" w:color="3C5896"/>
              <w:left w:val="single" w:sz="8" w:color="3C5896"/>
            </w:tcBorders>
            <w:shd w:val="clear" w:color="auto" w:fill="3C5896"/>
          </w:tcPr>
          <w:p>
            <w:pPr>
              <w:spacing w:after="0"/>
              <w:rPr>
                <w:sz w:val="24"/>
                <w:szCs w:val="24"/>
                <w:color w:val="auto"/>
              </w:rPr>
            </w:pPr>
          </w:p>
        </w:tc>
        <w:tc>
          <w:tcPr>
            <w:tcW w:w="284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8"/>
              </w:rPr>
              <w:t>Date &amp; Time</w:t>
            </w:r>
          </w:p>
        </w:tc>
        <w:tc>
          <w:tcPr>
            <w:tcW w:w="120" w:type="dxa"/>
            <w:vAlign w:val="bottom"/>
            <w:tcBorders>
              <w:top w:val="single" w:sz="8" w:color="3C5896"/>
            </w:tcBorders>
            <w:shd w:val="clear" w:color="auto" w:fill="3C5896"/>
          </w:tcPr>
          <w:p>
            <w:pPr>
              <w:spacing w:after="0"/>
              <w:rPr>
                <w:sz w:val="24"/>
                <w:szCs w:val="24"/>
                <w:color w:val="auto"/>
              </w:rPr>
            </w:pPr>
          </w:p>
        </w:tc>
        <w:tc>
          <w:tcPr>
            <w:tcW w:w="3280" w:type="dxa"/>
            <w:vAlign w:val="bottom"/>
            <w:tcBorders>
              <w:top w:val="single" w:sz="8" w:color="3C5896"/>
              <w:right w:val="single" w:sz="8" w:color="9EACCA"/>
            </w:tcBorders>
            <w:gridSpan w:val="2"/>
            <w:shd w:val="clear" w:color="auto" w:fill="3C5896"/>
          </w:tcPr>
          <w:p>
            <w:pPr>
              <w:jc w:val="center"/>
              <w:ind w:right="140"/>
              <w:spacing w:after="0"/>
              <w:rPr>
                <w:sz w:val="20"/>
                <w:szCs w:val="20"/>
                <w:color w:val="auto"/>
              </w:rPr>
            </w:pPr>
            <w:r>
              <w:rPr>
                <w:rFonts w:ascii="Arial" w:cs="Arial" w:eastAsia="Arial" w:hAnsi="Arial"/>
                <w:sz w:val="18"/>
                <w:szCs w:val="18"/>
                <w:b w:val="1"/>
                <w:bCs w:val="1"/>
                <w:color w:val="FFFFFF"/>
                <w:w w:val="98"/>
              </w:rPr>
              <w:t>Location</w:t>
            </w:r>
          </w:p>
        </w:tc>
        <w:tc>
          <w:tcPr>
            <w:tcW w:w="80" w:type="dxa"/>
            <w:vAlign w:val="bottom"/>
            <w:tcBorders>
              <w:top w:val="single" w:sz="8" w:color="3C5896"/>
            </w:tcBorders>
            <w:shd w:val="clear" w:color="auto" w:fill="3C5896"/>
          </w:tcPr>
          <w:p>
            <w:pPr>
              <w:spacing w:after="0"/>
              <w:rPr>
                <w:sz w:val="24"/>
                <w:szCs w:val="24"/>
                <w:color w:val="auto"/>
              </w:rPr>
            </w:pPr>
          </w:p>
        </w:tc>
        <w:tc>
          <w:tcPr>
            <w:tcW w:w="2820" w:type="dxa"/>
            <w:vAlign w:val="bottom"/>
            <w:tcBorders>
              <w:top w:val="single" w:sz="8" w:color="3C5896"/>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Record Date</w:t>
            </w:r>
          </w:p>
        </w:tc>
      </w:tr>
      <w:tr>
        <w:trPr>
          <w:trHeight w:val="229"/>
        </w:trPr>
        <w:tc>
          <w:tcPr>
            <w:tcW w:w="60" w:type="dxa"/>
            <w:vAlign w:val="bottom"/>
            <w:tcBorders>
              <w:left w:val="single" w:sz="8" w:color="3C5896"/>
            </w:tcBorders>
          </w:tcPr>
          <w:p>
            <w:pPr>
              <w:spacing w:after="0"/>
              <w:rPr>
                <w:sz w:val="19"/>
                <w:szCs w:val="19"/>
                <w:color w:val="auto"/>
              </w:rPr>
            </w:pPr>
          </w:p>
        </w:tc>
        <w:tc>
          <w:tcPr>
            <w:tcW w:w="2840" w:type="dxa"/>
            <w:vAlign w:val="bottom"/>
            <w:tcBorders>
              <w:right w:val="single" w:sz="8" w:color="9EACCA"/>
            </w:tcBorders>
          </w:tcPr>
          <w:p>
            <w:pPr>
              <w:ind w:left="820"/>
              <w:spacing w:after="0"/>
              <w:rPr>
                <w:sz w:val="20"/>
                <w:szCs w:val="20"/>
                <w:color w:val="auto"/>
              </w:rPr>
            </w:pPr>
            <w:r>
              <w:rPr>
                <w:rFonts w:ascii="Arial" w:cs="Arial" w:eastAsia="Arial" w:hAnsi="Arial"/>
                <w:sz w:val="18"/>
                <w:szCs w:val="18"/>
                <w:color w:val="auto"/>
              </w:rPr>
              <w:t>June 8, 2021</w:t>
            </w:r>
          </w:p>
        </w:tc>
        <w:tc>
          <w:tcPr>
            <w:tcW w:w="120" w:type="dxa"/>
            <w:vAlign w:val="bottom"/>
          </w:tcPr>
          <w:p>
            <w:pPr>
              <w:spacing w:after="0"/>
              <w:rPr>
                <w:sz w:val="19"/>
                <w:szCs w:val="19"/>
                <w:color w:val="auto"/>
              </w:rPr>
            </w:pPr>
          </w:p>
        </w:tc>
        <w:tc>
          <w:tcPr>
            <w:tcW w:w="3280" w:type="dxa"/>
            <w:vAlign w:val="bottom"/>
            <w:tcBorders>
              <w:right w:val="single" w:sz="8" w:color="9EACCA"/>
            </w:tcBorders>
            <w:gridSpan w:val="2"/>
          </w:tcPr>
          <w:p>
            <w:pPr>
              <w:jc w:val="center"/>
              <w:ind w:right="140"/>
              <w:spacing w:after="0"/>
              <w:rPr>
                <w:sz w:val="20"/>
                <w:szCs w:val="20"/>
                <w:color w:val="auto"/>
              </w:rPr>
            </w:pPr>
            <w:r>
              <w:rPr>
                <w:rFonts w:ascii="Arial" w:cs="Arial" w:eastAsia="Arial" w:hAnsi="Arial"/>
                <w:sz w:val="18"/>
                <w:szCs w:val="18"/>
                <w:color w:val="auto"/>
                <w:w w:val="99"/>
              </w:rPr>
              <w:t>The Annual Meeting will be held</w:t>
            </w:r>
          </w:p>
        </w:tc>
        <w:tc>
          <w:tcPr>
            <w:tcW w:w="80" w:type="dxa"/>
            <w:vAlign w:val="bottom"/>
          </w:tcPr>
          <w:p>
            <w:pPr>
              <w:spacing w:after="0"/>
              <w:rPr>
                <w:sz w:val="19"/>
                <w:szCs w:val="19"/>
                <w:color w:val="auto"/>
              </w:rPr>
            </w:pPr>
          </w:p>
        </w:tc>
        <w:tc>
          <w:tcPr>
            <w:tcW w:w="282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9"/>
              </w:rPr>
              <w:t>Record holders as of April 15,</w:t>
            </w:r>
          </w:p>
        </w:tc>
      </w:tr>
      <w:tr>
        <w:trPr>
          <w:trHeight w:val="216"/>
        </w:trPr>
        <w:tc>
          <w:tcPr>
            <w:tcW w:w="60" w:type="dxa"/>
            <w:vAlign w:val="bottom"/>
            <w:tcBorders>
              <w:left w:val="single" w:sz="8" w:color="3C5896"/>
            </w:tcBorders>
          </w:tcPr>
          <w:p>
            <w:pPr>
              <w:spacing w:after="0"/>
              <w:rPr>
                <w:sz w:val="18"/>
                <w:szCs w:val="18"/>
                <w:color w:val="auto"/>
              </w:rPr>
            </w:pPr>
          </w:p>
        </w:tc>
        <w:tc>
          <w:tcPr>
            <w:tcW w:w="2840" w:type="dxa"/>
            <w:vAlign w:val="bottom"/>
            <w:tcBorders>
              <w:right w:val="single" w:sz="8" w:color="9EACCA"/>
            </w:tcBorders>
          </w:tcPr>
          <w:p>
            <w:pPr>
              <w:jc w:val="center"/>
              <w:ind w:right="10"/>
              <w:spacing w:after="0"/>
              <w:rPr>
                <w:sz w:val="20"/>
                <w:szCs w:val="20"/>
                <w:color w:val="auto"/>
              </w:rPr>
            </w:pPr>
            <w:r>
              <w:rPr>
                <w:rFonts w:ascii="Arial" w:cs="Arial" w:eastAsia="Arial" w:hAnsi="Arial"/>
                <w:sz w:val="18"/>
                <w:szCs w:val="18"/>
                <w:color w:val="auto"/>
                <w:w w:val="98"/>
              </w:rPr>
              <w:t>1:00 p.m., Eastern Time</w:t>
            </w:r>
          </w:p>
        </w:tc>
        <w:tc>
          <w:tcPr>
            <w:tcW w:w="120" w:type="dxa"/>
            <w:vAlign w:val="bottom"/>
          </w:tcPr>
          <w:p>
            <w:pPr>
              <w:spacing w:after="0"/>
              <w:rPr>
                <w:sz w:val="18"/>
                <w:szCs w:val="18"/>
                <w:color w:val="auto"/>
              </w:rPr>
            </w:pPr>
          </w:p>
        </w:tc>
        <w:tc>
          <w:tcPr>
            <w:tcW w:w="3280" w:type="dxa"/>
            <w:vAlign w:val="bottom"/>
            <w:tcBorders>
              <w:right w:val="single" w:sz="8" w:color="9EACCA"/>
            </w:tcBorders>
            <w:gridSpan w:val="2"/>
          </w:tcPr>
          <w:p>
            <w:pPr>
              <w:ind w:left="760"/>
              <w:spacing w:after="0"/>
              <w:rPr>
                <w:sz w:val="20"/>
                <w:szCs w:val="20"/>
                <w:color w:val="auto"/>
              </w:rPr>
            </w:pPr>
            <w:r>
              <w:rPr>
                <w:rFonts w:ascii="Arial" w:cs="Arial" w:eastAsia="Arial" w:hAnsi="Arial"/>
                <w:sz w:val="18"/>
                <w:szCs w:val="18"/>
                <w:color w:val="auto"/>
              </w:rPr>
              <w:t>exclusively online at</w:t>
            </w:r>
          </w:p>
        </w:tc>
        <w:tc>
          <w:tcPr>
            <w:tcW w:w="80" w:type="dxa"/>
            <w:vAlign w:val="bottom"/>
          </w:tcPr>
          <w:p>
            <w:pPr>
              <w:spacing w:after="0"/>
              <w:rPr>
                <w:sz w:val="18"/>
                <w:szCs w:val="18"/>
                <w:color w:val="auto"/>
              </w:rPr>
            </w:pPr>
          </w:p>
        </w:tc>
        <w:tc>
          <w:tcPr>
            <w:tcW w:w="282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8"/>
              </w:rPr>
              <w:t>2021 are entitled to notice of, and</w:t>
            </w:r>
          </w:p>
        </w:tc>
      </w:tr>
      <w:tr>
        <w:trPr>
          <w:trHeight w:val="176"/>
        </w:trPr>
        <w:tc>
          <w:tcPr>
            <w:tcW w:w="60" w:type="dxa"/>
            <w:vAlign w:val="bottom"/>
            <w:tcBorders>
              <w:left w:val="single" w:sz="8" w:color="3C5896"/>
            </w:tcBorders>
          </w:tcPr>
          <w:p>
            <w:pPr>
              <w:spacing w:after="0"/>
              <w:rPr>
                <w:sz w:val="15"/>
                <w:szCs w:val="15"/>
                <w:color w:val="auto"/>
              </w:rPr>
            </w:pPr>
          </w:p>
        </w:tc>
        <w:tc>
          <w:tcPr>
            <w:tcW w:w="2840" w:type="dxa"/>
            <w:vAlign w:val="bottom"/>
            <w:tcBorders>
              <w:right w:val="single" w:sz="8" w:color="9EACCA"/>
            </w:tcBorders>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tcBorders>
              <w:right w:val="single" w:sz="8" w:color="9EACCA"/>
            </w:tcBorders>
            <w:gridSpan w:val="2"/>
          </w:tcPr>
          <w:p>
            <w:pPr>
              <w:jc w:val="center"/>
              <w:ind w:right="140"/>
              <w:spacing w:after="0" w:line="176" w:lineRule="exact"/>
              <w:rPr>
                <w:sz w:val="20"/>
                <w:szCs w:val="20"/>
                <w:color w:val="auto"/>
              </w:rPr>
            </w:pPr>
            <w:r>
              <w:rPr>
                <w:rFonts w:ascii="Arial" w:cs="Arial" w:eastAsia="Arial" w:hAnsi="Arial"/>
                <w:sz w:val="18"/>
                <w:szCs w:val="18"/>
                <w:color w:val="auto"/>
                <w:w w:val="98"/>
              </w:rPr>
              <w:t>http://www.meetingcenter.io/208004347</w:t>
            </w:r>
          </w:p>
        </w:tc>
        <w:tc>
          <w:tcPr>
            <w:tcW w:w="80" w:type="dxa"/>
            <w:vAlign w:val="bottom"/>
          </w:tcPr>
          <w:p>
            <w:pPr>
              <w:spacing w:after="0"/>
              <w:rPr>
                <w:sz w:val="15"/>
                <w:szCs w:val="15"/>
                <w:color w:val="auto"/>
              </w:rPr>
            </w:pPr>
          </w:p>
        </w:tc>
        <w:tc>
          <w:tcPr>
            <w:tcW w:w="2820" w:type="dxa"/>
            <w:vAlign w:val="bottom"/>
            <w:tcBorders>
              <w:right w:val="single" w:sz="8" w:color="3C5896"/>
            </w:tcBorders>
          </w:tcPr>
          <w:p>
            <w:pPr>
              <w:jc w:val="center"/>
              <w:spacing w:after="0" w:line="176" w:lineRule="exact"/>
              <w:rPr>
                <w:sz w:val="20"/>
                <w:szCs w:val="20"/>
                <w:color w:val="auto"/>
              </w:rPr>
            </w:pPr>
            <w:r>
              <w:rPr>
                <w:rFonts w:ascii="Arial" w:cs="Arial" w:eastAsia="Arial" w:hAnsi="Arial"/>
                <w:sz w:val="18"/>
                <w:szCs w:val="18"/>
                <w:color w:val="auto"/>
                <w:w w:val="99"/>
              </w:rPr>
              <w:t>to vote at, the Annual Meeting</w:t>
            </w:r>
          </w:p>
        </w:tc>
      </w:tr>
      <w:tr>
        <w:trPr>
          <w:trHeight w:val="88"/>
        </w:trPr>
        <w:tc>
          <w:tcPr>
            <w:tcW w:w="60" w:type="dxa"/>
            <w:vAlign w:val="bottom"/>
            <w:tcBorders>
              <w:left w:val="single" w:sz="8" w:color="3C5896"/>
              <w:bottom w:val="single" w:sz="8" w:color="3C5896"/>
            </w:tcBorders>
          </w:tcPr>
          <w:p>
            <w:pPr>
              <w:spacing w:after="0"/>
              <w:rPr>
                <w:sz w:val="7"/>
                <w:szCs w:val="7"/>
                <w:color w:val="auto"/>
              </w:rPr>
            </w:pPr>
          </w:p>
        </w:tc>
        <w:tc>
          <w:tcPr>
            <w:tcW w:w="2840" w:type="dxa"/>
            <w:vAlign w:val="bottom"/>
            <w:tcBorders>
              <w:bottom w:val="single" w:sz="8" w:color="3C5896"/>
              <w:right w:val="single" w:sz="8" w:color="9EACCA"/>
            </w:tcBorders>
          </w:tcPr>
          <w:p>
            <w:pPr>
              <w:spacing w:after="0"/>
              <w:rPr>
                <w:sz w:val="7"/>
                <w:szCs w:val="7"/>
                <w:color w:val="auto"/>
              </w:rPr>
            </w:pPr>
          </w:p>
        </w:tc>
        <w:tc>
          <w:tcPr>
            <w:tcW w:w="120" w:type="dxa"/>
            <w:vAlign w:val="bottom"/>
            <w:tcBorders>
              <w:bottom w:val="single" w:sz="8" w:color="3C5896"/>
            </w:tcBorders>
          </w:tcPr>
          <w:p>
            <w:pPr>
              <w:spacing w:after="0"/>
              <w:rPr>
                <w:sz w:val="7"/>
                <w:szCs w:val="7"/>
                <w:color w:val="auto"/>
              </w:rPr>
            </w:pPr>
          </w:p>
        </w:tc>
        <w:tc>
          <w:tcPr>
            <w:tcW w:w="3140" w:type="dxa"/>
            <w:vAlign w:val="bottom"/>
            <w:tcBorders>
              <w:top w:val="single" w:sz="8" w:color="auto"/>
              <w:bottom w:val="single" w:sz="8" w:color="3C5896"/>
            </w:tcBorders>
          </w:tcPr>
          <w:p>
            <w:pPr>
              <w:spacing w:after="0"/>
              <w:rPr>
                <w:sz w:val="7"/>
                <w:szCs w:val="7"/>
                <w:color w:val="auto"/>
              </w:rPr>
            </w:pPr>
          </w:p>
        </w:tc>
        <w:tc>
          <w:tcPr>
            <w:tcW w:w="140" w:type="dxa"/>
            <w:vAlign w:val="bottom"/>
            <w:tcBorders>
              <w:bottom w:val="single" w:sz="8" w:color="3C5896"/>
              <w:right w:val="single" w:sz="8" w:color="9EACCA"/>
            </w:tcBorders>
          </w:tcPr>
          <w:p>
            <w:pPr>
              <w:spacing w:after="0"/>
              <w:rPr>
                <w:sz w:val="7"/>
                <w:szCs w:val="7"/>
                <w:color w:val="auto"/>
              </w:rPr>
            </w:pPr>
          </w:p>
        </w:tc>
        <w:tc>
          <w:tcPr>
            <w:tcW w:w="80" w:type="dxa"/>
            <w:vAlign w:val="bottom"/>
            <w:tcBorders>
              <w:bottom w:val="single" w:sz="8" w:color="3C5896"/>
            </w:tcBorders>
          </w:tcPr>
          <w:p>
            <w:pPr>
              <w:spacing w:after="0"/>
              <w:rPr>
                <w:sz w:val="7"/>
                <w:szCs w:val="7"/>
                <w:color w:val="auto"/>
              </w:rPr>
            </w:pPr>
          </w:p>
        </w:tc>
        <w:tc>
          <w:tcPr>
            <w:tcW w:w="2820" w:type="dxa"/>
            <w:vAlign w:val="bottom"/>
            <w:tcBorders>
              <w:bottom w:val="single" w:sz="8" w:color="3C5896"/>
              <w:right w:val="single" w:sz="8" w:color="3C5896"/>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120015</wp:posOffset>
            </wp:positionV>
            <wp:extent cx="5837555"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394335"/>
                    </a:xfrm>
                    <a:prstGeom prst="rect">
                      <a:avLst/>
                    </a:prstGeom>
                    <a:noFill/>
                  </pic:spPr>
                </pic:pic>
              </a:graphicData>
            </a:graphic>
          </wp:anchor>
        </w:drawing>
      </w:r>
    </w:p>
    <w:p>
      <w:pPr>
        <w:spacing w:after="0" w:line="227" w:lineRule="exact"/>
        <w:rPr>
          <w:sz w:val="20"/>
          <w:szCs w:val="20"/>
          <w:color w:val="auto"/>
        </w:rPr>
      </w:pPr>
    </w:p>
    <w:p>
      <w:pPr>
        <w:ind w:left="880" w:right="280"/>
        <w:spacing w:after="0" w:line="287" w:lineRule="auto"/>
        <w:rPr>
          <w:sz w:val="20"/>
          <w:szCs w:val="20"/>
          <w:color w:val="auto"/>
        </w:rPr>
      </w:pPr>
      <w:r>
        <w:rPr>
          <w:rFonts w:ascii="Arial" w:cs="Arial" w:eastAsia="Arial" w:hAnsi="Arial"/>
          <w:sz w:val="18"/>
          <w:szCs w:val="18"/>
          <w:b w:val="1"/>
          <w:bCs w:val="1"/>
          <w:color w:val="auto"/>
        </w:rPr>
        <w:t>On or about April 30, 2021, we started mailing the Notice of Internet Availability of Proxy Materials to our stockholders.</w:t>
      </w:r>
    </w:p>
    <w:p>
      <w:pPr>
        <w:spacing w:after="0" w:line="38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80"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7140" w:type="dxa"/>
            <w:vAlign w:val="bottom"/>
            <w:tcBorders>
              <w:top w:val="single" w:sz="8" w:color="3C5896"/>
              <w:right w:val="single" w:sz="8" w:color="9EACCA"/>
            </w:tcBorders>
            <w:vMerge w:val="restart"/>
            <w:shd w:val="clear" w:color="auto" w:fill="3C5896"/>
          </w:tcPr>
          <w:p>
            <w:pPr>
              <w:spacing w:after="0"/>
              <w:rPr>
                <w:sz w:val="20"/>
                <w:szCs w:val="20"/>
                <w:color w:val="auto"/>
              </w:rPr>
            </w:pPr>
            <w:r>
              <w:rPr>
                <w:rFonts w:ascii="Arial" w:cs="Arial" w:eastAsia="Arial" w:hAnsi="Arial"/>
                <w:sz w:val="18"/>
                <w:szCs w:val="18"/>
                <w:b w:val="1"/>
                <w:bCs w:val="1"/>
                <w:color w:val="FFFFFF"/>
              </w:rPr>
              <w:t>Company Proposals</w:t>
            </w:r>
          </w:p>
        </w:tc>
        <w:tc>
          <w:tcPr>
            <w:tcW w:w="100" w:type="dxa"/>
            <w:vAlign w:val="bottom"/>
            <w:tcBorders>
              <w:top w:val="single" w:sz="8" w:color="3C5896"/>
            </w:tcBorders>
            <w:shd w:val="clear" w:color="auto" w:fill="3C5896"/>
          </w:tcPr>
          <w:p>
            <w:pPr>
              <w:spacing w:after="0"/>
              <w:rPr>
                <w:sz w:val="17"/>
                <w:szCs w:val="17"/>
                <w:color w:val="auto"/>
              </w:rPr>
            </w:pPr>
          </w:p>
        </w:tc>
        <w:tc>
          <w:tcPr>
            <w:tcW w:w="1900" w:type="dxa"/>
            <w:vAlign w:val="bottom"/>
            <w:tcBorders>
              <w:top w:val="single" w:sz="8" w:color="3C5896"/>
              <w:right w:val="single" w:sz="8" w:color="3C5896"/>
            </w:tcBorders>
            <w:shd w:val="clear" w:color="auto" w:fill="3C5896"/>
          </w:tcPr>
          <w:p>
            <w:pPr>
              <w:spacing w:after="0"/>
              <w:rPr>
                <w:sz w:val="20"/>
                <w:szCs w:val="20"/>
                <w:color w:val="auto"/>
              </w:rPr>
            </w:pPr>
            <w:r>
              <w:rPr>
                <w:rFonts w:ascii="Arial" w:cs="Arial" w:eastAsia="Arial" w:hAnsi="Arial"/>
                <w:sz w:val="18"/>
                <w:szCs w:val="18"/>
                <w:b w:val="1"/>
                <w:bCs w:val="1"/>
                <w:color w:val="FFFFFF"/>
              </w:rPr>
              <w:t>Board</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7140" w:type="dxa"/>
            <w:vAlign w:val="bottom"/>
            <w:tcBorders>
              <w:right w:val="single" w:sz="8" w:color="9EACCA"/>
            </w:tcBorders>
            <w:vMerge w:val="continue"/>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1900" w:type="dxa"/>
            <w:vAlign w:val="bottom"/>
            <w:tcBorders>
              <w:right w:val="single" w:sz="8" w:color="3C5896"/>
            </w:tcBorders>
            <w:shd w:val="clear" w:color="auto" w:fill="3C5896"/>
          </w:tcPr>
          <w:p>
            <w:pPr>
              <w:spacing w:after="0"/>
              <w:rPr>
                <w:sz w:val="20"/>
                <w:szCs w:val="20"/>
                <w:color w:val="auto"/>
              </w:rPr>
            </w:pPr>
            <w:r>
              <w:rPr>
                <w:rFonts w:ascii="Arial" w:cs="Arial" w:eastAsia="Arial" w:hAnsi="Arial"/>
                <w:sz w:val="18"/>
                <w:szCs w:val="18"/>
                <w:b w:val="1"/>
                <w:bCs w:val="1"/>
                <w:color w:val="FFFFFF"/>
              </w:rPr>
              <w:t>Recommendation</w:t>
            </w:r>
          </w:p>
        </w:tc>
        <w:tc>
          <w:tcPr>
            <w:tcW w:w="0" w:type="dxa"/>
            <w:vAlign w:val="bottom"/>
          </w:tcPr>
          <w:p>
            <w:pPr>
              <w:spacing w:after="0"/>
              <w:rPr>
                <w:sz w:val="1"/>
                <w:szCs w:val="1"/>
                <w:color w:val="auto"/>
              </w:rPr>
            </w:pPr>
          </w:p>
        </w:tc>
      </w:tr>
      <w:tr>
        <w:trPr>
          <w:trHeight w:val="243"/>
        </w:trPr>
        <w:tc>
          <w:tcPr>
            <w:tcW w:w="60" w:type="dxa"/>
            <w:vAlign w:val="bottom"/>
            <w:tcBorders>
              <w:left w:val="single" w:sz="8" w:color="3C5896"/>
            </w:tcBorders>
          </w:tcPr>
          <w:p>
            <w:pPr>
              <w:spacing w:after="0"/>
              <w:rPr>
                <w:sz w:val="21"/>
                <w:szCs w:val="21"/>
                <w:color w:val="auto"/>
              </w:rPr>
            </w:pPr>
          </w:p>
        </w:tc>
        <w:tc>
          <w:tcPr>
            <w:tcW w:w="71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Proposal 1: Elect Class I Directors of the Company</w:t>
            </w:r>
          </w:p>
        </w:tc>
        <w:tc>
          <w:tcPr>
            <w:tcW w:w="100" w:type="dxa"/>
            <w:vAlign w:val="bottom"/>
          </w:tcPr>
          <w:p>
            <w:pPr>
              <w:spacing w:after="0"/>
              <w:rPr>
                <w:sz w:val="21"/>
                <w:szCs w:val="21"/>
                <w:color w:val="auto"/>
              </w:rPr>
            </w:pPr>
          </w:p>
        </w:tc>
        <w:tc>
          <w:tcPr>
            <w:tcW w:w="1900" w:type="dxa"/>
            <w:vAlign w:val="bottom"/>
            <w:tcBorders>
              <w:right w:val="single" w:sz="8" w:color="3C5896"/>
            </w:tcBorders>
          </w:tcPr>
          <w:p>
            <w:pPr>
              <w:spacing w:after="0"/>
              <w:rPr>
                <w:sz w:val="20"/>
                <w:szCs w:val="20"/>
                <w:color w:val="auto"/>
              </w:rPr>
            </w:pPr>
            <w:r>
              <w:rPr>
                <w:rFonts w:ascii="Arial" w:cs="Arial" w:eastAsia="Arial" w:hAnsi="Arial"/>
                <w:sz w:val="18"/>
                <w:szCs w:val="18"/>
                <w:b w:val="1"/>
                <w:bCs w:val="1"/>
                <w:color w:val="auto"/>
              </w:rPr>
              <w:t>FOR EACH NOMINEE</w:t>
            </w:r>
          </w:p>
        </w:tc>
        <w:tc>
          <w:tcPr>
            <w:tcW w:w="0" w:type="dxa"/>
            <w:vAlign w:val="bottom"/>
          </w:tcPr>
          <w:p>
            <w:pPr>
              <w:spacing w:after="0"/>
              <w:rPr>
                <w:sz w:val="1"/>
                <w:szCs w:val="1"/>
                <w:color w:val="auto"/>
              </w:rPr>
            </w:pPr>
          </w:p>
        </w:tc>
      </w:tr>
      <w:tr>
        <w:trPr>
          <w:trHeight w:val="242"/>
        </w:trPr>
        <w:tc>
          <w:tcPr>
            <w:tcW w:w="60" w:type="dxa"/>
            <w:vAlign w:val="bottom"/>
            <w:tcBorders>
              <w:left w:val="single" w:sz="8" w:color="3C5896"/>
            </w:tcBorders>
            <w:shd w:val="clear" w:color="auto" w:fill="CCCCCC"/>
          </w:tcPr>
          <w:p>
            <w:pPr>
              <w:spacing w:after="0"/>
              <w:rPr>
                <w:sz w:val="21"/>
                <w:szCs w:val="21"/>
                <w:color w:val="auto"/>
              </w:rPr>
            </w:pPr>
          </w:p>
        </w:tc>
        <w:tc>
          <w:tcPr>
            <w:tcW w:w="71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Proposal 2: Approval of an Amendment to our Certificate of Incorporation to Eliminate</w:t>
            </w:r>
          </w:p>
        </w:tc>
        <w:tc>
          <w:tcPr>
            <w:tcW w:w="100" w:type="dxa"/>
            <w:vAlign w:val="bottom"/>
            <w:shd w:val="clear" w:color="auto" w:fill="CCCCCC"/>
          </w:tcPr>
          <w:p>
            <w:pPr>
              <w:spacing w:after="0"/>
              <w:rPr>
                <w:sz w:val="21"/>
                <w:szCs w:val="21"/>
                <w:color w:val="auto"/>
              </w:rPr>
            </w:pPr>
          </w:p>
        </w:tc>
        <w:tc>
          <w:tcPr>
            <w:tcW w:w="190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24"/>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714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the Classified Structure of the Board of Directors</w:t>
            </w:r>
          </w:p>
        </w:tc>
        <w:tc>
          <w:tcPr>
            <w:tcW w:w="100" w:type="dxa"/>
            <w:vAlign w:val="bottom"/>
            <w:tcBorders>
              <w:bottom w:val="single" w:sz="8" w:color="CCCCCC"/>
            </w:tcBorders>
            <w:shd w:val="clear" w:color="auto" w:fill="CCCCCC"/>
          </w:tcPr>
          <w:p>
            <w:pPr>
              <w:spacing w:after="0"/>
              <w:rPr>
                <w:sz w:val="19"/>
                <w:szCs w:val="19"/>
                <w:color w:val="auto"/>
              </w:rPr>
            </w:pPr>
          </w:p>
        </w:tc>
        <w:tc>
          <w:tcPr>
            <w:tcW w:w="1900" w:type="dxa"/>
            <w:vAlign w:val="bottom"/>
            <w:tcBorders>
              <w:bottom w:val="single" w:sz="8" w:color="CCCCCC"/>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tcBorders>
          </w:tcPr>
          <w:p>
            <w:pPr>
              <w:spacing w:after="0"/>
              <w:rPr>
                <w:sz w:val="19"/>
                <w:szCs w:val="19"/>
                <w:color w:val="auto"/>
              </w:rPr>
            </w:pPr>
          </w:p>
        </w:tc>
        <w:tc>
          <w:tcPr>
            <w:tcW w:w="71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Proposal 3: Approval of an Amendment to our Certificate of Incorporation to Eliminate</w:t>
            </w:r>
          </w:p>
        </w:tc>
        <w:tc>
          <w:tcPr>
            <w:tcW w:w="100" w:type="dxa"/>
            <w:vAlign w:val="bottom"/>
          </w:tcPr>
          <w:p>
            <w:pPr>
              <w:spacing w:after="0"/>
              <w:rPr>
                <w:sz w:val="19"/>
                <w:szCs w:val="19"/>
                <w:color w:val="auto"/>
              </w:rPr>
            </w:pPr>
          </w:p>
        </w:tc>
        <w:tc>
          <w:tcPr>
            <w:tcW w:w="1900" w:type="dxa"/>
            <w:vAlign w:val="bottom"/>
            <w:tcBorders>
              <w:right w:val="single" w:sz="8" w:color="3C5896"/>
            </w:tcBorders>
          </w:tcPr>
          <w:p>
            <w:pPr>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17"/>
        </w:trPr>
        <w:tc>
          <w:tcPr>
            <w:tcW w:w="60" w:type="dxa"/>
            <w:vAlign w:val="bottom"/>
            <w:tcBorders>
              <w:left w:val="single" w:sz="8" w:color="3C5896"/>
            </w:tcBorders>
          </w:tcPr>
          <w:p>
            <w:pPr>
              <w:spacing w:after="0"/>
              <w:rPr>
                <w:sz w:val="18"/>
                <w:szCs w:val="18"/>
                <w:color w:val="auto"/>
              </w:rPr>
            </w:pPr>
          </w:p>
        </w:tc>
        <w:tc>
          <w:tcPr>
            <w:tcW w:w="71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Supermajority Voting Standards and Other Obsolete Provisions</w:t>
            </w:r>
          </w:p>
        </w:tc>
        <w:tc>
          <w:tcPr>
            <w:tcW w:w="100" w:type="dxa"/>
            <w:vAlign w:val="bottom"/>
          </w:tcPr>
          <w:p>
            <w:pPr>
              <w:spacing w:after="0"/>
              <w:rPr>
                <w:sz w:val="18"/>
                <w:szCs w:val="18"/>
                <w:color w:val="auto"/>
              </w:rPr>
            </w:pPr>
          </w:p>
        </w:tc>
        <w:tc>
          <w:tcPr>
            <w:tcW w:w="1900" w:type="dxa"/>
            <w:vAlign w:val="bottom"/>
            <w:tcBorders>
              <w:right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3C5896"/>
            </w:tcBorders>
          </w:tcPr>
          <w:p>
            <w:pPr>
              <w:spacing w:after="0"/>
              <w:rPr>
                <w:sz w:val="2"/>
                <w:szCs w:val="2"/>
                <w:color w:val="auto"/>
              </w:rPr>
            </w:pPr>
          </w:p>
        </w:tc>
        <w:tc>
          <w:tcPr>
            <w:tcW w:w="7140" w:type="dxa"/>
            <w:vAlign w:val="bottom"/>
            <w:tcBorders>
              <w:right w:val="single" w:sz="8" w:color="9EACCA"/>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0" w:type="dxa"/>
            <w:vAlign w:val="bottom"/>
            <w:tcBorders>
              <w:left w:val="single" w:sz="8" w:color="3C5896"/>
            </w:tcBorders>
            <w:shd w:val="clear" w:color="auto" w:fill="CCCCCC"/>
          </w:tcPr>
          <w:p>
            <w:pPr>
              <w:spacing w:after="0"/>
              <w:rPr>
                <w:sz w:val="22"/>
                <w:szCs w:val="22"/>
                <w:color w:val="auto"/>
              </w:rPr>
            </w:pPr>
          </w:p>
        </w:tc>
        <w:tc>
          <w:tcPr>
            <w:tcW w:w="71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Proposal 4: Non-Binding Advisory Vote to Approve Our Executive Compensation</w:t>
            </w:r>
          </w:p>
        </w:tc>
        <w:tc>
          <w:tcPr>
            <w:tcW w:w="100" w:type="dxa"/>
            <w:vAlign w:val="bottom"/>
            <w:shd w:val="clear" w:color="auto" w:fill="CCCCCC"/>
          </w:tcPr>
          <w:p>
            <w:pPr>
              <w:spacing w:after="0"/>
              <w:rPr>
                <w:sz w:val="22"/>
                <w:szCs w:val="22"/>
                <w:color w:val="auto"/>
              </w:rPr>
            </w:pPr>
          </w:p>
        </w:tc>
        <w:tc>
          <w:tcPr>
            <w:tcW w:w="190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71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Proposal 5: Ratification of Deloitte &amp; Touche LLP as Our Independent Auditor for 2021</w:t>
            </w:r>
          </w:p>
        </w:tc>
        <w:tc>
          <w:tcPr>
            <w:tcW w:w="100" w:type="dxa"/>
            <w:vAlign w:val="bottom"/>
          </w:tcPr>
          <w:p>
            <w:pPr>
              <w:spacing w:after="0"/>
              <w:rPr>
                <w:sz w:val="24"/>
                <w:szCs w:val="24"/>
                <w:color w:val="auto"/>
              </w:rPr>
            </w:pPr>
          </w:p>
        </w:tc>
        <w:tc>
          <w:tcPr>
            <w:tcW w:w="1900" w:type="dxa"/>
            <w:vAlign w:val="bottom"/>
            <w:tcBorders>
              <w:right w:val="single" w:sz="8" w:color="3C5896"/>
            </w:tcBorders>
          </w:tcPr>
          <w:p>
            <w:pPr>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714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190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85" w:lineRule="exact"/>
        <w:rPr>
          <w:sz w:val="20"/>
          <w:szCs w:val="20"/>
          <w:color w:val="auto"/>
        </w:rPr>
      </w:pPr>
    </w:p>
    <w:p>
      <w:pPr>
        <w:jc w:val="both"/>
        <w:ind w:left="7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If at the close of business on April 15, 2021, you were a stockholder of record or held shares through a broker or bank, you may vote your shares by proxy at the Annual Meeting. You may vote your shares over the Internet, by telephone or by mail, or you may vote online during the Annual Meeting. See full instructions under the Important Information About Voting at the Annual Meeting section of this proxy statement on page </w:t>
      </w:r>
      <w:hyperlink w:anchor="page59">
        <w:r>
          <w:rPr>
            <w:rFonts w:ascii="Arial" w:cs="Arial" w:eastAsia="Arial" w:hAnsi="Arial"/>
            <w:sz w:val="18"/>
            <w:szCs w:val="18"/>
            <w:u w:val="single" w:color="auto"/>
            <w:color w:val="0000EE"/>
          </w:rPr>
          <w:t>56</w:t>
        </w:r>
      </w:hyperlink>
      <w:r>
        <w:rPr>
          <w:rFonts w:ascii="Arial" w:cs="Arial" w:eastAsia="Arial" w:hAnsi="Arial"/>
          <w:sz w:val="18"/>
          <w:szCs w:val="18"/>
          <w:color w:val="auto"/>
        </w:rPr>
        <w:t>.</w:t>
      </w:r>
    </w:p>
    <w:p>
      <w:pPr>
        <w:spacing w:after="0" w:line="74"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b w:val="1"/>
          <w:bCs w:val="1"/>
          <w:color w:val="auto"/>
        </w:rPr>
        <w:t>If you are a stockholder of record and you would like to vote in any manner other than online during the virtual Annual Meeting, your vote must be received by 11:59 p.m., Eastern Time, on June 7, 2021 to be counted. If you hold shares through a broker, bank or other nominee, please refer to information from your bank, broker or nominee for voting instructions.</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2020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COVID-19 Response</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2020 was a challenging year with the outbreak of the COVID-19 global pandemic and the resulting impact on economic activity and businesses. Even with a year of unprecedented business challenges, we are proud of how we have navigated and continue to navigate through the pandemic. With a safety-first approach in mind, our Board and management team took certain financial and operational actions, as outlined below, to prudently manage the business while positioning the Company to be able to safely continue to provide low cost eye care and eyewear, a medical necessity, to our patients and customers.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  </w:t>
      </w:r>
      <w:r>
        <w:rPr>
          <w:sz w:val="1"/>
          <w:szCs w:val="1"/>
          <w:color w:val="auto"/>
        </w:rPr>
        <w:drawing>
          <wp:inline distT="0" distB="0" distL="0" distR="0">
            <wp:extent cx="299720" cy="2400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jc w:val="right"/>
        <w:ind w:right="880"/>
        <w:spacing w:after="0"/>
        <w:rPr>
          <w:sz w:val="20"/>
          <w:szCs w:val="20"/>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157480</wp:posOffset>
            </wp:positionV>
            <wp:extent cx="583755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OUR COVID-19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28575</wp:posOffset>
            </wp:positionV>
            <wp:extent cx="5837555" cy="3909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37555" cy="390906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5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FFFFFF"/>
        </w:rPr>
        <w:t>Operational</w:t>
      </w:r>
    </w:p>
    <w:p>
      <w:pPr>
        <w:spacing w:after="0" w:line="99" w:lineRule="exact"/>
        <w:rPr>
          <w:sz w:val="20"/>
          <w:szCs w:val="20"/>
          <w:color w:val="auto"/>
        </w:rPr>
      </w:pPr>
    </w:p>
    <w:p>
      <w:pPr>
        <w:ind w:left="1000" w:right="20" w:hanging="170"/>
        <w:spacing w:after="0" w:line="269" w:lineRule="auto"/>
        <w:tabs>
          <w:tab w:leader="none" w:pos="1000" w:val="left"/>
        </w:tabs>
        <w:numPr>
          <w:ilvl w:val="0"/>
          <w:numId w:val="5"/>
        </w:numPr>
        <w:rPr>
          <w:rFonts w:ascii="MS PGothic" w:cs="MS PGothic" w:eastAsia="MS PGothic" w:hAnsi="MS PGothic"/>
          <w:sz w:val="17"/>
          <w:szCs w:val="17"/>
          <w:color w:val="3C5896"/>
        </w:rPr>
      </w:pPr>
      <w:r>
        <w:rPr>
          <w:rFonts w:ascii="Arial" w:cs="Arial" w:eastAsia="Arial" w:hAnsi="Arial"/>
          <w:sz w:val="17"/>
          <w:szCs w:val="17"/>
          <w:color w:val="auto"/>
        </w:rPr>
        <w:t>Temporarily closed stores to the public in part of 2020 to implement enhanced safety measures, including a temporary furlough of a significant portion of our associates during April and May 2020</w:t>
      </w:r>
    </w:p>
    <w:p>
      <w:pPr>
        <w:spacing w:after="0" w:line="72" w:lineRule="exact"/>
        <w:rPr>
          <w:rFonts w:ascii="MS PGothic" w:cs="MS PGothic" w:eastAsia="MS PGothic" w:hAnsi="MS PGothic"/>
          <w:sz w:val="17"/>
          <w:szCs w:val="17"/>
          <w:color w:val="3C5896"/>
        </w:rPr>
      </w:pPr>
    </w:p>
    <w:p>
      <w:pPr>
        <w:ind w:left="1000" w:right="60" w:hanging="170"/>
        <w:spacing w:after="0" w:line="273" w:lineRule="auto"/>
        <w:tabs>
          <w:tab w:leader="none" w:pos="1000" w:val="left"/>
        </w:tabs>
        <w:numPr>
          <w:ilvl w:val="0"/>
          <w:numId w:val="5"/>
        </w:numPr>
        <w:rPr>
          <w:rFonts w:ascii="MS PGothic" w:cs="MS PGothic" w:eastAsia="MS PGothic" w:hAnsi="MS PGothic"/>
          <w:sz w:val="17"/>
          <w:szCs w:val="17"/>
          <w:color w:val="3C5896"/>
        </w:rPr>
      </w:pPr>
      <w:r>
        <w:rPr>
          <w:rFonts w:ascii="Arial" w:cs="Arial" w:eastAsia="Arial" w:hAnsi="Arial"/>
          <w:sz w:val="17"/>
          <w:szCs w:val="17"/>
          <w:color w:val="auto"/>
        </w:rPr>
        <w:t>Worked with a base of vendors and landlords to extend payment terms and modify existing contracts</w:t>
      </w:r>
    </w:p>
    <w:p>
      <w:pPr>
        <w:spacing w:after="0" w:line="55" w:lineRule="exact"/>
        <w:rPr>
          <w:rFonts w:ascii="MS PGothic" w:cs="MS PGothic" w:eastAsia="MS PGothic" w:hAnsi="MS PGothic"/>
          <w:sz w:val="17"/>
          <w:szCs w:val="17"/>
          <w:color w:val="3C5896"/>
        </w:rPr>
      </w:pPr>
    </w:p>
    <w:p>
      <w:pPr>
        <w:ind w:left="1000" w:hanging="170"/>
        <w:spacing w:after="0" w:line="278" w:lineRule="auto"/>
        <w:tabs>
          <w:tab w:leader="none" w:pos="1000" w:val="left"/>
        </w:tabs>
        <w:numPr>
          <w:ilvl w:val="0"/>
          <w:numId w:val="5"/>
        </w:numPr>
        <w:rPr>
          <w:rFonts w:ascii="MS PGothic" w:cs="MS PGothic" w:eastAsia="MS PGothic" w:hAnsi="MS PGothic"/>
          <w:sz w:val="17"/>
          <w:szCs w:val="17"/>
          <w:color w:val="3C5896"/>
        </w:rPr>
      </w:pPr>
      <w:r>
        <w:rPr>
          <w:rFonts w:ascii="Arial" w:cs="Arial" w:eastAsia="Arial" w:hAnsi="Arial"/>
          <w:sz w:val="17"/>
          <w:szCs w:val="17"/>
          <w:color w:val="auto"/>
        </w:rPr>
        <w:t>Temporarily paused new store openings until the second quarter of 2020</w:t>
      </w:r>
    </w:p>
    <w:p>
      <w:pPr>
        <w:spacing w:after="0" w:line="63" w:lineRule="exact"/>
        <w:rPr>
          <w:rFonts w:ascii="MS PGothic" w:cs="MS PGothic" w:eastAsia="MS PGothic" w:hAnsi="MS PGothic"/>
          <w:sz w:val="17"/>
          <w:szCs w:val="17"/>
          <w:color w:val="3C5896"/>
        </w:rPr>
      </w:pPr>
    </w:p>
    <w:p>
      <w:pPr>
        <w:ind w:left="1000" w:right="280" w:hanging="170"/>
        <w:spacing w:after="0" w:line="291" w:lineRule="auto"/>
        <w:tabs>
          <w:tab w:leader="none" w:pos="1000" w:val="left"/>
        </w:tabs>
        <w:numPr>
          <w:ilvl w:val="0"/>
          <w:numId w:val="5"/>
        </w:numPr>
        <w:rPr>
          <w:rFonts w:ascii="MS PGothic" w:cs="MS PGothic" w:eastAsia="MS PGothic" w:hAnsi="MS PGothic"/>
          <w:sz w:val="17"/>
          <w:szCs w:val="17"/>
          <w:color w:val="3C5896"/>
        </w:rPr>
      </w:pPr>
      <w:r>
        <w:rPr>
          <w:rFonts w:ascii="Arial" w:cs="Arial" w:eastAsia="Arial" w:hAnsi="Arial"/>
          <w:sz w:val="17"/>
          <w:szCs w:val="17"/>
          <w:color w:val="auto"/>
        </w:rPr>
        <w:t>Reduced near term marketing spend</w:t>
      </w:r>
    </w:p>
    <w:p>
      <w:pPr>
        <w:spacing w:after="0" w:line="52" w:lineRule="exact"/>
        <w:rPr>
          <w:rFonts w:ascii="MS PGothic" w:cs="MS PGothic" w:eastAsia="MS PGothic" w:hAnsi="MS PGothic"/>
          <w:sz w:val="17"/>
          <w:szCs w:val="17"/>
          <w:color w:val="3C5896"/>
        </w:rPr>
      </w:pPr>
    </w:p>
    <w:p>
      <w:pPr>
        <w:ind w:left="1000" w:right="180" w:hanging="170"/>
        <w:spacing w:after="0" w:line="271" w:lineRule="auto"/>
        <w:tabs>
          <w:tab w:leader="none" w:pos="1000" w:val="left"/>
        </w:tabs>
        <w:numPr>
          <w:ilvl w:val="0"/>
          <w:numId w:val="5"/>
        </w:numPr>
        <w:rPr>
          <w:rFonts w:ascii="MS PGothic" w:cs="MS PGothic" w:eastAsia="MS PGothic" w:hAnsi="MS PGothic"/>
          <w:sz w:val="17"/>
          <w:szCs w:val="17"/>
          <w:color w:val="3C5896"/>
        </w:rPr>
      </w:pPr>
      <w:r>
        <w:rPr>
          <w:rFonts w:ascii="Arial" w:cs="Arial" w:eastAsia="Arial" w:hAnsi="Arial"/>
          <w:sz w:val="17"/>
          <w:szCs w:val="17"/>
          <w:color w:val="auto"/>
        </w:rPr>
        <w:t>Implemented enhanced safety protocols that allowed us to reopen our stores and continue servicing our patients and customers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left="-38"/>
        <w:spacing w:after="0"/>
        <w:rPr>
          <w:sz w:val="20"/>
          <w:szCs w:val="20"/>
          <w:color w:val="auto"/>
        </w:rPr>
      </w:pPr>
      <w:r>
        <w:rPr>
          <w:rFonts w:ascii="Arial" w:cs="Arial" w:eastAsia="Arial" w:hAnsi="Arial"/>
          <w:sz w:val="18"/>
          <w:szCs w:val="18"/>
          <w:b w:val="1"/>
          <w:bCs w:val="1"/>
          <w:color w:val="FFFFFF"/>
        </w:rPr>
        <w:t>Liquidity</w:t>
      </w:r>
    </w:p>
    <w:p>
      <w:pPr>
        <w:spacing w:after="0" w:line="99" w:lineRule="exact"/>
        <w:rPr>
          <w:sz w:val="20"/>
          <w:szCs w:val="20"/>
          <w:color w:val="auto"/>
        </w:rPr>
      </w:pPr>
    </w:p>
    <w:p>
      <w:pPr>
        <w:ind w:left="179" w:hanging="179"/>
        <w:spacing w:after="0"/>
        <w:tabs>
          <w:tab w:leader="none" w:pos="179" w:val="left"/>
        </w:tabs>
        <w:numPr>
          <w:ilvl w:val="0"/>
          <w:numId w:val="6"/>
        </w:numPr>
        <w:rPr>
          <w:rFonts w:ascii="MS PGothic" w:cs="MS PGothic" w:eastAsia="MS PGothic" w:hAnsi="MS PGothic"/>
          <w:sz w:val="17"/>
          <w:szCs w:val="17"/>
          <w:color w:val="3C5896"/>
        </w:rPr>
      </w:pPr>
      <w:r>
        <w:rPr>
          <w:rFonts w:ascii="Arial" w:cs="Arial" w:eastAsia="Arial" w:hAnsi="Arial"/>
          <w:sz w:val="17"/>
          <w:szCs w:val="17"/>
          <w:color w:val="auto"/>
        </w:rPr>
        <w:t>Borrowed remaining</w:t>
      </w:r>
    </w:p>
    <w:p>
      <w:pPr>
        <w:spacing w:after="0" w:line="20" w:lineRule="exact"/>
        <w:rPr>
          <w:rFonts w:ascii="MS PGothic" w:cs="MS PGothic" w:eastAsia="MS PGothic" w:hAnsi="MS PGothic"/>
          <w:sz w:val="17"/>
          <w:szCs w:val="17"/>
          <w:color w:val="3C5896"/>
        </w:rPr>
      </w:pPr>
    </w:p>
    <w:p>
      <w:pPr>
        <w:ind w:left="179"/>
        <w:spacing w:after="0" w:line="254" w:lineRule="auto"/>
        <w:rPr>
          <w:rFonts w:ascii="MS PGothic" w:cs="MS PGothic" w:eastAsia="MS PGothic" w:hAnsi="MS PGothic"/>
          <w:sz w:val="17"/>
          <w:szCs w:val="17"/>
          <w:color w:val="3C5896"/>
        </w:rPr>
      </w:pPr>
      <w:r>
        <w:rPr>
          <w:rFonts w:ascii="Arial" w:cs="Arial" w:eastAsia="Arial" w:hAnsi="Arial"/>
          <w:sz w:val="18"/>
          <w:szCs w:val="18"/>
          <w:color w:val="auto"/>
        </w:rPr>
        <w:t>$146.3 million under revolving credit facility in March 2020 and fully repaid revolving credit facility in May 2020</w:t>
      </w:r>
    </w:p>
    <w:p>
      <w:pPr>
        <w:spacing w:after="0" w:line="82" w:lineRule="exact"/>
        <w:rPr>
          <w:rFonts w:ascii="MS PGothic" w:cs="MS PGothic" w:eastAsia="MS PGothic" w:hAnsi="MS PGothic"/>
          <w:sz w:val="17"/>
          <w:szCs w:val="17"/>
          <w:color w:val="3C5896"/>
        </w:rPr>
      </w:pPr>
    </w:p>
    <w:p>
      <w:pPr>
        <w:ind w:left="179" w:right="40" w:hanging="179"/>
        <w:spacing w:after="0" w:line="268" w:lineRule="auto"/>
        <w:tabs>
          <w:tab w:leader="none" w:pos="179" w:val="left"/>
        </w:tabs>
        <w:numPr>
          <w:ilvl w:val="0"/>
          <w:numId w:val="6"/>
        </w:numPr>
        <w:rPr>
          <w:rFonts w:ascii="MS PGothic" w:cs="MS PGothic" w:eastAsia="MS PGothic" w:hAnsi="MS PGothic"/>
          <w:sz w:val="17"/>
          <w:szCs w:val="17"/>
          <w:color w:val="3C5896"/>
        </w:rPr>
      </w:pPr>
      <w:r>
        <w:rPr>
          <w:rFonts w:ascii="Arial" w:cs="Arial" w:eastAsia="Arial" w:hAnsi="Arial"/>
          <w:sz w:val="17"/>
          <w:szCs w:val="17"/>
          <w:color w:val="auto"/>
        </w:rPr>
        <w:t>Entered into credit agreement amendment in May 2020 to prevent the effects of the pandemic, including the temporary closure of stores, from creating uncertainty in financial covenant compliance and allowing focus on prudent management of business</w:t>
      </w:r>
    </w:p>
    <w:p>
      <w:pPr>
        <w:spacing w:after="0" w:line="278" w:lineRule="exact"/>
        <w:rPr>
          <w:rFonts w:ascii="MS PGothic" w:cs="MS PGothic" w:eastAsia="MS PGothic" w:hAnsi="MS PGothic"/>
          <w:sz w:val="17"/>
          <w:szCs w:val="17"/>
          <w:color w:val="3C5896"/>
        </w:rPr>
      </w:pPr>
    </w:p>
    <w:p>
      <w:pPr>
        <w:ind w:left="179" w:right="540" w:hanging="179"/>
        <w:spacing w:after="0" w:line="265" w:lineRule="auto"/>
        <w:tabs>
          <w:tab w:leader="none" w:pos="179" w:val="left"/>
        </w:tabs>
        <w:numPr>
          <w:ilvl w:val="0"/>
          <w:numId w:val="6"/>
        </w:numPr>
        <w:rPr>
          <w:rFonts w:ascii="MS PGothic" w:cs="MS PGothic" w:eastAsia="MS PGothic" w:hAnsi="MS PGothic"/>
          <w:sz w:val="17"/>
          <w:szCs w:val="17"/>
          <w:color w:val="3C5896"/>
        </w:rPr>
      </w:pPr>
      <w:r>
        <w:rPr>
          <w:rFonts w:ascii="Arial" w:cs="Arial" w:eastAsia="Arial" w:hAnsi="Arial"/>
          <w:sz w:val="17"/>
          <w:szCs w:val="17"/>
          <w:color w:val="auto"/>
        </w:rPr>
        <w:t>Completed the issuance of $402.5 million of 2.50% convertible senior notes in</w:t>
      </w:r>
    </w:p>
    <w:p>
      <w:pPr>
        <w:ind w:left="179"/>
        <w:spacing w:after="0" w:line="278" w:lineRule="auto"/>
        <w:rPr>
          <w:rFonts w:ascii="MS PGothic" w:cs="MS PGothic" w:eastAsia="MS PGothic" w:hAnsi="MS PGothic"/>
          <w:sz w:val="17"/>
          <w:szCs w:val="17"/>
          <w:color w:val="3C5896"/>
        </w:rPr>
      </w:pPr>
      <w:r>
        <w:rPr>
          <w:rFonts w:ascii="Arial" w:cs="Arial" w:eastAsia="Arial" w:hAnsi="Arial"/>
          <w:sz w:val="17"/>
          <w:szCs w:val="17"/>
          <w:color w:val="auto"/>
        </w:rPr>
        <w:t>May 2020 and used net proceeds to partially repay term loan and fully repay revolving credit facility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821"/>
        <w:spacing w:after="0"/>
        <w:rPr>
          <w:sz w:val="20"/>
          <w:szCs w:val="20"/>
          <w:color w:val="auto"/>
        </w:rPr>
      </w:pPr>
      <w:r>
        <w:rPr>
          <w:rFonts w:ascii="Arial" w:cs="Arial" w:eastAsia="Arial" w:hAnsi="Arial"/>
          <w:sz w:val="18"/>
          <w:szCs w:val="18"/>
          <w:b w:val="1"/>
          <w:bCs w:val="1"/>
          <w:color w:val="FFFFFF"/>
        </w:rPr>
        <w:t>Compensation</w:t>
      </w:r>
    </w:p>
    <w:p>
      <w:pPr>
        <w:spacing w:after="0" w:line="99" w:lineRule="exact"/>
        <w:rPr>
          <w:sz w:val="20"/>
          <w:szCs w:val="20"/>
          <w:color w:val="auto"/>
        </w:rPr>
      </w:pPr>
    </w:p>
    <w:p>
      <w:pPr>
        <w:ind w:left="181" w:right="880" w:hanging="181"/>
        <w:spacing w:after="0" w:line="251" w:lineRule="auto"/>
        <w:tabs>
          <w:tab w:leader="none" w:pos="181" w:val="left"/>
        </w:tabs>
        <w:numPr>
          <w:ilvl w:val="0"/>
          <w:numId w:val="7"/>
        </w:numPr>
        <w:rPr>
          <w:rFonts w:ascii="MS PGothic" w:cs="MS PGothic" w:eastAsia="MS PGothic" w:hAnsi="MS PGothic"/>
          <w:sz w:val="18"/>
          <w:szCs w:val="18"/>
          <w:color w:val="3C5896"/>
        </w:rPr>
      </w:pPr>
      <w:r>
        <w:rPr>
          <w:rFonts w:ascii="Arial" w:cs="Arial" w:eastAsia="Arial" w:hAnsi="Arial"/>
          <w:sz w:val="18"/>
          <w:szCs w:val="18"/>
          <w:color w:val="auto"/>
        </w:rPr>
        <w:t>Reduced compensation across the organization until the second quarter of 2020, including a voluntary salary reduction by the CEO to $1, voluntary 30% salary reductions by the other executive officers and a voluntary election by the Board to forego their cash compensation for the second quarter, with the CEO returning to full base salary only after all non-executive employees were back to 100% compensation</w:t>
      </w:r>
    </w:p>
    <w:p>
      <w:pPr>
        <w:spacing w:after="0" w:line="88" w:lineRule="exact"/>
        <w:rPr>
          <w:rFonts w:ascii="MS PGothic" w:cs="MS PGothic" w:eastAsia="MS PGothic" w:hAnsi="MS PGothic"/>
          <w:sz w:val="18"/>
          <w:szCs w:val="18"/>
          <w:color w:val="3C5896"/>
        </w:rPr>
      </w:pPr>
    </w:p>
    <w:p>
      <w:pPr>
        <w:ind w:left="181" w:right="1040" w:hanging="181"/>
        <w:spacing w:after="0" w:line="278" w:lineRule="auto"/>
        <w:tabs>
          <w:tab w:leader="none" w:pos="181" w:val="left"/>
        </w:tabs>
        <w:numPr>
          <w:ilvl w:val="0"/>
          <w:numId w:val="7"/>
        </w:numPr>
        <w:rPr>
          <w:rFonts w:ascii="MS PGothic" w:cs="MS PGothic" w:eastAsia="MS PGothic" w:hAnsi="MS PGothic"/>
          <w:sz w:val="17"/>
          <w:szCs w:val="17"/>
          <w:color w:val="3C5896"/>
        </w:rPr>
      </w:pPr>
      <w:r>
        <w:rPr>
          <w:rFonts w:ascii="Arial" w:cs="Arial" w:eastAsia="Arial" w:hAnsi="Arial"/>
          <w:sz w:val="17"/>
          <w:szCs w:val="17"/>
          <w:color w:val="auto"/>
        </w:rPr>
        <w:t>Granted one-time appreciation bonuses to customer-facing associates in third quarter 2020</w:t>
      </w:r>
    </w:p>
    <w:p>
      <w:pPr>
        <w:spacing w:after="0" w:line="49" w:lineRule="exact"/>
        <w:rPr>
          <w:rFonts w:ascii="MS PGothic" w:cs="MS PGothic" w:eastAsia="MS PGothic" w:hAnsi="MS PGothic"/>
          <w:sz w:val="17"/>
          <w:szCs w:val="17"/>
          <w:color w:val="3C5896"/>
        </w:rPr>
      </w:pPr>
    </w:p>
    <w:p>
      <w:pPr>
        <w:ind w:left="181" w:right="1180" w:hanging="181"/>
        <w:spacing w:after="0" w:line="261" w:lineRule="auto"/>
        <w:tabs>
          <w:tab w:leader="none" w:pos="181" w:val="left"/>
        </w:tabs>
        <w:numPr>
          <w:ilvl w:val="0"/>
          <w:numId w:val="7"/>
        </w:numPr>
        <w:rPr>
          <w:rFonts w:ascii="MS PGothic" w:cs="MS PGothic" w:eastAsia="MS PGothic" w:hAnsi="MS PGothic"/>
          <w:sz w:val="18"/>
          <w:szCs w:val="18"/>
          <w:color w:val="3C5896"/>
        </w:rPr>
      </w:pPr>
      <w:r>
        <w:rPr>
          <w:rFonts w:ascii="Arial" w:cs="Arial" w:eastAsia="Arial" w:hAnsi="Arial"/>
          <w:sz w:val="18"/>
          <w:szCs w:val="18"/>
          <w:color w:val="auto"/>
        </w:rPr>
        <w:t>Granted additional holidays in fourth quarter 2020</w:t>
      </w:r>
    </w:p>
    <w:p>
      <w:pPr>
        <w:spacing w:after="0" w:line="76" w:lineRule="exact"/>
        <w:rPr>
          <w:rFonts w:ascii="MS PGothic" w:cs="MS PGothic" w:eastAsia="MS PGothic" w:hAnsi="MS PGothic"/>
          <w:sz w:val="18"/>
          <w:szCs w:val="18"/>
          <w:color w:val="3C5896"/>
        </w:rPr>
      </w:pPr>
    </w:p>
    <w:p>
      <w:pPr>
        <w:ind w:left="181" w:right="1260" w:hanging="181"/>
        <w:spacing w:after="0" w:line="256" w:lineRule="auto"/>
        <w:tabs>
          <w:tab w:leader="none" w:pos="181" w:val="left"/>
        </w:tabs>
        <w:numPr>
          <w:ilvl w:val="0"/>
          <w:numId w:val="7"/>
        </w:numPr>
        <w:rPr>
          <w:rFonts w:ascii="MS PGothic" w:cs="MS PGothic" w:eastAsia="MS PGothic" w:hAnsi="MS PGothic"/>
          <w:sz w:val="18"/>
          <w:szCs w:val="18"/>
          <w:color w:val="3C5896"/>
        </w:rPr>
      </w:pPr>
      <w:r>
        <w:rPr>
          <w:rFonts w:ascii="Arial" w:cs="Arial" w:eastAsia="Arial" w:hAnsi="Arial"/>
          <w:sz w:val="18"/>
          <w:szCs w:val="18"/>
          <w:color w:val="auto"/>
        </w:rPr>
        <w:t>Continued to pay benefits for associates furloughed in response to pandemic</w:t>
      </w:r>
    </w:p>
    <w:p>
      <w:pPr>
        <w:spacing w:after="0" w:line="80" w:lineRule="exact"/>
        <w:rPr>
          <w:rFonts w:ascii="MS PGothic" w:cs="MS PGothic" w:eastAsia="MS PGothic" w:hAnsi="MS PGothic"/>
          <w:sz w:val="18"/>
          <w:szCs w:val="18"/>
          <w:color w:val="3C5896"/>
        </w:rPr>
      </w:pPr>
    </w:p>
    <w:p>
      <w:pPr>
        <w:ind w:left="181" w:right="1140" w:hanging="181"/>
        <w:spacing w:after="0" w:line="254" w:lineRule="auto"/>
        <w:tabs>
          <w:tab w:leader="none" w:pos="181" w:val="left"/>
        </w:tabs>
        <w:numPr>
          <w:ilvl w:val="0"/>
          <w:numId w:val="7"/>
        </w:numPr>
        <w:rPr>
          <w:rFonts w:ascii="MS PGothic" w:cs="MS PGothic" w:eastAsia="MS PGothic" w:hAnsi="MS PGothic"/>
          <w:sz w:val="18"/>
          <w:szCs w:val="18"/>
          <w:color w:val="3C5896"/>
        </w:rPr>
      </w:pPr>
      <w:r>
        <w:rPr>
          <w:rFonts w:ascii="Arial" w:cs="Arial" w:eastAsia="Arial" w:hAnsi="Arial"/>
          <w:sz w:val="18"/>
          <w:szCs w:val="18"/>
          <w:color w:val="auto"/>
        </w:rPr>
        <w:t>Paid short-term incentive cash bonuses at target level for associates to reward their dedication and resiliency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3756025</wp:posOffset>
            </wp:positionV>
            <wp:extent cx="30035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660" w:space="261"/>
            <w:col w:w="2839" w:space="239"/>
            <w:col w:w="3721"/>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tcPr>
          <w:p>
            <w:pPr>
              <w:ind w:left="7400"/>
              <w:spacing w:after="0"/>
              <w:rPr>
                <w:sz w:val="20"/>
                <w:szCs w:val="20"/>
                <w:color w:val="auto"/>
              </w:rPr>
            </w:pPr>
            <w:r>
              <w:rPr>
                <w:rFonts w:ascii="Arial" w:cs="Arial" w:eastAsia="Arial" w:hAnsi="Arial"/>
                <w:sz w:val="16"/>
                <w:szCs w:val="16"/>
                <w:color w:val="auto"/>
              </w:rPr>
              <w:t>2021 Proxy Statement</w:t>
            </w: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5</w:t>
            </w:r>
          </w:p>
        </w:tc>
      </w:tr>
      <w:tr>
        <w:trPr>
          <w:trHeight w:val="431"/>
        </w:trPr>
        <w:tc>
          <w:tcPr>
            <w:tcW w:w="9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Financial Highlights</w:t>
      </w:r>
    </w:p>
    <w:p>
      <w:pPr>
        <w:spacing w:after="0" w:line="20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Despite the extraordinary circumstances of this year, we believe fiscal 2020 was ultimately successful and believe we are well positioned to capitalize on future opportunities for the Company. In fiscal 2020, our financial and operational highlights included:</w:t>
      </w:r>
    </w:p>
    <w:p>
      <w:pPr>
        <w:spacing w:after="0" w:line="121" w:lineRule="exact"/>
        <w:rPr>
          <w:sz w:val="20"/>
          <w:szCs w:val="20"/>
          <w:color w:val="auto"/>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Net income increased 10.6% to $36.3 million</w:t>
      </w:r>
    </w:p>
    <w:p>
      <w:pPr>
        <w:spacing w:after="0" w:line="90" w:lineRule="exact"/>
        <w:rPr>
          <w:rFonts w:ascii="Arial" w:cs="Arial" w:eastAsia="Arial" w:hAnsi="Arial"/>
          <w:sz w:val="18"/>
          <w:szCs w:val="18"/>
          <w:color w:val="3C5896"/>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12.4% to $218.3 million</w:t>
      </w:r>
    </w:p>
    <w:p>
      <w:pPr>
        <w:spacing w:after="0" w:line="52" w:lineRule="exact"/>
        <w:rPr>
          <w:rFonts w:ascii="Arial" w:cs="Arial" w:eastAsia="Arial" w:hAnsi="Arial"/>
          <w:sz w:val="18"/>
          <w:szCs w:val="18"/>
          <w:color w:val="3C5896"/>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Adjusted Operating Income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17.4% to $134.1 million</w:t>
      </w:r>
    </w:p>
    <w:p>
      <w:pPr>
        <w:spacing w:after="0" w:line="78" w:lineRule="exact"/>
        <w:rPr>
          <w:rFonts w:ascii="Arial" w:cs="Arial" w:eastAsia="Arial" w:hAnsi="Arial"/>
          <w:sz w:val="18"/>
          <w:szCs w:val="18"/>
          <w:color w:val="3C5896"/>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Overall store count grew 4.7%, and fiscal 2020 ended with 1,205 stores</w:t>
      </w:r>
    </w:p>
    <w:p>
      <w:pPr>
        <w:spacing w:after="0" w:line="130" w:lineRule="exact"/>
        <w:rPr>
          <w:rFonts w:ascii="Arial" w:cs="Arial" w:eastAsia="Arial" w:hAnsi="Arial"/>
          <w:sz w:val="18"/>
          <w:szCs w:val="18"/>
          <w:color w:val="3C5896"/>
        </w:rPr>
      </w:pPr>
    </w:p>
    <w:p>
      <w:pPr>
        <w:jc w:val="both"/>
        <w:ind w:left="1340" w:hanging="218"/>
        <w:spacing w:after="0" w:line="213" w:lineRule="auto"/>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Total comparable store sales growth for the seven months ended January 2, 2021 (after we began gradually re-opening stores to the public) was 13.1% and Adjusted 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for the seven months ended January 2, 2021 was 12.6%</w:t>
      </w:r>
    </w:p>
    <w:p>
      <w:pPr>
        <w:spacing w:after="0" w:line="109" w:lineRule="exact"/>
        <w:rPr>
          <w:rFonts w:ascii="Arial" w:cs="Arial" w:eastAsia="Arial" w:hAnsi="Arial"/>
          <w:sz w:val="18"/>
          <w:szCs w:val="18"/>
          <w:color w:val="3C5896"/>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Record operating cash flows increased from $165.1 million in 2019 to $235.0 million in 2020</w:t>
      </w:r>
    </w:p>
    <w:p>
      <w:pPr>
        <w:spacing w:after="0" w:line="90" w:lineRule="exact"/>
        <w:rPr>
          <w:rFonts w:ascii="Arial" w:cs="Arial" w:eastAsia="Arial" w:hAnsi="Arial"/>
          <w:sz w:val="18"/>
          <w:szCs w:val="18"/>
          <w:color w:val="3C5896"/>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Diluted EPS increased 9.1% to $0.44; Adjusted Diluted EPS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21.9% to $0.91</w:t>
      </w:r>
    </w:p>
    <w:p>
      <w:pPr>
        <w:spacing w:after="0" w:line="92" w:lineRule="exact"/>
        <w:rPr>
          <w:rFonts w:ascii="Arial" w:cs="Arial" w:eastAsia="Arial" w:hAnsi="Arial"/>
          <w:sz w:val="18"/>
          <w:szCs w:val="18"/>
          <w:color w:val="3C5896"/>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Our cash balance was $373.9 million as of January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92075</wp:posOffset>
            </wp:positionV>
            <wp:extent cx="5220335" cy="3146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2033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760" w:firstLine="2"/>
        <w:spacing w:after="0" w:line="226" w:lineRule="auto"/>
        <w:tabs>
          <w:tab w:leader="none" w:pos="977"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EBTDA, Adjusted Operating Income, Adjusted Comparable Store Sales Growth and Adjusted Diluted EPS to the most directly comparable GAAP measures, see Appendix A 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  </w:t>
      </w:r>
      <w:r>
        <w:rPr>
          <w:sz w:val="1"/>
          <w:szCs w:val="1"/>
          <w:color w:val="auto"/>
        </w:rPr>
        <w:drawing>
          <wp:inline distT="0" distB="0" distL="0" distR="0">
            <wp:extent cx="299720" cy="2400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jc w:val="right"/>
        <w:ind w:right="880"/>
        <w:spacing w:after="0"/>
        <w:rPr>
          <w:sz w:val="20"/>
          <w:szCs w:val="20"/>
          <w:color w:val="auto"/>
        </w:rPr>
      </w:pPr>
      <w:r>
        <w:rPr>
          <w:rFonts w:ascii="Arial" w:cs="Arial" w:eastAsia="Arial" w:hAnsi="Arial"/>
          <w:sz w:val="18"/>
          <w:szCs w:val="18"/>
          <w:b w:val="1"/>
          <w:bCs w:val="1"/>
          <w:color w:val="FFFFFF"/>
        </w:rPr>
        <w:t>PROXY STATEMENT SUMMARY</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CORPORATE GOVERNANCE AND 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16" w:lineRule="exact"/>
        <w:rPr>
          <w:sz w:val="20"/>
          <w:szCs w:val="20"/>
          <w:color w:val="auto"/>
        </w:rPr>
      </w:pPr>
    </w:p>
    <w:p>
      <w:pPr>
        <w:ind w:left="940" w:hanging="178"/>
        <w:spacing w:after="0"/>
        <w:tabs>
          <w:tab w:leader="none" w:pos="94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Independent, non-executive Chair of the Board</w:t>
      </w:r>
    </w:p>
    <w:p>
      <w:pPr>
        <w:spacing w:after="0" w:line="101" w:lineRule="exact"/>
        <w:rPr>
          <w:rFonts w:ascii="MS PGothic" w:cs="MS PGothic" w:eastAsia="MS PGothic" w:hAnsi="MS PGothic"/>
          <w:sz w:val="17"/>
          <w:szCs w:val="17"/>
          <w:color w:val="auto"/>
          <w:shd w:val="clear" w:color="auto" w:fill="3C5896"/>
        </w:rPr>
      </w:pPr>
    </w:p>
    <w:p>
      <w:pPr>
        <w:ind w:left="940" w:hanging="178"/>
        <w:spacing w:after="0"/>
        <w:tabs>
          <w:tab w:leader="none" w:pos="94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All independent directors, except our CEO</w:t>
      </w:r>
    </w:p>
    <w:p>
      <w:pPr>
        <w:spacing w:after="0" w:line="115" w:lineRule="exact"/>
        <w:rPr>
          <w:rFonts w:ascii="MS PGothic" w:cs="MS PGothic" w:eastAsia="MS PGothic" w:hAnsi="MS PGothic"/>
          <w:sz w:val="17"/>
          <w:szCs w:val="17"/>
          <w:color w:val="auto"/>
          <w:shd w:val="clear" w:color="auto" w:fill="3C5896"/>
        </w:rPr>
      </w:pPr>
    </w:p>
    <w:p>
      <w:pPr>
        <w:ind w:left="940" w:hanging="178"/>
        <w:spacing w:after="0"/>
        <w:tabs>
          <w:tab w:leader="none" w:pos="94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100% independent Board committees</w:t>
      </w:r>
    </w:p>
    <w:p>
      <w:pPr>
        <w:spacing w:after="0" w:line="101" w:lineRule="exact"/>
        <w:rPr>
          <w:rFonts w:ascii="MS PGothic" w:cs="MS PGothic" w:eastAsia="MS PGothic" w:hAnsi="MS PGothic"/>
          <w:sz w:val="17"/>
          <w:szCs w:val="17"/>
          <w:color w:val="auto"/>
          <w:shd w:val="clear" w:color="auto" w:fill="3C5896"/>
        </w:rPr>
      </w:pPr>
    </w:p>
    <w:p>
      <w:pPr>
        <w:ind w:left="940" w:hanging="178"/>
        <w:spacing w:after="0"/>
        <w:tabs>
          <w:tab w:leader="none" w:pos="94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7 new independent directors since 2014</w:t>
      </w:r>
    </w:p>
    <w:p>
      <w:pPr>
        <w:spacing w:after="0" w:line="101" w:lineRule="exact"/>
        <w:rPr>
          <w:rFonts w:ascii="MS PGothic" w:cs="MS PGothic" w:eastAsia="MS PGothic" w:hAnsi="MS PGothic"/>
          <w:sz w:val="17"/>
          <w:szCs w:val="17"/>
          <w:color w:val="auto"/>
          <w:shd w:val="clear" w:color="auto" w:fill="3C5896"/>
        </w:rPr>
      </w:pPr>
    </w:p>
    <w:p>
      <w:pPr>
        <w:ind w:left="940" w:hanging="178"/>
        <w:spacing w:after="0"/>
        <w:tabs>
          <w:tab w:leader="none" w:pos="94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6 experienced current and former CEOs/CFOs</w:t>
      </w:r>
    </w:p>
    <w:p>
      <w:pPr>
        <w:spacing w:after="0" w:line="115" w:lineRule="exact"/>
        <w:rPr>
          <w:rFonts w:ascii="MS PGothic" w:cs="MS PGothic" w:eastAsia="MS PGothic" w:hAnsi="MS PGothic"/>
          <w:sz w:val="17"/>
          <w:szCs w:val="17"/>
          <w:color w:val="auto"/>
          <w:shd w:val="clear" w:color="auto" w:fill="3C5896"/>
        </w:rPr>
      </w:pPr>
    </w:p>
    <w:p>
      <w:pPr>
        <w:ind w:left="940" w:right="300" w:hanging="178"/>
        <w:spacing w:after="0" w:line="285" w:lineRule="auto"/>
        <w:tabs>
          <w:tab w:leader="none" w:pos="94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5 diverse directors, including 2 directors of racial/ethnic diversity</w:t>
      </w:r>
    </w:p>
    <w:p>
      <w:pPr>
        <w:spacing w:after="0" w:line="35" w:lineRule="exact"/>
        <w:rPr>
          <w:rFonts w:ascii="MS PGothic" w:cs="MS PGothic" w:eastAsia="MS PGothic" w:hAnsi="MS PGothic"/>
          <w:sz w:val="17"/>
          <w:szCs w:val="17"/>
          <w:color w:val="auto"/>
          <w:shd w:val="clear" w:color="auto" w:fill="3C5896"/>
        </w:rPr>
      </w:pPr>
    </w:p>
    <w:p>
      <w:pPr>
        <w:ind w:left="940" w:right="380" w:hanging="178"/>
        <w:spacing w:after="0" w:line="285" w:lineRule="auto"/>
        <w:tabs>
          <w:tab w:leader="none" w:pos="940" w:val="left"/>
        </w:tabs>
        <w:numPr>
          <w:ilvl w:val="0"/>
          <w:numId w:val="10"/>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Regular Board executive sessions without management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80" w:right="1060" w:hanging="180"/>
        <w:spacing w:after="0" w:line="285" w:lineRule="auto"/>
        <w:tabs>
          <w:tab w:leader="none" w:pos="180" w:val="left"/>
        </w:tabs>
        <w:numPr>
          <w:ilvl w:val="0"/>
          <w:numId w:val="11"/>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Robust director and executive stock ownership guidelines</w:t>
      </w:r>
    </w:p>
    <w:p>
      <w:pPr>
        <w:spacing w:after="0" w:line="35" w:lineRule="exact"/>
        <w:rPr>
          <w:rFonts w:ascii="MS PGothic" w:cs="MS PGothic" w:eastAsia="MS PGothic" w:hAnsi="MS PGothic"/>
          <w:sz w:val="17"/>
          <w:szCs w:val="17"/>
          <w:color w:val="auto"/>
          <w:shd w:val="clear" w:color="auto" w:fill="3C5896"/>
        </w:rPr>
      </w:pPr>
    </w:p>
    <w:p>
      <w:pPr>
        <w:ind w:left="180" w:hanging="180"/>
        <w:spacing w:after="0"/>
        <w:tabs>
          <w:tab w:leader="none" w:pos="180" w:val="left"/>
        </w:tabs>
        <w:numPr>
          <w:ilvl w:val="0"/>
          <w:numId w:val="11"/>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Anti-hedging policy</w:t>
      </w:r>
    </w:p>
    <w:p>
      <w:pPr>
        <w:spacing w:after="0" w:line="115" w:lineRule="exact"/>
        <w:rPr>
          <w:rFonts w:ascii="MS PGothic" w:cs="MS PGothic" w:eastAsia="MS PGothic" w:hAnsi="MS PGothic"/>
          <w:sz w:val="17"/>
          <w:szCs w:val="17"/>
          <w:color w:val="auto"/>
          <w:shd w:val="clear" w:color="auto" w:fill="3C5896"/>
        </w:rPr>
      </w:pPr>
    </w:p>
    <w:p>
      <w:pPr>
        <w:ind w:left="180" w:hanging="180"/>
        <w:spacing w:after="0"/>
        <w:tabs>
          <w:tab w:leader="none" w:pos="180" w:val="left"/>
        </w:tabs>
        <w:numPr>
          <w:ilvl w:val="0"/>
          <w:numId w:val="11"/>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Strong stockholder engagement program</w:t>
      </w:r>
    </w:p>
    <w:p>
      <w:pPr>
        <w:spacing w:after="0" w:line="101" w:lineRule="exact"/>
        <w:rPr>
          <w:rFonts w:ascii="MS PGothic" w:cs="MS PGothic" w:eastAsia="MS PGothic" w:hAnsi="MS PGothic"/>
          <w:sz w:val="17"/>
          <w:szCs w:val="17"/>
          <w:color w:val="auto"/>
          <w:shd w:val="clear" w:color="auto" w:fill="3C5896"/>
        </w:rPr>
      </w:pPr>
    </w:p>
    <w:p>
      <w:pPr>
        <w:ind w:left="180" w:right="1540" w:hanging="180"/>
        <w:spacing w:after="0" w:line="285" w:lineRule="auto"/>
        <w:tabs>
          <w:tab w:leader="none" w:pos="180" w:val="left"/>
        </w:tabs>
        <w:numPr>
          <w:ilvl w:val="0"/>
          <w:numId w:val="11"/>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Formal disclosure committee for financial reporting purposes</w:t>
      </w:r>
    </w:p>
    <w:p>
      <w:pPr>
        <w:spacing w:after="0" w:line="35" w:lineRule="exact"/>
        <w:rPr>
          <w:rFonts w:ascii="MS PGothic" w:cs="MS PGothic" w:eastAsia="MS PGothic" w:hAnsi="MS PGothic"/>
          <w:sz w:val="17"/>
          <w:szCs w:val="17"/>
          <w:color w:val="auto"/>
          <w:shd w:val="clear" w:color="auto" w:fill="3C5896"/>
        </w:rPr>
      </w:pPr>
    </w:p>
    <w:p>
      <w:pPr>
        <w:ind w:left="180" w:right="1560" w:hanging="180"/>
        <w:spacing w:after="0" w:line="285" w:lineRule="auto"/>
        <w:tabs>
          <w:tab w:leader="none" w:pos="180" w:val="left"/>
        </w:tabs>
        <w:numPr>
          <w:ilvl w:val="0"/>
          <w:numId w:val="11"/>
        </w:numPr>
        <w:rPr>
          <w:rFonts w:ascii="MS PGothic" w:cs="MS PGothic" w:eastAsia="MS PGothic" w:hAnsi="MS PGothic"/>
          <w:sz w:val="17"/>
          <w:szCs w:val="17"/>
          <w:color w:val="auto"/>
          <w:shd w:val="clear" w:color="auto" w:fill="3C5896"/>
        </w:rPr>
      </w:pPr>
      <w:r>
        <w:rPr>
          <w:rFonts w:ascii="Arial" w:cs="Arial" w:eastAsia="Arial" w:hAnsi="Arial"/>
          <w:sz w:val="17"/>
          <w:szCs w:val="17"/>
          <w:b w:val="1"/>
          <w:bCs w:val="1"/>
          <w:color w:val="auto"/>
        </w:rPr>
        <w:t>Annual robust Board and Committee self-assessments</w:t>
      </w:r>
    </w:p>
    <w:p>
      <w:pPr>
        <w:spacing w:after="0" w:line="543" w:lineRule="exact"/>
        <w:rPr>
          <w:sz w:val="20"/>
          <w:szCs w:val="20"/>
          <w:color w:val="auto"/>
        </w:rPr>
      </w:pPr>
    </w:p>
    <w:p>
      <w:pPr>
        <w:sectPr>
          <w:pgSz w:w="11900" w:h="16838" w:orient="portrait"/>
          <w:cols w:equalWidth="0" w:num="2">
            <w:col w:w="4900" w:space="560"/>
            <w:col w:w="5260"/>
          </w:cols>
          <w:pgMar w:left="580" w:top="132" w:right="599" w:bottom="1440" w:gutter="0" w:footer="0" w:header="0"/>
          <w:type w:val="continuous"/>
        </w:sectPr>
      </w:pPr>
    </w:p>
    <w:p>
      <w:pPr>
        <w:ind w:left="760" w:right="7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Set forth below is a snapshot of our current National Vision Board, their independence, diversity and skills/ qualifications. See Proposal 1 beginning on page </w:t>
      </w:r>
      <w:hyperlink w:anchor="page14">
        <w:r>
          <w:rPr>
            <w:rFonts w:ascii="Arial" w:cs="Arial" w:eastAsia="Arial" w:hAnsi="Arial"/>
            <w:sz w:val="18"/>
            <w:szCs w:val="18"/>
            <w:u w:val="single" w:color="auto"/>
            <w:color w:val="0000EE"/>
          </w:rPr>
          <w:t>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details on the election of our Class I directors.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CURRENT NATIONAL VISION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2" w:lineRule="exact"/>
        <w:rPr>
          <w:sz w:val="20"/>
          <w:szCs w:val="20"/>
          <w:color w:val="auto"/>
        </w:rPr>
      </w:pPr>
    </w:p>
    <w:tbl>
      <w:tblPr>
        <w:tblLayout w:type="fixed"/>
        <w:tblInd w:w="770" w:type="dxa"/>
        <w:tblCellMar>
          <w:top w:w="0" w:type="dxa"/>
          <w:left w:w="0" w:type="dxa"/>
          <w:bottom w:w="0" w:type="dxa"/>
          <w:right w:w="0" w:type="dxa"/>
        </w:tblCellMar>
      </w:tblPr>
      <w:tr>
        <w:trPr>
          <w:trHeight w:val="324"/>
        </w:trPr>
        <w:tc>
          <w:tcPr>
            <w:tcW w:w="1820" w:type="dxa"/>
            <w:vAlign w:val="bottom"/>
            <w:tcBorders>
              <w:top w:val="single" w:sz="8" w:color="3C5896"/>
              <w:left w:val="single" w:sz="8" w:color="3C5896"/>
              <w:right w:val="single" w:sz="8" w:color="9EACCA"/>
            </w:tcBorders>
            <w:vMerge w:val="restart"/>
            <w:shd w:val="clear" w:color="auto" w:fill="3C5896"/>
          </w:tcPr>
          <w:p>
            <w:pPr>
              <w:ind w:left="500"/>
              <w:spacing w:after="0"/>
              <w:rPr>
                <w:sz w:val="20"/>
                <w:szCs w:val="20"/>
                <w:color w:val="auto"/>
              </w:rPr>
            </w:pPr>
            <w:r>
              <w:rPr>
                <w:rFonts w:ascii="Arial" w:cs="Arial" w:eastAsia="Arial" w:hAnsi="Arial"/>
                <w:sz w:val="18"/>
                <w:szCs w:val="18"/>
                <w:b w:val="1"/>
                <w:bCs w:val="1"/>
                <w:color w:val="FFFFFF"/>
              </w:rPr>
              <w:t>Directors</w:t>
            </w:r>
          </w:p>
        </w:tc>
        <w:tc>
          <w:tcPr>
            <w:tcW w:w="80" w:type="dxa"/>
            <w:vAlign w:val="bottom"/>
            <w:tcBorders>
              <w:top w:val="single" w:sz="8" w:color="3C5896"/>
            </w:tcBorders>
            <w:shd w:val="clear" w:color="auto" w:fill="3C5896"/>
          </w:tcPr>
          <w:p>
            <w:pPr>
              <w:spacing w:after="0"/>
              <w:rPr>
                <w:sz w:val="24"/>
                <w:szCs w:val="24"/>
                <w:color w:val="auto"/>
              </w:rPr>
            </w:pPr>
          </w:p>
        </w:tc>
        <w:tc>
          <w:tcPr>
            <w:tcW w:w="640" w:type="dxa"/>
            <w:vAlign w:val="bottom"/>
            <w:tcBorders>
              <w:top w:val="single" w:sz="8" w:color="3C5896"/>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9"/>
              </w:rPr>
              <w:t>Age</w:t>
            </w:r>
          </w:p>
        </w:tc>
        <w:tc>
          <w:tcPr>
            <w:tcW w:w="60" w:type="dxa"/>
            <w:vAlign w:val="bottom"/>
            <w:tcBorders>
              <w:top w:val="single" w:sz="8" w:color="3C5896"/>
            </w:tcBorders>
            <w:shd w:val="clear" w:color="auto" w:fill="3C5896"/>
          </w:tcPr>
          <w:p>
            <w:pPr>
              <w:spacing w:after="0"/>
              <w:rPr>
                <w:sz w:val="24"/>
                <w:szCs w:val="24"/>
                <w:color w:val="auto"/>
              </w:rPr>
            </w:pPr>
          </w:p>
        </w:tc>
        <w:tc>
          <w:tcPr>
            <w:tcW w:w="840" w:type="dxa"/>
            <w:vAlign w:val="bottom"/>
            <w:tcBorders>
              <w:top w:val="single" w:sz="8" w:color="3C5896"/>
              <w:right w:val="single" w:sz="8" w:color="9EACCA"/>
            </w:tcBorders>
            <w:shd w:val="clear" w:color="auto" w:fill="3C5896"/>
          </w:tcPr>
          <w:p>
            <w:pPr>
              <w:ind w:left="20"/>
              <w:spacing w:after="0"/>
              <w:rPr>
                <w:sz w:val="20"/>
                <w:szCs w:val="20"/>
                <w:color w:val="auto"/>
              </w:rPr>
            </w:pPr>
            <w:r>
              <w:rPr>
                <w:rFonts w:ascii="Arial" w:cs="Arial" w:eastAsia="Arial" w:hAnsi="Arial"/>
                <w:sz w:val="18"/>
                <w:szCs w:val="18"/>
                <w:b w:val="1"/>
                <w:bCs w:val="1"/>
                <w:color w:val="FFFFFF"/>
              </w:rPr>
              <w:t>Director</w:t>
            </w:r>
          </w:p>
        </w:tc>
        <w:tc>
          <w:tcPr>
            <w:tcW w:w="80" w:type="dxa"/>
            <w:vAlign w:val="bottom"/>
            <w:tcBorders>
              <w:top w:val="single" w:sz="8" w:color="3C5896"/>
            </w:tcBorders>
            <w:shd w:val="clear" w:color="auto" w:fill="3C5896"/>
          </w:tcPr>
          <w:p>
            <w:pPr>
              <w:spacing w:after="0"/>
              <w:rPr>
                <w:sz w:val="24"/>
                <w:szCs w:val="24"/>
                <w:color w:val="auto"/>
              </w:rPr>
            </w:pPr>
          </w:p>
        </w:tc>
        <w:tc>
          <w:tcPr>
            <w:tcW w:w="2660" w:type="dxa"/>
            <w:vAlign w:val="bottom"/>
            <w:tcBorders>
              <w:top w:val="single" w:sz="8" w:color="3C5896"/>
              <w:right w:val="single" w:sz="8" w:color="9EACCA"/>
            </w:tcBorders>
            <w:vMerge w:val="restart"/>
            <w:shd w:val="clear" w:color="auto" w:fill="3C5896"/>
          </w:tcPr>
          <w:p>
            <w:pPr>
              <w:ind w:left="800"/>
              <w:spacing w:after="0"/>
              <w:rPr>
                <w:sz w:val="20"/>
                <w:szCs w:val="20"/>
                <w:color w:val="auto"/>
              </w:rPr>
            </w:pPr>
            <w:r>
              <w:rPr>
                <w:rFonts w:ascii="Arial" w:cs="Arial" w:eastAsia="Arial" w:hAnsi="Arial"/>
                <w:sz w:val="18"/>
                <w:szCs w:val="18"/>
                <w:b w:val="1"/>
                <w:bCs w:val="1"/>
                <w:color w:val="FFFFFF"/>
              </w:rPr>
              <w:t>Occupation</w:t>
            </w:r>
          </w:p>
        </w:tc>
        <w:tc>
          <w:tcPr>
            <w:tcW w:w="80" w:type="dxa"/>
            <w:vAlign w:val="bottom"/>
            <w:tcBorders>
              <w:top w:val="single" w:sz="8" w:color="3C5896"/>
            </w:tcBorders>
            <w:shd w:val="clear" w:color="auto" w:fill="3C5896"/>
          </w:tcPr>
          <w:p>
            <w:pPr>
              <w:spacing w:after="0"/>
              <w:rPr>
                <w:sz w:val="24"/>
                <w:szCs w:val="24"/>
                <w:color w:val="auto"/>
              </w:rPr>
            </w:pPr>
          </w:p>
        </w:tc>
        <w:tc>
          <w:tcPr>
            <w:tcW w:w="840" w:type="dxa"/>
            <w:vAlign w:val="bottom"/>
            <w:tcBorders>
              <w:top w:val="single" w:sz="8" w:color="3C5896"/>
              <w:right w:val="single" w:sz="8" w:color="9EACCA"/>
            </w:tcBorders>
            <w:shd w:val="clear" w:color="auto" w:fill="3C5896"/>
          </w:tcPr>
          <w:p>
            <w:pPr>
              <w:ind w:left="20"/>
              <w:spacing w:after="0"/>
              <w:rPr>
                <w:sz w:val="20"/>
                <w:szCs w:val="20"/>
                <w:color w:val="auto"/>
              </w:rPr>
            </w:pPr>
            <w:r>
              <w:rPr>
                <w:rFonts w:ascii="Arial" w:cs="Arial" w:eastAsia="Arial" w:hAnsi="Arial"/>
                <w:sz w:val="18"/>
                <w:szCs w:val="18"/>
                <w:b w:val="1"/>
                <w:bCs w:val="1"/>
                <w:color w:val="FFFFFF"/>
              </w:rPr>
              <w:t>Director</w:t>
            </w:r>
          </w:p>
        </w:tc>
        <w:tc>
          <w:tcPr>
            <w:tcW w:w="80" w:type="dxa"/>
            <w:vAlign w:val="bottom"/>
            <w:tcBorders>
              <w:top w:val="single" w:sz="8" w:color="3C5896"/>
            </w:tcBorders>
            <w:shd w:val="clear" w:color="auto" w:fill="3C5896"/>
          </w:tcPr>
          <w:p>
            <w:pPr>
              <w:spacing w:after="0"/>
              <w:rPr>
                <w:sz w:val="24"/>
                <w:szCs w:val="24"/>
                <w:color w:val="auto"/>
              </w:rPr>
            </w:pPr>
          </w:p>
        </w:tc>
        <w:tc>
          <w:tcPr>
            <w:tcW w:w="2020" w:type="dxa"/>
            <w:vAlign w:val="bottom"/>
            <w:tcBorders>
              <w:top w:val="single" w:sz="8" w:color="3C5896"/>
              <w:right w:val="single" w:sz="8" w:color="3C5896"/>
            </w:tcBorders>
            <w:shd w:val="clear" w:color="auto" w:fill="3C5896"/>
          </w:tcPr>
          <w:p>
            <w:pPr>
              <w:ind w:left="500"/>
              <w:spacing w:after="0"/>
              <w:rPr>
                <w:sz w:val="20"/>
                <w:szCs w:val="20"/>
                <w:color w:val="auto"/>
              </w:rPr>
            </w:pPr>
            <w:r>
              <w:rPr>
                <w:rFonts w:ascii="Arial" w:cs="Arial" w:eastAsia="Arial" w:hAnsi="Arial"/>
                <w:sz w:val="18"/>
                <w:szCs w:val="18"/>
                <w:b w:val="1"/>
                <w:bCs w:val="1"/>
                <w:color w:val="FFFFFF"/>
              </w:rPr>
              <w:t>Committee</w:t>
            </w:r>
          </w:p>
        </w:tc>
        <w:tc>
          <w:tcPr>
            <w:tcW w:w="0" w:type="dxa"/>
            <w:vAlign w:val="bottom"/>
          </w:tcPr>
          <w:p>
            <w:pPr>
              <w:spacing w:after="0"/>
              <w:rPr>
                <w:sz w:val="1"/>
                <w:szCs w:val="1"/>
                <w:color w:val="auto"/>
              </w:rPr>
            </w:pPr>
          </w:p>
        </w:tc>
      </w:tr>
      <w:tr>
        <w:trPr>
          <w:trHeight w:val="243"/>
        </w:trPr>
        <w:tc>
          <w:tcPr>
            <w:tcW w:w="1820" w:type="dxa"/>
            <w:vAlign w:val="bottom"/>
            <w:tcBorders>
              <w:left w:val="single" w:sz="8" w:color="3C5896"/>
              <w:right w:val="single" w:sz="8" w:color="9EACCA"/>
            </w:tcBorders>
            <w:vMerge w:val="continue"/>
            <w:shd w:val="clear" w:color="auto" w:fill="3C5896"/>
          </w:tcPr>
          <w:p>
            <w:pPr>
              <w:spacing w:after="0"/>
              <w:rPr>
                <w:sz w:val="21"/>
                <w:szCs w:val="21"/>
                <w:color w:val="auto"/>
              </w:rPr>
            </w:pPr>
          </w:p>
        </w:tc>
        <w:tc>
          <w:tcPr>
            <w:tcW w:w="80" w:type="dxa"/>
            <w:vAlign w:val="bottom"/>
            <w:shd w:val="clear" w:color="auto" w:fill="3C5896"/>
          </w:tcPr>
          <w:p>
            <w:pPr>
              <w:spacing w:after="0"/>
              <w:rPr>
                <w:sz w:val="21"/>
                <w:szCs w:val="21"/>
                <w:color w:val="auto"/>
              </w:rPr>
            </w:pPr>
          </w:p>
        </w:tc>
        <w:tc>
          <w:tcPr>
            <w:tcW w:w="640" w:type="dxa"/>
            <w:vAlign w:val="bottom"/>
            <w:tcBorders>
              <w:right w:val="single" w:sz="8" w:color="9EACCA"/>
            </w:tcBorders>
            <w:vMerge w:val="continue"/>
            <w:shd w:val="clear" w:color="auto" w:fill="3C5896"/>
          </w:tcPr>
          <w:p>
            <w:pPr>
              <w:spacing w:after="0"/>
              <w:rPr>
                <w:sz w:val="21"/>
                <w:szCs w:val="21"/>
                <w:color w:val="auto"/>
              </w:rPr>
            </w:pPr>
          </w:p>
        </w:tc>
        <w:tc>
          <w:tcPr>
            <w:tcW w:w="60" w:type="dxa"/>
            <w:vAlign w:val="bottom"/>
            <w:shd w:val="clear" w:color="auto" w:fill="3C5896"/>
          </w:tcPr>
          <w:p>
            <w:pPr>
              <w:spacing w:after="0"/>
              <w:rPr>
                <w:sz w:val="21"/>
                <w:szCs w:val="21"/>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Since</w:t>
            </w:r>
          </w:p>
        </w:tc>
        <w:tc>
          <w:tcPr>
            <w:tcW w:w="80" w:type="dxa"/>
            <w:vAlign w:val="bottom"/>
            <w:shd w:val="clear" w:color="auto" w:fill="3C5896"/>
          </w:tcPr>
          <w:p>
            <w:pPr>
              <w:spacing w:after="0"/>
              <w:rPr>
                <w:sz w:val="21"/>
                <w:szCs w:val="21"/>
                <w:color w:val="auto"/>
              </w:rPr>
            </w:pPr>
          </w:p>
        </w:tc>
        <w:tc>
          <w:tcPr>
            <w:tcW w:w="2660" w:type="dxa"/>
            <w:vAlign w:val="bottom"/>
            <w:tcBorders>
              <w:right w:val="single" w:sz="8" w:color="9EACCA"/>
            </w:tcBorders>
            <w:vMerge w:val="continue"/>
            <w:shd w:val="clear" w:color="auto" w:fill="3C5896"/>
          </w:tcPr>
          <w:p>
            <w:pPr>
              <w:spacing w:after="0"/>
              <w:rPr>
                <w:sz w:val="21"/>
                <w:szCs w:val="21"/>
                <w:color w:val="auto"/>
              </w:rPr>
            </w:pPr>
          </w:p>
        </w:tc>
        <w:tc>
          <w:tcPr>
            <w:tcW w:w="80" w:type="dxa"/>
            <w:vAlign w:val="bottom"/>
            <w:shd w:val="clear" w:color="auto" w:fill="3C5896"/>
          </w:tcPr>
          <w:p>
            <w:pPr>
              <w:spacing w:after="0"/>
              <w:rPr>
                <w:sz w:val="21"/>
                <w:szCs w:val="21"/>
                <w:color w:val="auto"/>
              </w:rPr>
            </w:pPr>
          </w:p>
        </w:tc>
        <w:tc>
          <w:tcPr>
            <w:tcW w:w="8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Class</w:t>
            </w:r>
          </w:p>
        </w:tc>
        <w:tc>
          <w:tcPr>
            <w:tcW w:w="80" w:type="dxa"/>
            <w:vAlign w:val="bottom"/>
            <w:shd w:val="clear" w:color="auto" w:fill="3C5896"/>
          </w:tcPr>
          <w:p>
            <w:pPr>
              <w:spacing w:after="0"/>
              <w:rPr>
                <w:sz w:val="21"/>
                <w:szCs w:val="21"/>
                <w:color w:val="auto"/>
              </w:rPr>
            </w:pPr>
          </w:p>
        </w:tc>
        <w:tc>
          <w:tcPr>
            <w:tcW w:w="2020" w:type="dxa"/>
            <w:vAlign w:val="bottom"/>
            <w:tcBorders>
              <w:right w:val="single" w:sz="8" w:color="3C5896"/>
            </w:tcBorders>
            <w:shd w:val="clear" w:color="auto" w:fill="3C5896"/>
          </w:tcPr>
          <w:p>
            <w:pPr>
              <w:ind w:left="460"/>
              <w:spacing w:after="0"/>
              <w:rPr>
                <w:sz w:val="20"/>
                <w:szCs w:val="20"/>
                <w:color w:val="auto"/>
              </w:rPr>
            </w:pPr>
            <w:r>
              <w:rPr>
                <w:rFonts w:ascii="Arial" w:cs="Arial" w:eastAsia="Arial" w:hAnsi="Arial"/>
                <w:sz w:val="18"/>
                <w:szCs w:val="18"/>
                <w:b w:val="1"/>
                <w:bCs w:val="1"/>
                <w:color w:val="FFFFFF"/>
              </w:rPr>
              <w:t>Membership</w:t>
            </w:r>
          </w:p>
        </w:tc>
        <w:tc>
          <w:tcPr>
            <w:tcW w:w="0" w:type="dxa"/>
            <w:vAlign w:val="bottom"/>
          </w:tcPr>
          <w:p>
            <w:pPr>
              <w:spacing w:after="0"/>
              <w:rPr>
                <w:sz w:val="1"/>
                <w:szCs w:val="1"/>
                <w:color w:val="auto"/>
              </w:rPr>
            </w:pPr>
          </w:p>
        </w:tc>
      </w:tr>
      <w:tr>
        <w:trPr>
          <w:trHeight w:val="191"/>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L. Reade Fahs*</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60</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16"/>
                <w:szCs w:val="16"/>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Chief Executive Officer, National</w:t>
            </w:r>
          </w:p>
        </w:tc>
        <w:tc>
          <w:tcPr>
            <w:tcW w:w="80" w:type="dxa"/>
            <w:vAlign w:val="bottom"/>
          </w:tcPr>
          <w:p>
            <w:pPr>
              <w:spacing w:after="0"/>
              <w:rPr>
                <w:sz w:val="16"/>
                <w:szCs w:val="16"/>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8"/>
              </w:rPr>
              <w:t>I</w:t>
            </w:r>
          </w:p>
        </w:tc>
        <w:tc>
          <w:tcPr>
            <w:tcW w:w="80" w:type="dxa"/>
            <w:vAlign w:val="bottom"/>
          </w:tcPr>
          <w:p>
            <w:pPr>
              <w:spacing w:after="0"/>
              <w:rPr>
                <w:sz w:val="16"/>
                <w:szCs w:val="16"/>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820" w:type="dxa"/>
            <w:vAlign w:val="bottom"/>
            <w:tcBorders>
              <w:left w:val="single" w:sz="8" w:color="3C5896"/>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9EACCA"/>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Vision</w:t>
            </w:r>
          </w:p>
        </w:tc>
        <w:tc>
          <w:tcPr>
            <w:tcW w:w="80" w:type="dxa"/>
            <w:vAlign w:val="bottom"/>
          </w:tcPr>
          <w:p>
            <w:pPr>
              <w:spacing w:after="0"/>
              <w:rPr>
                <w:sz w:val="17"/>
                <w:szCs w:val="17"/>
                <w:color w:val="auto"/>
              </w:rPr>
            </w:pPr>
          </w:p>
        </w:tc>
        <w:tc>
          <w:tcPr>
            <w:tcW w:w="84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D. Randolph Peeler**</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56</w:t>
            </w:r>
          </w:p>
        </w:tc>
        <w:tc>
          <w:tcPr>
            <w:tcW w:w="9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2014</w:t>
            </w:r>
          </w:p>
        </w:tc>
        <w:tc>
          <w:tcPr>
            <w:tcW w:w="80" w:type="dxa"/>
            <w:vAlign w:val="bottom"/>
            <w:shd w:val="clear" w:color="auto" w:fill="CCCCCC"/>
          </w:tcPr>
          <w:p>
            <w:pPr>
              <w:spacing w:after="0"/>
              <w:rPr>
                <w:sz w:val="17"/>
                <w:szCs w:val="17"/>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Managing Director, Berkshire</w:t>
            </w:r>
          </w:p>
        </w:tc>
        <w:tc>
          <w:tcPr>
            <w:tcW w:w="80" w:type="dxa"/>
            <w:vAlign w:val="bottom"/>
            <w:shd w:val="clear" w:color="auto" w:fill="CCCCCC"/>
          </w:tcPr>
          <w:p>
            <w:pPr>
              <w:spacing w:after="0"/>
              <w:rPr>
                <w:sz w:val="17"/>
                <w:szCs w:val="17"/>
                <w:color w:val="auto"/>
              </w:rPr>
            </w:pPr>
          </w:p>
        </w:tc>
        <w:tc>
          <w:tcPr>
            <w:tcW w:w="8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w w:val="89"/>
              </w:rPr>
              <w:t>II</w:t>
            </w:r>
          </w:p>
        </w:tc>
        <w:tc>
          <w:tcPr>
            <w:tcW w:w="80" w:type="dxa"/>
            <w:vAlign w:val="bottom"/>
            <w:shd w:val="clear" w:color="auto" w:fill="CCCCCC"/>
          </w:tcPr>
          <w:p>
            <w:pPr>
              <w:spacing w:after="0"/>
              <w:rPr>
                <w:sz w:val="17"/>
                <w:szCs w:val="17"/>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Nominating &amp; Corporate</w:t>
            </w:r>
          </w:p>
        </w:tc>
        <w:tc>
          <w:tcPr>
            <w:tcW w:w="0" w:type="dxa"/>
            <w:vAlign w:val="bottom"/>
          </w:tcPr>
          <w:p>
            <w:pPr>
              <w:spacing w:after="0"/>
              <w:rPr>
                <w:sz w:val="1"/>
                <w:szCs w:val="1"/>
                <w:color w:val="auto"/>
              </w:rPr>
            </w:pPr>
          </w:p>
        </w:tc>
      </w:tr>
      <w:tr>
        <w:trPr>
          <w:trHeight w:val="195"/>
        </w:trPr>
        <w:tc>
          <w:tcPr>
            <w:tcW w:w="1820" w:type="dxa"/>
            <w:vAlign w:val="bottom"/>
            <w:tcBorders>
              <w:left w:val="single" w:sz="8" w:color="3C5896"/>
              <w:right w:val="single" w:sz="8" w:color="9EACCA"/>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640" w:type="dxa"/>
            <w:vAlign w:val="bottom"/>
            <w:tcBorders>
              <w:right w:val="single" w:sz="8" w:color="9EACCA"/>
            </w:tcBorders>
            <w:shd w:val="clear" w:color="auto" w:fill="CCCCCC"/>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840" w:type="dxa"/>
            <w:vAlign w:val="bottom"/>
            <w:tcBorders>
              <w:right w:val="single" w:sz="8" w:color="9EACCA"/>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Partners LLC</w:t>
            </w:r>
          </w:p>
        </w:tc>
        <w:tc>
          <w:tcPr>
            <w:tcW w:w="80" w:type="dxa"/>
            <w:vAlign w:val="bottom"/>
            <w:shd w:val="clear" w:color="auto" w:fill="CCCCCC"/>
          </w:tcPr>
          <w:p>
            <w:pPr>
              <w:spacing w:after="0"/>
              <w:rPr>
                <w:sz w:val="16"/>
                <w:szCs w:val="16"/>
                <w:color w:val="auto"/>
              </w:rPr>
            </w:pPr>
          </w:p>
        </w:tc>
        <w:tc>
          <w:tcPr>
            <w:tcW w:w="840" w:type="dxa"/>
            <w:vAlign w:val="bottom"/>
            <w:tcBorders>
              <w:right w:val="single" w:sz="8" w:color="9EACCA"/>
            </w:tcBorders>
            <w:shd w:val="clear" w:color="auto" w:fill="CCCCCC"/>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Governance Committee</w:t>
            </w:r>
          </w:p>
        </w:tc>
        <w:tc>
          <w:tcPr>
            <w:tcW w:w="0" w:type="dxa"/>
            <w:vAlign w:val="bottom"/>
          </w:tcPr>
          <w:p>
            <w:pPr>
              <w:spacing w:after="0"/>
              <w:rPr>
                <w:sz w:val="1"/>
                <w:szCs w:val="1"/>
                <w:color w:val="auto"/>
              </w:rPr>
            </w:pPr>
          </w:p>
        </w:tc>
      </w:tr>
      <w:tr>
        <w:trPr>
          <w:trHeight w:val="256"/>
        </w:trPr>
        <w:tc>
          <w:tcPr>
            <w:tcW w:w="1820" w:type="dxa"/>
            <w:vAlign w:val="bottom"/>
            <w:tcBorders>
              <w:left w:val="single" w:sz="8" w:color="3C5896"/>
              <w:bottom w:val="single" w:sz="8" w:color="CCCCCC"/>
              <w:right w:val="single" w:sz="8" w:color="9EACCA"/>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640" w:type="dxa"/>
            <w:vAlign w:val="bottom"/>
            <w:tcBorders>
              <w:bottom w:val="single" w:sz="8" w:color="CCCCCC"/>
              <w:right w:val="single" w:sz="8" w:color="9EACCA"/>
            </w:tcBorders>
            <w:shd w:val="clear" w:color="auto" w:fill="CCCCCC"/>
          </w:tcPr>
          <w:p>
            <w:pPr>
              <w:spacing w:after="0"/>
              <w:rPr>
                <w:sz w:val="22"/>
                <w:szCs w:val="22"/>
                <w:color w:val="auto"/>
              </w:rPr>
            </w:pPr>
          </w:p>
        </w:tc>
        <w:tc>
          <w:tcPr>
            <w:tcW w:w="60" w:type="dxa"/>
            <w:vAlign w:val="bottom"/>
            <w:tcBorders>
              <w:bottom w:val="single" w:sz="8" w:color="CCCCCC"/>
            </w:tcBorders>
            <w:shd w:val="clear" w:color="auto" w:fill="CCCCCC"/>
          </w:tcPr>
          <w:p>
            <w:pPr>
              <w:spacing w:after="0"/>
              <w:rPr>
                <w:sz w:val="22"/>
                <w:szCs w:val="22"/>
                <w:color w:val="auto"/>
              </w:rPr>
            </w:pPr>
          </w:p>
        </w:tc>
        <w:tc>
          <w:tcPr>
            <w:tcW w:w="840" w:type="dxa"/>
            <w:vAlign w:val="bottom"/>
            <w:tcBorders>
              <w:bottom w:val="single" w:sz="8" w:color="CCCCCC"/>
              <w:right w:val="single" w:sz="8" w:color="9EACCA"/>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2660" w:type="dxa"/>
            <w:vAlign w:val="bottom"/>
            <w:tcBorders>
              <w:bottom w:val="single" w:sz="8" w:color="CCCCCC"/>
              <w:right w:val="single" w:sz="8" w:color="9EACCA"/>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840" w:type="dxa"/>
            <w:vAlign w:val="bottom"/>
            <w:tcBorders>
              <w:bottom w:val="single" w:sz="8" w:color="CCCCCC"/>
              <w:right w:val="single" w:sz="8" w:color="9EACCA"/>
            </w:tcBorders>
            <w:shd w:val="clear" w:color="auto" w:fill="CCCCCC"/>
          </w:tcPr>
          <w:p>
            <w:pPr>
              <w:spacing w:after="0"/>
              <w:rPr>
                <w:sz w:val="22"/>
                <w:szCs w:val="22"/>
                <w:color w:val="auto"/>
              </w:rPr>
            </w:pPr>
          </w:p>
        </w:tc>
        <w:tc>
          <w:tcPr>
            <w:tcW w:w="80" w:type="dxa"/>
            <w:vAlign w:val="bottom"/>
            <w:tcBorders>
              <w:bottom w:val="single" w:sz="8" w:color="CCCCCC"/>
            </w:tcBorders>
            <w:shd w:val="clear" w:color="auto" w:fill="CCCCCC"/>
          </w:tcPr>
          <w:p>
            <w:pPr>
              <w:spacing w:after="0"/>
              <w:rPr>
                <w:sz w:val="22"/>
                <w:szCs w:val="22"/>
                <w:color w:val="auto"/>
              </w:rPr>
            </w:pPr>
          </w:p>
        </w:tc>
        <w:tc>
          <w:tcPr>
            <w:tcW w:w="2020" w:type="dxa"/>
            <w:vAlign w:val="bottom"/>
            <w:tcBorders>
              <w:bottom w:val="single" w:sz="8" w:color="CCCCCC"/>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191"/>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Jose Armario</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62</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6"/>
                <w:szCs w:val="16"/>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CEO, Bojangles’, Inc.</w:t>
            </w:r>
          </w:p>
        </w:tc>
        <w:tc>
          <w:tcPr>
            <w:tcW w:w="80" w:type="dxa"/>
            <w:vAlign w:val="bottom"/>
          </w:tcPr>
          <w:p>
            <w:pPr>
              <w:spacing w:after="0"/>
              <w:rPr>
                <w:sz w:val="16"/>
                <w:szCs w:val="16"/>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9"/>
              </w:rPr>
              <w:t>II</w:t>
            </w:r>
          </w:p>
        </w:tc>
        <w:tc>
          <w:tcPr>
            <w:tcW w:w="80" w:type="dxa"/>
            <w:vAlign w:val="bottom"/>
          </w:tcPr>
          <w:p>
            <w:pPr>
              <w:spacing w:after="0"/>
              <w:rPr>
                <w:sz w:val="16"/>
                <w:szCs w:val="16"/>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Nominating &amp; Corporate</w:t>
            </w:r>
          </w:p>
        </w:tc>
        <w:tc>
          <w:tcPr>
            <w:tcW w:w="0" w:type="dxa"/>
            <w:vAlign w:val="bottom"/>
          </w:tcPr>
          <w:p>
            <w:pPr>
              <w:spacing w:after="0"/>
              <w:rPr>
                <w:sz w:val="1"/>
                <w:szCs w:val="1"/>
                <w:color w:val="auto"/>
              </w:rPr>
            </w:pPr>
          </w:p>
        </w:tc>
      </w:tr>
      <w:tr>
        <w:trPr>
          <w:trHeight w:val="204"/>
        </w:trPr>
        <w:tc>
          <w:tcPr>
            <w:tcW w:w="1820" w:type="dxa"/>
            <w:vAlign w:val="bottom"/>
            <w:tcBorders>
              <w:left w:val="single" w:sz="8" w:color="3C5896"/>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9EACCA"/>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right w:val="single" w:sz="8" w:color="9EACCA"/>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Governance Committee</w:t>
            </w:r>
          </w:p>
        </w:tc>
        <w:tc>
          <w:tcPr>
            <w:tcW w:w="0" w:type="dxa"/>
            <w:vAlign w:val="bottom"/>
          </w:tcPr>
          <w:p>
            <w:pPr>
              <w:spacing w:after="0"/>
              <w:rPr>
                <w:sz w:val="1"/>
                <w:szCs w:val="1"/>
                <w:color w:val="auto"/>
              </w:rPr>
            </w:pPr>
          </w:p>
        </w:tc>
      </w:tr>
      <w:tr>
        <w:trPr>
          <w:trHeight w:val="201"/>
        </w:trPr>
        <w:tc>
          <w:tcPr>
            <w:tcW w:w="18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Heather Cianfrocco</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47</w:t>
            </w:r>
          </w:p>
        </w:tc>
        <w:tc>
          <w:tcPr>
            <w:tcW w:w="9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2019</w:t>
            </w:r>
          </w:p>
        </w:tc>
        <w:tc>
          <w:tcPr>
            <w:tcW w:w="80" w:type="dxa"/>
            <w:vAlign w:val="bottom"/>
            <w:shd w:val="clear" w:color="auto" w:fill="CCCCCC"/>
          </w:tcPr>
          <w:p>
            <w:pPr>
              <w:spacing w:after="0"/>
              <w:rPr>
                <w:sz w:val="17"/>
                <w:szCs w:val="17"/>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CEO, UnitedHealthcare Community</w:t>
            </w:r>
          </w:p>
        </w:tc>
        <w:tc>
          <w:tcPr>
            <w:tcW w:w="80" w:type="dxa"/>
            <w:vAlign w:val="bottom"/>
            <w:shd w:val="clear" w:color="auto" w:fill="CCCCCC"/>
          </w:tcPr>
          <w:p>
            <w:pPr>
              <w:spacing w:after="0"/>
              <w:rPr>
                <w:sz w:val="17"/>
                <w:szCs w:val="17"/>
                <w:color w:val="auto"/>
              </w:rPr>
            </w:pPr>
          </w:p>
        </w:tc>
        <w:tc>
          <w:tcPr>
            <w:tcW w:w="8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w w:val="89"/>
              </w:rPr>
              <w:t>II</w:t>
            </w:r>
          </w:p>
        </w:tc>
        <w:tc>
          <w:tcPr>
            <w:tcW w:w="80" w:type="dxa"/>
            <w:vAlign w:val="bottom"/>
            <w:shd w:val="clear" w:color="auto" w:fill="CCCCCC"/>
          </w:tcPr>
          <w:p>
            <w:pPr>
              <w:spacing w:after="0"/>
              <w:rPr>
                <w:sz w:val="17"/>
                <w:szCs w:val="17"/>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214"/>
        </w:trPr>
        <w:tc>
          <w:tcPr>
            <w:tcW w:w="1820" w:type="dxa"/>
            <w:vAlign w:val="bottom"/>
            <w:tcBorders>
              <w:left w:val="single" w:sz="8" w:color="3C5896"/>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40" w:type="dxa"/>
            <w:vAlign w:val="bottom"/>
            <w:tcBorders>
              <w:right w:val="single" w:sz="8" w:color="9EACCA"/>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&amp; State</w:t>
            </w:r>
          </w:p>
        </w:tc>
        <w:tc>
          <w:tcPr>
            <w:tcW w:w="80" w:type="dxa"/>
            <w:vAlign w:val="bottom"/>
            <w:shd w:val="clear" w:color="auto" w:fill="CCCCCC"/>
          </w:tcPr>
          <w:p>
            <w:pPr>
              <w:spacing w:after="0"/>
              <w:rPr>
                <w:sz w:val="18"/>
                <w:szCs w:val="18"/>
                <w:color w:val="auto"/>
              </w:rPr>
            </w:pPr>
          </w:p>
        </w:tc>
        <w:tc>
          <w:tcPr>
            <w:tcW w:w="8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2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Virginia Hepner</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63</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6"/>
                <w:szCs w:val="16"/>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Retired CEO, The Woodruff Arts</w:t>
            </w:r>
          </w:p>
        </w:tc>
        <w:tc>
          <w:tcPr>
            <w:tcW w:w="80" w:type="dxa"/>
            <w:vAlign w:val="bottom"/>
          </w:tcPr>
          <w:p>
            <w:pPr>
              <w:spacing w:after="0"/>
              <w:rPr>
                <w:sz w:val="16"/>
                <w:szCs w:val="16"/>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9"/>
              </w:rPr>
              <w:t>III</w:t>
            </w:r>
          </w:p>
        </w:tc>
        <w:tc>
          <w:tcPr>
            <w:tcW w:w="80" w:type="dxa"/>
            <w:vAlign w:val="bottom"/>
          </w:tcPr>
          <w:p>
            <w:pPr>
              <w:spacing w:after="0"/>
              <w:rPr>
                <w:sz w:val="16"/>
                <w:szCs w:val="16"/>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Nominating &amp; Corporate</w:t>
            </w:r>
          </w:p>
        </w:tc>
        <w:tc>
          <w:tcPr>
            <w:tcW w:w="0" w:type="dxa"/>
            <w:vAlign w:val="bottom"/>
          </w:tcPr>
          <w:p>
            <w:pPr>
              <w:spacing w:after="0"/>
              <w:rPr>
                <w:sz w:val="1"/>
                <w:szCs w:val="1"/>
                <w:color w:val="auto"/>
              </w:rPr>
            </w:pPr>
          </w:p>
        </w:tc>
      </w:tr>
      <w:tr>
        <w:trPr>
          <w:trHeight w:val="195"/>
        </w:trPr>
        <w:tc>
          <w:tcPr>
            <w:tcW w:w="1820" w:type="dxa"/>
            <w:vAlign w:val="bottom"/>
            <w:tcBorders>
              <w:left w:val="single" w:sz="8" w:color="3C5896"/>
              <w:right w:val="single" w:sz="8" w:color="9EACCA"/>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9EACCA"/>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right w:val="single" w:sz="8" w:color="9EACCA"/>
            </w:tcBorders>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Center</w:t>
            </w:r>
          </w:p>
        </w:tc>
        <w:tc>
          <w:tcPr>
            <w:tcW w:w="80" w:type="dxa"/>
            <w:vAlign w:val="bottom"/>
          </w:tcPr>
          <w:p>
            <w:pPr>
              <w:spacing w:after="0"/>
              <w:rPr>
                <w:sz w:val="16"/>
                <w:szCs w:val="16"/>
                <w:color w:val="auto"/>
              </w:rPr>
            </w:pPr>
          </w:p>
        </w:tc>
        <w:tc>
          <w:tcPr>
            <w:tcW w:w="840" w:type="dxa"/>
            <w:vAlign w:val="bottom"/>
            <w:tcBorders>
              <w:right w:val="single" w:sz="8" w:color="9EACCA"/>
            </w:tcBorders>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Borders>
              <w:right w:val="single" w:sz="8" w:color="3C5896"/>
            </w:tcBorders>
            <w:vMerge w:val="restart"/>
          </w:tcPr>
          <w:p>
            <w:pPr>
              <w:spacing w:after="0"/>
              <w:rPr>
                <w:sz w:val="20"/>
                <w:szCs w:val="20"/>
                <w:color w:val="auto"/>
              </w:rPr>
            </w:pPr>
            <w:r>
              <w:rPr>
                <w:rFonts w:ascii="Arial" w:cs="Arial" w:eastAsia="Arial" w:hAnsi="Arial"/>
                <w:sz w:val="16"/>
                <w:szCs w:val="16"/>
                <w:color w:val="auto"/>
              </w:rPr>
              <w:t>Governance Committee</w:t>
            </w:r>
          </w:p>
        </w:tc>
        <w:tc>
          <w:tcPr>
            <w:tcW w:w="0" w:type="dxa"/>
            <w:vAlign w:val="bottom"/>
          </w:tcPr>
          <w:p>
            <w:pPr>
              <w:spacing w:after="0"/>
              <w:rPr>
                <w:sz w:val="1"/>
                <w:szCs w:val="1"/>
                <w:color w:val="auto"/>
              </w:rPr>
            </w:pPr>
          </w:p>
        </w:tc>
      </w:tr>
      <w:tr>
        <w:trPr>
          <w:trHeight w:val="54"/>
        </w:trPr>
        <w:tc>
          <w:tcPr>
            <w:tcW w:w="1820" w:type="dxa"/>
            <w:vAlign w:val="bottom"/>
            <w:tcBorders>
              <w:left w:val="single" w:sz="8" w:color="3C5896"/>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right w:val="single" w:sz="8" w:color="9EACCA"/>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266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tcBorders>
              <w:right w:val="single" w:sz="8" w:color="3C5896"/>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20" w:type="dxa"/>
            <w:vAlign w:val="bottom"/>
            <w:tcBorders>
              <w:left w:val="single" w:sz="8" w:color="3C5896"/>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30"/>
        </w:trPr>
        <w:tc>
          <w:tcPr>
            <w:tcW w:w="1820" w:type="dxa"/>
            <w:vAlign w:val="bottom"/>
            <w:tcBorders>
              <w:left w:val="single" w:sz="8" w:color="3C5896"/>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47"/>
        </w:trPr>
        <w:tc>
          <w:tcPr>
            <w:tcW w:w="1820" w:type="dxa"/>
            <w:vAlign w:val="bottom"/>
            <w:tcBorders>
              <w:left w:val="single" w:sz="8" w:color="3C5896"/>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right w:val="single" w:sz="8" w:color="9EACCA"/>
            </w:tcBorders>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266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tcBorders>
              <w:right w:val="single" w:sz="8" w:color="3C5896"/>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8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Susan S. Johnson</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55</w:t>
            </w:r>
          </w:p>
        </w:tc>
        <w:tc>
          <w:tcPr>
            <w:tcW w:w="9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CCCC"/>
          </w:tcPr>
          <w:p>
            <w:pPr>
              <w:spacing w:after="0"/>
              <w:rPr>
                <w:sz w:val="16"/>
                <w:szCs w:val="16"/>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Chief Marketing Officer, Prudential</w:t>
            </w:r>
          </w:p>
        </w:tc>
        <w:tc>
          <w:tcPr>
            <w:tcW w:w="80" w:type="dxa"/>
            <w:vAlign w:val="bottom"/>
            <w:shd w:val="clear" w:color="auto" w:fill="CCCCCC"/>
          </w:tcPr>
          <w:p>
            <w:pPr>
              <w:spacing w:after="0"/>
              <w:rPr>
                <w:sz w:val="16"/>
                <w:szCs w:val="16"/>
                <w:color w:val="auto"/>
              </w:rPr>
            </w:pPr>
          </w:p>
        </w:tc>
        <w:tc>
          <w:tcPr>
            <w:tcW w:w="8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w w:val="88"/>
              </w:rPr>
              <w:t>I</w:t>
            </w:r>
          </w:p>
        </w:tc>
        <w:tc>
          <w:tcPr>
            <w:tcW w:w="80" w:type="dxa"/>
            <w:vAlign w:val="bottom"/>
            <w:shd w:val="clear" w:color="auto" w:fill="CCCCCC"/>
          </w:tcPr>
          <w:p>
            <w:pPr>
              <w:spacing w:after="0"/>
              <w:rPr>
                <w:sz w:val="16"/>
                <w:szCs w:val="16"/>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214"/>
        </w:trPr>
        <w:tc>
          <w:tcPr>
            <w:tcW w:w="1820" w:type="dxa"/>
            <w:vAlign w:val="bottom"/>
            <w:tcBorders>
              <w:left w:val="single" w:sz="8" w:color="3C5896"/>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40" w:type="dxa"/>
            <w:vAlign w:val="bottom"/>
            <w:tcBorders>
              <w:right w:val="single" w:sz="8" w:color="9EACCA"/>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Financial, Inc.</w:t>
            </w:r>
          </w:p>
        </w:tc>
        <w:tc>
          <w:tcPr>
            <w:tcW w:w="80" w:type="dxa"/>
            <w:vAlign w:val="bottom"/>
            <w:shd w:val="clear" w:color="auto" w:fill="CCCCCC"/>
          </w:tcPr>
          <w:p>
            <w:pPr>
              <w:spacing w:after="0"/>
              <w:rPr>
                <w:sz w:val="18"/>
                <w:szCs w:val="18"/>
                <w:color w:val="auto"/>
              </w:rPr>
            </w:pPr>
          </w:p>
        </w:tc>
        <w:tc>
          <w:tcPr>
            <w:tcW w:w="8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02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Naomi Kelman</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62</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20"/>
                <w:szCs w:val="20"/>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Former President and CEO, Willow</w:t>
            </w:r>
          </w:p>
        </w:tc>
        <w:tc>
          <w:tcPr>
            <w:tcW w:w="80" w:type="dxa"/>
            <w:vAlign w:val="bottom"/>
          </w:tcPr>
          <w:p>
            <w:pPr>
              <w:spacing w:after="0"/>
              <w:rPr>
                <w:sz w:val="20"/>
                <w:szCs w:val="20"/>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8"/>
              </w:rPr>
              <w:t>I</w:t>
            </w:r>
          </w:p>
        </w:tc>
        <w:tc>
          <w:tcPr>
            <w:tcW w:w="80" w:type="dxa"/>
            <w:vAlign w:val="bottom"/>
          </w:tcPr>
          <w:p>
            <w:pPr>
              <w:spacing w:after="0"/>
              <w:rPr>
                <w:sz w:val="20"/>
                <w:szCs w:val="20"/>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220"/>
        </w:trPr>
        <w:tc>
          <w:tcPr>
            <w:tcW w:w="18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Thomas V. Taylor, Jr.</w:t>
            </w:r>
          </w:p>
        </w:tc>
        <w:tc>
          <w:tcPr>
            <w:tcW w:w="72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55</w:t>
            </w:r>
          </w:p>
        </w:tc>
        <w:tc>
          <w:tcPr>
            <w:tcW w:w="9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6"/>
                <w:szCs w:val="16"/>
                <w:color w:val="auto"/>
              </w:rPr>
              <w:t>2018</w:t>
            </w:r>
          </w:p>
        </w:tc>
        <w:tc>
          <w:tcPr>
            <w:tcW w:w="80" w:type="dxa"/>
            <w:vAlign w:val="bottom"/>
            <w:shd w:val="clear" w:color="auto" w:fill="CCCCCC"/>
          </w:tcPr>
          <w:p>
            <w:pPr>
              <w:spacing w:after="0"/>
              <w:rPr>
                <w:sz w:val="19"/>
                <w:szCs w:val="19"/>
                <w:color w:val="auto"/>
              </w:rPr>
            </w:pPr>
          </w:p>
        </w:tc>
        <w:tc>
          <w:tcPr>
            <w:tcW w:w="2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CEO, Floor &amp; Decor</w:t>
            </w:r>
          </w:p>
        </w:tc>
        <w:tc>
          <w:tcPr>
            <w:tcW w:w="80" w:type="dxa"/>
            <w:vAlign w:val="bottom"/>
            <w:shd w:val="clear" w:color="auto" w:fill="CCCCCC"/>
          </w:tcPr>
          <w:p>
            <w:pPr>
              <w:spacing w:after="0"/>
              <w:rPr>
                <w:sz w:val="19"/>
                <w:szCs w:val="19"/>
                <w:color w:val="auto"/>
              </w:rPr>
            </w:pPr>
          </w:p>
        </w:tc>
        <w:tc>
          <w:tcPr>
            <w:tcW w:w="8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6"/>
                <w:szCs w:val="16"/>
                <w:color w:val="auto"/>
                <w:w w:val="89"/>
              </w:rPr>
              <w:t>III</w:t>
            </w:r>
          </w:p>
        </w:tc>
        <w:tc>
          <w:tcPr>
            <w:tcW w:w="80" w:type="dxa"/>
            <w:vAlign w:val="bottom"/>
            <w:shd w:val="clear" w:color="auto" w:fill="CCCCCC"/>
          </w:tcPr>
          <w:p>
            <w:pPr>
              <w:spacing w:after="0"/>
              <w:rPr>
                <w:sz w:val="19"/>
                <w:szCs w:val="19"/>
                <w:color w:val="auto"/>
              </w:rPr>
            </w:pPr>
          </w:p>
        </w:tc>
        <w:tc>
          <w:tcPr>
            <w:tcW w:w="202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243"/>
        </w:trPr>
        <w:tc>
          <w:tcPr>
            <w:tcW w:w="1820" w:type="dxa"/>
            <w:vAlign w:val="bottom"/>
            <w:tcBorders>
              <w:left w:val="single" w:sz="8" w:color="3C5896"/>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640" w:type="dxa"/>
            <w:vAlign w:val="bottom"/>
            <w:tcBorders>
              <w:bottom w:val="single" w:sz="8" w:color="CCCCCC"/>
              <w:right w:val="single" w:sz="8" w:color="9EACCA"/>
            </w:tcBorders>
            <w:shd w:val="clear" w:color="auto" w:fill="CCCCCC"/>
          </w:tcPr>
          <w:p>
            <w:pPr>
              <w:spacing w:after="0"/>
              <w:rPr>
                <w:sz w:val="21"/>
                <w:szCs w:val="21"/>
                <w:color w:val="auto"/>
              </w:rPr>
            </w:pPr>
          </w:p>
        </w:tc>
        <w:tc>
          <w:tcPr>
            <w:tcW w:w="60" w:type="dxa"/>
            <w:vAlign w:val="bottom"/>
            <w:tcBorders>
              <w:bottom w:val="single" w:sz="8" w:color="CCCCCC"/>
            </w:tcBorders>
            <w:shd w:val="clear" w:color="auto" w:fill="CCCCCC"/>
          </w:tcPr>
          <w:p>
            <w:pPr>
              <w:spacing w:after="0"/>
              <w:rPr>
                <w:sz w:val="21"/>
                <w:szCs w:val="21"/>
                <w:color w:val="auto"/>
              </w:rPr>
            </w:pPr>
          </w:p>
        </w:tc>
        <w:tc>
          <w:tcPr>
            <w:tcW w:w="84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266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84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2020" w:type="dxa"/>
            <w:vAlign w:val="bottom"/>
            <w:tcBorders>
              <w:bottom w:val="single" w:sz="8" w:color="CCCCCC"/>
              <w:right w:val="single" w:sz="8" w:color="3C5896"/>
            </w:tcBorders>
            <w:shd w:val="clear" w:color="auto" w:fill="CCCCCC"/>
          </w:tcPr>
          <w:p>
            <w:pPr>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70"/>
        </w:trPr>
        <w:tc>
          <w:tcPr>
            <w:tcW w:w="18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David M. Tehle</w:t>
            </w:r>
          </w:p>
        </w:tc>
        <w:tc>
          <w:tcPr>
            <w:tcW w:w="72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64</w:t>
            </w:r>
          </w:p>
        </w:tc>
        <w:tc>
          <w:tcPr>
            <w:tcW w:w="900" w:type="dxa"/>
            <w:vAlign w:val="bottom"/>
            <w:tcBorders>
              <w:right w:val="single" w:sz="8" w:color="9EACCA"/>
            </w:tcBorders>
            <w:gridSpan w:val="2"/>
          </w:tcPr>
          <w:p>
            <w:pPr>
              <w:jc w:val="center"/>
              <w:spacing w:after="0"/>
              <w:rPr>
                <w:sz w:val="20"/>
                <w:szCs w:val="20"/>
                <w:color w:val="auto"/>
              </w:rPr>
            </w:pPr>
            <w:r>
              <w:rPr>
                <w:rFonts w:ascii="Arial" w:cs="Arial" w:eastAsia="Arial" w:hAnsi="Arial"/>
                <w:sz w:val="16"/>
                <w:szCs w:val="16"/>
                <w:color w:val="auto"/>
              </w:rPr>
              <w:t>2017</w:t>
            </w:r>
          </w:p>
        </w:tc>
        <w:tc>
          <w:tcPr>
            <w:tcW w:w="80" w:type="dxa"/>
            <w:vAlign w:val="bottom"/>
          </w:tcPr>
          <w:p>
            <w:pPr>
              <w:spacing w:after="0"/>
              <w:rPr>
                <w:sz w:val="23"/>
                <w:szCs w:val="23"/>
                <w:color w:val="auto"/>
              </w:rPr>
            </w:pPr>
          </w:p>
        </w:tc>
        <w:tc>
          <w:tcPr>
            <w:tcW w:w="26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Retired CFO, Dollar General</w:t>
            </w:r>
          </w:p>
        </w:tc>
        <w:tc>
          <w:tcPr>
            <w:tcW w:w="80" w:type="dxa"/>
            <w:vAlign w:val="bottom"/>
          </w:tcPr>
          <w:p>
            <w:pPr>
              <w:spacing w:after="0"/>
              <w:rPr>
                <w:sz w:val="23"/>
                <w:szCs w:val="23"/>
                <w:color w:val="auto"/>
              </w:rPr>
            </w:pPr>
          </w:p>
        </w:tc>
        <w:tc>
          <w:tcPr>
            <w:tcW w:w="840" w:type="dxa"/>
            <w:vAlign w:val="bottom"/>
            <w:tcBorders>
              <w:right w:val="single" w:sz="8" w:color="9EACCA"/>
            </w:tcBorders>
          </w:tcPr>
          <w:p>
            <w:pPr>
              <w:jc w:val="center"/>
              <w:spacing w:after="0"/>
              <w:rPr>
                <w:sz w:val="20"/>
                <w:szCs w:val="20"/>
                <w:color w:val="auto"/>
              </w:rPr>
            </w:pPr>
            <w:r>
              <w:rPr>
                <w:rFonts w:ascii="Arial" w:cs="Arial" w:eastAsia="Arial" w:hAnsi="Arial"/>
                <w:sz w:val="16"/>
                <w:szCs w:val="16"/>
                <w:color w:val="auto"/>
                <w:w w:val="89"/>
              </w:rPr>
              <w:t>III</w:t>
            </w:r>
          </w:p>
        </w:tc>
        <w:tc>
          <w:tcPr>
            <w:tcW w:w="80" w:type="dxa"/>
            <w:vAlign w:val="bottom"/>
          </w:tcPr>
          <w:p>
            <w:pPr>
              <w:spacing w:after="0"/>
              <w:rPr>
                <w:sz w:val="23"/>
                <w:szCs w:val="23"/>
                <w:color w:val="auto"/>
              </w:rPr>
            </w:pPr>
          </w:p>
        </w:tc>
        <w:tc>
          <w:tcPr>
            <w:tcW w:w="2020" w:type="dxa"/>
            <w:vAlign w:val="bottom"/>
            <w:tcBorders>
              <w:right w:val="single" w:sz="8" w:color="3C5896"/>
            </w:tcBorders>
          </w:tcPr>
          <w:p>
            <w:pPr>
              <w:spacing w:after="0"/>
              <w:rPr>
                <w:sz w:val="20"/>
                <w:szCs w:val="20"/>
                <w:color w:val="auto"/>
              </w:rPr>
            </w:pPr>
            <w:r>
              <w:rPr>
                <w:rFonts w:ascii="Arial" w:cs="Arial" w:eastAsia="Arial" w:hAnsi="Arial"/>
                <w:sz w:val="16"/>
                <w:szCs w:val="16"/>
                <w:color w:val="auto"/>
              </w:rPr>
              <w:t>Audit Committee (Chair)</w:t>
            </w:r>
          </w:p>
        </w:tc>
        <w:tc>
          <w:tcPr>
            <w:tcW w:w="0" w:type="dxa"/>
            <w:vAlign w:val="bottom"/>
          </w:tcPr>
          <w:p>
            <w:pPr>
              <w:spacing w:after="0"/>
              <w:rPr>
                <w:sz w:val="1"/>
                <w:szCs w:val="1"/>
                <w:color w:val="auto"/>
              </w:rPr>
            </w:pPr>
          </w:p>
        </w:tc>
      </w:tr>
      <w:tr>
        <w:trPr>
          <w:trHeight w:val="20"/>
        </w:trPr>
        <w:tc>
          <w:tcPr>
            <w:tcW w:w="182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640" w:type="dxa"/>
            <w:vAlign w:val="bottom"/>
            <w:tcBorders>
              <w:right w:val="single" w:sz="8" w:color="3C5896"/>
            </w:tcBorders>
            <w:shd w:val="clear" w:color="auto" w:fill="3C5896"/>
          </w:tcPr>
          <w:p>
            <w:pPr>
              <w:spacing w:after="0" w:line="20" w:lineRule="exact"/>
              <w:rPr>
                <w:sz w:val="1"/>
                <w:szCs w:val="1"/>
                <w:color w:val="auto"/>
              </w:rPr>
            </w:pPr>
          </w:p>
        </w:tc>
        <w:tc>
          <w:tcPr>
            <w:tcW w:w="60" w:type="dxa"/>
            <w:vAlign w:val="bottom"/>
            <w:shd w:val="clear" w:color="auto" w:fill="3C5896"/>
          </w:tcPr>
          <w:p>
            <w:pPr>
              <w:spacing w:after="0" w:line="20" w:lineRule="exact"/>
              <w:rPr>
                <w:sz w:val="1"/>
                <w:szCs w:val="1"/>
                <w:color w:val="auto"/>
              </w:rPr>
            </w:pPr>
          </w:p>
        </w:tc>
        <w:tc>
          <w:tcPr>
            <w:tcW w:w="84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266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84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202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60"/>
        <w:spacing w:after="0"/>
        <w:tabs>
          <w:tab w:leader="none" w:pos="920" w:val="left"/>
        </w:tabs>
        <w:rPr>
          <w:sz w:val="20"/>
          <w:szCs w:val="20"/>
          <w:color w:val="auto"/>
        </w:rPr>
      </w:pPr>
      <w:r>
        <w:rPr>
          <w:rFonts w:ascii="Arial" w:cs="Arial" w:eastAsia="Arial" w:hAnsi="Arial"/>
          <w:sz w:val="14"/>
          <w:szCs w:val="14"/>
          <w:color w:val="auto"/>
        </w:rPr>
        <w:t>*</w:t>
        <w:tab/>
        <w:t>All directors are independent, except for Mr. Fahs</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Mr. Peeler serves as the independent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1746250</wp:posOffset>
            </wp:positionV>
            <wp:extent cx="30035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tcPr>
          <w:p>
            <w:pPr>
              <w:ind w:left="7400"/>
              <w:spacing w:after="0"/>
              <w:rPr>
                <w:sz w:val="20"/>
                <w:szCs w:val="20"/>
                <w:color w:val="auto"/>
              </w:rPr>
            </w:pPr>
            <w:r>
              <w:rPr>
                <w:rFonts w:ascii="Arial" w:cs="Arial" w:eastAsia="Arial" w:hAnsi="Arial"/>
                <w:sz w:val="16"/>
                <w:szCs w:val="16"/>
                <w:color w:val="auto"/>
              </w:rPr>
              <w:t>2021 Proxy Statement</w:t>
            </w: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7</w:t>
            </w:r>
          </w:p>
        </w:tc>
      </w:tr>
      <w:tr>
        <w:trPr>
          <w:trHeight w:val="431"/>
        </w:trPr>
        <w:tc>
          <w:tcPr>
            <w:tcW w:w="9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157480</wp:posOffset>
            </wp:positionV>
            <wp:extent cx="5829300" cy="42602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PHILANTHROPY &amp; CORPORATE RESPONSIBILITY;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jc w:val="both"/>
        <w:ind w:left="760"/>
        <w:spacing w:after="0" w:line="234" w:lineRule="auto"/>
        <w:rPr>
          <w:sz w:val="20"/>
          <w:szCs w:val="20"/>
          <w:color w:val="auto"/>
        </w:rPr>
      </w:pPr>
      <w:r>
        <w:rPr>
          <w:rFonts w:ascii="Arial" w:cs="Arial" w:eastAsia="Arial" w:hAnsi="Arial"/>
          <w:sz w:val="18"/>
          <w:szCs w:val="18"/>
          <w:color w:val="auto"/>
        </w:rPr>
        <w:t>In August 2020, we published our first-ever philanthropic Impact Report detailing how the Company is transforming the lives of people in the United States and around the world. Our Impact Report focused on the Company’s impact through 2019 in the core areas of (1) helping children in need in the United States, (2) global giving and</w:t>
      </w:r>
    </w:p>
    <w:p>
      <w:pPr>
        <w:spacing w:after="0" w:line="2" w:lineRule="exact"/>
        <w:rPr>
          <w:sz w:val="20"/>
          <w:szCs w:val="20"/>
          <w:color w:val="auto"/>
        </w:rPr>
      </w:pPr>
    </w:p>
    <w:p>
      <w:pPr>
        <w:ind w:left="760" w:firstLine="2"/>
        <w:spacing w:after="0" w:line="246" w:lineRule="auto"/>
        <w:tabs>
          <w:tab w:leader="none" w:pos="10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partnering to make an impact, and also highlighted the Company’s commitment to providing help during the pandemic.</w:t>
      </w:r>
    </w:p>
    <w:p>
      <w:pPr>
        <w:spacing w:after="0" w:line="89"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In addition to our ongoing philanthropic efforts, we are focused on a commitment to balancing the social, economic, human capital management and environmental aspects of our business and to developing additional disclosure to highlight our aspirations and achievements in these areas. In 2020, we began our formal Corporate Responsibility journey and completed a materiality assessment on the core pillars at the heart of our operations and goals.</w:t>
      </w:r>
    </w:p>
    <w:p>
      <w:pPr>
        <w:spacing w:after="0" w:line="97"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With an inclusive and people-first culture, we are focused on celebrating and respecting our associates’ diverse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w:t>
      </w:r>
    </w:p>
    <w:p>
      <w:pPr>
        <w:spacing w:after="0" w:line="97" w:lineRule="exact"/>
        <w:rPr>
          <w:sz w:val="20"/>
          <w:szCs w:val="20"/>
          <w:color w:val="auto"/>
        </w:rPr>
      </w:pPr>
    </w:p>
    <w:p>
      <w:pPr>
        <w:jc w:val="both"/>
        <w:ind w:left="7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See Philanthropy and Corporate Responsibility and Human Capital Management on pages </w:t>
      </w:r>
      <w:hyperlink w:anchor="page23">
        <w:r>
          <w:rPr>
            <w:rFonts w:ascii="Arial" w:cs="Arial" w:eastAsia="Arial" w:hAnsi="Arial"/>
            <w:sz w:val="18"/>
            <w:szCs w:val="18"/>
            <w:u w:val="single" w:color="auto"/>
            <w:color w:val="0000EE"/>
          </w:rPr>
          <w:t>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4">
        <w:r>
          <w:rPr>
            <w:rFonts w:ascii="Arial" w:cs="Arial" w:eastAsia="Arial" w:hAnsi="Arial"/>
            <w:sz w:val="18"/>
            <w:szCs w:val="18"/>
            <w:u w:val="single" w:color="auto"/>
            <w:color w:val="0000EE"/>
          </w:rPr>
          <w:t>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details.</w:t>
      </w:r>
    </w:p>
    <w:p>
      <w:pPr>
        <w:spacing w:after="0" w:line="234" w:lineRule="exact"/>
        <w:rPr>
          <w:sz w:val="20"/>
          <w:szCs w:val="20"/>
          <w:color w:val="auto"/>
        </w:rPr>
      </w:pPr>
    </w:p>
    <w:p>
      <w:pPr>
        <w:ind w:left="760" w:right="540"/>
        <w:spacing w:after="0" w:line="261" w:lineRule="auto"/>
        <w:rPr>
          <w:sz w:val="20"/>
          <w:szCs w:val="20"/>
          <w:color w:val="auto"/>
        </w:rPr>
      </w:pPr>
      <w:r>
        <w:rPr>
          <w:rFonts w:ascii="Arial" w:cs="Arial" w:eastAsia="Arial" w:hAnsi="Arial"/>
          <w:sz w:val="22"/>
          <w:szCs w:val="22"/>
          <w:b w:val="1"/>
          <w:bCs w:val="1"/>
          <w:color w:val="3C5896"/>
        </w:rPr>
        <w:t>PROPOSAL TO AMEND OUR CERTIFICATE OF INCORPORATION TO ELIMINATE THE CLASSIFIED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63"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Our Second Amended and Restated Certificate of Incorporation (the “certificate of incorporation”) currently provides for a classified Board of Directors divided into three classes, with approximately one-third of our directors standing for</w:t>
      </w:r>
    </w:p>
    <w:p>
      <w:pPr>
        <w:spacing w:after="0" w:line="31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8  </w:t>
      </w:r>
      <w:r>
        <w:rPr>
          <w:sz w:val="1"/>
          <w:szCs w:val="1"/>
          <w:color w:val="auto"/>
        </w:rPr>
        <w:drawing>
          <wp:inline distT="0" distB="0" distL="0" distR="0">
            <wp:extent cx="299720" cy="2317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9720" cy="231775"/>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FFFFFF"/>
        </w:rPr>
        <w:t>PROXY STATEMENT SUMMARY</w:t>
      </w:r>
    </w:p>
    <w:p>
      <w:pPr>
        <w:spacing w:after="0" w:line="247" w:lineRule="exact"/>
        <w:rPr>
          <w:sz w:val="20"/>
          <w:szCs w:val="20"/>
          <w:color w:val="auto"/>
        </w:rPr>
      </w:pPr>
    </w:p>
    <w:p>
      <w:pPr>
        <w:jc w:val="both"/>
        <w:ind w:left="760" w:right="76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election each year. At last year’s annual meeting, the Board announced its commitment to submit for stockholder vote at the 2021 annual meeting a management proposal to amend our certificate of incorporation to eliminate the classified structure of the Board. After careful consideration, the Board has approved amendments to the certificate of incorporation to phase out the three-year staggered terms of our directors and transition to the annual election of all of our directors, subject to approval by stockholders. If the proposed amendments to the certificate of incorporation are approved by the stockholders, beginning at the Company’s 2022 annual meeting, directors standing for election will be elected to one-year terms. By the 2024 annual meeting, the Board will be completely declassified and all directors will stand for election annually. See Proposal 2 beginning on page </w:t>
      </w:r>
      <w:hyperlink w:anchor="page27">
        <w:r>
          <w:rPr>
            <w:rFonts w:ascii="Arial" w:cs="Arial" w:eastAsia="Arial" w:hAnsi="Arial"/>
            <w:sz w:val="18"/>
            <w:szCs w:val="18"/>
            <w:u w:val="single" w:color="auto"/>
            <w:color w:val="0000EE"/>
          </w:rPr>
          <w:t>24</w:t>
        </w:r>
      </w:hyperlink>
      <w:r>
        <w:rPr>
          <w:rFonts w:ascii="Arial" w:cs="Arial" w:eastAsia="Arial" w:hAnsi="Arial"/>
          <w:sz w:val="18"/>
          <w:szCs w:val="18"/>
          <w:color w:val="auto"/>
        </w:rPr>
        <w:t>.</w:t>
      </w:r>
    </w:p>
    <w:p>
      <w:pPr>
        <w:spacing w:after="0" w:line="284" w:lineRule="exact"/>
        <w:rPr>
          <w:sz w:val="20"/>
          <w:szCs w:val="20"/>
          <w:color w:val="auto"/>
        </w:rPr>
      </w:pPr>
    </w:p>
    <w:p>
      <w:pPr>
        <w:ind w:left="760" w:right="1840"/>
        <w:spacing w:after="0" w:line="285" w:lineRule="auto"/>
        <w:rPr>
          <w:sz w:val="20"/>
          <w:szCs w:val="20"/>
          <w:color w:val="auto"/>
        </w:rPr>
      </w:pPr>
      <w:r>
        <w:rPr>
          <w:rFonts w:ascii="Arial" w:cs="Arial" w:eastAsia="Arial" w:hAnsi="Arial"/>
          <w:sz w:val="21"/>
          <w:szCs w:val="21"/>
          <w:b w:val="1"/>
          <w:bCs w:val="1"/>
          <w:color w:val="3C5896"/>
        </w:rPr>
        <w:t>PROPOSAL TO AMEND OUR CERTIFCATE OF INCORPORATION TO ELIMINATE SUPERMAJORITY VOTING STANDARDS AND OTHER OBSOLETE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wp:posOffset>
            </wp:positionV>
            <wp:extent cx="58375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40" w:lineRule="exact"/>
        <w:rPr>
          <w:sz w:val="20"/>
          <w:szCs w:val="20"/>
          <w:color w:val="auto"/>
        </w:rPr>
      </w:pPr>
    </w:p>
    <w:p>
      <w:pPr>
        <w:jc w:val="both"/>
        <w:ind w:left="760" w:right="760"/>
        <w:spacing w:after="0" w:line="250" w:lineRule="auto"/>
        <w:rPr>
          <w:sz w:val="20"/>
          <w:szCs w:val="20"/>
          <w:color w:val="auto"/>
        </w:rPr>
      </w:pPr>
      <w:r>
        <w:rPr>
          <w:rFonts w:ascii="Arial" w:cs="Arial" w:eastAsia="Arial" w:hAnsi="Arial"/>
          <w:sz w:val="18"/>
          <w:szCs w:val="18"/>
          <w:color w:val="auto"/>
        </w:rPr>
        <w:t>Our certificate of incorporation currently provides for supermajority voting standards for (1) any amendment to our certificate of incorporation related to: amendments to the certificate of incorporation or bylaws, the removal of directors, director liability, the ability for stockholders to act by written consent, completion and corporate opportunities and business combinations, (2) any amendment to our bylaws, (3) the removal of directors, and</w:t>
      </w:r>
    </w:p>
    <w:p>
      <w:pPr>
        <w:spacing w:after="0" w:line="2" w:lineRule="exact"/>
        <w:rPr>
          <w:sz w:val="20"/>
          <w:szCs w:val="20"/>
          <w:color w:val="auto"/>
        </w:rPr>
      </w:pPr>
    </w:p>
    <w:p>
      <w:pPr>
        <w:jc w:val="both"/>
        <w:ind w:left="760" w:right="760" w:firstLine="2"/>
        <w:spacing w:after="0" w:line="251" w:lineRule="auto"/>
        <w:tabs>
          <w:tab w:leader="none" w:pos="10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certain business combinations with interested stockholders. At last year’s annual meeting, the Board set forth its commitment to submit for stockholder vote at the 2021 annual meeting a management proposal to amend our certificate of incorporation to eliminate these supermajority voting standards. Our certificate of incorporation also includes certain obsolete provisions relating to the prior equity ownership of our former equity sponsors. After careful consideration, the Board has approved amendments to the certificate of incorporation to eliminate these supermajority voting standards and obsolete provisions, subject to approval by stockholders. If the proposed amendments to the certificate of incorporation are approved by the stockholders, these supermajority voting provisions and obsolete provisions would be eliminated immediately upon filing of an amendment to the certificate of incorporation (which the Company intends to do promptly following the Annual Meeting). See Proposal 3 beginning on page </w:t>
      </w:r>
      <w:hyperlink w:anchor="page29">
        <w:r>
          <w:rPr>
            <w:rFonts w:ascii="Arial" w:cs="Arial" w:eastAsia="Arial" w:hAnsi="Arial"/>
            <w:sz w:val="18"/>
            <w:szCs w:val="18"/>
            <w:u w:val="single" w:color="auto"/>
            <w:color w:val="0000EE"/>
          </w:rPr>
          <w:t>26</w:t>
        </w:r>
      </w:hyperlink>
      <w:r>
        <w:rPr>
          <w:rFonts w:ascii="Arial" w:cs="Arial" w:eastAsia="Arial" w:hAnsi="Arial"/>
          <w:sz w:val="18"/>
          <w:szCs w:val="18"/>
          <w:color w:val="auto"/>
        </w:rPr>
        <w: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We strive to create an executive compensation program that strikes the right balance of pay for performance with an overarching goal to motivate our leaders to contribute to the achievement of our financial goals and focus on long-term value for our stockholders without taking undue risk. Our executive compensation program has three main components: (1) base salary; (2) annual cash incentive compensation; and (3) long-term incentive awards. Each component is designed to be consistent with the Company’s compensation philosophy.</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and governance practices that support these principles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92075</wp:posOffset>
            </wp:positionV>
            <wp:extent cx="5837555" cy="2871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7555" cy="287147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What We Do:</w:t>
      </w:r>
    </w:p>
    <w:p>
      <w:pPr>
        <w:spacing w:after="0" w:line="85" w:lineRule="exact"/>
        <w:rPr>
          <w:sz w:val="20"/>
          <w:szCs w:val="20"/>
          <w:color w:val="auto"/>
        </w:rPr>
      </w:pPr>
    </w:p>
    <w:p>
      <w:pPr>
        <w:ind w:left="1180" w:hanging="184"/>
        <w:spacing w:after="0"/>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Pay for performance</w:t>
      </w:r>
    </w:p>
    <w:p>
      <w:pPr>
        <w:spacing w:after="0" w:line="76" w:lineRule="exact"/>
        <w:rPr>
          <w:rFonts w:ascii="MS PGothic" w:cs="MS PGothic" w:eastAsia="MS PGothic" w:hAnsi="MS PGothic"/>
          <w:sz w:val="18"/>
          <w:szCs w:val="18"/>
          <w:color w:val="3C5896"/>
        </w:rPr>
      </w:pPr>
    </w:p>
    <w:p>
      <w:pPr>
        <w:ind w:left="1180" w:right="600" w:hanging="184"/>
        <w:spacing w:after="0" w:line="261" w:lineRule="auto"/>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Maintain strong stock ownership guidelines for our named executive officers (“NEOs”)</w:t>
      </w:r>
    </w:p>
    <w:p>
      <w:pPr>
        <w:spacing w:after="0" w:line="76" w:lineRule="exact"/>
        <w:rPr>
          <w:rFonts w:ascii="MS PGothic" w:cs="MS PGothic" w:eastAsia="MS PGothic" w:hAnsi="MS PGothic"/>
          <w:sz w:val="18"/>
          <w:szCs w:val="18"/>
          <w:color w:val="3C5896"/>
        </w:rPr>
      </w:pPr>
    </w:p>
    <w:p>
      <w:pPr>
        <w:ind w:left="1180" w:right="420" w:hanging="184"/>
        <w:spacing w:after="0" w:line="278" w:lineRule="auto"/>
        <w:tabs>
          <w:tab w:leader="none" w:pos="1180" w:val="left"/>
        </w:tabs>
        <w:numPr>
          <w:ilvl w:val="0"/>
          <w:numId w:val="14"/>
        </w:numPr>
        <w:rPr>
          <w:rFonts w:ascii="MS PGothic" w:cs="MS PGothic" w:eastAsia="MS PGothic" w:hAnsi="MS PGothic"/>
          <w:sz w:val="17"/>
          <w:szCs w:val="17"/>
          <w:color w:val="3C5896"/>
        </w:rPr>
      </w:pPr>
      <w:r>
        <w:rPr>
          <w:rFonts w:ascii="Arial" w:cs="Arial" w:eastAsia="Arial" w:hAnsi="Arial"/>
          <w:sz w:val="17"/>
          <w:szCs w:val="17"/>
          <w:color w:val="auto"/>
        </w:rPr>
        <w:t>Require our NEOs to retain 50% of vested awards net of tax withholdings until they have met our ownership guidelines</w:t>
      </w:r>
    </w:p>
    <w:p>
      <w:pPr>
        <w:spacing w:after="0" w:line="46" w:lineRule="exact"/>
        <w:rPr>
          <w:rFonts w:ascii="MS PGothic" w:cs="MS PGothic" w:eastAsia="MS PGothic" w:hAnsi="MS PGothic"/>
          <w:sz w:val="17"/>
          <w:szCs w:val="17"/>
          <w:color w:val="3C5896"/>
        </w:rPr>
      </w:pPr>
    </w:p>
    <w:p>
      <w:pPr>
        <w:ind w:left="1180" w:hanging="184"/>
        <w:spacing w:after="0"/>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Provide market-level retirement benefits and limited perquisites</w:t>
      </w:r>
    </w:p>
    <w:p>
      <w:pPr>
        <w:spacing w:after="0" w:line="76" w:lineRule="exact"/>
        <w:rPr>
          <w:rFonts w:ascii="MS PGothic" w:cs="MS PGothic" w:eastAsia="MS PGothic" w:hAnsi="MS PGothic"/>
          <w:sz w:val="18"/>
          <w:szCs w:val="18"/>
          <w:color w:val="3C5896"/>
        </w:rPr>
      </w:pPr>
    </w:p>
    <w:p>
      <w:pPr>
        <w:ind w:left="1180" w:hanging="184"/>
        <w:spacing w:after="0" w:line="261" w:lineRule="auto"/>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Engage an independent compensation consultant to advise us on matters surrounding our compensation plans</w:t>
      </w:r>
    </w:p>
    <w:p>
      <w:pPr>
        <w:spacing w:after="0" w:line="76" w:lineRule="exact"/>
        <w:rPr>
          <w:rFonts w:ascii="MS PGothic" w:cs="MS PGothic" w:eastAsia="MS PGothic" w:hAnsi="MS PGothic"/>
          <w:sz w:val="18"/>
          <w:szCs w:val="18"/>
          <w:color w:val="3C5896"/>
        </w:rPr>
      </w:pPr>
    </w:p>
    <w:p>
      <w:pPr>
        <w:ind w:left="1180" w:right="200" w:hanging="184"/>
        <w:spacing w:after="0" w:line="261" w:lineRule="auto"/>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Review our compensation programs annually to prevent undue risk taking</w:t>
      </w:r>
    </w:p>
    <w:p>
      <w:pPr>
        <w:spacing w:after="0" w:line="49" w:lineRule="exact"/>
        <w:rPr>
          <w:rFonts w:ascii="MS PGothic" w:cs="MS PGothic" w:eastAsia="MS PGothic" w:hAnsi="MS PGothic"/>
          <w:sz w:val="18"/>
          <w:szCs w:val="18"/>
          <w:color w:val="3C5896"/>
        </w:rPr>
      </w:pPr>
    </w:p>
    <w:p>
      <w:pPr>
        <w:ind w:left="1180" w:hanging="184"/>
        <w:spacing w:after="0"/>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Hold an annual say-on-pay vote</w:t>
      </w:r>
    </w:p>
    <w:p>
      <w:pPr>
        <w:spacing w:after="0" w:line="76" w:lineRule="exact"/>
        <w:rPr>
          <w:rFonts w:ascii="MS PGothic" w:cs="MS PGothic" w:eastAsia="MS PGothic" w:hAnsi="MS PGothic"/>
          <w:sz w:val="18"/>
          <w:szCs w:val="18"/>
          <w:color w:val="3C5896"/>
        </w:rPr>
      </w:pPr>
    </w:p>
    <w:p>
      <w:pPr>
        <w:ind w:left="1180" w:right="320" w:hanging="184"/>
        <w:spacing w:after="0" w:line="261" w:lineRule="auto"/>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Establish target and maximum awards under our annual cash incentive program</w:t>
      </w:r>
    </w:p>
    <w:p>
      <w:pPr>
        <w:spacing w:after="0" w:line="62" w:lineRule="exact"/>
        <w:rPr>
          <w:rFonts w:ascii="MS PGothic" w:cs="MS PGothic" w:eastAsia="MS PGothic" w:hAnsi="MS PGothic"/>
          <w:sz w:val="18"/>
          <w:szCs w:val="18"/>
          <w:color w:val="3C5896"/>
        </w:rPr>
      </w:pPr>
    </w:p>
    <w:p>
      <w:pPr>
        <w:ind w:left="1180" w:hanging="184"/>
        <w:spacing w:after="0"/>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Maintain an established stockholder engagement program</w:t>
      </w:r>
    </w:p>
    <w:p>
      <w:pPr>
        <w:spacing w:after="0" w:line="63" w:lineRule="exact"/>
        <w:rPr>
          <w:rFonts w:ascii="MS PGothic" w:cs="MS PGothic" w:eastAsia="MS PGothic" w:hAnsi="MS PGothic"/>
          <w:sz w:val="18"/>
          <w:szCs w:val="18"/>
          <w:color w:val="3C5896"/>
        </w:rPr>
      </w:pPr>
    </w:p>
    <w:p>
      <w:pPr>
        <w:ind w:left="1180" w:right="200" w:hanging="184"/>
        <w:spacing w:after="0" w:line="261" w:lineRule="auto"/>
        <w:tabs>
          <w:tab w:leader="none" w:pos="1180" w:val="left"/>
        </w:tabs>
        <w:numPr>
          <w:ilvl w:val="0"/>
          <w:numId w:val="14"/>
        </w:numPr>
        <w:rPr>
          <w:rFonts w:ascii="MS PGothic" w:cs="MS PGothic" w:eastAsia="MS PGothic" w:hAnsi="MS PGothic"/>
          <w:sz w:val="18"/>
          <w:szCs w:val="18"/>
          <w:color w:val="3C5896"/>
        </w:rPr>
      </w:pPr>
      <w:r>
        <w:rPr>
          <w:rFonts w:ascii="Arial" w:cs="Arial" w:eastAsia="Arial" w:hAnsi="Arial"/>
          <w:sz w:val="18"/>
          <w:szCs w:val="18"/>
          <w:color w:val="auto"/>
        </w:rPr>
        <w:t>Require “Double-Trigger” vesting for Change in Control in post-IPO equity awards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99" w:lineRule="exact"/>
        <w:rPr>
          <w:sz w:val="20"/>
          <w:szCs w:val="20"/>
          <w:color w:val="auto"/>
        </w:rPr>
      </w:pPr>
    </w:p>
    <w:p>
      <w:pPr>
        <w:ind w:left="360" w:right="1220" w:hanging="185"/>
        <w:spacing w:after="0" w:line="261" w:lineRule="auto"/>
        <w:tabs>
          <w:tab w:leader="none" w:pos="3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No excise tax gross-ups upon a Change in Control</w:t>
      </w:r>
    </w:p>
    <w:p>
      <w:pPr>
        <w:spacing w:after="0" w:line="76" w:lineRule="exact"/>
        <w:rPr>
          <w:rFonts w:ascii="MS PGothic" w:cs="MS PGothic" w:eastAsia="MS PGothic" w:hAnsi="MS PGothic"/>
          <w:sz w:val="18"/>
          <w:szCs w:val="18"/>
          <w:color w:val="auto"/>
        </w:rPr>
      </w:pPr>
    </w:p>
    <w:p>
      <w:pPr>
        <w:ind w:left="360" w:right="900" w:hanging="185"/>
        <w:spacing w:after="0" w:line="261" w:lineRule="auto"/>
        <w:tabs>
          <w:tab w:leader="none" w:pos="3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No hedging of the Company’s stock by NEOs or directors</w:t>
      </w:r>
    </w:p>
    <w:p>
      <w:pPr>
        <w:spacing w:after="0" w:line="76" w:lineRule="exact"/>
        <w:rPr>
          <w:rFonts w:ascii="MS PGothic" w:cs="MS PGothic" w:eastAsia="MS PGothic" w:hAnsi="MS PGothic"/>
          <w:sz w:val="18"/>
          <w:szCs w:val="18"/>
          <w:color w:val="auto"/>
        </w:rPr>
      </w:pPr>
    </w:p>
    <w:p>
      <w:pPr>
        <w:ind w:left="360" w:right="1580" w:hanging="185"/>
        <w:spacing w:after="0" w:line="261" w:lineRule="auto"/>
        <w:tabs>
          <w:tab w:leader="none" w:pos="3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No supplemental executive retirement plans</w:t>
      </w:r>
    </w:p>
    <w:p>
      <w:pPr>
        <w:spacing w:after="0" w:line="62" w:lineRule="exact"/>
        <w:rPr>
          <w:rFonts w:ascii="MS PGothic" w:cs="MS PGothic" w:eastAsia="MS PGothic" w:hAnsi="MS PGothic"/>
          <w:sz w:val="18"/>
          <w:szCs w:val="18"/>
          <w:color w:val="auto"/>
        </w:rPr>
      </w:pPr>
    </w:p>
    <w:p>
      <w:pPr>
        <w:ind w:left="360" w:right="980" w:hanging="185"/>
        <w:spacing w:after="0" w:line="254" w:lineRule="auto"/>
        <w:tabs>
          <w:tab w:leader="none" w:pos="3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No re-pricing of underwater stock options and no grants below 100% of fair market value without stockholder approval</w:t>
      </w:r>
    </w:p>
    <w:p>
      <w:pPr>
        <w:spacing w:after="0" w:line="82" w:lineRule="exact"/>
        <w:rPr>
          <w:rFonts w:ascii="MS PGothic" w:cs="MS PGothic" w:eastAsia="MS PGothic" w:hAnsi="MS PGothic"/>
          <w:sz w:val="18"/>
          <w:szCs w:val="18"/>
          <w:color w:val="auto"/>
        </w:rPr>
      </w:pPr>
    </w:p>
    <w:p>
      <w:pPr>
        <w:ind w:left="360" w:right="1480" w:hanging="185"/>
        <w:spacing w:after="0" w:line="261" w:lineRule="auto"/>
        <w:tabs>
          <w:tab w:leader="none" w:pos="3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No significant perquisites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1052195</wp:posOffset>
            </wp:positionV>
            <wp:extent cx="300355"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1347" w:lineRule="exact"/>
        <w:rPr>
          <w:sz w:val="20"/>
          <w:szCs w:val="20"/>
          <w:color w:val="auto"/>
        </w:rPr>
      </w:pPr>
    </w:p>
    <w:p>
      <w:pPr>
        <w:sectPr>
          <w:pgSz w:w="11900" w:h="16838" w:orient="portrait"/>
          <w:cols w:equalWidth="0" w:num="2">
            <w:col w:w="6360" w:space="280"/>
            <w:col w:w="4080"/>
          </w:cols>
          <w:pgMar w:left="580" w:top="132" w:right="599" w:bottom="1440" w:gutter="0" w:footer="0" w:header="0"/>
          <w:type w:val="continuous"/>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tcPr>
          <w:p>
            <w:pPr>
              <w:ind w:left="7400"/>
              <w:spacing w:after="0"/>
              <w:rPr>
                <w:sz w:val="20"/>
                <w:szCs w:val="20"/>
                <w:color w:val="auto"/>
              </w:rPr>
            </w:pPr>
            <w:r>
              <w:rPr>
                <w:rFonts w:ascii="Arial" w:cs="Arial" w:eastAsia="Arial" w:hAnsi="Arial"/>
                <w:sz w:val="16"/>
                <w:szCs w:val="16"/>
                <w:color w:val="auto"/>
              </w:rPr>
              <w:t>2021 Proxy Statement</w:t>
            </w:r>
          </w:p>
        </w:tc>
        <w:tc>
          <w:tcPr>
            <w:tcW w:w="1300" w:type="dxa"/>
            <w:vAlign w:val="bottom"/>
          </w:tcPr>
          <w:p>
            <w:pPr>
              <w:jc w:val="right"/>
              <w:ind w:right="719"/>
              <w:spacing w:after="0"/>
              <w:rPr>
                <w:sz w:val="20"/>
                <w:szCs w:val="20"/>
                <w:color w:val="auto"/>
              </w:rPr>
            </w:pPr>
            <w:r>
              <w:rPr>
                <w:rFonts w:ascii="Arial" w:cs="Arial" w:eastAsia="Arial" w:hAnsi="Arial"/>
                <w:sz w:val="16"/>
                <w:szCs w:val="16"/>
                <w:b w:val="1"/>
                <w:bCs w:val="1"/>
                <w:color w:val="auto"/>
              </w:rPr>
              <w:t>9</w:t>
            </w:r>
          </w:p>
        </w:tc>
      </w:tr>
      <w:tr>
        <w:trPr>
          <w:trHeight w:val="431"/>
        </w:trPr>
        <w:tc>
          <w:tcPr>
            <w:tcW w:w="9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47" w:lineRule="exact"/>
        <w:rPr>
          <w:sz w:val="20"/>
          <w:szCs w:val="20"/>
          <w:color w:val="auto"/>
        </w:rPr>
      </w:pPr>
    </w:p>
    <w:p>
      <w:pPr>
        <w:jc w:val="both"/>
        <w:ind w:left="7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discussion on pages </w:t>
      </w:r>
      <w:hyperlink w:anchor="page33">
        <w:r>
          <w:rPr>
            <w:rFonts w:ascii="Arial" w:cs="Arial" w:eastAsia="Arial" w:hAnsi="Arial"/>
            <w:sz w:val="18"/>
            <w:szCs w:val="18"/>
            <w:u w:val="single" w:color="auto"/>
            <w:color w:val="0000EE"/>
          </w:rPr>
          <w:t>30</w:t>
        </w:r>
      </w:hyperlink>
      <w:r>
        <w:rPr>
          <w:rFonts w:ascii="Arial" w:cs="Arial" w:eastAsia="Arial" w:hAnsi="Arial"/>
          <w:sz w:val="18"/>
          <w:szCs w:val="18"/>
          <w:color w:val="auto"/>
        </w:rPr>
        <w:t>–</w:t>
      </w:r>
      <w:hyperlink w:anchor="page43">
        <w:r>
          <w:rPr>
            <w:rFonts w:ascii="Arial" w:cs="Arial" w:eastAsia="Arial" w:hAnsi="Arial"/>
            <w:sz w:val="18"/>
            <w:szCs w:val="18"/>
            <w:u w:val="single" w:color="auto"/>
            <w:color w:val="0000EE"/>
          </w:rPr>
          <w:t>40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more fully describes the design and evolution of our executive compensation program, including the Company’s performance for fiscal 2020 and its connection to executive officer compensation as well as certain changes to the Company’s metrics for fiscal 2021. See Proposal 4 beginning on page </w:t>
      </w:r>
      <w:hyperlink w:anchor="page32">
        <w:r>
          <w:rPr>
            <w:rFonts w:ascii="Arial" w:cs="Arial" w:eastAsia="Arial" w:hAnsi="Arial"/>
            <w:sz w:val="18"/>
            <w:szCs w:val="18"/>
            <w:u w:val="single" w:color="auto"/>
            <w:color w:val="0000EE"/>
          </w:rPr>
          <w:t>29</w:t>
        </w:r>
      </w:hyperlink>
      <w:r>
        <w:rPr>
          <w:rFonts w:ascii="Arial" w:cs="Arial" w:eastAsia="Arial" w:hAnsi="Arial"/>
          <w:sz w:val="18"/>
          <w:szCs w:val="18"/>
          <w:color w:val="auto"/>
        </w:rPr>
        <w:t>.</w:t>
      </w:r>
    </w:p>
    <w:p>
      <w:pPr>
        <w:spacing w:after="0" w:line="278" w:lineRule="exact"/>
        <w:rPr>
          <w:rFonts w:ascii="Arial" w:cs="Arial" w:eastAsia="Arial" w:hAnsi="Arial"/>
          <w:sz w:val="18"/>
          <w:szCs w:val="18"/>
          <w:color w:val="auto"/>
        </w:rPr>
      </w:pPr>
    </w:p>
    <w:p>
      <w:pPr>
        <w:ind w:left="760" w:right="1480"/>
        <w:spacing w:after="0" w:line="261" w:lineRule="auto"/>
        <w:rPr>
          <w:sz w:val="20"/>
          <w:szCs w:val="20"/>
          <w:color w:val="auto"/>
        </w:rPr>
      </w:pPr>
      <w:r>
        <w:rPr>
          <w:rFonts w:ascii="Arial" w:cs="Arial" w:eastAsia="Arial" w:hAnsi="Arial"/>
          <w:sz w:val="22"/>
          <w:szCs w:val="22"/>
          <w:b w:val="1"/>
          <w:bCs w:val="1"/>
          <w:color w:val="3C5896"/>
        </w:rPr>
        <w:t>RATIFICATION OF APPOINTMENT OF INDEPENDENT REGISTERED PUBLIC ACCOUNTING FIRM</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63" w:lineRule="exact"/>
        <w:rPr>
          <w:rFonts w:ascii="Arial" w:cs="Arial" w:eastAsia="Arial" w:hAnsi="Arial"/>
          <w:sz w:val="18"/>
          <w:szCs w:val="18"/>
          <w:color w:val="auto"/>
        </w:rPr>
      </w:pPr>
    </w:p>
    <w:p>
      <w:pPr>
        <w:jc w:val="both"/>
        <w:ind w:left="7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audit committee of the Board has selected Deloitte &amp; Touche LLP as our independent registered public accounting firm for fiscal 2021. Each year the audit committee evaluates the qualifications and performance of the Company’s independent registered public accountants and determines whether to re-engage the current independent registered public accountants. Based on this evaluation, the audit committee believes the continued retention of Deloitte &amp; Touche LLP is in the best interests of the Company and its stockholders. See Proposal 5 beginning on page </w:t>
      </w:r>
      <w:hyperlink w:anchor="page57">
        <w:r>
          <w:rPr>
            <w:rFonts w:ascii="Arial" w:cs="Arial" w:eastAsia="Arial" w:hAnsi="Arial"/>
            <w:sz w:val="18"/>
            <w:szCs w:val="18"/>
            <w:u w:val="single" w:color="auto"/>
            <w:color w:val="0000EE"/>
          </w:rPr>
          <w:t>54</w:t>
        </w:r>
      </w:hyperlink>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sz w:val="1"/>
          <w:szCs w:val="1"/>
          <w:color w:val="auto"/>
        </w:rPr>
        <w:drawing>
          <wp:inline distT="0" distB="0" distL="0" distR="0">
            <wp:extent cx="299720" cy="24003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32"/>
          <w:szCs w:val="32"/>
          <w:color w:val="auto"/>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106680</wp:posOffset>
            </wp:positionV>
            <wp:extent cx="5837555" cy="1320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7555" cy="1320165"/>
                    </a:xfrm>
                    <a:prstGeom prst="rect">
                      <a:avLst/>
                    </a:prstGeom>
                    <a:noFill/>
                  </pic:spPr>
                </pic:pic>
              </a:graphicData>
            </a:graphic>
          </wp:anchor>
        </w:drawing>
      </w:r>
    </w:p>
    <w:p>
      <w:pPr>
        <w:spacing w:after="0" w:line="206" w:lineRule="exact"/>
        <w:rPr>
          <w:sz w:val="20"/>
          <w:szCs w:val="20"/>
          <w:color w:val="auto"/>
        </w:rPr>
      </w:pPr>
    </w:p>
    <w:p>
      <w:pPr>
        <w:jc w:val="both"/>
        <w:ind w:left="880" w:right="900"/>
        <w:spacing w:after="0" w:line="27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elect each of the Class I director nominees named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to hold office until the 2024 annual meeting and until their respective successors are elected and qualified.</w:t>
      </w:r>
    </w:p>
    <w:p>
      <w:pPr>
        <w:spacing w:after="0" w:line="1" w:lineRule="exact"/>
        <w:rPr>
          <w:sz w:val="20"/>
          <w:szCs w:val="20"/>
          <w:color w:val="auto"/>
        </w:rPr>
      </w:pPr>
    </w:p>
    <w:p>
      <w:pPr>
        <w:ind w:left="880" w:right="900"/>
        <w:spacing w:after="0" w:line="276"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election of each Class I</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nominee. The nominating and corporate governance committee evaluated and recommended the director nominees in accordance with its charter and our Corporate Governance Guidelines.</w:t>
      </w:r>
    </w:p>
    <w:p>
      <w:pPr>
        <w:spacing w:after="0" w:line="15" w:lineRule="exact"/>
        <w:rPr>
          <w:sz w:val="20"/>
          <w:szCs w:val="20"/>
          <w:color w:val="auto"/>
        </w:rPr>
      </w:pPr>
    </w:p>
    <w:p>
      <w:pPr>
        <w:ind w:left="880" w:right="980"/>
        <w:spacing w:after="0" w:line="30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elected, a director must receive more FOR votes than the number of votes AGAINST that</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w:t>
      </w:r>
    </w:p>
    <w:p>
      <w:pPr>
        <w:spacing w:after="0" w:line="215"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Our Board of Directors oversees or directs our business and affairs, as provided by Delaware law, and conducts its business through meetings of the Board and three standing committees: the audit committee, the nominating and corporate governance committee and the compensation committee. The Board is currently comprised of nine directors, eight of whom are independent.</w:t>
      </w:r>
    </w:p>
    <w:p>
      <w:pPr>
        <w:spacing w:after="0" w:line="82"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Our certificate of incorporation currently provides for a classified Board, with three directors currently in Class I (Mr. Fahs, Ms. Johnson and Ms. Kelman), three directors currently in Class II (Messrs. Armario and Peeler and Ms. Cianfrocco), and three directors currently in Class III (Messrs. Tehle and Taylor and Ms. Hepner). One class of directors stands for election at each of our annual meetings of stockholders, with directors elected to serve for staggered three-year terms. Upon the recommendation of our nominating and corporate governance committee, our Board is submitting for stockholder vote at the Annual Meeting a management proposal to amend our certificate of incorporation to eliminate the classified structure of the Board. See Proposal 2 below for more details.</w:t>
      </w:r>
    </w:p>
    <w:p>
      <w:pPr>
        <w:spacing w:after="0" w:line="72"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The terms of our three current Class I directors expire on the date of the Annual Meeting, subject to the election and qualification of their successors. Upon the recommendation of the nominating and corporate governance committee, the Board has nominated L. Reade Fahs, Susan S. Johnson and Naomi Kelman for election as Class I directors for a three-year term expiring in 2024.</w:t>
      </w:r>
    </w:p>
    <w:p>
      <w:pPr>
        <w:spacing w:after="0" w:line="82"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Unless otherwise instructed, the persons named in the form of proxy card (the “proxyholders”) included with this proxy statement intend to vote the proxies held by them “FOR” the election of L. Reade Fahs, Susan S. Johnson and Naomi Kelman. We have no reason to believe that Mr. Fahs, Ms. Johnson and Ms. Kelman will be unable or unwilling to serve if elected. If Mr. Fahs, Ms. Johnson and Ms. Kelman cease to be candidates for election by the time of the Annual Meeting (a contingency which the Board does not expect to occur), such proxies may be voted by the proxyholders in accordance with the 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2704465</wp:posOffset>
            </wp:positionV>
            <wp:extent cx="30035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11</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91"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Set forth below is certain information regarding each director nominee. Beneficial ownership of equity securities of each director nominee is shown under “Ownership of Our Securities” later in this proxy statement.</w:t>
      </w:r>
    </w:p>
    <w:p>
      <w:pPr>
        <w:spacing w:after="0" w:line="234"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-139065</wp:posOffset>
            </wp:positionV>
            <wp:extent cx="5803265" cy="12433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03265" cy="1243330"/>
                    </a:xfrm>
                    <a:prstGeom prst="rect">
                      <a:avLst/>
                    </a:prstGeom>
                    <a:noFill/>
                  </pic:spPr>
                </pic:pic>
              </a:graphicData>
            </a:graphic>
          </wp:anchor>
        </w:drawing>
      </w:r>
    </w:p>
    <w:p>
      <w:pPr>
        <w:spacing w:after="0" w:line="57"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right="20"/>
        <w:spacing w:after="0" w:line="264" w:lineRule="auto"/>
        <w:rPr>
          <w:sz w:val="20"/>
          <w:szCs w:val="20"/>
          <w:color w:val="auto"/>
        </w:rPr>
      </w:pPr>
      <w:r>
        <w:rPr>
          <w:rFonts w:ascii="Arial" w:cs="Arial" w:eastAsia="Arial" w:hAnsi="Arial"/>
          <w:sz w:val="14"/>
          <w:szCs w:val="14"/>
          <w:color w:val="auto"/>
        </w:rPr>
        <w:t>Mr. Fahs has served as the Chief Executive Officer of National Vision, Inc. (“NVI”) since January 2003, having joined NVI in April 2002 as the President and Chief Operating Officer, and was appointed the Chief Executive Officer of National Vision Holdings, Inc. in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a long term Board member of RestoringVision. Mr. Fahs also serves on the boards of RestoringVision, Ditto Technologies, Inc., Affordable Care, Inc. and Atlanta’s Alliance Theatre. Mr. Fahs holds a B.A. degree in English Literature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-1905</wp:posOffset>
            </wp:positionV>
            <wp:extent cx="58375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22"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Susan Somersille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-139065</wp:posOffset>
            </wp:positionV>
            <wp:extent cx="5786120" cy="127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86120" cy="127762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October 2020</w:t>
      </w:r>
    </w:p>
    <w:p>
      <w:pPr>
        <w:spacing w:after="0" w:line="4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right="20"/>
        <w:spacing w:after="0" w:line="263" w:lineRule="auto"/>
        <w:rPr>
          <w:sz w:val="20"/>
          <w:szCs w:val="20"/>
          <w:color w:val="auto"/>
        </w:rPr>
      </w:pPr>
      <w:r>
        <w:rPr>
          <w:rFonts w:ascii="Arial" w:cs="Arial" w:eastAsia="Arial" w:hAnsi="Arial"/>
          <w:sz w:val="14"/>
          <w:szCs w:val="14"/>
          <w:color w:val="auto"/>
        </w:rPr>
        <w:t>Ms. Johnson is the Chief Marketing Officer for Prudential Financial, Inc. From 2014 to 2020, Ms. Johnson previously served as Executive Vice President and Chief Marketing Officer of Truist Financial, the bank holding company formed in 2019 following the merger of SunTrust Bank and BB&amp;T. Ms. Johnson began her career as an engineer at Apple before taking on a series of high-profile global marketing leadership roles at organizations including NCR Corporation and Nokia. She served as the Vice President of Global Marketing at NCR Corp. from 2012 to 2014 and the Global Head of Operator Marketing at Nokia from 2007 to 2012. Ms. Johnson is a member of the board of directors of Constellation Brands, a leading beverage alcohol company, serving on its compensation committee. She also serves as a board member of United Way U.S.A., Operation Hope and CHRIS 180. Ms. Johnson has a bachelor’s degree in engineering sciences from Harvard University and an M.B.A.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wp:posOffset>
            </wp:positionV>
            <wp:extent cx="58375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326"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Naomi Kelman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-139065</wp:posOffset>
            </wp:positionV>
            <wp:extent cx="5786120" cy="129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86120" cy="12941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September 2020</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60" w:lineRule="exact"/>
        <w:rPr>
          <w:sz w:val="20"/>
          <w:szCs w:val="20"/>
          <w:color w:val="auto"/>
        </w:rPr>
      </w:pPr>
    </w:p>
    <w:p>
      <w:pPr>
        <w:jc w:val="both"/>
        <w:ind w:left="2360" w:right="20"/>
        <w:spacing w:after="0" w:line="264" w:lineRule="auto"/>
        <w:rPr>
          <w:sz w:val="20"/>
          <w:szCs w:val="20"/>
          <w:color w:val="auto"/>
        </w:rPr>
      </w:pPr>
      <w:r>
        <w:rPr>
          <w:rFonts w:ascii="Arial" w:cs="Arial" w:eastAsia="Arial" w:hAnsi="Arial"/>
          <w:sz w:val="14"/>
          <w:szCs w:val="14"/>
          <w:color w:val="auto"/>
        </w:rPr>
        <w:t>Ms. Kelman is the former President and Chief Executive Officer of Willow, a revolutionary new women’s health company, having served in that role from 2014 to 2019. From 2011 to 2012, Ms. Kelman served as the Global Division Head of Novartis OTC. Prior to that, Ms. Kelman served in a number of executive roles during her time at Johnson &amp; Johnson from 2000 to 2011, including as President of Vistakon Americas (Acuvue contact lenses) from 2004 to 2009 and as President of LifeScan (OneTouch diabetes monitor) from 2009 to 2011. Before joining J&amp;J, Ms. Kelman worked at Clairol, where she worked on a broad range of CPG personal care categories and was based in Europe for five years. Ms. Kelman started her career in finance at American Express. Ms. Kelman is a member of the board of directors of Kids Care Dental &amp; Orthodontics, Mirvie and Brilliant. Ms. Kelman has a Bachelor of Arts degree and an M.B.A.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117475</wp:posOffset>
            </wp:positionV>
            <wp:extent cx="58375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sz w:val="1"/>
          <w:szCs w:val="1"/>
          <w:color w:val="auto"/>
        </w:rPr>
        <w:drawing>
          <wp:inline distT="0" distB="0" distL="0" distR="0">
            <wp:extent cx="299720" cy="2400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Continuing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85"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Set forth below is certain information regarding each director whose term continues beyond the Annual Meeting and who is not subject to election this year. Beneficial ownership of equity securities for these directors is also shown under “Ownership of Our Securities” later in this proxy statement.</w:t>
      </w:r>
    </w:p>
    <w:p>
      <w:pPr>
        <w:spacing w:after="0" w:line="278"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Thomas V.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95010" cy="1243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95010" cy="12433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September 2018</w:t>
      </w:r>
    </w:p>
    <w:p>
      <w:pPr>
        <w:spacing w:after="0" w:line="4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55</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right="780"/>
        <w:spacing w:after="0" w:line="264" w:lineRule="auto"/>
        <w:rPr>
          <w:sz w:val="20"/>
          <w:szCs w:val="20"/>
          <w:color w:val="auto"/>
        </w:rPr>
      </w:pPr>
      <w:r>
        <w:rPr>
          <w:rFonts w:ascii="Arial" w:cs="Arial" w:eastAsia="Arial" w:hAnsi="Arial"/>
          <w:sz w:val="14"/>
          <w:szCs w:val="14"/>
          <w:color w:val="auto"/>
        </w:rPr>
        <w:t>Mr. Taylor has served as Floor &amp; Decor’s Chief Executive Officer and as a director since December 2012, including during its 2017 IPO. Starting his retail career working at a Miami Home Depot store in 1983 at the age of 16, Mr. Taylor worked his way up through various operations roles to eventually serve as Executive Vice President of Operations responsible for all 2,200 Home Depot Stores; he also held the role of Executive Vice President of Merchandising and Marketing again for all stores. From 2006 to 2012, Mr. Taylor was Managing Director at Sun Capital Partners, during which time he served as a board member for more than 20 portfolio companies domestically and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8255</wp:posOffset>
            </wp:positionV>
            <wp:extent cx="58375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25"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Virginia A. Hepner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95010" cy="12426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95010" cy="1242695"/>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January 2018</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60" w:lineRule="exact"/>
        <w:rPr>
          <w:sz w:val="20"/>
          <w:szCs w:val="20"/>
          <w:color w:val="auto"/>
        </w:rPr>
      </w:pPr>
    </w:p>
    <w:p>
      <w:pPr>
        <w:jc w:val="both"/>
        <w:ind w:left="2360" w:right="780"/>
        <w:spacing w:after="0" w:line="263" w:lineRule="auto"/>
        <w:rPr>
          <w:sz w:val="20"/>
          <w:szCs w:val="20"/>
          <w:color w:val="auto"/>
        </w:rPr>
      </w:pPr>
      <w:r>
        <w:rPr>
          <w:rFonts w:ascii="Arial" w:cs="Arial" w:eastAsia="Arial" w:hAnsi="Arial"/>
          <w:sz w:val="14"/>
          <w:szCs w:val="14"/>
          <w:color w:val="auto"/>
        </w:rPr>
        <w:t>Ms. Hepner is the former President and Chief Executive Officer of The Woodruff Arts Center in 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Ms. Hepner has been a member of the board of directors of Cadence Bancorporation since January 2019, serving as chair of its audit committee, and had served as a director of State Bank Financial Corporation which merged with Cadence on January 1, 2019, serving on its audit committee and independent director committee, and as a director of its subsidiary bank, State Bank and Trust Company, from 2010 to 2019. Additionally, Ms. Hepner has been a member of the board of directors of Oxford Industries, Inc. since 2016, serving on its nominating, compensation and governance committee. Ms. Hepner holds a bachelor’s degree in finance from The Wharton School of The University of Pennsylvania and attended the J.L. Kellogg Graduate Business School of Management at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7620</wp:posOffset>
            </wp:positionV>
            <wp:extent cx="58375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24"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David M. Tehle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95010" cy="12433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95010" cy="12433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July 2017</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right="780"/>
        <w:spacing w:after="0" w:line="264" w:lineRule="auto"/>
        <w:rPr>
          <w:sz w:val="20"/>
          <w:szCs w:val="20"/>
          <w:color w:val="auto"/>
        </w:rPr>
      </w:pPr>
      <w:r>
        <w:rPr>
          <w:rFonts w:ascii="Arial" w:cs="Arial" w:eastAsia="Arial" w:hAnsi="Arial"/>
          <w:sz w:val="14"/>
          <w:szCs w:val="14"/>
          <w:color w:val="auto"/>
        </w:rPr>
        <w:t>Mr. Tehle retired from Dollar General Corporation in July 2015 as 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US Foods Holding Corp. in 2016, and serves on the audit and compensation committees. From 2016 until 2019, he was a member of the board of directors of Genesco, Inc. and he also served on the audit committee. Mr. Tehle holds a B.S. from the University of Wisconsin-Oshkosh and an M.B.A. from the University of Michigan’s Ross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-635</wp:posOffset>
            </wp:positionV>
            <wp:extent cx="58375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1678940</wp:posOffset>
            </wp:positionV>
            <wp:extent cx="300355"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13</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83"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-139065</wp:posOffset>
            </wp:positionV>
            <wp:extent cx="5803265" cy="1243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03265" cy="12433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March 2014</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56</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60" w:lineRule="exact"/>
        <w:rPr>
          <w:sz w:val="20"/>
          <w:szCs w:val="20"/>
          <w:color w:val="auto"/>
        </w:rPr>
      </w:pPr>
    </w:p>
    <w:p>
      <w:pPr>
        <w:jc w:val="both"/>
        <w:ind w:left="2360"/>
        <w:spacing w:after="0" w:line="264" w:lineRule="auto"/>
        <w:rPr>
          <w:sz w:val="20"/>
          <w:szCs w:val="20"/>
          <w:color w:val="auto"/>
        </w:rPr>
      </w:pPr>
      <w:r>
        <w:rPr>
          <w:rFonts w:ascii="Arial" w:cs="Arial" w:eastAsia="Arial" w:hAnsi="Arial"/>
          <w:sz w:val="14"/>
          <w:szCs w:val="14"/>
          <w:color w:val="auto"/>
        </w:rPr>
        <w:t>Mr. Peeler joined Berkshire Partners LLC (“Berkshire”) in 1996 and became a Managing 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 Inc., Husky International, Inc., Lightower Fiber Networks and Curriculum Associates, LLC. Mr. Peeler has an A.B. from Duke University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8255</wp:posOffset>
            </wp:positionV>
            <wp:extent cx="58375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25"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Heather Cianfrocco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-139065</wp:posOffset>
            </wp:positionV>
            <wp:extent cx="5786120" cy="129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86120" cy="1294130"/>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July 2019</w:t>
      </w:r>
    </w:p>
    <w:p>
      <w:pPr>
        <w:spacing w:after="0" w:line="55"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47</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spacing w:after="0" w:line="263" w:lineRule="auto"/>
        <w:rPr>
          <w:sz w:val="20"/>
          <w:szCs w:val="20"/>
          <w:color w:val="auto"/>
        </w:rPr>
      </w:pPr>
      <w:r>
        <w:rPr>
          <w:rFonts w:ascii="Arial" w:cs="Arial" w:eastAsia="Arial" w:hAnsi="Arial"/>
          <w:sz w:val="14"/>
          <w:szCs w:val="14"/>
          <w:color w:val="auto"/>
        </w:rPr>
        <w:t>Ms. Cianfrocco is the Chief Executive Officer, OptumRX at UnitedHealth Group and has served in that role since April 2021. Ms. Cianfrocco previously served as the Chief Executive Officer of OptumHealth Services from July 2020 until April 2021 and as the Chief Executive Officer of UnitedHealthcare Community &amp; State from February 2018 until July 2020. From July 2017 until February 2018, Ms. Cianfrocco served as Senior Vice President of Health Advancement and Clinical Transformation for UnitedHealthcare Medicare &amp; Retirement. From June 2016 until July 2017, she served as senior vice president of Clinical Strategy and Operations for UnitedHealthcare Community &amp; State. Prior to that, Ms. Cianfrocco was the Northeast Region President for UnitedHealthcare Community &amp; State from June 2012 until June 2016. Throughout her time with UnitedHealthcare, she has held other leadership positions within Community &amp; State in legal, compliance, operations, and contracting. Before joining UnitedHealthcare, Ms. Cianfrocco worked in private legal practices in Pittsburgh, Pennsylvania where she concentrated on corporate and securities law, representing health care entities in mergers and acquisitions. Ms. Cianfrocco has a Bachelor of Arts degree from Pennsylvania State University, a Juris Doctorate from Duquesne University School of Law, and a Masters in Health Care Delivery Science from Dartmouth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-1270</wp:posOffset>
            </wp:positionV>
            <wp:extent cx="58375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322"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3C5896"/>
        </w:rPr>
        <w:t>Jose Armario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-139065</wp:posOffset>
            </wp:positionV>
            <wp:extent cx="5786120" cy="127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86120" cy="1276985"/>
                    </a:xfrm>
                    <a:prstGeom prst="rect">
                      <a:avLst/>
                    </a:prstGeom>
                    <a:noFill/>
                  </pic:spPr>
                </pic:pic>
              </a:graphicData>
            </a:graphic>
          </wp:anchor>
        </w:drawing>
      </w:r>
    </w:p>
    <w:p>
      <w:pPr>
        <w:spacing w:after="0" w:line="11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February 2021</w:t>
      </w:r>
    </w:p>
    <w:p>
      <w:pPr>
        <w:spacing w:after="0" w:line="42"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96"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73" w:lineRule="exact"/>
        <w:rPr>
          <w:sz w:val="20"/>
          <w:szCs w:val="20"/>
          <w:color w:val="auto"/>
        </w:rPr>
      </w:pPr>
    </w:p>
    <w:p>
      <w:pPr>
        <w:jc w:val="both"/>
        <w:ind w:left="2360"/>
        <w:spacing w:after="0" w:line="263" w:lineRule="auto"/>
        <w:rPr>
          <w:sz w:val="20"/>
          <w:szCs w:val="20"/>
          <w:color w:val="auto"/>
        </w:rPr>
      </w:pPr>
      <w:r>
        <w:rPr>
          <w:rFonts w:ascii="Arial" w:cs="Arial" w:eastAsia="Arial" w:hAnsi="Arial"/>
          <w:sz w:val="14"/>
          <w:szCs w:val="14"/>
          <w:color w:val="auto"/>
        </w:rPr>
        <w:t>Mr. Armario is the Chief Executive Officer and President of Bojangles’, Inc., a restaurant operator and franchisor, and has served in this role since January 2019. From January 2016 until January 2019, Mr. Armario was the founder and Chief Executive Officer of Armario Enterprises, LLC and PowerC, LLC. He retired as Executive Vice President of Worldwide Supply Chain, Development, and Franchising of McDonald’s Corporation in October 2015, after having held that position since August 2011. Mr. Armario has over 38 years of experience turning around key markets and geographies. Currently, Mr. Armario serves as a director at Bojangles’, Inc. and as a director for Golden State Foods and The Greg Olsen Foundation. He is also a member of the President’s Council of the University of Miami. He earned his Associate of Arts degree in Business Administration from Miami-Dade Community College. He holds a Master of Science degree in Management from the University of Miami and a CEO Perspective Course completion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120015</wp:posOffset>
            </wp:positionV>
            <wp:extent cx="58375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sz w:val="1"/>
          <w:szCs w:val="1"/>
          <w:color w:val="auto"/>
        </w:rPr>
        <w:drawing>
          <wp:inline distT="0" distB="0" distL="0" distR="0">
            <wp:extent cx="299720" cy="24003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The primary responsibility of our Board is to oversee the affairs of the Company for the benefit of our stockholders and other stakeholders. As part of its responsibility, the Board oversees critical matters such as strategy, management succession planning, financial and other internal controls, corporate governance, risk management and compliance. To assist it in fulfilling its duties, our Board has delegated certain authority to its standing committees—the audit committee, the nominating and corporate governance committee and the compensation committee. The duties and responsibilities of these standing committees are described below under “Board Committees and Meetings.”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We believe the Company benefits from having a strong and independent Board. Under our Corporate Governance Guidelines and the Nasdaq Listing Rules, a director is not independent unless the Board affirmatively determines that he or she does not have a relationship with management that, in the opinion of the Board, would interfere with the exercise of independent judgment in carrying out the responsibilities of a director.</w:t>
      </w:r>
    </w:p>
    <w:p>
      <w:pPr>
        <w:spacing w:after="0" w:line="96" w:lineRule="exact"/>
        <w:rPr>
          <w:sz w:val="20"/>
          <w:szCs w:val="20"/>
          <w:color w:val="auto"/>
        </w:rPr>
      </w:pPr>
    </w:p>
    <w:p>
      <w:pPr>
        <w:jc w:val="both"/>
        <w:ind w:left="760" w:right="780"/>
        <w:spacing w:after="0" w:line="256" w:lineRule="auto"/>
        <w:rPr>
          <w:sz w:val="20"/>
          <w:szCs w:val="20"/>
          <w:color w:val="auto"/>
        </w:rPr>
      </w:pPr>
      <w:r>
        <w:rPr>
          <w:rFonts w:ascii="Arial" w:cs="Arial" w:eastAsia="Arial" w:hAnsi="Arial"/>
          <w:sz w:val="18"/>
          <w:szCs w:val="18"/>
          <w:color w:val="auto"/>
        </w:rPr>
        <w:t>Our Corporate Governance Guidelines define independence in accordance with the independence standards in the current Nasdaq Listing Rules. Our Corporate Governance Guidelines require the Board to review the independence of all directors at least annually.</w:t>
      </w:r>
    </w:p>
    <w:p>
      <w:pPr>
        <w:spacing w:after="0" w:line="94"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Our Board has affirmatively determined that all of the directors and nominees for director, except Mr. Fahs, are independent under the guidelines for director independence set forth in the Corporate Governance Guidelines and under all applicable Nasdaq guidelines. Mr. Fahs is not considered an independent director because of his employment as Chief Executive Officer of the Company. All members of the audit committee, compensation committee and nominating and corporate governance committee are independent.</w:t>
      </w:r>
    </w:p>
    <w:p>
      <w:pPr>
        <w:spacing w:after="0" w:line="97"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In making its independence determinations, the Board considered and reviewed all information known to it, including information identified through annual directors’ questionnaires.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At the Annual Meeting, we are submitting a management proposal for approval to eliminate the classified structure of the Board and allow for the annual election of our directors. If approved, we would amend our certificate of incorporation to eliminate the three classes of directors and provide for the annual election of directors beginning at the 2022 annual meeting of stockholders. By the 2024 annual meeting of stockholders, the Board would be completely declassified and all directors would stand for election annually. See “Proposal 2—Amendment to the Certificate of Incorporation to Eliminate the Classified Structure of the Board of Directors” below for more details on the elimination the classified Board structure.</w:t>
      </w:r>
    </w:p>
    <w:p>
      <w:pPr>
        <w:spacing w:after="0" w:line="99" w:lineRule="exact"/>
        <w:rPr>
          <w:sz w:val="20"/>
          <w:szCs w:val="20"/>
          <w:color w:val="auto"/>
        </w:rPr>
      </w:pPr>
    </w:p>
    <w:p>
      <w:pPr>
        <w:jc w:val="both"/>
        <w:ind w:left="760" w:right="760"/>
        <w:spacing w:after="0" w:line="269" w:lineRule="auto"/>
        <w:rPr>
          <w:sz w:val="20"/>
          <w:szCs w:val="20"/>
          <w:color w:val="auto"/>
        </w:rPr>
      </w:pPr>
      <w:r>
        <w:rPr>
          <w:rFonts w:ascii="Arial" w:cs="Arial" w:eastAsia="Arial" w:hAnsi="Arial"/>
          <w:sz w:val="17"/>
          <w:szCs w:val="17"/>
          <w:color w:val="auto"/>
        </w:rPr>
        <w:t>Prior to the effectiveness of the proposal described above, at each annual meeting, the successors to directors whose terms then expire will be elected to serve from the time of election and qualification until the third annual meeting following their election. Our certificate of incorporation provides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integrity, accountability, skills, experience, independence, other outside commitments and ability to work collegially with the other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250825</wp:posOffset>
            </wp:positionV>
            <wp:extent cx="300355"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15</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Diversity, Qualifications, Skills and Experiences of our Directors</w:t>
      </w:r>
    </w:p>
    <w:p>
      <w:pPr>
        <w:spacing w:after="0" w:line="139" w:lineRule="exact"/>
        <w:rPr>
          <w:sz w:val="20"/>
          <w:szCs w:val="20"/>
          <w:color w:val="auto"/>
        </w:rPr>
      </w:pPr>
    </w:p>
    <w:p>
      <w:pPr>
        <w:jc w:val="both"/>
        <w:ind w:left="760"/>
        <w:spacing w:after="0" w:line="278" w:lineRule="auto"/>
        <w:rPr>
          <w:sz w:val="20"/>
          <w:szCs w:val="20"/>
          <w:color w:val="auto"/>
        </w:rPr>
      </w:pPr>
      <w:r>
        <w:rPr>
          <w:rFonts w:ascii="Arial" w:cs="Arial" w:eastAsia="Arial" w:hAnsi="Arial"/>
          <w:sz w:val="17"/>
          <w:szCs w:val="17"/>
          <w:color w:val="auto"/>
        </w:rPr>
        <w:t>In addition, although the Board considers and fully appreciates the value of a diversity of viewpoints, background and experiences (including age, race and ethnicity) as important to the selection of directors to enhance the Board’s cognitive diversity and quality of dialogue in the Boardroom, the Board does not have a formal diversity policy.</w:t>
      </w:r>
    </w:p>
    <w:p>
      <w:pPr>
        <w:spacing w:after="0" w:line="77"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The nominating and corporate governance committee believes that the current members of the Board provide a demonstrated executive leadership ability and are representative of diverse backgrounds.</w:t>
      </w:r>
    </w:p>
    <w:p>
      <w:pPr>
        <w:spacing w:after="0" w:line="9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When considering whether directors and nominees have the experience, qualifications, attributes or skills, taken as a whole, to enable our Board of Directors to satisfy its oversight responsibilities effectively in light of our business and structure and address areas where additional expertise or skills may be needed,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 as key qualifications, attributes or skills to provide Board oversight of the Company’s business operations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88265</wp:posOffset>
            </wp:positionV>
            <wp:extent cx="5829300" cy="42602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29300"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nominating and corporate governance committee may identify candidates for election to the Board of Directors on its own, or by considering recommendations from stockholders, officers and employees of the Company and other sources that the nominating and corporate governance committee deems appropriate. The nominating and corporate governance committee may also retain a third-party search firm to assist in the identification of possible candidates for election to the Board of Directors. The nominating and corporate governance committee will consider director candidates recommended by stockholders on the same basis as recommendations from other sources. Any recommendation submitted to the Secretary of the Company should be in writing and should include any supporting material the</w:t>
      </w:r>
    </w:p>
    <w:p>
      <w:pPr>
        <w:spacing w:after="0" w:line="32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sz w:val="1"/>
          <w:szCs w:val="1"/>
          <w:color w:val="auto"/>
        </w:rPr>
        <w:drawing>
          <wp:inline distT="0" distB="0" distL="0" distR="0">
            <wp:extent cx="299720" cy="24003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4" w:lineRule="exact"/>
        <w:rPr>
          <w:sz w:val="20"/>
          <w:szCs w:val="20"/>
          <w:color w:val="auto"/>
        </w:rPr>
      </w:pPr>
    </w:p>
    <w:p>
      <w:pPr>
        <w:jc w:val="both"/>
        <w:ind w:left="760" w:right="760"/>
        <w:spacing w:after="0" w:line="222" w:lineRule="auto"/>
        <w:rPr>
          <w:sz w:val="20"/>
          <w:szCs w:val="20"/>
          <w:color w:val="auto"/>
        </w:rPr>
      </w:pPr>
      <w:r>
        <w:rPr>
          <w:rFonts w:ascii="Arial" w:cs="Arial" w:eastAsia="Arial" w:hAnsi="Arial"/>
          <w:sz w:val="18"/>
          <w:szCs w:val="18"/>
          <w:color w:val="auto"/>
        </w:rPr>
        <w:t>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also must satisfy the notification, timeliness, consent and information requirements set forth in our bylaws. Stockholders wishing to propose a candidate for consideration may do so by submitting the required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nominating and corporate governance committee for its consideration. These requirements are also described under “Stockholder Proposals for the 2022 Annual Meeting.”</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Leadership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77" w:lineRule="exact"/>
        <w:rPr>
          <w:sz w:val="20"/>
          <w:szCs w:val="20"/>
          <w:color w:val="auto"/>
        </w:rPr>
      </w:pPr>
    </w:p>
    <w:p>
      <w:pPr>
        <w:jc w:val="both"/>
        <w:ind w:left="760" w:right="760"/>
        <w:spacing w:after="0" w:line="221" w:lineRule="auto"/>
        <w:rPr>
          <w:sz w:val="20"/>
          <w:szCs w:val="20"/>
          <w:color w:val="auto"/>
        </w:rPr>
      </w:pPr>
      <w:r>
        <w:rPr>
          <w:rFonts w:ascii="Arial" w:cs="Arial" w:eastAsia="Arial" w:hAnsi="Arial"/>
          <w:sz w:val="18"/>
          <w:szCs w:val="18"/>
          <w:color w:val="auto"/>
        </w:rPr>
        <w:t>As described in our Corporate Governance Guidelines, our Board directs and oversees the management of the business and the affairs of the Company using its business judgment to act in the best interests of the Company and its stockholders. As part of this oversight role, the Board selects and oversees the members of senior management who are charged by the Board with conducting the business of the Company. While our 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our Board currently believes that having these positions separated, with Mr. Peeler serving as Chairman of the Board and Mr. Fahs serving as our Chief Executive Officer and also as a director, is the appropriate leadership structure at this time and demonstrates our commitment to good corporate governance. However, our Board of Directors will continue to periodically review our leadership structure and may make such changes in the future as it deems appropriate. Under our Corporate Governance Guidelines, should the Board determine that such positions should not be separated and the Chairperson of the Board is also the Chief Executive Officer or a director who does not qualify as an independent director, the independent directors may annually elect from among themselves a lead independent director.</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77" w:lineRule="exact"/>
        <w:rPr>
          <w:sz w:val="20"/>
          <w:szCs w:val="20"/>
          <w:color w:val="auto"/>
        </w:rPr>
      </w:pPr>
    </w:p>
    <w:p>
      <w:pPr>
        <w:jc w:val="both"/>
        <w:ind w:left="760" w:right="760"/>
        <w:spacing w:after="0" w:line="222" w:lineRule="auto"/>
        <w:rPr>
          <w:sz w:val="20"/>
          <w:szCs w:val="20"/>
          <w:color w:val="auto"/>
        </w:rPr>
      </w:pPr>
      <w:r>
        <w:rPr>
          <w:rFonts w:ascii="Arial" w:cs="Arial" w:eastAsia="Arial" w:hAnsi="Arial"/>
          <w:sz w:val="18"/>
          <w:szCs w:val="18"/>
          <w:color w:val="auto"/>
        </w:rPr>
        <w:t>Management is responsible for the day-to-day management of risk, while the Board, as a whole and through its committees has extensive involvement in the oversight of the Company’s risk management. The Board engages in risk oversight throughout the year as a matter of course in fulfilling its role overseeing management and business operations, including receiving reports from management on the strategic plans and related risks facing the Company which range from financial risks to regulatory, legal, supply chain, COVID-19 pandemic-related, sustainability, competitive and information technology risks. The Board has delegated to its committees certain elements of its risk oversight function to better coordinate with management and serve the long-term interests of our stockholders. We believe that the leadership structure of our Board of Directors, along with the allocation of risk management responsibilities described below by appropriate committee oversight, provides appropriate risk oversight of our activities.</w:t>
      </w:r>
    </w:p>
    <w:p>
      <w:pPr>
        <w:spacing w:after="0" w:line="83" w:lineRule="exact"/>
        <w:rPr>
          <w:sz w:val="20"/>
          <w:szCs w:val="20"/>
          <w:color w:val="auto"/>
        </w:rPr>
      </w:pPr>
    </w:p>
    <w:p>
      <w:pPr>
        <w:jc w:val="both"/>
        <w:ind w:left="760" w:right="760"/>
        <w:spacing w:after="0" w:line="222" w:lineRule="auto"/>
        <w:rPr>
          <w:sz w:val="20"/>
          <w:szCs w:val="20"/>
          <w:color w:val="auto"/>
        </w:rPr>
      </w:pPr>
      <w:r>
        <w:rPr>
          <w:rFonts w:ascii="Arial" w:cs="Arial" w:eastAsia="Arial" w:hAnsi="Arial"/>
          <w:sz w:val="18"/>
          <w:szCs w:val="18"/>
          <w:color w:val="auto"/>
        </w:rPr>
        <w:t>The audit committee oversees our risk management process with a specific focus on internal controls, financial statement integrity, compliance programs, fraud risk, legal matters and related risk mitigation. Along with the Board, the audit committee also receives regular reports from management to help ensure effective and efficient oversight and to assist in proper risk management, including with respect to cybersecurity, and the ongoing evaluation of management controls. Through its regular meetings with management, including the finance, legal, internal audit, and compliance functions and discussions, as appropriate, with our independent registered public accounting firm and internal auditors, the audit committee reviews and discusses significant areas of our business, including areas of risk and appropriate mitigating factors. Internal audit reports functionally and administratively to our Chief Accounting Officer and directly to the audit committee.</w:t>
      </w:r>
    </w:p>
    <w:p>
      <w:pPr>
        <w:spacing w:after="0" w:line="99"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The compensation committee reviews the risk profile of the Company’s compensation policies and practices, including a review of a risk assessment of our compensation programs and managing risk associated with human capital management, including employee recruitment and retention.</w:t>
      </w:r>
    </w:p>
    <w:p>
      <w:pPr>
        <w:spacing w:after="0" w:line="95" w:lineRule="exact"/>
        <w:rPr>
          <w:sz w:val="20"/>
          <w:szCs w:val="20"/>
          <w:color w:val="auto"/>
        </w:rPr>
      </w:pPr>
    </w:p>
    <w:p>
      <w:pPr>
        <w:jc w:val="both"/>
        <w:ind w:left="760" w:right="780"/>
        <w:spacing w:after="0" w:line="246" w:lineRule="auto"/>
        <w:rPr>
          <w:sz w:val="20"/>
          <w:szCs w:val="20"/>
          <w:color w:val="auto"/>
        </w:rPr>
      </w:pPr>
      <w:r>
        <w:rPr>
          <w:rFonts w:ascii="Arial" w:cs="Arial" w:eastAsia="Arial" w:hAnsi="Arial"/>
          <w:sz w:val="18"/>
          <w:szCs w:val="18"/>
          <w:color w:val="auto"/>
        </w:rPr>
        <w:t>The nominating and corporate governance committee monitors risks relating to governance matters, including corporate responsibility and sustainability, and recommends appropriate actions in response to those risks.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The Board believes that one of its primary responsibilities is to oversee the development and retention of senior talent and to ensure that an appropriate succession plan is in place for our Chief Executive Officer and other members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214630</wp:posOffset>
            </wp:positionV>
            <wp:extent cx="300355"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17</w:t>
            </w:r>
          </w:p>
        </w:tc>
      </w:tr>
      <w:tr>
        <w:trPr>
          <w:trHeight w:val="418"/>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right="20"/>
        <w:spacing w:after="0" w:line="246" w:lineRule="auto"/>
        <w:rPr>
          <w:sz w:val="20"/>
          <w:szCs w:val="20"/>
          <w:color w:val="auto"/>
        </w:rPr>
      </w:pPr>
      <w:r>
        <w:rPr>
          <w:rFonts w:ascii="Arial" w:cs="Arial" w:eastAsia="Arial" w:hAnsi="Arial"/>
          <w:sz w:val="18"/>
          <w:szCs w:val="18"/>
          <w:color w:val="auto"/>
        </w:rPr>
        <w:t>senior management. The Board and compensation committee, together with the Chief Executive Officer, regularly reviews senior management talent and succession planning.</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Executive sessions, which are meetings of the independent directors of the Board, are regularly scheduled throughout the year, typically at the time of each regular Board meeting and as frequently as such independent directors deem appropriate.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In order to increase the effectiveness of the Board, the nominating and corporate governance committee supervises an annual review and evaluation of the performance of the Board and its committees. The evaluation is typically conducted through a range of questions related to topics including structure of the Board and its committees, overall Board and committee effectiveness, oversight and risk management, strategy and Board access to information and resources. In 2020, an evaluation was conducted and completed with each director providing direct feedback. The evaluation results about the Board and its committees were reviewed and discussed by the nominating and corporate governance committee as well as the full Board.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the chairperson of our Board of Directors, the chairperson of any of the audit, compensation and nominating and corporate governance committees, or to the non-management or independent directors as a group, may do so by addressing such communications or concerns to the Secretary of the Company, 2435 Commerce Ave, Building 2200, Duluth, GA 30096, who will forward such communication to the appropriate party.</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Committees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Our Board of Directors has an audit committee, a nominating and corporate governance committee and a compensation committee, each of which operates under a charter that has been approved by our Board.</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current membership of each of the Board’s committees.</w:t>
      </w:r>
    </w:p>
    <w:p>
      <w:pPr>
        <w:spacing w:after="0" w:line="125"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3160" w:type="dxa"/>
            <w:vAlign w:val="bottom"/>
            <w:tcBorders>
              <w:top w:val="single" w:sz="8" w:color="3C5896"/>
              <w:left w:val="single" w:sz="8" w:color="3C5896"/>
              <w:right w:val="single" w:sz="8" w:color="9EACCA"/>
            </w:tcBorders>
            <w:shd w:val="clear" w:color="auto" w:fill="3C5896"/>
          </w:tcPr>
          <w:p>
            <w:pPr>
              <w:spacing w:after="0"/>
              <w:rPr>
                <w:sz w:val="17"/>
                <w:szCs w:val="17"/>
                <w:color w:val="auto"/>
              </w:rPr>
            </w:pPr>
          </w:p>
        </w:tc>
        <w:tc>
          <w:tcPr>
            <w:tcW w:w="170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Audit</w:t>
            </w:r>
          </w:p>
        </w:tc>
        <w:tc>
          <w:tcPr>
            <w:tcW w:w="40" w:type="dxa"/>
            <w:vAlign w:val="bottom"/>
            <w:tcBorders>
              <w:top w:val="single" w:sz="8" w:color="3C5896"/>
            </w:tcBorders>
            <w:shd w:val="clear" w:color="auto" w:fill="3C5896"/>
          </w:tcPr>
          <w:p>
            <w:pPr>
              <w:spacing w:after="0"/>
              <w:rPr>
                <w:sz w:val="17"/>
                <w:szCs w:val="17"/>
                <w:color w:val="auto"/>
              </w:rPr>
            </w:pPr>
          </w:p>
        </w:tc>
        <w:tc>
          <w:tcPr>
            <w:tcW w:w="254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8"/>
              </w:rPr>
              <w:t>Nominating and Corporate</w:t>
            </w:r>
          </w:p>
        </w:tc>
        <w:tc>
          <w:tcPr>
            <w:tcW w:w="40" w:type="dxa"/>
            <w:vAlign w:val="bottom"/>
            <w:tcBorders>
              <w:top w:val="single" w:sz="8" w:color="3C5896"/>
            </w:tcBorders>
            <w:shd w:val="clear" w:color="auto" w:fill="3C5896"/>
          </w:tcPr>
          <w:p>
            <w:pPr>
              <w:spacing w:after="0"/>
              <w:rPr>
                <w:sz w:val="17"/>
                <w:szCs w:val="17"/>
                <w:color w:val="auto"/>
              </w:rPr>
            </w:pPr>
          </w:p>
        </w:tc>
        <w:tc>
          <w:tcPr>
            <w:tcW w:w="1680" w:type="dxa"/>
            <w:vAlign w:val="bottom"/>
            <w:tcBorders>
              <w:top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Compensation</w:t>
            </w:r>
          </w:p>
        </w:tc>
        <w:tc>
          <w:tcPr>
            <w:tcW w:w="40" w:type="dxa"/>
            <w:vAlign w:val="bottom"/>
            <w:tcBorders>
              <w:top w:val="single" w:sz="8" w:color="3C5896"/>
              <w:right w:val="single" w:sz="8" w:color="3C5896"/>
            </w:tcBorders>
          </w:tcPr>
          <w:p>
            <w:pPr>
              <w:spacing w:after="0"/>
              <w:rPr>
                <w:sz w:val="17"/>
                <w:szCs w:val="17"/>
                <w:color w:val="auto"/>
              </w:rPr>
            </w:pPr>
          </w:p>
        </w:tc>
      </w:tr>
      <w:tr>
        <w:trPr>
          <w:trHeight w:val="246"/>
        </w:trPr>
        <w:tc>
          <w:tcPr>
            <w:tcW w:w="3160" w:type="dxa"/>
            <w:vAlign w:val="bottom"/>
            <w:tcBorders>
              <w:left w:val="single" w:sz="8" w:color="3C5896"/>
              <w:bottom w:val="single" w:sz="8" w:color="3C5896"/>
              <w:right w:val="single" w:sz="8" w:color="9EACCA"/>
            </w:tcBorders>
            <w:shd w:val="clear" w:color="auto" w:fill="3C5896"/>
          </w:tcPr>
          <w:p>
            <w:pPr>
              <w:spacing w:after="0"/>
              <w:rPr>
                <w:sz w:val="21"/>
                <w:szCs w:val="21"/>
                <w:color w:val="auto"/>
              </w:rPr>
            </w:pPr>
          </w:p>
        </w:tc>
        <w:tc>
          <w:tcPr>
            <w:tcW w:w="17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40" w:type="dxa"/>
            <w:vAlign w:val="bottom"/>
            <w:shd w:val="clear" w:color="auto" w:fill="3C5896"/>
          </w:tcPr>
          <w:p>
            <w:pPr>
              <w:spacing w:after="0"/>
              <w:rPr>
                <w:sz w:val="21"/>
                <w:szCs w:val="21"/>
                <w:color w:val="auto"/>
              </w:rPr>
            </w:pPr>
          </w:p>
        </w:tc>
        <w:tc>
          <w:tcPr>
            <w:tcW w:w="25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Governance Committee</w:t>
            </w:r>
          </w:p>
        </w:tc>
        <w:tc>
          <w:tcPr>
            <w:tcW w:w="40" w:type="dxa"/>
            <w:vAlign w:val="bottom"/>
            <w:shd w:val="clear" w:color="auto" w:fill="3C5896"/>
          </w:tcPr>
          <w:p>
            <w:pPr>
              <w:spacing w:after="0"/>
              <w:rPr>
                <w:sz w:val="21"/>
                <w:szCs w:val="21"/>
                <w:color w:val="auto"/>
              </w:rPr>
            </w:pPr>
          </w:p>
        </w:tc>
        <w:tc>
          <w:tcPr>
            <w:tcW w:w="1680" w:type="dxa"/>
            <w:vAlign w:val="bottom"/>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Committee</w:t>
            </w:r>
          </w:p>
        </w:tc>
        <w:tc>
          <w:tcPr>
            <w:tcW w:w="40" w:type="dxa"/>
            <w:vAlign w:val="bottom"/>
            <w:tcBorders>
              <w:right w:val="single" w:sz="8" w:color="3C5896"/>
            </w:tcBorders>
          </w:tcPr>
          <w:p>
            <w:pPr>
              <w:spacing w:after="0"/>
              <w:rPr>
                <w:sz w:val="21"/>
                <w:szCs w:val="21"/>
                <w:color w:val="auto"/>
              </w:rPr>
            </w:pPr>
          </w:p>
        </w:tc>
      </w:tr>
      <w:tr>
        <w:trPr>
          <w:trHeight w:val="236"/>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L. Reade Fahs</w:t>
            </w:r>
          </w:p>
        </w:tc>
        <w:tc>
          <w:tcPr>
            <w:tcW w:w="1700" w:type="dxa"/>
            <w:vAlign w:val="bottom"/>
            <w:tcBorders>
              <w:right w:val="single" w:sz="8" w:color="9EACCA"/>
            </w:tcBorders>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tcBorders>
              <w:right w:val="single" w:sz="8" w:color="9EACCA"/>
            </w:tcBorders>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Borders>
              <w:right w:val="single" w:sz="8" w:color="3C5896"/>
            </w:tcBorders>
          </w:tcPr>
          <w:p>
            <w:pPr>
              <w:spacing w:after="0"/>
              <w:rPr>
                <w:sz w:val="20"/>
                <w:szCs w:val="20"/>
                <w:color w:val="auto"/>
              </w:rPr>
            </w:pPr>
          </w:p>
        </w:tc>
      </w:tr>
      <w:tr>
        <w:trPr>
          <w:trHeight w:val="263"/>
        </w:trPr>
        <w:tc>
          <w:tcPr>
            <w:tcW w:w="31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D. Randolph Peeler</w:t>
            </w:r>
          </w:p>
        </w:tc>
        <w:tc>
          <w:tcPr>
            <w:tcW w:w="170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254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Borders>
              <w:right w:val="single" w:sz="8" w:color="3C5896"/>
            </w:tcBorders>
          </w:tcPr>
          <w:p>
            <w:pPr>
              <w:spacing w:after="0"/>
              <w:rPr>
                <w:sz w:val="22"/>
                <w:szCs w:val="22"/>
                <w:color w:val="auto"/>
              </w:rPr>
            </w:pPr>
          </w:p>
        </w:tc>
      </w:tr>
      <w:tr>
        <w:trPr>
          <w:trHeight w:val="250"/>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Jose Armario</w:t>
            </w:r>
          </w:p>
        </w:tc>
        <w:tc>
          <w:tcPr>
            <w:tcW w:w="170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254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Borders>
              <w:right w:val="single" w:sz="8" w:color="3C5896"/>
            </w:tcBorders>
          </w:tcPr>
          <w:p>
            <w:pPr>
              <w:spacing w:after="0"/>
              <w:rPr>
                <w:sz w:val="21"/>
                <w:szCs w:val="21"/>
                <w:color w:val="auto"/>
              </w:rPr>
            </w:pPr>
          </w:p>
        </w:tc>
      </w:tr>
      <w:tr>
        <w:trPr>
          <w:trHeight w:val="263"/>
        </w:trPr>
        <w:tc>
          <w:tcPr>
            <w:tcW w:w="31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Heather Cianfrocco</w:t>
            </w:r>
          </w:p>
        </w:tc>
        <w:tc>
          <w:tcPr>
            <w:tcW w:w="170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254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Borders>
              <w:right w:val="single" w:sz="8" w:color="3C5896"/>
            </w:tcBorders>
          </w:tcPr>
          <w:p>
            <w:pPr>
              <w:spacing w:after="0"/>
              <w:rPr>
                <w:sz w:val="22"/>
                <w:szCs w:val="22"/>
                <w:color w:val="auto"/>
              </w:rPr>
            </w:pPr>
          </w:p>
        </w:tc>
      </w:tr>
      <w:tr>
        <w:trPr>
          <w:trHeight w:val="250"/>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Virginia A. Hepner</w:t>
            </w:r>
          </w:p>
        </w:tc>
        <w:tc>
          <w:tcPr>
            <w:tcW w:w="17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1"/>
                <w:szCs w:val="21"/>
                <w:color w:val="auto"/>
              </w:rPr>
            </w:pPr>
          </w:p>
        </w:tc>
        <w:tc>
          <w:tcPr>
            <w:tcW w:w="254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7"/>
              </w:rPr>
              <w:t>Chair</w:t>
            </w: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Borders>
              <w:right w:val="single" w:sz="8" w:color="3C5896"/>
            </w:tcBorders>
          </w:tcPr>
          <w:p>
            <w:pPr>
              <w:spacing w:after="0"/>
              <w:rPr>
                <w:sz w:val="21"/>
                <w:szCs w:val="21"/>
                <w:color w:val="auto"/>
              </w:rPr>
            </w:pPr>
          </w:p>
        </w:tc>
      </w:tr>
      <w:tr>
        <w:trPr>
          <w:trHeight w:val="263"/>
        </w:trPr>
        <w:tc>
          <w:tcPr>
            <w:tcW w:w="31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Susan S. Johnson</w:t>
            </w:r>
          </w:p>
        </w:tc>
        <w:tc>
          <w:tcPr>
            <w:tcW w:w="17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shd w:val="clear" w:color="auto" w:fill="CCCCCC"/>
          </w:tcPr>
          <w:p>
            <w:pPr>
              <w:spacing w:after="0"/>
              <w:rPr>
                <w:sz w:val="22"/>
                <w:szCs w:val="22"/>
                <w:color w:val="auto"/>
              </w:rPr>
            </w:pPr>
          </w:p>
        </w:tc>
        <w:tc>
          <w:tcPr>
            <w:tcW w:w="254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spacing w:after="0"/>
              <w:rPr>
                <w:sz w:val="22"/>
                <w:szCs w:val="22"/>
                <w:color w:val="auto"/>
              </w:rPr>
            </w:pPr>
          </w:p>
        </w:tc>
        <w:tc>
          <w:tcPr>
            <w:tcW w:w="40" w:type="dxa"/>
            <w:vAlign w:val="bottom"/>
            <w:tcBorders>
              <w:right w:val="single" w:sz="8" w:color="3C5896"/>
            </w:tcBorders>
          </w:tcPr>
          <w:p>
            <w:pPr>
              <w:spacing w:after="0"/>
              <w:rPr>
                <w:sz w:val="22"/>
                <w:szCs w:val="22"/>
                <w:color w:val="auto"/>
              </w:rPr>
            </w:pPr>
          </w:p>
        </w:tc>
      </w:tr>
      <w:tr>
        <w:trPr>
          <w:trHeight w:val="250"/>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Naomi Kelman</w:t>
            </w:r>
          </w:p>
        </w:tc>
        <w:tc>
          <w:tcPr>
            <w:tcW w:w="17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X</w:t>
            </w:r>
          </w:p>
        </w:tc>
        <w:tc>
          <w:tcPr>
            <w:tcW w:w="40" w:type="dxa"/>
            <w:vAlign w:val="bottom"/>
          </w:tcPr>
          <w:p>
            <w:pPr>
              <w:spacing w:after="0"/>
              <w:rPr>
                <w:sz w:val="21"/>
                <w:szCs w:val="21"/>
                <w:color w:val="auto"/>
              </w:rPr>
            </w:pPr>
          </w:p>
        </w:tc>
        <w:tc>
          <w:tcPr>
            <w:tcW w:w="254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Borders>
              <w:right w:val="single" w:sz="8" w:color="3C5896"/>
            </w:tcBorders>
          </w:tcPr>
          <w:p>
            <w:pPr>
              <w:spacing w:after="0"/>
              <w:rPr>
                <w:sz w:val="21"/>
                <w:szCs w:val="21"/>
                <w:color w:val="auto"/>
              </w:rPr>
            </w:pPr>
          </w:p>
        </w:tc>
      </w:tr>
      <w:tr>
        <w:trPr>
          <w:trHeight w:val="263"/>
        </w:trPr>
        <w:tc>
          <w:tcPr>
            <w:tcW w:w="316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Thomas V. Taylor, Jr.</w:t>
            </w:r>
          </w:p>
        </w:tc>
        <w:tc>
          <w:tcPr>
            <w:tcW w:w="170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254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Chair</w:t>
            </w:r>
          </w:p>
        </w:tc>
        <w:tc>
          <w:tcPr>
            <w:tcW w:w="40" w:type="dxa"/>
            <w:vAlign w:val="bottom"/>
            <w:tcBorders>
              <w:right w:val="single" w:sz="8" w:color="3C5896"/>
            </w:tcBorders>
          </w:tcPr>
          <w:p>
            <w:pPr>
              <w:spacing w:after="0"/>
              <w:rPr>
                <w:sz w:val="22"/>
                <w:szCs w:val="22"/>
                <w:color w:val="auto"/>
              </w:rPr>
            </w:pPr>
          </w:p>
        </w:tc>
      </w:tr>
      <w:tr>
        <w:trPr>
          <w:trHeight w:val="284"/>
        </w:trPr>
        <w:tc>
          <w:tcPr>
            <w:tcW w:w="316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David M. Tehle</w:t>
            </w:r>
          </w:p>
        </w:tc>
        <w:tc>
          <w:tcPr>
            <w:tcW w:w="17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Chair</w:t>
            </w:r>
          </w:p>
        </w:tc>
        <w:tc>
          <w:tcPr>
            <w:tcW w:w="40" w:type="dxa"/>
            <w:vAlign w:val="bottom"/>
          </w:tcPr>
          <w:p>
            <w:pPr>
              <w:spacing w:after="0"/>
              <w:rPr>
                <w:sz w:val="24"/>
                <w:szCs w:val="24"/>
                <w:color w:val="auto"/>
              </w:rPr>
            </w:pPr>
          </w:p>
        </w:tc>
        <w:tc>
          <w:tcPr>
            <w:tcW w:w="254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Borders>
              <w:right w:val="single" w:sz="8" w:color="3C5896"/>
            </w:tcBorders>
          </w:tcPr>
          <w:p>
            <w:pPr>
              <w:spacing w:after="0"/>
              <w:rPr>
                <w:sz w:val="24"/>
                <w:szCs w:val="24"/>
                <w:color w:val="auto"/>
              </w:rPr>
            </w:pPr>
          </w:p>
        </w:tc>
      </w:tr>
      <w:tr>
        <w:trPr>
          <w:trHeight w:val="20"/>
        </w:trPr>
        <w:tc>
          <w:tcPr>
            <w:tcW w:w="316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170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254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680" w:type="dxa"/>
            <w:vAlign w:val="bottom"/>
            <w:shd w:val="clear" w:color="auto" w:fill="3C5896"/>
          </w:tcPr>
          <w:p>
            <w:pPr>
              <w:spacing w:after="0" w:line="20" w:lineRule="exact"/>
              <w:rPr>
                <w:sz w:val="1"/>
                <w:szCs w:val="1"/>
                <w:color w:val="auto"/>
              </w:rPr>
            </w:pPr>
          </w:p>
        </w:tc>
        <w:tc>
          <w:tcPr>
            <w:tcW w:w="40" w:type="dxa"/>
            <w:vAlign w:val="bottom"/>
            <w:tcBorders>
              <w:right w:val="single" w:sz="8" w:color="3C5896"/>
            </w:tcBorders>
            <w:shd w:val="clear" w:color="auto" w:fill="3C589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-1490980</wp:posOffset>
            </wp:positionV>
            <wp:extent cx="38233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41"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All directors are expected to make every effort to attend all meetings of the Board of Directors, meetings of the committees of which they are members and the annual meeting of stockholders. Each of our directors that were members of our Board at the time attended the 2020 annual meeting. During the fiscal year ended January 2, 2021, the Board held fourteen meetings, the audit committee held eight meetings, the compensation committee held four meetings and the nominating and corporate governance committee held four meetings. In addition, the Board, the audit committee, the compensation committee and the nominating and corporate governance committee acted by unanimous written consent several times during fiscal 2020. Each of our directors attended at least 75% of all of the meetings of the Board and committees on which he or she served at they time they served on the Board or such</w:t>
      </w:r>
    </w:p>
    <w:p>
      <w:pPr>
        <w:spacing w:after="0" w:line="323"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sz w:val="1"/>
          <w:szCs w:val="1"/>
          <w:color w:val="auto"/>
        </w:rPr>
        <w:drawing>
          <wp:inline distT="0" distB="0" distL="0" distR="0">
            <wp:extent cx="299720" cy="24003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4" w:lineRule="exact"/>
        <w:rPr>
          <w:sz w:val="20"/>
          <w:szCs w:val="20"/>
          <w:color w:val="auto"/>
        </w:rPr>
      </w:pPr>
    </w:p>
    <w:p>
      <w:pPr>
        <w:jc w:val="both"/>
        <w:ind w:left="760" w:right="760"/>
        <w:spacing w:after="0" w:line="229" w:lineRule="auto"/>
        <w:rPr>
          <w:sz w:val="20"/>
          <w:szCs w:val="20"/>
          <w:color w:val="auto"/>
        </w:rPr>
      </w:pPr>
      <w:r>
        <w:rPr>
          <w:rFonts w:ascii="Arial" w:cs="Arial" w:eastAsia="Arial" w:hAnsi="Arial"/>
          <w:sz w:val="18"/>
          <w:szCs w:val="18"/>
          <w:color w:val="auto"/>
        </w:rPr>
        <w:t>committees, except for Ms. Johnson. Ms. Johnson attended 50% of the audit committee meetings as she was unable to attend one audit committee meeting in 2020 after joining the Board due to a pre-existing conflict for one meeting date prior to her joining the Board.</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jc w:val="both"/>
        <w:ind w:left="760" w:right="760"/>
        <w:spacing w:after="0" w:line="225" w:lineRule="auto"/>
        <w:rPr>
          <w:sz w:val="20"/>
          <w:szCs w:val="20"/>
          <w:color w:val="auto"/>
        </w:rPr>
      </w:pPr>
      <w:r>
        <w:rPr>
          <w:rFonts w:ascii="Arial" w:cs="Arial" w:eastAsia="Arial" w:hAnsi="Arial"/>
          <w:sz w:val="18"/>
          <w:szCs w:val="18"/>
          <w:color w:val="auto"/>
        </w:rPr>
        <w:t>Our audit committee consists of David M. Tehle, who serves as the Chair, Virginia A. Hepner, Susan S. Johnson and Naomi Kelman. Mr. Tehle and Mses. Hepner, Johnson and Kelman each qualifies as an independent director under Nasdaq corporate governance standards and the independence requirements of Rule 10A-3 of the Securities Exchange Act of 1934 (the “Exchange Act”). Our Board of Directors has determined that Mr. Tehle and Ms. Hepner each qualifies as an “audit committee financial expert” as such term is defined in Item 407(d)(5) of Regulation S-K.</w:t>
      </w:r>
    </w:p>
    <w:p>
      <w:pPr>
        <w:spacing w:after="0" w:line="83" w:lineRule="exact"/>
        <w:rPr>
          <w:sz w:val="20"/>
          <w:szCs w:val="20"/>
          <w:color w:val="auto"/>
        </w:rPr>
      </w:pPr>
    </w:p>
    <w:p>
      <w:pPr>
        <w:jc w:val="both"/>
        <w:ind w:left="760" w:right="760"/>
        <w:spacing w:after="0" w:line="223" w:lineRule="auto"/>
        <w:rPr>
          <w:sz w:val="20"/>
          <w:szCs w:val="20"/>
          <w:color w:val="auto"/>
        </w:rPr>
      </w:pPr>
      <w:r>
        <w:rPr>
          <w:rFonts w:ascii="Arial" w:cs="Arial" w:eastAsia="Arial" w:hAnsi="Arial"/>
          <w:sz w:val="18"/>
          <w:szCs w:val="18"/>
          <w:color w:val="auto"/>
        </w:rPr>
        <w:t>The audit committee is responsible for, among other things, preparing the audit committee report required by the SEC to be included in our proxy statement and assisting our Board of Directors with respect to its oversight of (1) our risk management policies and procedures, (2) the audits and integrity of our financial statements, and the effectiveness of internal control over financial reporting, (3) our compliance with legal and regulatory requirements, including SEC filings, (4) the qualifications, engagement, performance and independence of the outside auditors, including approving all auditing and non-auditing services performed by our outside auditors and (5) approving the annual audit plans and the performance of our internal audit function.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6" w:lineRule="exact"/>
        <w:rPr>
          <w:sz w:val="20"/>
          <w:szCs w:val="20"/>
          <w:color w:val="auto"/>
        </w:rPr>
      </w:pPr>
    </w:p>
    <w:p>
      <w:pPr>
        <w:jc w:val="both"/>
        <w:ind w:left="760" w:right="760"/>
        <w:spacing w:after="0" w:line="227" w:lineRule="auto"/>
        <w:rPr>
          <w:sz w:val="20"/>
          <w:szCs w:val="20"/>
          <w:color w:val="auto"/>
        </w:rPr>
      </w:pPr>
      <w:r>
        <w:rPr>
          <w:rFonts w:ascii="Arial" w:cs="Arial" w:eastAsia="Arial" w:hAnsi="Arial"/>
          <w:sz w:val="18"/>
          <w:szCs w:val="18"/>
          <w:color w:val="auto"/>
        </w:rPr>
        <w:t>Our nominating and corporate governance committee consists of Virginia Hepner, who serves as the Chair, D. Randolph Peeler and Jose Armario. Each member of the nominating and corporate governance committee has been determined to be independent under the applicable listing standards of Nasdaq and our Corporate Governance Guidelines.</w:t>
      </w:r>
    </w:p>
    <w:p>
      <w:pPr>
        <w:spacing w:after="0" w:line="81" w:lineRule="exact"/>
        <w:rPr>
          <w:sz w:val="20"/>
          <w:szCs w:val="20"/>
          <w:color w:val="auto"/>
        </w:rPr>
      </w:pPr>
    </w:p>
    <w:p>
      <w:pPr>
        <w:jc w:val="both"/>
        <w:ind w:left="760" w:right="760"/>
        <w:spacing w:after="0" w:line="222" w:lineRule="auto"/>
        <w:rPr>
          <w:sz w:val="20"/>
          <w:szCs w:val="20"/>
          <w:color w:val="auto"/>
        </w:rPr>
      </w:pPr>
      <w:r>
        <w:rPr>
          <w:rFonts w:ascii="Arial" w:cs="Arial" w:eastAsia="Arial" w:hAnsi="Arial"/>
          <w:sz w:val="18"/>
          <w:szCs w:val="18"/>
          <w:color w:val="auto"/>
        </w:rPr>
        <w:t>The primary purpose of the nominating and corporate governance committee is to provide assistance to the Board of Directors by, among other things, determining the size, structure, composition, processes and practices of the Board and its committees and assessing director independence and qualifications. The committee also identifies, recommends and assists the Board in recruiting individuals qualified to become Board members, and takes a leadership role in shaping the corporate governance of the Company through its review and development of our Corporate Governance Guidelines and practices and guidance of the annual Board evaluation. The committee, along with the Board as whole, retains oversight responsibility for the Company’s Corporate Responsibility strategy and provides oversight and guidance on environmental sustainability, social justice and corporate responsibility issues and opportunities for the Company.</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Our compensation committee consists of Thomas Taylor, Jr., who serves as the Chair, D. Randolph Peeler and Heather Cianfrocco. Each member of the compensation committee has been determined to be independent under the applicable listing standards of Nasdaq and our Corporate Governance Guidelines.</w:t>
      </w:r>
    </w:p>
    <w:p>
      <w:pPr>
        <w:spacing w:after="0" w:line="95"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The primary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Committee Charters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1"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 of Directors’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w:t>
      </w:r>
    </w:p>
    <w:p>
      <w:pPr>
        <w:spacing w:after="0" w:line="94" w:lineRule="exact"/>
        <w:rPr>
          <w:sz w:val="20"/>
          <w:szCs w:val="20"/>
          <w:color w:val="auto"/>
        </w:rPr>
      </w:pPr>
    </w:p>
    <w:p>
      <w:pPr>
        <w:jc w:val="both"/>
        <w:ind w:left="760" w:right="760"/>
        <w:spacing w:after="0" w:line="234" w:lineRule="auto"/>
        <w:rPr>
          <w:sz w:val="20"/>
          <w:szCs w:val="20"/>
          <w:color w:val="auto"/>
        </w:rPr>
      </w:pPr>
      <w:r>
        <w:rPr>
          <w:rFonts w:ascii="Arial" w:cs="Arial" w:eastAsia="Arial" w:hAnsi="Arial"/>
          <w:sz w:val="18"/>
          <w:szCs w:val="18"/>
          <w:color w:val="auto"/>
        </w:rPr>
        <w:t>Our Corporate Governance Guidelines, audit, nominating and corporate governance and compensation committee charters, and other corporate governance information are available in the investors section of our website,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We are committed to ensuring our business is conducted ethically and legally. We maintain a written code of conduct that applies to our directors, officers and employees, including our principal executive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214630</wp:posOffset>
            </wp:positionV>
            <wp:extent cx="300355"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19</w:t>
            </w:r>
          </w:p>
        </w:tc>
      </w:tr>
      <w:tr>
        <w:trPr>
          <w:trHeight w:val="418"/>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 xml:space="preserve">principal accounting officer, or persons performing similar functions, which we call our Code of Conduct. Our Code of Conduct is a “code of ethics” as defined in Item 406(b) of Regulation S-K and is posted in the investors section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95"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We intend to make any legally required disclosures regarding amendments to, or waivers of, provisions of our Code of Conduct on our website.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Hedging and 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The Company’s Securities Trading Policy requires executive officers and directors to consult the Company’s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The Company’s Securities Trading Policy discourages employees from purchasing the Company’s securities on margin, or borrowing against any account in which the Company’s securities are held, or pledging the Company’s securities as collateral for a loan. For directors and officers, the pledging of Company securities is limited to those situations approved by the Company’s General Counsel.</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The Board has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jc w:val="both"/>
        <w:ind w:left="760"/>
        <w:spacing w:after="0" w:line="241" w:lineRule="auto"/>
        <w:rPr>
          <w:sz w:val="20"/>
          <w:szCs w:val="20"/>
          <w:color w:val="auto"/>
        </w:rPr>
      </w:pPr>
      <w:r>
        <w:rPr>
          <w:rFonts w:ascii="Arial" w:cs="Arial" w:eastAsia="Arial" w:hAnsi="Arial"/>
          <w:sz w:val="18"/>
          <w:szCs w:val="18"/>
          <w:i w:val="1"/>
          <w:iCs w:val="1"/>
          <w:color w:val="auto"/>
        </w:rPr>
        <w:t xml:space="preserve">Management Stockholder’s Agreements. </w:t>
      </w:r>
      <w:r>
        <w:rPr>
          <w:rFonts w:ascii="Arial" w:cs="Arial" w:eastAsia="Arial" w:hAnsi="Arial"/>
          <w:sz w:val="18"/>
          <w:szCs w:val="18"/>
          <w:color w:val="auto"/>
        </w:rPr>
        <w:t>In connection with the acquisition of NVI in March 2014 by affiliates of</w:t>
      </w:r>
      <w:r>
        <w:rPr>
          <w:rFonts w:ascii="Arial" w:cs="Arial" w:eastAsia="Arial" w:hAnsi="Arial"/>
          <w:sz w:val="18"/>
          <w:szCs w:val="18"/>
          <w:i w:val="1"/>
          <w:iCs w:val="1"/>
          <w:color w:val="auto"/>
        </w:rPr>
        <w:t xml:space="preserve"> </w:t>
      </w:r>
      <w:r>
        <w:rPr>
          <w:rFonts w:ascii="Arial" w:cs="Arial" w:eastAsia="Arial" w:hAnsi="Arial"/>
          <w:sz w:val="18"/>
          <w:szCs w:val="18"/>
          <w:color w:val="auto"/>
        </w:rPr>
        <w:t>KKR &amp; Co. Inc (“KKR”) and thereafter, we entered into Management Stockholder’s Agreements with certain of our senior executive officers and other employees who made an equity investment in us or were granted equity-based awards. The Management Stockholder’s Agreements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In connection with and following our initial public offering (IPO), we have been committed to stockholder engagement and we greatly value the input we receive from our stockholders. Our investor relations team and members of our senior management are in frequent communication with stockholders on a variety of matters, primarily focused on our operations and financial performance. In 2020, we continued our stockholder engagement program focused on corporate governance, executive compensation, corporate social responsibility and other ESG matters of interest to our stockholders. As part of our engagement efforts, we conducted stockholder outreach with the Company’s top institutional investors representing approximately 63% of our shares outstanding. Many of these stockholders expressed the view that they were aligned with the Company’s board refreshment and continued Board diversity efforts, the continued progress and evolution and disclosure of the Company’s philanthropic as well as other environmental, social and governance priorities, and supported the Company’s executive compensation program.</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Philanthropy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We strive to align our actions with our Company vision—“We believe everyone deserves to see their best to live their best.” The need for eye care and eyewear is a critical national and global issue. We focus our philanthropic efforts in the optical sector, where we feel we can make the greatest difference. We are proud to be working with organizations</w:t>
      </w:r>
    </w:p>
    <w:p>
      <w:pPr>
        <w:spacing w:after="0" w:line="320"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sz w:val="1"/>
          <w:szCs w:val="1"/>
          <w:color w:val="auto"/>
        </w:rPr>
        <w:drawing>
          <wp:inline distT="0" distB="0" distL="0" distR="0">
            <wp:extent cx="299720" cy="24003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right="760"/>
        <w:spacing w:after="0" w:line="236" w:lineRule="auto"/>
        <w:rPr>
          <w:sz w:val="20"/>
          <w:szCs w:val="20"/>
          <w:color w:val="auto"/>
        </w:rPr>
      </w:pPr>
      <w:r>
        <w:rPr>
          <w:rFonts w:ascii="Arial" w:cs="Arial" w:eastAsia="Arial" w:hAnsi="Arial"/>
          <w:sz w:val="18"/>
          <w:szCs w:val="18"/>
          <w:color w:val="auto"/>
        </w:rPr>
        <w:t>and individuals, both domestically and around the world, to provide solutions so more people can get the care they need. In August 2020, we published our first-ever philanthropic Impact Report detailing how the Company is transforming the lives of people in the United States and around the world. Our Impact Report focused on the Company’s impact through 2019 in the core areas of (1) helping children in need in the United States, (2) global giving and (3) partnering to make an impact, and also highlighted the Company’s commitment to providing help during the pandemic. Through partnering with schools and the Boys &amp; Girls Club of America, we have provided more than 18,000 free eye exams and distributed more than 10,000 pairs of glasses. Through our partnership with RestoringVision, a global vision nonprofit, we have coordinated the donation and distribution of more than 500,000 glasses over the past 13 years and contributed more than $340,000.</w:t>
      </w:r>
    </w:p>
    <w:p>
      <w:pPr>
        <w:spacing w:after="0" w:line="99" w:lineRule="exact"/>
        <w:rPr>
          <w:sz w:val="20"/>
          <w:szCs w:val="20"/>
          <w:color w:val="auto"/>
        </w:rPr>
      </w:pPr>
    </w:p>
    <w:p>
      <w:pPr>
        <w:jc w:val="both"/>
        <w:ind w:left="760" w:right="760"/>
        <w:spacing w:after="0" w:line="236" w:lineRule="auto"/>
        <w:rPr>
          <w:sz w:val="20"/>
          <w:szCs w:val="20"/>
          <w:color w:val="auto"/>
        </w:rPr>
      </w:pPr>
      <w:r>
        <w:rPr>
          <w:rFonts w:ascii="Arial" w:cs="Arial" w:eastAsia="Arial" w:hAnsi="Arial"/>
          <w:sz w:val="18"/>
          <w:szCs w:val="18"/>
          <w:color w:val="auto"/>
        </w:rPr>
        <w:t xml:space="preserve">In addition to our philanthropic efforts, we understand the importance of acting responsibly as a business, employer and corporate citizen. Engagement on corporate responsibility is important to us and our stakeholders. We are focused on a commitment to balancing the social, economic, human capital management and environmental aspects of our business and to developing additional disclosure to highlight our aspirations and achievements in these areas. In 2020, we began our formal Corporate Responsibility journey and completed a materiality assessment on the core pillars at the heart of our operations and goals. Informed by insights from our assessment, we are developing our goals and reporting metrics as an important part of our ongoing commitment to transparency and impact. Our approach, once complete, will enable the Company to provide an integrated, comprehensive view of its corporate responsibility commitments, progress and impact. More information about Corporate Responsibility at National Vision can found in the Corporate Responsibility page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 The information on this website is not, and will not be deemed to be, a part of this proxy statement or incorporated into any other filings with the SEC.</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With an inclusive and people-first culture, we are focused on celebrating and respecting our associates’ diverse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 As of January 2, 2021, we had 12,792 full-time and part-time associates. In addition, the professional corporations or similar entities with which we contract employed 1,200 optometrists as of January 2, 2021.</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Talent Acquisition</w:t>
      </w:r>
    </w:p>
    <w:p>
      <w:pPr>
        <w:spacing w:after="0" w:line="72" w:lineRule="exact"/>
        <w:rPr>
          <w:sz w:val="20"/>
          <w:szCs w:val="20"/>
          <w:color w:val="auto"/>
        </w:rPr>
      </w:pPr>
    </w:p>
    <w:p>
      <w:pPr>
        <w:jc w:val="both"/>
        <w:ind w:left="760" w:right="760"/>
        <w:spacing w:after="0" w:line="236" w:lineRule="auto"/>
        <w:rPr>
          <w:sz w:val="20"/>
          <w:szCs w:val="20"/>
          <w:color w:val="auto"/>
        </w:rPr>
      </w:pPr>
      <w:r>
        <w:rPr>
          <w:rFonts w:ascii="Arial" w:cs="Arial" w:eastAsia="Arial" w:hAnsi="Arial"/>
          <w:sz w:val="18"/>
          <w:szCs w:val="18"/>
          <w:color w:val="auto"/>
        </w:rPr>
        <w:t>At National Vision, we are committed to attracting talent aligned with our Vision, Mission and Values. We have invested in key leadership roles within the talent organization to refine our approach and have incorporated new technology to improve both the candidate and hiring manager experience. In addition, we have partnered with schools and other organizations to promote the profession of optometry, including continuing our multi-year sponsorship of the Association of Schools and Colleges campaign “Optometry Gives Me Life” targeted at high school and college students. To mitigate the impact the COVID-19 pandemic and temporary closure of our stores had on our traditional recruiting efforts and hiring cycles, we transitioned to online platforms for job fairs and on campus events, selectively offered key incentives, such as a student loan repayment program, and educated applicants on the health and safety protocols implemented in our stores.</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Talent Development</w:t>
      </w:r>
    </w:p>
    <w:p>
      <w:pPr>
        <w:spacing w:after="0" w:line="58"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We have a proven record of opening new stores with high-quality training support. As a result of the COVID-19 pandemic, we adapted our new store training approach by introducing and enhancing virtual instructor-led training classes, allowing for a continuation of high touch training to prepare stores to open safely and effectively. We also increased ongoing training, especially in the areas of safety protocol procedures and customer interactions. We provide our associates and optometrists with several opportunities and mechanisms through which they can provide feedback and allow us to continue developing programs for training and growth.</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Benefits and Wellness</w:t>
      </w:r>
    </w:p>
    <w:p>
      <w:pPr>
        <w:spacing w:after="0" w:line="58"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We strive to ensure our people always feel supported so they can bring their best selves to work every day. We demonstrate this commitment through many of our benefits and wellness offerings. Programs like our health plan, wellness and disease management programs, including personalized programs for diabetes and hypertension, and a financial protection resource, provide the needed resources essential for helping our people care for themselves and their families.</w:t>
      </w:r>
    </w:p>
    <w:p>
      <w:pPr>
        <w:spacing w:after="0" w:line="94"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We also offer free on-demand mental and behavioral health resources, to provide needed guidance when work and personal challenges affect an associate’s overall well-being. Shortly after our IPO, we established the National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223520</wp:posOffset>
            </wp:positionV>
            <wp:extent cx="300355"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21</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Crisis Relief Fund to help support associates who are facing financial hardship as a result of a natural disaster, family emergency or other unexpected events. Donations made to the Crisis Relief Fund are matched by the Company. Since its creation, over $800,000 have been provided to associates for assistance, with over 90% provided since the beginning of the COVID-19 pandemic.</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Diversity, Equity and Inclusion</w:t>
      </w:r>
    </w:p>
    <w:p>
      <w:pPr>
        <w:spacing w:after="0" w:line="72"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We are committed to a diverse and inclusive culture and proud to be a “majority-minority company.” In 2020, we formed a new Diversity, Equity and Inclusion (“DEI”) department within the Company led by a veteran senior executive. The DEI department is supported by our DEI Council, composed of a cross-section of associates and optometrists. In 2020, we focused on reviewing best practices and initiatives and conducted listen and learn sessions with associates and optometrists to solicit feedback and identify opportunity areas. As we move forward in our DEI journey, we are focused on advancing diversity in our recruitment, training, career mentorship and development, employment branding and community service. As a part of these efforts, in 2020, we collaborated with non-profit and educational institutions with the goal of increasing the percentage of Black doctors in the industry, including sponsoring and participating in the first ever “Impact HBCU” event sponsored by Black Eyecare Perspectives with the goal of increasing awareness in the field among HBCU students.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COVID-19 Response</w:t>
      </w:r>
    </w:p>
    <w:p>
      <w:pPr>
        <w:spacing w:after="0" w:line="8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As noted earlier in this proxy statement, the COVID-19 pandemic has presented unique challenges for our associates, doctors, patients and customers. We prioritized the safety of our associates, doctors, patients and customers by voluntarily closing our stores to the public for a temporary period of time in 2020 to implement enhanced safety and cleaning protocols in order to serve our patients and customers with everyone’s health and safety in mind.</w:t>
      </w:r>
    </w:p>
    <w:p>
      <w:pPr>
        <w:spacing w:after="0" w:line="9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We also created multiple resources for associates, including frequent and transparent communication tools, additional leave of absence and paid leave options, and centralized support to address COVID-19 questions and concerns, including regarding the availability of vaccines. We paid one-time appreciation bonuses to customer-facing associates in the third quarter of fiscal year 2020, granted additional company holidays in the fourth quarter of fiscal year 2020 and paid benefits for associates furloughed in response to the COVID-19 pandemic. In addition, contributions to our Crisis Relief Fund more than doubled, reflecting the empathetic nature of our community.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Directors who are our employees do not receive remuneration for serving on our Board. In 2020, our director compensation program consisted of the following:</w:t>
      </w:r>
    </w:p>
    <w:p>
      <w:pPr>
        <w:spacing w:after="0" w:line="117" w:lineRule="exact"/>
        <w:rPr>
          <w:sz w:val="20"/>
          <w:szCs w:val="20"/>
          <w:color w:val="auto"/>
        </w:rPr>
      </w:pPr>
    </w:p>
    <w:p>
      <w:pPr>
        <w:ind w:left="1120" w:hanging="214"/>
        <w:spacing w:after="0"/>
        <w:tabs>
          <w:tab w:leader="none" w:pos="112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Annual cash retainer of $75,000, paid quarterly, in arrears.</w:t>
      </w:r>
    </w:p>
    <w:p>
      <w:pPr>
        <w:spacing w:after="0" w:line="117" w:lineRule="exact"/>
        <w:rPr>
          <w:rFonts w:ascii="Arial" w:cs="Arial" w:eastAsia="Arial" w:hAnsi="Arial"/>
          <w:sz w:val="18"/>
          <w:szCs w:val="18"/>
          <w:color w:val="3C5896"/>
        </w:rPr>
      </w:pPr>
    </w:p>
    <w:p>
      <w:pPr>
        <w:jc w:val="both"/>
        <w:ind w:left="1120" w:hanging="214"/>
        <w:spacing w:after="0"/>
        <w:tabs>
          <w:tab w:leader="none" w:pos="112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The Chair of the audit committee, compensation committee and nominating and corporate governance committee received annual cash retainers of $20,000, $15,000 and $10,000, respectively, paid quarterly, in arrears.</w:t>
      </w:r>
    </w:p>
    <w:p>
      <w:pPr>
        <w:spacing w:after="0" w:line="121"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Annual $100,000 restricted stock grant, which will vest on the first anniversary of the grant date, subject to continued service through the applicable vesting date.</w:t>
      </w:r>
    </w:p>
    <w:p>
      <w:pPr>
        <w:spacing w:after="0" w:line="89"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Our directors are not paid any fees for attending meetings. However, our directors are reimbursed for reasonable travel and related expenses associated with attendance at Board or committee meetings.</w:t>
      </w:r>
    </w:p>
    <w:p>
      <w:pPr>
        <w:spacing w:after="0" w:line="9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compensation committee, with assistance from its independent compensation consultant, reviews the director compensation program regularly to ensure the program is structured consistent with best practices and current trends. As part of this review, the director compensation program is benchmarked against the same compensation peer group used for executive compensation benchmarking, as described later in the Compensation Discussion &amp; Analysis section. The compensation committee last reviewed director compensation in December 2018 and made appropriate changes based upon the results at that time.</w:t>
      </w:r>
    </w:p>
    <w:p>
      <w:pPr>
        <w:spacing w:after="0" w:line="100"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In March 2020, in light of the unprecedented impact of the pandemic, the Board elected to forego their annual cash compensation for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sz w:val="1"/>
          <w:szCs w:val="1"/>
          <w:color w:val="auto"/>
        </w:rPr>
        <w:drawing>
          <wp:inline distT="0" distB="0" distL="0" distR="0">
            <wp:extent cx="299720"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760" w:right="780"/>
        <w:spacing w:after="0" w:line="261" w:lineRule="auto"/>
        <w:rPr>
          <w:sz w:val="20"/>
          <w:szCs w:val="20"/>
          <w:color w:val="auto"/>
        </w:rPr>
      </w:pPr>
      <w:r>
        <w:rPr>
          <w:rFonts w:ascii="Arial" w:cs="Arial" w:eastAsia="Arial" w:hAnsi="Arial"/>
          <w:sz w:val="18"/>
          <w:szCs w:val="18"/>
          <w:color w:val="auto"/>
        </w:rPr>
        <w:t>The following table reflects all cash compensation paid and the aggregate market value of stock awards granted to our non-employee directors for service in fiscal 2020:</w:t>
      </w:r>
    </w:p>
    <w:p>
      <w:pPr>
        <w:spacing w:after="0" w:line="30" w:lineRule="exact"/>
        <w:rPr>
          <w:sz w:val="20"/>
          <w:szCs w:val="20"/>
          <w:color w:val="auto"/>
        </w:rPr>
      </w:pPr>
    </w:p>
    <w:tbl>
      <w:tblPr>
        <w:tblLayout w:type="fixed"/>
        <w:tblInd w:w="770" w:type="dxa"/>
        <w:tblCellMar>
          <w:top w:w="0" w:type="dxa"/>
          <w:left w:w="0" w:type="dxa"/>
          <w:bottom w:w="0" w:type="dxa"/>
          <w:right w:w="0" w:type="dxa"/>
        </w:tblCellMar>
      </w:tblPr>
      <w:tr>
        <w:trPr>
          <w:trHeight w:val="229"/>
        </w:trPr>
        <w:tc>
          <w:tcPr>
            <w:tcW w:w="60" w:type="dxa"/>
            <w:vAlign w:val="bottom"/>
            <w:tcBorders>
              <w:top w:val="single" w:sz="8" w:color="3C5896"/>
              <w:left w:val="single" w:sz="8" w:color="3C5896"/>
            </w:tcBorders>
            <w:shd w:val="clear" w:color="auto" w:fill="3C5896"/>
          </w:tcPr>
          <w:p>
            <w:pPr>
              <w:spacing w:after="0"/>
              <w:rPr>
                <w:sz w:val="19"/>
                <w:szCs w:val="19"/>
                <w:color w:val="auto"/>
              </w:rPr>
            </w:pPr>
          </w:p>
        </w:tc>
        <w:tc>
          <w:tcPr>
            <w:tcW w:w="2640" w:type="dxa"/>
            <w:vAlign w:val="bottom"/>
            <w:tcBorders>
              <w:top w:val="single" w:sz="8" w:color="3C5896"/>
              <w:right w:val="single" w:sz="8" w:color="9EACCA"/>
            </w:tcBorders>
            <w:shd w:val="clear" w:color="auto" w:fill="3C5896"/>
          </w:tcPr>
          <w:p>
            <w:pPr>
              <w:spacing w:after="0"/>
              <w:rPr>
                <w:sz w:val="19"/>
                <w:szCs w:val="19"/>
                <w:color w:val="auto"/>
              </w:rPr>
            </w:pPr>
          </w:p>
        </w:tc>
        <w:tc>
          <w:tcPr>
            <w:tcW w:w="162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Fees earned or</w:t>
            </w:r>
          </w:p>
        </w:tc>
        <w:tc>
          <w:tcPr>
            <w:tcW w:w="162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rPr>
              <w:t>Stock</w:t>
            </w:r>
          </w:p>
        </w:tc>
        <w:tc>
          <w:tcPr>
            <w:tcW w:w="1620" w:type="dxa"/>
            <w:vAlign w:val="bottom"/>
            <w:tcBorders>
              <w:top w:val="single" w:sz="8" w:color="3C5896"/>
              <w:right w:val="single" w:sz="8" w:color="9EACCA"/>
            </w:tcBorders>
            <w:shd w:val="clear" w:color="auto" w:fill="3C5896"/>
          </w:tcPr>
          <w:p>
            <w:pPr>
              <w:jc w:val="right"/>
              <w:ind w:right="390"/>
              <w:spacing w:after="0"/>
              <w:rPr>
                <w:sz w:val="20"/>
                <w:szCs w:val="20"/>
                <w:color w:val="auto"/>
              </w:rPr>
            </w:pPr>
            <w:r>
              <w:rPr>
                <w:rFonts w:ascii="Arial" w:cs="Arial" w:eastAsia="Arial" w:hAnsi="Arial"/>
                <w:sz w:val="18"/>
                <w:szCs w:val="18"/>
                <w:b w:val="1"/>
                <w:bCs w:val="1"/>
                <w:color w:val="FFFFFF"/>
              </w:rPr>
              <w:t>All other</w:t>
            </w:r>
          </w:p>
        </w:tc>
        <w:tc>
          <w:tcPr>
            <w:tcW w:w="40" w:type="dxa"/>
            <w:vAlign w:val="bottom"/>
            <w:tcBorders>
              <w:top w:val="single" w:sz="8" w:color="3C5896"/>
            </w:tcBorders>
            <w:shd w:val="clear" w:color="auto" w:fill="3C5896"/>
          </w:tcPr>
          <w:p>
            <w:pPr>
              <w:spacing w:after="0"/>
              <w:rPr>
                <w:sz w:val="19"/>
                <w:szCs w:val="19"/>
                <w:color w:val="auto"/>
              </w:rPr>
            </w:pPr>
          </w:p>
        </w:tc>
        <w:tc>
          <w:tcPr>
            <w:tcW w:w="1600" w:type="dxa"/>
            <w:vAlign w:val="bottom"/>
            <w:tcBorders>
              <w:top w:val="single" w:sz="8" w:color="3C5896"/>
              <w:right w:val="single" w:sz="8" w:color="3C5896"/>
            </w:tcBorders>
            <w:vMerge w:val="restart"/>
            <w:shd w:val="clear" w:color="auto" w:fill="3C5896"/>
          </w:tcPr>
          <w:p>
            <w:pPr>
              <w:jc w:val="right"/>
              <w:ind w:right="57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176"/>
        </w:trPr>
        <w:tc>
          <w:tcPr>
            <w:tcW w:w="60" w:type="dxa"/>
            <w:vAlign w:val="bottom"/>
            <w:tcBorders>
              <w:left w:val="single" w:sz="8" w:color="3C5896"/>
            </w:tcBorders>
            <w:shd w:val="clear" w:color="auto" w:fill="3C5896"/>
          </w:tcPr>
          <w:p>
            <w:pPr>
              <w:spacing w:after="0"/>
              <w:rPr>
                <w:sz w:val="15"/>
                <w:szCs w:val="15"/>
                <w:color w:val="auto"/>
              </w:rPr>
            </w:pPr>
          </w:p>
        </w:tc>
        <w:tc>
          <w:tcPr>
            <w:tcW w:w="2640" w:type="dxa"/>
            <w:vAlign w:val="bottom"/>
            <w:tcBorders>
              <w:right w:val="single" w:sz="8" w:color="9EACCA"/>
            </w:tcBorders>
            <w:vMerge w:val="restart"/>
            <w:shd w:val="clear" w:color="auto" w:fill="3C5896"/>
          </w:tcPr>
          <w:p>
            <w:pPr>
              <w:ind w:left="1040"/>
              <w:spacing w:after="0"/>
              <w:rPr>
                <w:sz w:val="20"/>
                <w:szCs w:val="20"/>
                <w:color w:val="auto"/>
              </w:rPr>
            </w:pPr>
            <w:r>
              <w:rPr>
                <w:rFonts w:ascii="Arial" w:cs="Arial" w:eastAsia="Arial" w:hAnsi="Arial"/>
                <w:sz w:val="18"/>
                <w:szCs w:val="18"/>
                <w:b w:val="1"/>
                <w:bCs w:val="1"/>
                <w:color w:val="FFFFFF"/>
              </w:rPr>
              <w:t>Name</w:t>
            </w:r>
          </w:p>
        </w:tc>
        <w:tc>
          <w:tcPr>
            <w:tcW w:w="162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7"/>
              </w:rPr>
              <w:t>paid in cash</w:t>
            </w:r>
          </w:p>
        </w:tc>
        <w:tc>
          <w:tcPr>
            <w:tcW w:w="1620" w:type="dxa"/>
            <w:vAlign w:val="bottom"/>
            <w:tcBorders>
              <w:right w:val="single" w:sz="8" w:color="9EACCA"/>
            </w:tcBorders>
            <w:shd w:val="clear" w:color="auto" w:fill="3C5896"/>
          </w:tcPr>
          <w:p>
            <w:pPr>
              <w:jc w:val="center"/>
              <w:spacing w:after="0" w:line="176" w:lineRule="exact"/>
              <w:rPr>
                <w:sz w:val="20"/>
                <w:szCs w:val="20"/>
                <w:color w:val="auto"/>
              </w:rPr>
            </w:pPr>
            <w:r>
              <w:rPr>
                <w:rFonts w:ascii="Arial" w:cs="Arial" w:eastAsia="Arial" w:hAnsi="Arial"/>
                <w:sz w:val="18"/>
                <w:szCs w:val="18"/>
                <w:b w:val="1"/>
                <w:bCs w:val="1"/>
                <w:color w:val="FFFFFF"/>
                <w:w w:val="99"/>
              </w:rPr>
              <w:t>awards</w:t>
            </w:r>
          </w:p>
        </w:tc>
        <w:tc>
          <w:tcPr>
            <w:tcW w:w="1620" w:type="dxa"/>
            <w:vAlign w:val="bottom"/>
            <w:tcBorders>
              <w:right w:val="single" w:sz="8" w:color="9EACCA"/>
            </w:tcBorders>
            <w:shd w:val="clear" w:color="auto" w:fill="3C5896"/>
          </w:tcPr>
          <w:p>
            <w:pPr>
              <w:jc w:val="right"/>
              <w:ind w:right="150"/>
              <w:spacing w:after="0" w:line="176" w:lineRule="exact"/>
              <w:rPr>
                <w:sz w:val="20"/>
                <w:szCs w:val="20"/>
                <w:color w:val="auto"/>
              </w:rPr>
            </w:pPr>
            <w:r>
              <w:rPr>
                <w:rFonts w:ascii="Arial" w:cs="Arial" w:eastAsia="Arial" w:hAnsi="Arial"/>
                <w:sz w:val="18"/>
                <w:szCs w:val="18"/>
                <w:b w:val="1"/>
                <w:bCs w:val="1"/>
                <w:color w:val="FFFFFF"/>
              </w:rPr>
              <w:t>compensation</w:t>
            </w:r>
          </w:p>
        </w:tc>
        <w:tc>
          <w:tcPr>
            <w:tcW w:w="40" w:type="dxa"/>
            <w:vAlign w:val="bottom"/>
            <w:shd w:val="clear" w:color="auto" w:fill="3C5896"/>
          </w:tcPr>
          <w:p>
            <w:pPr>
              <w:spacing w:after="0"/>
              <w:rPr>
                <w:sz w:val="15"/>
                <w:szCs w:val="15"/>
                <w:color w:val="auto"/>
              </w:rPr>
            </w:pPr>
          </w:p>
        </w:tc>
        <w:tc>
          <w:tcPr>
            <w:tcW w:w="1600" w:type="dxa"/>
            <w:vAlign w:val="bottom"/>
            <w:tcBorders>
              <w:right w:val="single" w:sz="8" w:color="3C5896"/>
            </w:tcBorders>
            <w:vMerge w:val="continue"/>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shd w:val="clear" w:color="auto" w:fill="3C5896"/>
          </w:tcPr>
          <w:p>
            <w:pPr>
              <w:spacing w:after="0"/>
              <w:rPr>
                <w:sz w:val="18"/>
                <w:szCs w:val="18"/>
                <w:color w:val="auto"/>
              </w:rPr>
            </w:pPr>
          </w:p>
        </w:tc>
        <w:tc>
          <w:tcPr>
            <w:tcW w:w="2640" w:type="dxa"/>
            <w:vAlign w:val="bottom"/>
            <w:tcBorders>
              <w:right w:val="single" w:sz="8" w:color="9EACCA"/>
            </w:tcBorders>
            <w:vMerge w:val="continue"/>
            <w:shd w:val="clear" w:color="auto" w:fill="3C5896"/>
          </w:tcPr>
          <w:p>
            <w:pPr>
              <w:spacing w:after="0"/>
              <w:rPr>
                <w:sz w:val="18"/>
                <w:szCs w:val="18"/>
                <w:color w:val="auto"/>
              </w:rPr>
            </w:pPr>
          </w:p>
        </w:tc>
        <w:tc>
          <w:tcPr>
            <w:tcW w:w="162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7"/>
                <w:szCs w:val="17"/>
                <w:b w:val="1"/>
                <w:bCs w:val="1"/>
                <w:color w:val="FFFFFF"/>
                <w:w w:val="92"/>
              </w:rPr>
              <w:t>($)</w:t>
            </w:r>
            <w:r>
              <w:rPr>
                <w:rFonts w:ascii="Arial" w:cs="Arial" w:eastAsia="Arial" w:hAnsi="Arial"/>
                <w:sz w:val="25"/>
                <w:szCs w:val="25"/>
                <w:b w:val="1"/>
                <w:bCs w:val="1"/>
                <w:color w:val="FFFFFF"/>
                <w:w w:val="92"/>
                <w:vertAlign w:val="superscript"/>
              </w:rPr>
              <w:t>(1)</w:t>
            </w:r>
          </w:p>
        </w:tc>
        <w:tc>
          <w:tcPr>
            <w:tcW w:w="162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7"/>
                <w:szCs w:val="17"/>
                <w:b w:val="1"/>
                <w:bCs w:val="1"/>
                <w:color w:val="FFFFFF"/>
                <w:w w:val="92"/>
              </w:rPr>
              <w:t>($)</w:t>
            </w:r>
            <w:r>
              <w:rPr>
                <w:rFonts w:ascii="Arial" w:cs="Arial" w:eastAsia="Arial" w:hAnsi="Arial"/>
                <w:sz w:val="25"/>
                <w:szCs w:val="25"/>
                <w:b w:val="1"/>
                <w:bCs w:val="1"/>
                <w:color w:val="FFFFFF"/>
                <w:w w:val="92"/>
                <w:vertAlign w:val="superscript"/>
              </w:rPr>
              <w:t>(2)</w:t>
            </w:r>
          </w:p>
        </w:tc>
        <w:tc>
          <w:tcPr>
            <w:tcW w:w="1620" w:type="dxa"/>
            <w:vAlign w:val="bottom"/>
            <w:tcBorders>
              <w:right w:val="single" w:sz="8" w:color="9EACCA"/>
            </w:tcBorders>
            <w:shd w:val="clear" w:color="auto" w:fill="3C5896"/>
          </w:tcPr>
          <w:p>
            <w:pPr>
              <w:jc w:val="right"/>
              <w:ind w:right="630"/>
              <w:spacing w:after="0"/>
              <w:rPr>
                <w:sz w:val="20"/>
                <w:szCs w:val="20"/>
                <w:color w:val="auto"/>
              </w:rPr>
            </w:pPr>
            <w:r>
              <w:rPr>
                <w:rFonts w:ascii="Arial" w:cs="Arial" w:eastAsia="Arial" w:hAnsi="Arial"/>
                <w:sz w:val="18"/>
                <w:szCs w:val="18"/>
                <w:b w:val="1"/>
                <w:bCs w:val="1"/>
                <w:color w:val="FFFFFF"/>
              </w:rPr>
              <w:t>($)</w:t>
            </w:r>
          </w:p>
        </w:tc>
        <w:tc>
          <w:tcPr>
            <w:tcW w:w="1640" w:type="dxa"/>
            <w:vAlign w:val="bottom"/>
            <w:tcBorders>
              <w:right w:val="single" w:sz="8" w:color="3C5896"/>
            </w:tcBorders>
            <w:gridSpan w:val="2"/>
            <w:shd w:val="clear" w:color="auto" w:fill="3C5896"/>
          </w:tcPr>
          <w:p>
            <w:pPr>
              <w:jc w:val="right"/>
              <w:ind w:right="63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tcPr>
          <w:p>
            <w:pPr>
              <w:spacing w:after="0"/>
              <w:rPr>
                <w:sz w:val="18"/>
                <w:szCs w:val="18"/>
                <w:color w:val="auto"/>
              </w:rPr>
            </w:pPr>
          </w:p>
        </w:tc>
        <w:tc>
          <w:tcPr>
            <w:tcW w:w="2640" w:type="dxa"/>
            <w:vAlign w:val="bottom"/>
            <w:tcBorders>
              <w:right w:val="single" w:sz="8" w:color="9EACCA"/>
            </w:tcBorders>
          </w:tcPr>
          <w:p>
            <w:pPr>
              <w:spacing w:after="0" w:line="216" w:lineRule="exact"/>
              <w:rPr>
                <w:sz w:val="20"/>
                <w:szCs w:val="20"/>
                <w:color w:val="auto"/>
              </w:rPr>
            </w:pPr>
            <w:r>
              <w:rPr>
                <w:rFonts w:ascii="Arial" w:cs="Arial" w:eastAsia="Arial" w:hAnsi="Arial"/>
                <w:sz w:val="17"/>
                <w:szCs w:val="17"/>
                <w:color w:val="auto"/>
              </w:rPr>
              <w:t>D. Randolph Peeler</w:t>
            </w:r>
            <w:r>
              <w:rPr>
                <w:rFonts w:ascii="Arial" w:cs="Arial" w:eastAsia="Arial" w:hAnsi="Arial"/>
                <w:sz w:val="25"/>
                <w:szCs w:val="25"/>
                <w:color w:val="auto"/>
                <w:vertAlign w:val="superscript"/>
              </w:rPr>
              <w:t>(3)</w:t>
            </w:r>
          </w:p>
        </w:tc>
        <w:tc>
          <w:tcPr>
            <w:tcW w:w="16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8"/>
              </w:rPr>
              <w:t>56,250</w:t>
            </w:r>
          </w:p>
        </w:tc>
        <w:tc>
          <w:tcPr>
            <w:tcW w:w="1620" w:type="dxa"/>
            <w:vAlign w:val="bottom"/>
            <w:tcBorders>
              <w:right w:val="single" w:sz="8" w:color="9EACCA"/>
            </w:tcBorders>
          </w:tcPr>
          <w:p>
            <w:pPr>
              <w:jc w:val="right"/>
              <w:ind w:right="41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tcPr>
          <w:p>
            <w:pPr>
              <w:jc w:val="right"/>
              <w:ind w:right="63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tcPr>
          <w:p>
            <w:pPr>
              <w:jc w:val="right"/>
              <w:ind w:right="410"/>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shd w:val="clear" w:color="auto" w:fill="CCCCCC"/>
          </w:tcPr>
          <w:p>
            <w:pPr>
              <w:spacing w:after="0"/>
              <w:rPr>
                <w:sz w:val="17"/>
                <w:szCs w:val="17"/>
                <w:color w:val="auto"/>
              </w:rPr>
            </w:pPr>
          </w:p>
        </w:tc>
        <w:tc>
          <w:tcPr>
            <w:tcW w:w="2640" w:type="dxa"/>
            <w:vAlign w:val="bottom"/>
            <w:tcBorders>
              <w:right w:val="single" w:sz="8" w:color="9EACCA"/>
            </w:tcBorders>
            <w:shd w:val="clear" w:color="auto" w:fill="CCCCCC"/>
          </w:tcPr>
          <w:p>
            <w:pPr>
              <w:spacing w:after="0" w:line="202" w:lineRule="exact"/>
              <w:rPr>
                <w:sz w:val="20"/>
                <w:szCs w:val="20"/>
                <w:color w:val="auto"/>
              </w:rPr>
            </w:pPr>
            <w:r>
              <w:rPr>
                <w:rFonts w:ascii="Arial" w:cs="Arial" w:eastAsia="Arial" w:hAnsi="Arial"/>
                <w:sz w:val="18"/>
                <w:szCs w:val="18"/>
                <w:color w:val="auto"/>
              </w:rPr>
              <w:t>Heather Cianfrocco</w:t>
            </w:r>
          </w:p>
        </w:tc>
        <w:tc>
          <w:tcPr>
            <w:tcW w:w="1620" w:type="dxa"/>
            <w:vAlign w:val="bottom"/>
            <w:tcBorders>
              <w:right w:val="single" w:sz="8" w:color="9EACCA"/>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8"/>
              </w:rPr>
              <w:t>56,250</w:t>
            </w:r>
          </w:p>
        </w:tc>
        <w:tc>
          <w:tcPr>
            <w:tcW w:w="1620" w:type="dxa"/>
            <w:vAlign w:val="bottom"/>
            <w:tcBorders>
              <w:right w:val="single" w:sz="8" w:color="9EACCA"/>
            </w:tcBorders>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shd w:val="clear" w:color="auto" w:fill="CCCCC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156,250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2640" w:type="dxa"/>
            <w:vAlign w:val="bottom"/>
            <w:tcBorders>
              <w:right w:val="single" w:sz="8" w:color="9EACCA"/>
            </w:tcBorders>
          </w:tcPr>
          <w:p>
            <w:pPr>
              <w:spacing w:after="0" w:line="202" w:lineRule="exact"/>
              <w:rPr>
                <w:sz w:val="20"/>
                <w:szCs w:val="20"/>
                <w:color w:val="auto"/>
              </w:rPr>
            </w:pPr>
            <w:r>
              <w:rPr>
                <w:rFonts w:ascii="Arial" w:cs="Arial" w:eastAsia="Arial" w:hAnsi="Arial"/>
                <w:sz w:val="18"/>
                <w:szCs w:val="18"/>
                <w:color w:val="auto"/>
              </w:rPr>
              <w:t>Virginia A. Hepner</w:t>
            </w:r>
          </w:p>
        </w:tc>
        <w:tc>
          <w:tcPr>
            <w:tcW w:w="1620" w:type="dxa"/>
            <w:vAlign w:val="bottom"/>
            <w:tcBorders>
              <w:right w:val="single" w:sz="8" w:color="9EACCA"/>
            </w:tcBorders>
          </w:tcPr>
          <w:p>
            <w:pPr>
              <w:jc w:val="center"/>
              <w:spacing w:after="0" w:line="202" w:lineRule="exact"/>
              <w:rPr>
                <w:sz w:val="20"/>
                <w:szCs w:val="20"/>
                <w:color w:val="auto"/>
              </w:rPr>
            </w:pPr>
            <w:r>
              <w:rPr>
                <w:rFonts w:ascii="Arial" w:cs="Arial" w:eastAsia="Arial" w:hAnsi="Arial"/>
                <w:sz w:val="18"/>
                <w:szCs w:val="18"/>
                <w:color w:val="auto"/>
                <w:w w:val="98"/>
              </w:rPr>
              <w:t>63,750</w:t>
            </w:r>
          </w:p>
        </w:tc>
        <w:tc>
          <w:tcPr>
            <w:tcW w:w="1620" w:type="dxa"/>
            <w:vAlign w:val="bottom"/>
            <w:tcBorders>
              <w:right w:val="single" w:sz="8" w:color="9EACCA"/>
            </w:tcBorders>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tcPr>
          <w:p>
            <w:pPr>
              <w:jc w:val="right"/>
              <w:ind w:right="410"/>
              <w:spacing w:after="0" w:line="202" w:lineRule="exact"/>
              <w:rPr>
                <w:sz w:val="20"/>
                <w:szCs w:val="20"/>
                <w:color w:val="auto"/>
              </w:rPr>
            </w:pPr>
            <w:r>
              <w:rPr>
                <w:rFonts w:ascii="Arial" w:cs="Arial" w:eastAsia="Arial" w:hAnsi="Arial"/>
                <w:sz w:val="18"/>
                <w:szCs w:val="18"/>
                <w:color w:val="auto"/>
              </w:rPr>
              <w:t>156,250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shd w:val="clear" w:color="auto" w:fill="CCCCCC"/>
          </w:tcPr>
          <w:p>
            <w:pPr>
              <w:spacing w:after="0"/>
              <w:rPr>
                <w:sz w:val="17"/>
                <w:szCs w:val="17"/>
                <w:color w:val="auto"/>
              </w:rPr>
            </w:pPr>
          </w:p>
        </w:tc>
        <w:tc>
          <w:tcPr>
            <w:tcW w:w="2640" w:type="dxa"/>
            <w:vAlign w:val="bottom"/>
            <w:tcBorders>
              <w:right w:val="single" w:sz="8" w:color="9EACCA"/>
            </w:tcBorders>
            <w:shd w:val="clear" w:color="auto" w:fill="CCCCCC"/>
          </w:tcPr>
          <w:p>
            <w:pPr>
              <w:spacing w:after="0" w:line="202" w:lineRule="exact"/>
              <w:rPr>
                <w:sz w:val="20"/>
                <w:szCs w:val="20"/>
                <w:color w:val="auto"/>
              </w:rPr>
            </w:pPr>
            <w:r>
              <w:rPr>
                <w:rFonts w:ascii="Arial" w:cs="Arial" w:eastAsia="Arial" w:hAnsi="Arial"/>
                <w:sz w:val="18"/>
                <w:szCs w:val="18"/>
                <w:color w:val="auto"/>
              </w:rPr>
              <w:t>Susan S. Johnson</w:t>
            </w:r>
          </w:p>
        </w:tc>
        <w:tc>
          <w:tcPr>
            <w:tcW w:w="1620" w:type="dxa"/>
            <w:vAlign w:val="bottom"/>
            <w:tcBorders>
              <w:right w:val="single" w:sz="8" w:color="9EACCA"/>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8"/>
              </w:rPr>
              <w:t>18,750</w:t>
            </w:r>
          </w:p>
        </w:tc>
        <w:tc>
          <w:tcPr>
            <w:tcW w:w="1620" w:type="dxa"/>
            <w:vAlign w:val="bottom"/>
            <w:tcBorders>
              <w:right w:val="single" w:sz="8" w:color="9EACCA"/>
            </w:tcBorders>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shd w:val="clear" w:color="auto" w:fill="CCCCC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118,750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2640" w:type="dxa"/>
            <w:vAlign w:val="bottom"/>
            <w:tcBorders>
              <w:right w:val="single" w:sz="8" w:color="9EACCA"/>
            </w:tcBorders>
          </w:tcPr>
          <w:p>
            <w:pPr>
              <w:spacing w:after="0" w:line="202" w:lineRule="exact"/>
              <w:rPr>
                <w:sz w:val="20"/>
                <w:szCs w:val="20"/>
                <w:color w:val="auto"/>
              </w:rPr>
            </w:pPr>
            <w:r>
              <w:rPr>
                <w:rFonts w:ascii="Arial" w:cs="Arial" w:eastAsia="Arial" w:hAnsi="Arial"/>
                <w:sz w:val="18"/>
                <w:szCs w:val="18"/>
                <w:color w:val="auto"/>
              </w:rPr>
              <w:t>Naomi Kelman</w:t>
            </w:r>
          </w:p>
        </w:tc>
        <w:tc>
          <w:tcPr>
            <w:tcW w:w="1620" w:type="dxa"/>
            <w:vAlign w:val="bottom"/>
            <w:tcBorders>
              <w:right w:val="single" w:sz="8" w:color="9EACCA"/>
            </w:tcBorders>
          </w:tcPr>
          <w:p>
            <w:pPr>
              <w:jc w:val="center"/>
              <w:spacing w:after="0" w:line="202" w:lineRule="exact"/>
              <w:rPr>
                <w:sz w:val="20"/>
                <w:szCs w:val="20"/>
                <w:color w:val="auto"/>
              </w:rPr>
            </w:pPr>
            <w:r>
              <w:rPr>
                <w:rFonts w:ascii="Arial" w:cs="Arial" w:eastAsia="Arial" w:hAnsi="Arial"/>
                <w:sz w:val="18"/>
                <w:szCs w:val="18"/>
                <w:color w:val="auto"/>
                <w:w w:val="98"/>
              </w:rPr>
              <w:t>25,000</w:t>
            </w:r>
          </w:p>
        </w:tc>
        <w:tc>
          <w:tcPr>
            <w:tcW w:w="1620" w:type="dxa"/>
            <w:vAlign w:val="bottom"/>
            <w:tcBorders>
              <w:right w:val="single" w:sz="8" w:color="9EACCA"/>
            </w:tcBorders>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tcPr>
          <w:p>
            <w:pPr>
              <w:jc w:val="right"/>
              <w:ind w:right="410"/>
              <w:spacing w:after="0" w:line="202" w:lineRule="exact"/>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shd w:val="clear" w:color="auto" w:fill="CCCCCC"/>
          </w:tcPr>
          <w:p>
            <w:pPr>
              <w:spacing w:after="0"/>
              <w:rPr>
                <w:sz w:val="17"/>
                <w:szCs w:val="17"/>
                <w:color w:val="auto"/>
              </w:rPr>
            </w:pPr>
          </w:p>
        </w:tc>
        <w:tc>
          <w:tcPr>
            <w:tcW w:w="2640" w:type="dxa"/>
            <w:vAlign w:val="bottom"/>
            <w:tcBorders>
              <w:right w:val="single" w:sz="8" w:color="9EACCA"/>
            </w:tcBorders>
            <w:shd w:val="clear" w:color="auto" w:fill="CCCCCC"/>
          </w:tcPr>
          <w:p>
            <w:pPr>
              <w:spacing w:after="0" w:line="202" w:lineRule="exact"/>
              <w:rPr>
                <w:sz w:val="20"/>
                <w:szCs w:val="20"/>
                <w:color w:val="auto"/>
              </w:rPr>
            </w:pPr>
            <w:r>
              <w:rPr>
                <w:rFonts w:ascii="Arial" w:cs="Arial" w:eastAsia="Arial" w:hAnsi="Arial"/>
                <w:sz w:val="18"/>
                <w:szCs w:val="18"/>
                <w:color w:val="auto"/>
              </w:rPr>
              <w:t>Thomas V. Taylor, Jr.</w:t>
            </w:r>
          </w:p>
        </w:tc>
        <w:tc>
          <w:tcPr>
            <w:tcW w:w="1620" w:type="dxa"/>
            <w:vAlign w:val="bottom"/>
            <w:tcBorders>
              <w:right w:val="single" w:sz="8" w:color="9EACCA"/>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8"/>
              </w:rPr>
              <w:t>67,500</w:t>
            </w:r>
          </w:p>
        </w:tc>
        <w:tc>
          <w:tcPr>
            <w:tcW w:w="1620" w:type="dxa"/>
            <w:vAlign w:val="bottom"/>
            <w:tcBorders>
              <w:right w:val="single" w:sz="8" w:color="9EACCA"/>
            </w:tcBorders>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shd w:val="clear" w:color="auto" w:fill="CCCCC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shd w:val="clear" w:color="auto" w:fill="CCCCCC"/>
          </w:tcPr>
          <w:p>
            <w:pPr>
              <w:jc w:val="right"/>
              <w:ind w:right="410"/>
              <w:spacing w:after="0" w:line="202" w:lineRule="exact"/>
              <w:rPr>
                <w:sz w:val="20"/>
                <w:szCs w:val="20"/>
                <w:color w:val="auto"/>
              </w:rPr>
            </w:pPr>
            <w:r>
              <w:rPr>
                <w:rFonts w:ascii="Arial" w:cs="Arial" w:eastAsia="Arial" w:hAnsi="Arial"/>
                <w:sz w:val="18"/>
                <w:szCs w:val="18"/>
                <w:color w:val="auto"/>
              </w:rPr>
              <w:t>156,250</w:t>
            </w:r>
          </w:p>
        </w:tc>
        <w:tc>
          <w:tcPr>
            <w:tcW w:w="0" w:type="dxa"/>
            <w:vAlign w:val="bottom"/>
          </w:tcPr>
          <w:p>
            <w:pPr>
              <w:spacing w:after="0"/>
              <w:rPr>
                <w:sz w:val="1"/>
                <w:szCs w:val="1"/>
                <w:color w:val="auto"/>
              </w:rPr>
            </w:pPr>
          </w:p>
        </w:tc>
      </w:tr>
      <w:tr>
        <w:trPr>
          <w:trHeight w:val="203"/>
        </w:trPr>
        <w:tc>
          <w:tcPr>
            <w:tcW w:w="60" w:type="dxa"/>
            <w:vAlign w:val="bottom"/>
            <w:tcBorders>
              <w:left w:val="single" w:sz="8" w:color="3C5896"/>
            </w:tcBorders>
          </w:tcPr>
          <w:p>
            <w:pPr>
              <w:spacing w:after="0"/>
              <w:rPr>
                <w:sz w:val="17"/>
                <w:szCs w:val="17"/>
                <w:color w:val="auto"/>
              </w:rPr>
            </w:pPr>
          </w:p>
        </w:tc>
        <w:tc>
          <w:tcPr>
            <w:tcW w:w="2640" w:type="dxa"/>
            <w:vAlign w:val="bottom"/>
            <w:tcBorders>
              <w:right w:val="single" w:sz="8" w:color="9EACCA"/>
            </w:tcBorders>
          </w:tcPr>
          <w:p>
            <w:pPr>
              <w:spacing w:after="0" w:line="202" w:lineRule="exact"/>
              <w:rPr>
                <w:sz w:val="20"/>
                <w:szCs w:val="20"/>
                <w:color w:val="auto"/>
              </w:rPr>
            </w:pPr>
            <w:r>
              <w:rPr>
                <w:rFonts w:ascii="Arial" w:cs="Arial" w:eastAsia="Arial" w:hAnsi="Arial"/>
                <w:sz w:val="18"/>
                <w:szCs w:val="18"/>
                <w:color w:val="auto"/>
              </w:rPr>
              <w:t>David M. Tehle</w:t>
            </w:r>
          </w:p>
        </w:tc>
        <w:tc>
          <w:tcPr>
            <w:tcW w:w="1620" w:type="dxa"/>
            <w:vAlign w:val="bottom"/>
            <w:tcBorders>
              <w:right w:val="single" w:sz="8" w:color="9EACCA"/>
            </w:tcBorders>
          </w:tcPr>
          <w:p>
            <w:pPr>
              <w:jc w:val="center"/>
              <w:spacing w:after="0" w:line="202" w:lineRule="exact"/>
              <w:rPr>
                <w:sz w:val="20"/>
                <w:szCs w:val="20"/>
                <w:color w:val="auto"/>
              </w:rPr>
            </w:pPr>
            <w:r>
              <w:rPr>
                <w:rFonts w:ascii="Arial" w:cs="Arial" w:eastAsia="Arial" w:hAnsi="Arial"/>
                <w:sz w:val="18"/>
                <w:szCs w:val="18"/>
                <w:color w:val="auto"/>
                <w:w w:val="98"/>
              </w:rPr>
              <w:t>71,250</w:t>
            </w:r>
          </w:p>
        </w:tc>
        <w:tc>
          <w:tcPr>
            <w:tcW w:w="1620" w:type="dxa"/>
            <w:vAlign w:val="bottom"/>
            <w:tcBorders>
              <w:right w:val="single" w:sz="8" w:color="9EACCA"/>
            </w:tcBorders>
          </w:tcPr>
          <w:p>
            <w:pPr>
              <w:jc w:val="right"/>
              <w:ind w:right="410"/>
              <w:spacing w:after="0" w:line="202" w:lineRule="exact"/>
              <w:rPr>
                <w:sz w:val="20"/>
                <w:szCs w:val="20"/>
                <w:color w:val="auto"/>
              </w:rPr>
            </w:pPr>
            <w:r>
              <w:rPr>
                <w:rFonts w:ascii="Arial" w:cs="Arial" w:eastAsia="Arial" w:hAnsi="Arial"/>
                <w:sz w:val="18"/>
                <w:szCs w:val="18"/>
                <w:color w:val="auto"/>
              </w:rPr>
              <w:t>100,000</w:t>
            </w:r>
          </w:p>
        </w:tc>
        <w:tc>
          <w:tcPr>
            <w:tcW w:w="1620" w:type="dxa"/>
            <w:vAlign w:val="bottom"/>
            <w:tcBorders>
              <w:right w:val="single" w:sz="8" w:color="9EACCA"/>
            </w:tcBorders>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gridSpan w:val="2"/>
          </w:tcPr>
          <w:p>
            <w:pPr>
              <w:jc w:val="right"/>
              <w:ind w:right="410"/>
              <w:spacing w:after="0" w:line="202" w:lineRule="exact"/>
              <w:rPr>
                <w:sz w:val="20"/>
                <w:szCs w:val="20"/>
                <w:color w:val="auto"/>
              </w:rPr>
            </w:pPr>
            <w:r>
              <w:rPr>
                <w:rFonts w:ascii="Arial" w:cs="Arial" w:eastAsia="Arial" w:hAnsi="Arial"/>
                <w:sz w:val="18"/>
                <w:szCs w:val="18"/>
                <w:color w:val="auto"/>
              </w:rPr>
              <w:t>171,250</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bottom w:val="single" w:sz="8" w:color="3C5896"/>
            </w:tcBorders>
            <w:shd w:val="clear" w:color="auto" w:fill="CCCCCC"/>
          </w:tcPr>
          <w:p>
            <w:pPr>
              <w:spacing w:after="0"/>
              <w:rPr>
                <w:sz w:val="23"/>
                <w:szCs w:val="23"/>
                <w:color w:val="auto"/>
              </w:rPr>
            </w:pPr>
          </w:p>
        </w:tc>
        <w:tc>
          <w:tcPr>
            <w:tcW w:w="2640" w:type="dxa"/>
            <w:vAlign w:val="bottom"/>
            <w:tcBorders>
              <w:bottom w:val="single" w:sz="8" w:color="3C5896"/>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Nathaniel H. Taylor</w:t>
            </w:r>
            <w:r>
              <w:rPr>
                <w:rFonts w:ascii="Arial" w:cs="Arial" w:eastAsia="Arial" w:hAnsi="Arial"/>
                <w:sz w:val="26"/>
                <w:szCs w:val="26"/>
                <w:color w:val="auto"/>
                <w:vertAlign w:val="superscript"/>
              </w:rPr>
              <w:t>(4)</w:t>
            </w:r>
          </w:p>
        </w:tc>
        <w:tc>
          <w:tcPr>
            <w:tcW w:w="1620" w:type="dxa"/>
            <w:vAlign w:val="bottom"/>
            <w:tcBorders>
              <w:bottom w:val="single" w:sz="8" w:color="3C5896"/>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8"/>
              </w:rPr>
              <w:t>37,500</w:t>
            </w:r>
          </w:p>
        </w:tc>
        <w:tc>
          <w:tcPr>
            <w:tcW w:w="1620" w:type="dxa"/>
            <w:vAlign w:val="bottom"/>
            <w:tcBorders>
              <w:bottom w:val="single" w:sz="8" w:color="3C5896"/>
              <w:right w:val="single" w:sz="8" w:color="9EACCA"/>
            </w:tcBorders>
            <w:shd w:val="clear" w:color="auto" w:fill="CCCCCC"/>
          </w:tcPr>
          <w:p>
            <w:pPr>
              <w:jc w:val="right"/>
              <w:ind w:right="4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3C5896"/>
              <w:right w:val="single" w:sz="8" w:color="9EACCA"/>
            </w:tcBorders>
            <w:shd w:val="clear" w:color="auto" w:fill="CCCCCC"/>
          </w:tcPr>
          <w:p>
            <w:pPr>
              <w:jc w:val="right"/>
              <w:ind w:right="6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3C5896"/>
              <w:right w:val="single" w:sz="8" w:color="3C5896"/>
            </w:tcBorders>
            <w:gridSpan w:val="2"/>
            <w:shd w:val="clear" w:color="auto" w:fill="CCCCCC"/>
          </w:tcPr>
          <w:p>
            <w:pPr>
              <w:jc w:val="right"/>
              <w:ind w:right="41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-1087755</wp:posOffset>
            </wp:positionV>
            <wp:extent cx="58204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44" w:lineRule="exact"/>
        <w:rPr>
          <w:sz w:val="20"/>
          <w:szCs w:val="20"/>
          <w:color w:val="auto"/>
        </w:rPr>
      </w:pPr>
    </w:p>
    <w:p>
      <w:pPr>
        <w:jc w:val="both"/>
        <w:ind w:left="1120" w:right="760" w:hanging="358"/>
        <w:spacing w:after="0" w:line="249" w:lineRule="auto"/>
        <w:tabs>
          <w:tab w:leader="none" w:pos="1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all annual retainer fees paid in cash to the directors, including the voluntary election by the Board to forego their cash compensation for the second quarter of 2020 in response to the pandemic. In lieu of receiving cash retainers, Messrs. N. Taylor and Peeler donated their cash retainers to 20/20 Quest, a National Vision sponsored charitable foundation. Ms. Cianfrocco donated $28,125 of her cash retainer to 20/20 Quest.</w:t>
      </w:r>
    </w:p>
    <w:p>
      <w:pPr>
        <w:spacing w:after="0" w:line="53" w:lineRule="exact"/>
        <w:rPr>
          <w:rFonts w:ascii="Arial" w:cs="Arial" w:eastAsia="Arial" w:hAnsi="Arial"/>
          <w:sz w:val="15"/>
          <w:szCs w:val="15"/>
          <w:color w:val="auto"/>
        </w:rPr>
      </w:pPr>
    </w:p>
    <w:p>
      <w:pPr>
        <w:jc w:val="both"/>
        <w:ind w:left="1120" w:right="760" w:hanging="358"/>
        <w:spacing w:after="0" w:line="245" w:lineRule="auto"/>
        <w:tabs>
          <w:tab w:leader="none" w:pos="1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 reported reflects the grant date fair value calculated in accordance with Financial Accounting Standards Board Accounting Standards Codification Topic 718, Compensation—Stock Compensation (“ASC Topic 718”) associated with the grant to each director as of such grant date. See Note 5 of the Notes to Consolidated Financial Statements contained in the Company’s 2020 Form 10-K for an explanation of the assumptions made in the valuation of these awards. The grant date fair value of the annual award that was granted on June 11, 2020 for all directors (other than Ms. Johnson and Ms. Kelman) was $100,000 for the 3,632 shares of restricted stock granted to such directors. The grant date fair value of the 2,687 shares of restricted stock granted to Ms. Kelman in September 2020 was $100,000. The grant date fair value of the 2,368 shares of restricted stock granted to Ms. Johnson in October 2020 was $100,000. As of January 2, 2021, Ms. Cianfrocco held 3,632 shares of unvested restricted stock, Ms. Hepner held 4,420 shares of unvested restricted stock, Ms. Johnson held 2,368 shares of unvested restricted stock, Ms. Kelman held 2,687 shares of unvested restricted stock, Mr. T. Taylor held 4,365 shares of unvested restricted stock and Mr. Tehle held 4,510 shares of unvested restricted stock.</w:t>
      </w:r>
    </w:p>
    <w:p>
      <w:pPr>
        <w:spacing w:after="0" w:line="61" w:lineRule="exact"/>
        <w:rPr>
          <w:rFonts w:ascii="Arial" w:cs="Arial" w:eastAsia="Arial" w:hAnsi="Arial"/>
          <w:sz w:val="15"/>
          <w:szCs w:val="15"/>
          <w:color w:val="auto"/>
        </w:rPr>
      </w:pPr>
    </w:p>
    <w:p>
      <w:pPr>
        <w:jc w:val="both"/>
        <w:ind w:left="1120" w:right="760" w:hanging="358"/>
        <w:spacing w:after="0" w:line="244" w:lineRule="auto"/>
        <w:tabs>
          <w:tab w:leader="none" w:pos="1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At the request of Mr. Peeler, the compensation committee approved in June 2019 a program in which (i) in lieu of paying his cash retainer for Board service and any committee chairperson service directly to Mr. Peeler, the Company would instead make a quarterly donation of such retainer in Mr. Peeler’s name to the Company’s foundation or another charity of his choosing and</w:t>
      </w:r>
    </w:p>
    <w:p>
      <w:pPr>
        <w:ind w:left="1120" w:right="780" w:firstLine="2"/>
        <w:spacing w:after="0" w:line="260" w:lineRule="auto"/>
        <w:tabs>
          <w:tab w:leader="none" w:pos="1367" w:val="left"/>
        </w:tabs>
        <w:numPr>
          <w:ilvl w:val="1"/>
          <w:numId w:val="17"/>
        </w:numPr>
        <w:rPr>
          <w:rFonts w:ascii="Arial" w:cs="Arial" w:eastAsia="Arial" w:hAnsi="Arial"/>
          <w:sz w:val="15"/>
          <w:szCs w:val="15"/>
          <w:color w:val="auto"/>
        </w:rPr>
      </w:pPr>
      <w:r>
        <w:rPr>
          <w:rFonts w:ascii="Arial" w:cs="Arial" w:eastAsia="Arial" w:hAnsi="Arial"/>
          <w:sz w:val="15"/>
          <w:szCs w:val="15"/>
          <w:color w:val="auto"/>
        </w:rPr>
        <w:t>Mr. Peeler would not receive the restricted stock award to which non-employee directors are entitled under the director compensation program.</w:t>
      </w:r>
    </w:p>
    <w:p>
      <w:pPr>
        <w:spacing w:after="0" w:line="58" w:lineRule="exact"/>
        <w:rPr>
          <w:rFonts w:ascii="Arial" w:cs="Arial" w:eastAsia="Arial" w:hAnsi="Arial"/>
          <w:sz w:val="15"/>
          <w:szCs w:val="15"/>
          <w:color w:val="auto"/>
        </w:rPr>
      </w:pPr>
    </w:p>
    <w:p>
      <w:pPr>
        <w:jc w:val="both"/>
        <w:ind w:left="1120" w:right="760" w:hanging="358"/>
        <w:spacing w:after="0" w:line="248" w:lineRule="auto"/>
        <w:tabs>
          <w:tab w:leader="none" w:pos="1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Mr. N. Taylor retired from the Board in September 2020. At the request of Mr. N. Taylor, the compensation committee approved in September 2019 a program in which (i) in lieu of paying his cash retainer for Board service and any committee chairperson service directly to Mr. N. Taylor, the Company would instead make a quarterly donation of such retainer in Mr. N. Taylor’s name to the Company’s foundation or another charity of his choosing and (ii) Mr. N. Taylor would not receive the restricted stock award to which non-employee directors are entitled under the director compensation program.</w:t>
      </w:r>
    </w:p>
    <w:p>
      <w:pPr>
        <w:spacing w:after="0" w:line="295"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i w:val="1"/>
          <w:iCs w:val="1"/>
          <w:color w:val="auto"/>
        </w:rPr>
        <w:t xml:space="preserve">Director Stock Ownership Guidelines. </w:t>
      </w:r>
      <w:r>
        <w:rPr>
          <w:rFonts w:ascii="Arial" w:cs="Arial" w:eastAsia="Arial" w:hAnsi="Arial"/>
          <w:sz w:val="18"/>
          <w:szCs w:val="18"/>
          <w:color w:val="auto"/>
        </w:rPr>
        <w:t>In February 2019, the Board of Directors adopted stock ownership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“Guidelines”) applicable to our executive officers and directors who are not members of management and who are not affiliated with KKR and Berkshire (the “Covered Directors”). Under the Guidelines, Covered Directors are required to hold a specific level of equity ownership, as a multiple of annual cash retainer. The Guidelines currently require Covered Directors to hold 5x the annual cash retainer. There is no required time frame within which a Covered Director must attain the applicable stock ownership level under the Guidelines. However, until the applicable ownership level is achieved, Covered Directors must retain 50% of vested shares net of stock option exercise and tax withholding. Shares that count toward these ownership guidelines include shares owned outright, shares held in the Company’s 401(k) or other retirement plan, shares of time-based restricted stock (whether vested or unvested) and vested stock options issued prior to the Company’s IPO. The retention requirement applies to all prior and future grants. As of January 2, 2021, Messrs. Fahs, Peeler and Tehle have met or exceeded their current ownership requirements and the remaining directors are subject to the restrictions in the guidelines until their ownership requirements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1039495</wp:posOffset>
            </wp:positionV>
            <wp:extent cx="300355"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23</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8" w:lineRule="exact"/>
        <w:rPr>
          <w:sz w:val="20"/>
          <w:szCs w:val="20"/>
          <w:color w:val="auto"/>
        </w:rPr>
      </w:pPr>
    </w:p>
    <w:p>
      <w:pPr>
        <w:ind w:left="760" w:right="1340"/>
        <w:spacing w:after="0" w:line="235" w:lineRule="auto"/>
        <w:rPr>
          <w:sz w:val="20"/>
          <w:szCs w:val="20"/>
          <w:color w:val="auto"/>
        </w:rPr>
      </w:pPr>
      <w:r>
        <w:rPr>
          <w:rFonts w:ascii="Arial" w:cs="Arial" w:eastAsia="Arial" w:hAnsi="Arial"/>
          <w:sz w:val="32"/>
          <w:szCs w:val="32"/>
          <w:color w:val="auto"/>
        </w:rPr>
        <w:t>PROPOSAL NO. 2—AMENDMENT TO THE SECOND AMENDED AND RESTATED CERTIFICATE OF INCORPORATION TO ELIMINATE THE CLASSIFIED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76835</wp:posOffset>
            </wp:positionV>
            <wp:extent cx="5837555" cy="1183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37555" cy="1183005"/>
                    </a:xfrm>
                    <a:prstGeom prst="rect">
                      <a:avLst/>
                    </a:prstGeom>
                    <a:noFill/>
                  </pic:spPr>
                </pic:pic>
              </a:graphicData>
            </a:graphic>
          </wp:anchor>
        </w:drawing>
      </w:r>
    </w:p>
    <w:p>
      <w:pPr>
        <w:spacing w:after="0" w:line="159" w:lineRule="exact"/>
        <w:rPr>
          <w:sz w:val="20"/>
          <w:szCs w:val="20"/>
          <w:color w:val="auto"/>
        </w:rPr>
      </w:pPr>
    </w:p>
    <w:p>
      <w:pPr>
        <w:ind w:left="820" w:right="100"/>
        <w:spacing w:after="0" w:line="29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1"/>
          <w:szCs w:val="11"/>
          <w:b w:val="1"/>
          <w:bCs w:val="1"/>
          <w:color w:val="auto"/>
        </w:rPr>
        <w:t>HAT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w:t>
      </w:r>
      <w:r>
        <w:rPr>
          <w:rFonts w:ascii="Arial" w:cs="Arial" w:eastAsia="Arial" w:hAnsi="Arial"/>
          <w:sz w:val="17"/>
          <w:szCs w:val="17"/>
          <w:b w:val="1"/>
          <w:bCs w:val="1"/>
          <w:color w:val="auto"/>
        </w:rPr>
        <w:t xml:space="preserve"> I </w:t>
      </w:r>
      <w:r>
        <w:rPr>
          <w:rFonts w:ascii="Arial" w:cs="Arial" w:eastAsia="Arial" w:hAnsi="Arial"/>
          <w:sz w:val="11"/>
          <w:szCs w:val="11"/>
          <w:b w:val="1"/>
          <w:bCs w:val="1"/>
          <w:color w:val="auto"/>
        </w:rPr>
        <w:t>VOTING ON</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are being asked to approve an amendment to our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eliminate the classified structure of the Board of Directors and to provide for the annual election of directors beginning at the 2022 annual meeting, with all directors standing for election annually by the 2024 annual meeting.</w:t>
      </w:r>
    </w:p>
    <w:p>
      <w:pPr>
        <w:spacing w:after="0" w:line="2" w:lineRule="exact"/>
        <w:rPr>
          <w:sz w:val="20"/>
          <w:szCs w:val="20"/>
          <w:color w:val="auto"/>
        </w:rPr>
      </w:pPr>
    </w:p>
    <w:p>
      <w:pPr>
        <w:ind w:left="820" w:right="640"/>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an amendment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to eliminate the classified structure of the Board of Directors.</w:t>
      </w:r>
    </w:p>
    <w:p>
      <w:pPr>
        <w:spacing w:after="0" w:line="1" w:lineRule="exact"/>
        <w:rPr>
          <w:sz w:val="20"/>
          <w:szCs w:val="20"/>
          <w:color w:val="auto"/>
        </w:rPr>
      </w:pPr>
    </w:p>
    <w:p>
      <w:pPr>
        <w:ind w:left="820" w:right="180"/>
        <w:spacing w:after="0" w:line="227"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must be approved by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stock of the Company entitled to vote on such proposal.</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Background</w:t>
      </w:r>
    </w:p>
    <w:p>
      <w:pPr>
        <w:spacing w:after="0" w:line="207"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Our Second Amended and Restated Certificate of Incorporation (the “certificate of incorporation”) currently provides for a classified Board divided into three classes of directors, with each class elected for staggered three-year terms. In our 2020 proxy statement, the Board committed, upon the recommendation of the nominating and corporate governance committee, to submit for stockholder vote at our 2021 annual meeting a management proposal to amend our certificate of incorporation to eliminate the classified structure of the Board. At the time of our IPO, the Board believed that a classified board structure was an important piece of the Company’s governance structure in order to promote continuity and stability and was in the best interests of the Company and its stockholders.</w:t>
      </w:r>
    </w:p>
    <w:p>
      <w:pPr>
        <w:spacing w:after="0" w:line="95"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Our Board carefully considered the classified board structure compared to an annual voting standard for the election of directors, analyzed current corporate governance trends, and evaluated the appropriateness of a classified Board in light of our overall corporate governance structure and ongoing stockholder engagement efforts.</w:t>
      </w:r>
    </w:p>
    <w:p>
      <w:pPr>
        <w:spacing w:after="0" w:line="95"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Upon the recommendation of our nominating and corporate governance committee, the Board has determined that it is in the best interests of the Company and its stockholders to amend the certificate of incorporation to eliminate the classified structure of the Board and to provide for the annual election of all directors, and the Board recommends that the stockholders approve such an amendment.</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Impact of the Proposal—Annual Elections of Directors</w:t>
      </w:r>
    </w:p>
    <w:p>
      <w:pPr>
        <w:spacing w:after="0" w:line="139"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If approved by our stockholders, the proposed amendments to our certificate of incorporation would begin to eliminate the three classes of directors and provide for the annual election of directors beginning at the 2022 annual meeting of stockholders. Beginning with the 2024 annual meeting of stockholders, all directors will stand for election annually.</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Description of Proposal</w:t>
      </w:r>
    </w:p>
    <w:p>
      <w:pPr>
        <w:spacing w:after="0" w:line="13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Article VI Section (A) of our certificate of incorporation currently provides that the Board is divided into three classes, with each class serving a staggered three-year term, and only one class being up for re-election each annual meeting. Specifically:</w:t>
      </w:r>
    </w:p>
    <w:p>
      <w:pPr>
        <w:spacing w:after="0" w:line="95" w:lineRule="exact"/>
        <w:rPr>
          <w:sz w:val="20"/>
          <w:szCs w:val="20"/>
          <w:color w:val="auto"/>
        </w:rPr>
      </w:pPr>
    </w:p>
    <w:p>
      <w:pPr>
        <w:ind w:left="1120" w:hanging="214"/>
        <w:spacing w:after="0"/>
        <w:tabs>
          <w:tab w:leader="none" w:pos="1120" w:val="left"/>
        </w:tabs>
        <w:numPr>
          <w:ilvl w:val="0"/>
          <w:numId w:val="18"/>
        </w:numPr>
        <w:rPr>
          <w:rFonts w:ascii="Arial" w:cs="Arial" w:eastAsia="Arial" w:hAnsi="Arial"/>
          <w:sz w:val="18"/>
          <w:szCs w:val="18"/>
          <w:color w:val="3C5896"/>
        </w:rPr>
      </w:pPr>
      <w:r>
        <w:rPr>
          <w:rFonts w:ascii="Arial" w:cs="Arial" w:eastAsia="Arial" w:hAnsi="Arial"/>
          <w:sz w:val="18"/>
          <w:szCs w:val="18"/>
          <w:color w:val="auto"/>
        </w:rPr>
        <w:t>The directors designated as Class I directors have terms expiring at the Annual Meeting;</w:t>
      </w:r>
    </w:p>
    <w:p>
      <w:pPr>
        <w:spacing w:after="0" w:line="90"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18"/>
        </w:numPr>
        <w:rPr>
          <w:rFonts w:ascii="Arial" w:cs="Arial" w:eastAsia="Arial" w:hAnsi="Arial"/>
          <w:sz w:val="18"/>
          <w:szCs w:val="18"/>
          <w:color w:val="3C5896"/>
        </w:rPr>
      </w:pPr>
      <w:r>
        <w:rPr>
          <w:rFonts w:ascii="Arial" w:cs="Arial" w:eastAsia="Arial" w:hAnsi="Arial"/>
          <w:sz w:val="18"/>
          <w:szCs w:val="18"/>
          <w:color w:val="auto"/>
        </w:rPr>
        <w:t>The directors designated as Class II directors have terms expiring at the 2022 annual meeting of stockholders; and</w:t>
      </w:r>
    </w:p>
    <w:p>
      <w:pPr>
        <w:spacing w:after="0" w:line="75" w:lineRule="exact"/>
        <w:rPr>
          <w:rFonts w:ascii="Arial" w:cs="Arial" w:eastAsia="Arial" w:hAnsi="Arial"/>
          <w:sz w:val="18"/>
          <w:szCs w:val="18"/>
          <w:color w:val="3C5896"/>
        </w:rPr>
      </w:pPr>
    </w:p>
    <w:p>
      <w:pPr>
        <w:ind w:left="1120" w:hanging="214"/>
        <w:spacing w:after="0"/>
        <w:tabs>
          <w:tab w:leader="none" w:pos="1120" w:val="left"/>
        </w:tabs>
        <w:numPr>
          <w:ilvl w:val="0"/>
          <w:numId w:val="18"/>
        </w:numPr>
        <w:rPr>
          <w:rFonts w:ascii="Arial" w:cs="Arial" w:eastAsia="Arial" w:hAnsi="Arial"/>
          <w:sz w:val="18"/>
          <w:szCs w:val="18"/>
          <w:color w:val="3C5896"/>
        </w:rPr>
      </w:pPr>
      <w:r>
        <w:rPr>
          <w:rFonts w:ascii="Arial" w:cs="Arial" w:eastAsia="Arial" w:hAnsi="Arial"/>
          <w:sz w:val="18"/>
          <w:szCs w:val="18"/>
          <w:color w:val="auto"/>
        </w:rPr>
        <w:t>The directors designated as Class III directors have terms expiring at the 2023 annual meeting of stockholders.</w:t>
      </w:r>
    </w:p>
    <w:p>
      <w:pPr>
        <w:spacing w:after="0" w:line="104"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If the proposed amendments are approved by our stockholders, the classified Board will be eliminated over a three-year period beginning at the 2022 annual meeting as follows:</w:t>
      </w:r>
    </w:p>
    <w:p>
      <w:pPr>
        <w:spacing w:after="0" w:line="75" w:lineRule="exact"/>
        <w:rPr>
          <w:sz w:val="20"/>
          <w:szCs w:val="20"/>
          <w:color w:val="auto"/>
        </w:rPr>
      </w:pPr>
    </w:p>
    <w:p>
      <w:pPr>
        <w:ind w:left="1120" w:hanging="214"/>
        <w:spacing w:after="0"/>
        <w:tabs>
          <w:tab w:leader="none" w:pos="1120" w:val="left"/>
        </w:tabs>
        <w:numPr>
          <w:ilvl w:val="0"/>
          <w:numId w:val="19"/>
        </w:numPr>
        <w:rPr>
          <w:rFonts w:ascii="Arial" w:cs="Arial" w:eastAsia="Arial" w:hAnsi="Arial"/>
          <w:sz w:val="18"/>
          <w:szCs w:val="18"/>
          <w:color w:val="3C5896"/>
        </w:rPr>
      </w:pPr>
      <w:r>
        <w:rPr>
          <w:rFonts w:ascii="Arial" w:cs="Arial" w:eastAsia="Arial" w:hAnsi="Arial"/>
          <w:sz w:val="18"/>
          <w:szCs w:val="18"/>
          <w:color w:val="auto"/>
        </w:rPr>
        <w:t>At the 2022 annual meeting of stockholders, we would elect Class II directors to one-year terms;</w:t>
      </w:r>
    </w:p>
    <w:p>
      <w:pPr>
        <w:spacing w:after="0" w:line="90"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19"/>
        </w:numPr>
        <w:rPr>
          <w:rFonts w:ascii="Arial" w:cs="Arial" w:eastAsia="Arial" w:hAnsi="Arial"/>
          <w:sz w:val="18"/>
          <w:szCs w:val="18"/>
          <w:color w:val="3C5896"/>
        </w:rPr>
      </w:pPr>
      <w:r>
        <w:rPr>
          <w:rFonts w:ascii="Arial" w:cs="Arial" w:eastAsia="Arial" w:hAnsi="Arial"/>
          <w:sz w:val="18"/>
          <w:szCs w:val="18"/>
          <w:color w:val="auto"/>
        </w:rPr>
        <w:t>At the 2023 annual meeting of stockholders, we would elect Class III directors and Class II directors to one-year terms; and</w:t>
      </w:r>
    </w:p>
    <w:p>
      <w:pPr>
        <w:spacing w:after="0" w:line="299"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sz w:val="1"/>
          <w:szCs w:val="1"/>
          <w:color w:val="auto"/>
        </w:rPr>
        <w:drawing>
          <wp:inline distT="0" distB="0" distL="0" distR="0">
            <wp:extent cx="299720" cy="24003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1120" w:right="760" w:hanging="214"/>
        <w:spacing w:after="0" w:line="246" w:lineRule="auto"/>
        <w:tabs>
          <w:tab w:leader="none" w:pos="1120" w:val="left"/>
        </w:tabs>
        <w:numPr>
          <w:ilvl w:val="0"/>
          <w:numId w:val="20"/>
        </w:numPr>
        <w:rPr>
          <w:rFonts w:ascii="Arial" w:cs="Arial" w:eastAsia="Arial" w:hAnsi="Arial"/>
          <w:sz w:val="18"/>
          <w:szCs w:val="18"/>
          <w:color w:val="3C5896"/>
        </w:rPr>
      </w:pPr>
      <w:r>
        <w:rPr>
          <w:rFonts w:ascii="Arial" w:cs="Arial" w:eastAsia="Arial" w:hAnsi="Arial"/>
          <w:sz w:val="18"/>
          <w:szCs w:val="18"/>
          <w:color w:val="auto"/>
        </w:rPr>
        <w:t>At the 2024 annual meeting of stockholders and at all future annual meetings of stockholders, we would elect directors from all three classes to one-year terms.</w:t>
      </w:r>
    </w:p>
    <w:p>
      <w:pPr>
        <w:spacing w:after="0" w:line="89"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The proposed amendment would not affect the existing terms of our directors, and the Class I directors who are nominated for election at the Annual Meeting will still be elected for three-year terms expiring at the 2024 annual meeting of stockholders, even if the proposed amendment is approved. The proposed amendment would not change the present number of directors or the Board’s authority to change that number or to fill any vacancies or newly created directorships.</w:t>
      </w:r>
    </w:p>
    <w:p>
      <w:pPr>
        <w:spacing w:after="0" w:line="97"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Additionally, if the proposed amendments are approved by our stockholders, any director chosen by the Board to fill newly created directorships resulting from any increase in the authorized number of directors or any vacancies on the Board resulting from death, resignation, retirement, disqualification, removal from office or other cause will hold office until, if prior to the 2024 annual meeting of stockholders, the next election of the class into which such director shall have been elected or placed or, if from and after the 2024 annual meeting of stockholders, the next annual meeting of stockholders and, in each case, until such director’s successor shall have been duly elected and qualified, or until his or her earlier death, resignation, retirement, disqualification or removal.</w:t>
      </w:r>
    </w:p>
    <w:p>
      <w:pPr>
        <w:spacing w:after="0" w:line="99"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Under Delaware law, directors serving on a classified board may be removed by stockholders only for cause (unless otherwise provided in the certificate of incorporation), while directors serving on a non-classified board may be removed by stockholders with or without cause. Thus, the proposed amendments if approved by our stockholders will also give our stockholders the ability to remove a director from the Board without cause beginning at the 2024 annual meeting of stockholders when the board is fully declassified.</w:t>
      </w:r>
    </w:p>
    <w:p>
      <w:pPr>
        <w:spacing w:after="0" w:line="97"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The proposed amendments to our certificate of incorporation described in Proposal 2 are attached to this proxy statement as Appendix B, with additions of text indicated by underlining and deletions of text indicated by strike-outs. If Proposal 2 is approved by our stockholders, the proposed amendments contained in Appendix B would become effective upon the filing of a Certificate of Amendment to our certificate of incorporation reflecting such amendments with the Secretary of State of the State of Delaware.</w:t>
      </w:r>
    </w:p>
    <w:p>
      <w:pPr>
        <w:spacing w:after="0" w:line="97" w:lineRule="exact"/>
        <w:rPr>
          <w:sz w:val="20"/>
          <w:szCs w:val="20"/>
          <w:color w:val="auto"/>
        </w:rPr>
      </w:pPr>
    </w:p>
    <w:p>
      <w:pPr>
        <w:jc w:val="both"/>
        <w:ind w:left="760" w:right="780"/>
        <w:spacing w:after="0" w:line="261" w:lineRule="auto"/>
        <w:rPr>
          <w:sz w:val="20"/>
          <w:szCs w:val="20"/>
          <w:color w:val="auto"/>
        </w:rPr>
      </w:pPr>
      <w:r>
        <w:rPr>
          <w:rFonts w:ascii="Arial" w:cs="Arial" w:eastAsia="Arial" w:hAnsi="Arial"/>
          <w:sz w:val="18"/>
          <w:szCs w:val="18"/>
          <w:color w:val="auto"/>
        </w:rPr>
        <w:t>If stockholders adopt Proposal 2, we intend to file such Certificate of Amendment promptly following the Annual Meeting.</w:t>
      </w:r>
    </w:p>
    <w:p>
      <w:pPr>
        <w:spacing w:after="0" w:line="90"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If this proposal is not approved, our Board will remain classified and the Class II directors elected at the 2022 Annual Meeting will serve a term expiring at the 2025 annual meeting of stockholders.</w:t>
      </w:r>
    </w:p>
    <w:p>
      <w:pPr>
        <w:spacing w:after="0" w:line="68" w:lineRule="exact"/>
        <w:rPr>
          <w:sz w:val="20"/>
          <w:szCs w:val="20"/>
          <w:color w:val="auto"/>
        </w:rPr>
      </w:pPr>
    </w:p>
    <w:p>
      <w:pPr>
        <w:jc w:val="center"/>
        <w:ind w:right="60"/>
        <w:spacing w:after="0" w:line="268" w:lineRule="auto"/>
        <w:rPr>
          <w:sz w:val="20"/>
          <w:szCs w:val="20"/>
          <w:color w:val="auto"/>
        </w:rPr>
      </w:pPr>
      <w:r>
        <w:rPr>
          <w:rFonts w:ascii="Arial" w:cs="Arial" w:eastAsia="Arial" w:hAnsi="Arial"/>
          <w:sz w:val="18"/>
          <w:szCs w:val="18"/>
          <w:b w:val="1"/>
          <w:bCs w:val="1"/>
          <w:color w:val="auto"/>
        </w:rPr>
        <w:t>THE BOARD OF DIRECTORS RECOMMENDS A VOTE “FOR” PROPOSAL 2 TO AMEND THE CERTIFICATE OF INCORPORATION TO ELIMINATE THE CLASSIFIED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3071495</wp:posOffset>
            </wp:positionV>
            <wp:extent cx="300355" cy="240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25</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38" w:lineRule="exact"/>
        <w:rPr>
          <w:sz w:val="20"/>
          <w:szCs w:val="20"/>
          <w:color w:val="auto"/>
        </w:rPr>
      </w:pPr>
    </w:p>
    <w:p>
      <w:pPr>
        <w:jc w:val="both"/>
        <w:ind w:left="760" w:right="40"/>
        <w:spacing w:after="0" w:line="237" w:lineRule="auto"/>
        <w:rPr>
          <w:sz w:val="20"/>
          <w:szCs w:val="20"/>
          <w:color w:val="auto"/>
        </w:rPr>
      </w:pPr>
      <w:r>
        <w:rPr>
          <w:rFonts w:ascii="Arial" w:cs="Arial" w:eastAsia="Arial" w:hAnsi="Arial"/>
          <w:sz w:val="32"/>
          <w:szCs w:val="32"/>
          <w:color w:val="auto"/>
        </w:rPr>
        <w:t>PROPOSAL NO. 3—AMENDMENT TO THE CERTIFICATE OF INCORPORATION TO ELIMINATE SUPERMAJORITY VOTING STANDARDS AND OTHER OBSOLETE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76835</wp:posOffset>
            </wp:positionV>
            <wp:extent cx="5837555" cy="1045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37555" cy="1045845"/>
                    </a:xfrm>
                    <a:prstGeom prst="rect">
                      <a:avLst/>
                    </a:prstGeom>
                    <a:noFill/>
                  </pic:spPr>
                </pic:pic>
              </a:graphicData>
            </a:graphic>
          </wp:anchor>
        </w:drawing>
      </w:r>
    </w:p>
    <w:p>
      <w:pPr>
        <w:spacing w:after="0" w:line="159" w:lineRule="exact"/>
        <w:rPr>
          <w:sz w:val="20"/>
          <w:szCs w:val="20"/>
          <w:color w:val="auto"/>
        </w:rPr>
      </w:pPr>
    </w:p>
    <w:p>
      <w:pPr>
        <w:ind w:left="820" w:right="220"/>
        <w:spacing w:after="0" w:line="289"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approve an amendment to our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eliminate certain supermajority voting standards and other obsolete provisions within the certificate.</w:t>
      </w:r>
    </w:p>
    <w:p>
      <w:pPr>
        <w:spacing w:after="0" w:line="1" w:lineRule="exact"/>
        <w:rPr>
          <w:sz w:val="20"/>
          <w:szCs w:val="20"/>
          <w:color w:val="auto"/>
        </w:rPr>
      </w:pPr>
    </w:p>
    <w:p>
      <w:pPr>
        <w:ind w:left="820" w:right="640"/>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an amendment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to eliminate supermajority voting standards and other obsolete provisions.</w:t>
      </w:r>
    </w:p>
    <w:p>
      <w:pPr>
        <w:spacing w:after="0" w:line="1" w:lineRule="exact"/>
        <w:rPr>
          <w:sz w:val="20"/>
          <w:szCs w:val="20"/>
          <w:color w:val="auto"/>
        </w:rPr>
      </w:pPr>
    </w:p>
    <w:p>
      <w:pPr>
        <w:ind w:left="820" w:right="180"/>
        <w:spacing w:after="0" w:line="227"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must be approved by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the stock of the Company entitled to vote on such proposal.</w:t>
      </w:r>
    </w:p>
    <w:p>
      <w:pPr>
        <w:spacing w:after="0" w:line="2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Background</w:t>
      </w:r>
    </w:p>
    <w:p>
      <w:pPr>
        <w:spacing w:after="0" w:line="207"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As discussed above, in our 2020 proxy statement, the Board committed, upon the recommendation of the nominating and corporate governance committee, to submit for stockholder vote at our 2021 annual meeting a management proposal to amend our certificate of incorporation to eliminate certain supermajority provisions within it. The supermajority voting standards described below were included in our certificate of incorporation at the time of our IPO to protect the interests of our stockholders by ensuring that a broad consensus of all stockholders was necessary to make changes to fundamental provisions of our certificate of incorporation and bylaws. Prior to its IPO, the Company was owned at times by Berkshire and KKR. The Company was controlled by affiliates of KKR and private equity funds managed by Berkshire until July 2018 and August 2019, respectively, when these affiliates and funds sold their remaining holdings of our common stock.</w:t>
      </w:r>
    </w:p>
    <w:p>
      <w:pPr>
        <w:spacing w:after="0" w:line="104"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Our nominating and corporate governance committee and our Board carefully considered the advantages of super majority voting provisions, analyzed current corporate governance trends, and evaluated the appropriateness of super majority voting provisions in light of our overall corporate governance structure and ongoing stockholder engagement efforts. The Board has continued its ongoing review of evolving corporate governance practices.</w:t>
      </w:r>
    </w:p>
    <w:p>
      <w:pPr>
        <w:spacing w:after="0" w:line="9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Consistent with its strong commitment to the careful consideration of stockholder views, the Board has determined that it is in the best interests of the Company and its stockholders to amend the Company’s certificate of incorporation to remove supermajority voting requirements. The proposed amendments would also delete certain obsolete provisions relating to the prior equity ownership of KKR and Berkshire.</w:t>
      </w:r>
    </w:p>
    <w:p>
      <w:pPr>
        <w:spacing w:after="0" w:line="78"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i w:val="1"/>
          <w:iCs w:val="1"/>
          <w:color w:val="auto"/>
        </w:rPr>
        <w:t xml:space="preserve">Description of Our Supermajority Standards. </w:t>
      </w:r>
      <w:r>
        <w:rPr>
          <w:rFonts w:ascii="Arial" w:cs="Arial" w:eastAsia="Arial" w:hAnsi="Arial"/>
          <w:sz w:val="18"/>
          <w:szCs w:val="18"/>
          <w:color w:val="auto"/>
        </w:rPr>
        <w:t>Article V, Section (A) of our certificate of incorporation provides that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when KKR and Berkshire (as defined in our certificate of incorporation) beneficially own collectively, in the aggregate, less than 40% in voting power of the stock of the Company entitled to vote generally in the election of directors, in addition to any vote required by applicable law, no amendment, alteration, change or repeal in any respect of any provision of Article V (amendments to our Certificate of Incorporation and Bylaws), Article VI (removal of directors), Article VII (director liability), Article VIII (ability for stockholders to take action by written consent), Article IX (completion and corporate opportunities), and Article X (business combinations) of our certificate of incorporation may be made, and no provision inconsistent therewith may be so adopted, without the affirmative vote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then-outstanding shares of stock of the Company entitled to vote thereon, voting together as a single class.</w:t>
      </w:r>
    </w:p>
    <w:p>
      <w:pPr>
        <w:spacing w:after="0" w:line="104" w:lineRule="exact"/>
        <w:rPr>
          <w:sz w:val="20"/>
          <w:szCs w:val="20"/>
          <w:color w:val="auto"/>
        </w:rPr>
      </w:pPr>
    </w:p>
    <w:p>
      <w:pPr>
        <w:jc w:val="both"/>
        <w:ind w:left="760"/>
        <w:spacing w:after="0" w:line="239" w:lineRule="auto"/>
        <w:rPr>
          <w:sz w:val="20"/>
          <w:szCs w:val="20"/>
          <w:color w:val="auto"/>
        </w:rPr>
      </w:pPr>
      <w:r>
        <w:rPr>
          <w:rFonts w:ascii="Arial" w:cs="Arial" w:eastAsia="Arial" w:hAnsi="Arial"/>
          <w:sz w:val="18"/>
          <w:szCs w:val="18"/>
          <w:color w:val="auto"/>
        </w:rPr>
        <w:t>Article V, Section (B) of our certificate of incorporation provides that at any time when KKR and Berkshire (as defined in our certificate of incorporation) beneficially own collectively, in the aggregate, less than 40% in voting power of the stock of the Company entitled to vote generally in the election of directors, in addition to any vote required by applicable law, the affirmative vote of the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then-outstanding shares of stock of the Company entitled to vote thereon, voting together as a single class, is required in order for the stockholders of the Company to alter, amend, repeal or rescind, in whole or in part, any provision of our Bylaws or to adopt any provision inconsistent therewith.</w:t>
      </w:r>
    </w:p>
    <w:p>
      <w:pPr>
        <w:spacing w:after="0" w:line="11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Article VI, Section (C) of our certificate of incorporation provides that at any time when KKR and Berkshire (as defined in our certificate of incorporation) beneficially own collectively, in the aggregate, less than 40% in voting power of the stock of the Company entitled to vote generally in the election of directors, in addition to any vote required by applicable</w:t>
      </w:r>
    </w:p>
    <w:p>
      <w:pPr>
        <w:spacing w:after="0" w:line="306"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sz w:val="1"/>
          <w:szCs w:val="1"/>
          <w:color w:val="auto"/>
        </w:rPr>
        <w:drawing>
          <wp:inline distT="0" distB="0" distL="0" distR="0">
            <wp:extent cx="299720" cy="24003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jc w:val="both"/>
        <w:ind w:left="760" w:right="760"/>
        <w:spacing w:after="0" w:line="226" w:lineRule="auto"/>
        <w:rPr>
          <w:sz w:val="20"/>
          <w:szCs w:val="20"/>
          <w:color w:val="auto"/>
        </w:rPr>
      </w:pPr>
      <w:r>
        <w:rPr>
          <w:rFonts w:ascii="Arial" w:cs="Arial" w:eastAsia="Arial" w:hAnsi="Arial"/>
          <w:sz w:val="18"/>
          <w:szCs w:val="18"/>
          <w:color w:val="auto"/>
        </w:rPr>
        <w:t>law, directors may be removed from office only for cause and only by the affirmative vote of the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then-outstanding shares of stock of the Corporation entitled to vote thereon, voting together as a single class.</w:t>
      </w:r>
    </w:p>
    <w:p>
      <w:pPr>
        <w:spacing w:after="0" w:line="109"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Article X, Section (B)(3) of our certificate of incorporation provides that the Company shall not engage in certain business combinations with any interested stockholder (as defined in the certificate of incorporation) for a period of three (3) years following the time that such stockholder became an interested stockholder, unless at or subsequent to such time, the business combination is approved by the Board and authorized at an annual or special meeting of stockholders, and not by written consent, by the affirmative vote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outstanding voting stock of the Company that is not owned by the interested stockholder.</w:t>
      </w:r>
    </w:p>
    <w:p>
      <w:pPr>
        <w:spacing w:after="0" w:line="112"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In addition, we are separately proposing to amend Article V to permit directors to be removed with or without cause. See Proposal 2 for more information. If Proposal 2 is not approved by our stockholders, directors will continue to be able to be removed only for cause.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Description of Proposal and Recommendation by the Board</w:t>
      </w:r>
    </w:p>
    <w:p>
      <w:pPr>
        <w:spacing w:after="0" w:line="139"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After considering the advantages and disadvantages of the supermajority voting standards, including through discussions with our stockholders, the Board has determined it is in the best interests of the Company and our stockholders to amend our certificate of incorporation to eliminate the supermajority voting standards and other obsolete provisions described above. The Board has unanimously declared such amendments to be advisable and voted to recommend these amendments to the stockholders for adoption.</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Impact of the Proposal—Majority Voting Standard</w:t>
      </w:r>
    </w:p>
    <w:p>
      <w:pPr>
        <w:spacing w:after="0" w:line="139"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As a result, if the proposed amendments are adopted by our stockholders and implemented, the affirmative vote of a majority of the voting power of all the then-outstanding shares of stock of the Company entitled to vote thereon, voting together as a single class, as required pursuant to the Delaware General Corporation Law would be required for (i) any future amendment, alteration, change or repeal in any respect of any provision of our certificate of incorporation, (ii) any future amendment, alteration, change or repeal in any respect of any provision of our Bylaws by our stockholders, and (iii) the removal of directors from office by stockholders,.</w:t>
      </w:r>
    </w:p>
    <w:p>
      <w:pPr>
        <w:spacing w:after="0" w:line="100"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In addition, if the proposed amendments are adopted by our stockholders and implemented, the Company would be prohibited from engaging in certain business combinations with any interested stockholder (as defined in the certificate of incorporation) for a period of three (3) years following the time that such stockholder became an interested stockholder, unless at or subsequent to such time, the business combination is approved by the Board and authorized at an annual or special meeting of stockholders, and not by written consent, by the affirmative vote of the holders of at least a majority of the voting power of all the then-outstanding shares of stock of the Company entitled to vote thereon that is not owned by the interested stockholder, voting together as a single class.</w:t>
      </w:r>
    </w:p>
    <w:p>
      <w:pPr>
        <w:spacing w:after="0" w:line="99"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This voting standard would be in addition to any other vote of the holders of any class or series of capital stock of the Company required in our certificate of incorporation (including any preferred stock designation) or by applicable law.</w:t>
      </w:r>
    </w:p>
    <w:p>
      <w:pPr>
        <w:spacing w:after="0" w:line="94"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The proposed amendments would also delete certain obsolete provisions in our certificate of incorporation relating to the prior equity ownership of KKR and Berkshire.</w:t>
      </w:r>
    </w:p>
    <w:p>
      <w:pPr>
        <w:spacing w:after="0" w:line="90"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The proposed amendments to our certificate of incorporation described in Proposal 3 are attached to this proxy statement as Appendix C, with additions of text indicated by underlining and deletions of text indicated by strike-outs. If Proposal 3 is approved by our stockholders, the proposed amendments contained in Appendix C would become effective upon the filing of a Certificate of Amendment to our certificate of incorporation reflecting such amendments with the Secretary of State of the State of Delaware. In connection with the proposed amendments to our certificate of incorporation in Proposal 3, the Board has adopted conforming amendments to our Second Amended and Restated Bylaws that will become effective upon our filing of such Certificate of Amendment with the Secretary of State of the State of Delaware.</w:t>
      </w:r>
    </w:p>
    <w:p>
      <w:pPr>
        <w:spacing w:after="0" w:line="97" w:lineRule="exact"/>
        <w:rPr>
          <w:sz w:val="20"/>
          <w:szCs w:val="20"/>
          <w:color w:val="auto"/>
        </w:rPr>
      </w:pPr>
    </w:p>
    <w:p>
      <w:pPr>
        <w:jc w:val="both"/>
        <w:ind w:left="760" w:right="780"/>
        <w:spacing w:after="0" w:line="261" w:lineRule="auto"/>
        <w:rPr>
          <w:sz w:val="20"/>
          <w:szCs w:val="20"/>
          <w:color w:val="auto"/>
        </w:rPr>
      </w:pPr>
      <w:r>
        <w:rPr>
          <w:rFonts w:ascii="Arial" w:cs="Arial" w:eastAsia="Arial" w:hAnsi="Arial"/>
          <w:sz w:val="18"/>
          <w:szCs w:val="18"/>
          <w:color w:val="auto"/>
        </w:rPr>
        <w:t>If stockholders adopt Proposal 3, we intend to file such Certificate of Amendment promptly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314960</wp:posOffset>
            </wp:positionV>
            <wp:extent cx="300355"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27</w:t>
            </w:r>
          </w:p>
        </w:tc>
      </w:tr>
      <w:tr>
        <w:trPr>
          <w:trHeight w:val="418"/>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47"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If Proposal 3 is not approved by our stockholders, the supermajority voting standards and obsolete provisions described above will remain unchanged and in effect.</w:t>
      </w:r>
    </w:p>
    <w:p>
      <w:pPr>
        <w:spacing w:after="0" w:line="68" w:lineRule="exact"/>
        <w:rPr>
          <w:sz w:val="20"/>
          <w:szCs w:val="20"/>
          <w:color w:val="auto"/>
        </w:rPr>
      </w:pPr>
    </w:p>
    <w:p>
      <w:pPr>
        <w:jc w:val="center"/>
        <w:ind w:left="1300" w:right="280"/>
        <w:spacing w:after="0" w:line="268" w:lineRule="auto"/>
        <w:rPr>
          <w:sz w:val="20"/>
          <w:szCs w:val="20"/>
          <w:color w:val="auto"/>
        </w:rPr>
      </w:pPr>
      <w:r>
        <w:rPr>
          <w:rFonts w:ascii="Arial" w:cs="Arial" w:eastAsia="Arial" w:hAnsi="Arial"/>
          <w:sz w:val="18"/>
          <w:szCs w:val="18"/>
          <w:b w:val="1"/>
          <w:bCs w:val="1"/>
          <w:color w:val="auto"/>
        </w:rPr>
        <w:t>THE BOARD OF DIRECTORS UNANIMOUSLY RECOMMENDS A VOTE “FOR” PROPOSAL 3 TO AMEND THE CERTIFICATE OF INCORPORATION TO ELIMINATE THE SUPERMAJORITY VOTING STANDARDS AND OTHER OBSOLETE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sz w:val="1"/>
          <w:szCs w:val="1"/>
          <w:color w:val="auto"/>
        </w:rPr>
        <w:drawing>
          <wp:inline distT="0" distB="0" distL="0" distR="0">
            <wp:extent cx="299720" cy="24003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38" w:lineRule="exact"/>
        <w:rPr>
          <w:sz w:val="20"/>
          <w:szCs w:val="20"/>
          <w:color w:val="auto"/>
        </w:rPr>
      </w:pPr>
    </w:p>
    <w:p>
      <w:pPr>
        <w:ind w:left="760" w:right="1460"/>
        <w:spacing w:after="0" w:line="242" w:lineRule="auto"/>
        <w:rPr>
          <w:sz w:val="20"/>
          <w:szCs w:val="20"/>
          <w:color w:val="auto"/>
        </w:rPr>
      </w:pPr>
      <w:r>
        <w:rPr>
          <w:rFonts w:ascii="Arial" w:cs="Arial" w:eastAsia="Arial" w:hAnsi="Arial"/>
          <w:sz w:val="32"/>
          <w:szCs w:val="32"/>
          <w:color w:val="auto"/>
        </w:rPr>
        <w:t>PROPOSAL NO. 4—NON-BINDING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74930</wp:posOffset>
            </wp:positionV>
            <wp:extent cx="5837555" cy="15944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37555" cy="1594485"/>
                    </a:xfrm>
                    <a:prstGeom prst="rect">
                      <a:avLst/>
                    </a:prstGeom>
                    <a:noFill/>
                  </pic:spPr>
                </pic:pic>
              </a:graphicData>
            </a:graphic>
          </wp:anchor>
        </w:drawing>
      </w:r>
    </w:p>
    <w:p>
      <w:pPr>
        <w:spacing w:after="0" w:line="156" w:lineRule="exact"/>
        <w:rPr>
          <w:sz w:val="20"/>
          <w:szCs w:val="20"/>
          <w:color w:val="auto"/>
        </w:rPr>
      </w:pPr>
    </w:p>
    <w:p>
      <w:pPr>
        <w:ind w:left="820" w:right="940"/>
        <w:spacing w:after="0" w:line="27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As required pursuant to Section 14A of the Exchange Act, stockholders are being asked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on an advisory basis, the compensation of our named executive officers as described in the Compensation Discussion and Analysis below.</w:t>
      </w:r>
    </w:p>
    <w:p>
      <w:pPr>
        <w:spacing w:after="0" w:line="1" w:lineRule="exact"/>
        <w:rPr>
          <w:sz w:val="20"/>
          <w:szCs w:val="20"/>
          <w:color w:val="auto"/>
        </w:rPr>
      </w:pPr>
    </w:p>
    <w:p>
      <w:pPr>
        <w:ind w:left="820" w:right="1160"/>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non-binding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vote to approve our named executive officer compensation.</w:t>
      </w:r>
    </w:p>
    <w:p>
      <w:pPr>
        <w:spacing w:after="0" w:line="1" w:lineRule="exact"/>
        <w:rPr>
          <w:sz w:val="20"/>
          <w:szCs w:val="20"/>
          <w:color w:val="auto"/>
        </w:rPr>
      </w:pPr>
    </w:p>
    <w:p>
      <w:pPr>
        <w:ind w:left="820" w:right="860"/>
        <w:spacing w:after="0" w:line="26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proposal must be approved by a majority of the voting power of the shares of stock present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represented by proxy and entitled to vote at the Annual Meeting. The compensation committee takes very seriously its role in the governance of the Company’s compensation programs and values thoughtful input from stockholders. The compensation committee will take into account the outcome of the advisory vote when considering future executive compensation decisions.</w:t>
      </w:r>
    </w:p>
    <w:p>
      <w:pPr>
        <w:spacing w:after="0" w:line="265"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Our stockholders are being asked to approve, in a non-binding advisory vote, the compensation of our named executive officers as disclosed pursuant to Item 402 of Regulation S-K, including the Compensation Discussion and Analysis, compensation tables and narrative discussion. While the results of the vote are non-binding and advisory in nature, the Board intends to carefully consider the results of this vote.</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text of the resolution in respect of Proposal No. 4 is as follows:</w:t>
      </w:r>
    </w:p>
    <w:p>
      <w:pPr>
        <w:spacing w:after="0" w:line="95" w:lineRule="exact"/>
        <w:rPr>
          <w:sz w:val="20"/>
          <w:szCs w:val="20"/>
          <w:color w:val="auto"/>
        </w:rPr>
      </w:pPr>
    </w:p>
    <w:p>
      <w:pPr>
        <w:jc w:val="both"/>
        <w:ind w:left="760" w:right="7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85" w:lineRule="exact"/>
        <w:rPr>
          <w:sz w:val="20"/>
          <w:szCs w:val="20"/>
          <w:color w:val="auto"/>
        </w:rPr>
      </w:pPr>
    </w:p>
    <w:p>
      <w:pPr>
        <w:jc w:val="both"/>
        <w:ind w:left="760" w:right="760"/>
        <w:spacing w:after="0" w:line="254" w:lineRule="auto"/>
        <w:rPr>
          <w:rFonts w:ascii="Arial" w:cs="Arial" w:eastAsia="Arial" w:hAnsi="Arial"/>
          <w:sz w:val="18"/>
          <w:szCs w:val="18"/>
          <w:color w:val="000000"/>
        </w:rPr>
      </w:pPr>
      <w:r>
        <w:rPr>
          <w:rFonts w:ascii="Arial" w:cs="Arial" w:eastAsia="Arial" w:hAnsi="Arial"/>
          <w:sz w:val="18"/>
          <w:szCs w:val="18"/>
          <w:color w:val="auto"/>
        </w:rPr>
        <w:t xml:space="preserve">In considering their vote, stockholders may wish to review the information on our compensation policies and decisions regarding the named executive officers presented in Compensation Discussion and Analysis on pages </w:t>
      </w:r>
      <w:hyperlink w:anchor="page33">
        <w:r>
          <w:rPr>
            <w:rFonts w:ascii="Arial" w:cs="Arial" w:eastAsia="Arial" w:hAnsi="Arial"/>
            <w:sz w:val="18"/>
            <w:szCs w:val="18"/>
            <w:u w:val="single" w:color="auto"/>
            <w:color w:val="0000EE"/>
          </w:rPr>
          <w:t>30</w:t>
        </w:r>
      </w:hyperlink>
      <w:r>
        <w:rPr>
          <w:rFonts w:ascii="Arial" w:cs="Arial" w:eastAsia="Arial" w:hAnsi="Arial"/>
          <w:sz w:val="18"/>
          <w:szCs w:val="18"/>
          <w:color w:val="auto"/>
        </w:rPr>
        <w:t>-</w:t>
      </w:r>
      <w:hyperlink w:anchor="page43">
        <w:r>
          <w:rPr>
            <w:rFonts w:ascii="Arial" w:cs="Arial" w:eastAsia="Arial" w:hAnsi="Arial"/>
            <w:sz w:val="18"/>
            <w:szCs w:val="18"/>
            <w:u w:val="single" w:color="auto"/>
            <w:color w:val="0000EE"/>
          </w:rPr>
          <w:t>40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the compensation tables and narrative discussion on pages</w:t>
      </w:r>
      <w:r>
        <w:rPr>
          <w:rFonts w:ascii="Arial" w:cs="Arial" w:eastAsia="Arial" w:hAnsi="Arial"/>
          <w:sz w:val="18"/>
          <w:szCs w:val="18"/>
          <w:color w:val="0000EE"/>
        </w:rPr>
        <w:t xml:space="preserve"> </w:t>
      </w:r>
      <w:hyperlink w:anchor="page45">
        <w:r>
          <w:rPr>
            <w:rFonts w:ascii="Arial" w:cs="Arial" w:eastAsia="Arial" w:hAnsi="Arial"/>
            <w:sz w:val="18"/>
            <w:szCs w:val="18"/>
            <w:u w:val="single" w:color="auto"/>
            <w:color w:val="0000EE"/>
          </w:rPr>
          <w:t>42</w:t>
        </w:r>
      </w:hyperlink>
      <w:r>
        <w:rPr>
          <w:rFonts w:ascii="Arial" w:cs="Arial" w:eastAsia="Arial" w:hAnsi="Arial"/>
          <w:sz w:val="18"/>
          <w:szCs w:val="18"/>
          <w:color w:val="000000"/>
        </w:rPr>
        <w:t>-</w:t>
      </w:r>
      <w:hyperlink w:anchor="page52">
        <w:r>
          <w:rPr>
            <w:rFonts w:ascii="Arial" w:cs="Arial" w:eastAsia="Arial" w:hAnsi="Arial"/>
            <w:sz w:val="18"/>
            <w:szCs w:val="18"/>
            <w:u w:val="single" w:color="auto"/>
            <w:color w:val="0000EE"/>
          </w:rPr>
          <w:t>49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 the discussion regarding the</w:t>
      </w:r>
      <w:r>
        <w:rPr>
          <w:rFonts w:ascii="Arial" w:cs="Arial" w:eastAsia="Arial" w:hAnsi="Arial"/>
          <w:sz w:val="18"/>
          <w:szCs w:val="18"/>
          <w:color w:val="0000EE"/>
        </w:rPr>
        <w:t xml:space="preserve"> </w:t>
      </w:r>
      <w:r>
        <w:rPr>
          <w:rFonts w:ascii="Arial" w:cs="Arial" w:eastAsia="Arial" w:hAnsi="Arial"/>
          <w:sz w:val="18"/>
          <w:szCs w:val="18"/>
          <w:color w:val="000000"/>
        </w:rPr>
        <w:t xml:space="preserve">compensation committee on page </w:t>
      </w:r>
      <w:hyperlink w:anchor="page44">
        <w:r>
          <w:rPr>
            <w:rFonts w:ascii="Arial" w:cs="Arial" w:eastAsia="Arial" w:hAnsi="Arial"/>
            <w:sz w:val="18"/>
            <w:szCs w:val="18"/>
            <w:u w:val="single" w:color="auto"/>
            <w:color w:val="0000EE"/>
          </w:rPr>
          <w:t>41</w:t>
        </w:r>
      </w:hyperlink>
      <w:r>
        <w:rPr>
          <w:rFonts w:ascii="Arial" w:cs="Arial" w:eastAsia="Arial" w:hAnsi="Arial"/>
          <w:sz w:val="18"/>
          <w:szCs w:val="18"/>
          <w:color w:val="000000"/>
        </w:rPr>
        <w: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5772150</wp:posOffset>
            </wp:positionH>
            <wp:positionV relativeFrom="paragraph">
              <wp:posOffset>3704590</wp:posOffset>
            </wp:positionV>
            <wp:extent cx="300355" cy="240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304" w:lineRule="exact"/>
        <w:rPr>
          <w:rFonts w:ascii="Arial" w:cs="Arial" w:eastAsia="Arial" w:hAnsi="Arial"/>
          <w:sz w:val="18"/>
          <w:szCs w:val="18"/>
          <w:color w:val="0000EE"/>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29</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EXECUTIVE COMPENSATION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Our executive compensation program is designed to attract and retain a talented executive team with the skills and qualifications to manage and lead the Company effectively. We strive to create an executive compensation program that strikes the right balance of paying for performance, motivating our leaders to contribute to the achievement of our financial goals, and focusing on long-term value creation for our stockholders, without taking undue risk.</w:t>
      </w:r>
    </w:p>
    <w:p>
      <w:pPr>
        <w:spacing w:after="0" w:line="83"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This Compensation Discussion and Analysis contains a discussion of the material elements of compensation awarded to, earned by or paid to our named executive officers (“NEOs”), which include our Chief Executive Officer, Chief Financial Officer and our three other most highly compensated executive officers during the fiscal year ended January 2, 2021. Our NEOs for fiscal 2020 were:</w:t>
      </w:r>
    </w:p>
    <w:p>
      <w:pPr>
        <w:spacing w:after="0" w:line="117" w:lineRule="exact"/>
        <w:rPr>
          <w:sz w:val="20"/>
          <w:szCs w:val="20"/>
          <w:color w:val="auto"/>
        </w:rPr>
      </w:pPr>
    </w:p>
    <w:tbl>
      <w:tblPr>
        <w:tblLayout w:type="fixed"/>
        <w:tblInd w:w="770" w:type="dxa"/>
        <w:tblCellMar>
          <w:top w:w="0" w:type="dxa"/>
          <w:left w:w="0" w:type="dxa"/>
          <w:bottom w:w="0" w:type="dxa"/>
          <w:right w:w="0" w:type="dxa"/>
        </w:tblCellMar>
      </w:tblPr>
      <w:tr>
        <w:trPr>
          <w:trHeight w:val="284"/>
        </w:trPr>
        <w:tc>
          <w:tcPr>
            <w:tcW w:w="60" w:type="dxa"/>
            <w:vAlign w:val="bottom"/>
            <w:tcBorders>
              <w:top w:val="single" w:sz="8" w:color="3C5896"/>
              <w:left w:val="single" w:sz="8" w:color="3C5896"/>
            </w:tcBorders>
            <w:shd w:val="clear" w:color="auto" w:fill="3C5896"/>
          </w:tcPr>
          <w:p>
            <w:pPr>
              <w:spacing w:after="0"/>
              <w:rPr>
                <w:sz w:val="24"/>
                <w:szCs w:val="24"/>
                <w:color w:val="auto"/>
              </w:rPr>
            </w:pPr>
          </w:p>
        </w:tc>
        <w:tc>
          <w:tcPr>
            <w:tcW w:w="3580" w:type="dxa"/>
            <w:vAlign w:val="bottom"/>
            <w:tcBorders>
              <w:top w:val="single" w:sz="8" w:color="3C5896"/>
              <w:right w:val="single" w:sz="8" w:color="9EACCA"/>
            </w:tcBorders>
            <w:shd w:val="clear" w:color="auto" w:fill="3C5896"/>
          </w:tcPr>
          <w:p>
            <w:pPr>
              <w:ind w:left="1480"/>
              <w:spacing w:after="0"/>
              <w:rPr>
                <w:sz w:val="20"/>
                <w:szCs w:val="20"/>
                <w:color w:val="auto"/>
              </w:rPr>
            </w:pPr>
            <w:r>
              <w:rPr>
                <w:rFonts w:ascii="Arial" w:cs="Arial" w:eastAsia="Arial" w:hAnsi="Arial"/>
                <w:sz w:val="18"/>
                <w:szCs w:val="18"/>
                <w:b w:val="1"/>
                <w:bCs w:val="1"/>
                <w:color w:val="FFFFFF"/>
              </w:rPr>
              <w:t>Name</w:t>
            </w:r>
          </w:p>
        </w:tc>
        <w:tc>
          <w:tcPr>
            <w:tcW w:w="80" w:type="dxa"/>
            <w:vAlign w:val="bottom"/>
            <w:tcBorders>
              <w:top w:val="single" w:sz="8" w:color="3C5896"/>
            </w:tcBorders>
            <w:shd w:val="clear" w:color="auto" w:fill="3C5896"/>
          </w:tcPr>
          <w:p>
            <w:pPr>
              <w:spacing w:after="0"/>
              <w:rPr>
                <w:sz w:val="24"/>
                <w:szCs w:val="24"/>
                <w:color w:val="auto"/>
              </w:rPr>
            </w:pPr>
          </w:p>
        </w:tc>
        <w:tc>
          <w:tcPr>
            <w:tcW w:w="5480" w:type="dxa"/>
            <w:vAlign w:val="bottom"/>
            <w:tcBorders>
              <w:top w:val="single" w:sz="8" w:color="3C5896"/>
              <w:right w:val="single" w:sz="8" w:color="3C5896"/>
            </w:tcBorders>
            <w:shd w:val="clear" w:color="auto" w:fill="3C5896"/>
          </w:tcPr>
          <w:p>
            <w:pPr>
              <w:ind w:left="2360"/>
              <w:spacing w:after="0"/>
              <w:rPr>
                <w:sz w:val="20"/>
                <w:szCs w:val="20"/>
                <w:color w:val="auto"/>
              </w:rPr>
            </w:pPr>
            <w:r>
              <w:rPr>
                <w:rFonts w:ascii="Arial" w:cs="Arial" w:eastAsia="Arial" w:hAnsi="Arial"/>
                <w:sz w:val="18"/>
                <w:szCs w:val="18"/>
                <w:b w:val="1"/>
                <w:bCs w:val="1"/>
                <w:color w:val="FFFFFF"/>
              </w:rPr>
              <w:t>Position</w:t>
            </w:r>
          </w:p>
        </w:tc>
      </w:tr>
      <w:tr>
        <w:trPr>
          <w:trHeight w:val="250"/>
        </w:trPr>
        <w:tc>
          <w:tcPr>
            <w:tcW w:w="60" w:type="dxa"/>
            <w:vAlign w:val="bottom"/>
            <w:tcBorders>
              <w:left w:val="single" w:sz="8" w:color="3C5896"/>
            </w:tcBorders>
          </w:tcPr>
          <w:p>
            <w:pPr>
              <w:spacing w:after="0"/>
              <w:rPr>
                <w:sz w:val="21"/>
                <w:szCs w:val="21"/>
                <w:color w:val="auto"/>
              </w:rPr>
            </w:pPr>
          </w:p>
        </w:tc>
        <w:tc>
          <w:tcPr>
            <w:tcW w:w="35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L. Reade Fahs</w:t>
            </w:r>
          </w:p>
        </w:tc>
        <w:tc>
          <w:tcPr>
            <w:tcW w:w="80" w:type="dxa"/>
            <w:vAlign w:val="bottom"/>
          </w:tcPr>
          <w:p>
            <w:pPr>
              <w:spacing w:after="0"/>
              <w:rPr>
                <w:sz w:val="21"/>
                <w:szCs w:val="21"/>
                <w:color w:val="auto"/>
              </w:rPr>
            </w:pPr>
          </w:p>
        </w:tc>
        <w:tc>
          <w:tcPr>
            <w:tcW w:w="5480" w:type="dxa"/>
            <w:vAlign w:val="bottom"/>
            <w:tcBorders>
              <w:right w:val="single" w:sz="8" w:color="3C5896"/>
            </w:tcBorders>
          </w:tcPr>
          <w:p>
            <w:pPr>
              <w:spacing w:after="0"/>
              <w:rPr>
                <w:sz w:val="20"/>
                <w:szCs w:val="20"/>
                <w:color w:val="auto"/>
              </w:rPr>
            </w:pPr>
            <w:r>
              <w:rPr>
                <w:rFonts w:ascii="Arial" w:cs="Arial" w:eastAsia="Arial" w:hAnsi="Arial"/>
                <w:sz w:val="18"/>
                <w:szCs w:val="18"/>
                <w:color w:val="auto"/>
              </w:rPr>
              <w:t>Chief Executive Officer and Director</w:t>
            </w: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5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80" w:type="dxa"/>
            <w:vAlign w:val="bottom"/>
            <w:shd w:val="clear" w:color="auto" w:fill="CCCCCC"/>
          </w:tcPr>
          <w:p>
            <w:pPr>
              <w:spacing w:after="0"/>
              <w:rPr>
                <w:sz w:val="22"/>
                <w:szCs w:val="22"/>
                <w:color w:val="auto"/>
              </w:rPr>
            </w:pPr>
          </w:p>
        </w:tc>
        <w:tc>
          <w:tcPr>
            <w:tcW w:w="548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50"/>
        </w:trPr>
        <w:tc>
          <w:tcPr>
            <w:tcW w:w="60" w:type="dxa"/>
            <w:vAlign w:val="bottom"/>
            <w:tcBorders>
              <w:left w:val="single" w:sz="8" w:color="3C5896"/>
            </w:tcBorders>
          </w:tcPr>
          <w:p>
            <w:pPr>
              <w:spacing w:after="0"/>
              <w:rPr>
                <w:sz w:val="21"/>
                <w:szCs w:val="21"/>
                <w:color w:val="auto"/>
              </w:rPr>
            </w:pPr>
          </w:p>
        </w:tc>
        <w:tc>
          <w:tcPr>
            <w:tcW w:w="35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Bill Clark</w:t>
            </w:r>
          </w:p>
        </w:tc>
        <w:tc>
          <w:tcPr>
            <w:tcW w:w="80" w:type="dxa"/>
            <w:vAlign w:val="bottom"/>
          </w:tcPr>
          <w:p>
            <w:pPr>
              <w:spacing w:after="0"/>
              <w:rPr>
                <w:sz w:val="21"/>
                <w:szCs w:val="21"/>
                <w:color w:val="auto"/>
              </w:rPr>
            </w:pPr>
          </w:p>
        </w:tc>
        <w:tc>
          <w:tcPr>
            <w:tcW w:w="5480" w:type="dxa"/>
            <w:vAlign w:val="bottom"/>
            <w:tcBorders>
              <w:right w:val="single" w:sz="8" w:color="3C5896"/>
            </w:tcBorders>
          </w:tcPr>
          <w:p>
            <w:pPr>
              <w:spacing w:after="0"/>
              <w:rPr>
                <w:sz w:val="20"/>
                <w:szCs w:val="20"/>
                <w:color w:val="auto"/>
              </w:rPr>
            </w:pPr>
            <w:r>
              <w:rPr>
                <w:rFonts w:ascii="Arial" w:cs="Arial" w:eastAsia="Arial" w:hAnsi="Arial"/>
                <w:sz w:val="18"/>
                <w:szCs w:val="18"/>
                <w:color w:val="auto"/>
              </w:rPr>
              <w:t>Senior Vice President, Chief People Officer</w:t>
            </w: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5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Jared Brandman</w:t>
            </w:r>
          </w:p>
        </w:tc>
        <w:tc>
          <w:tcPr>
            <w:tcW w:w="80" w:type="dxa"/>
            <w:vAlign w:val="bottom"/>
            <w:shd w:val="clear" w:color="auto" w:fill="CCCCCC"/>
          </w:tcPr>
          <w:p>
            <w:pPr>
              <w:spacing w:after="0"/>
              <w:rPr>
                <w:sz w:val="22"/>
                <w:szCs w:val="22"/>
                <w:color w:val="auto"/>
              </w:rPr>
            </w:pPr>
          </w:p>
        </w:tc>
        <w:tc>
          <w:tcPr>
            <w:tcW w:w="5480" w:type="dxa"/>
            <w:vAlign w:val="bottom"/>
            <w:tcBorders>
              <w:right w:val="single" w:sz="8" w:color="3C5896"/>
            </w:tcBorders>
            <w:shd w:val="clear" w:color="auto" w:fill="CCCCCC"/>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83"/>
        </w:trPr>
        <w:tc>
          <w:tcPr>
            <w:tcW w:w="60" w:type="dxa"/>
            <w:vAlign w:val="bottom"/>
            <w:tcBorders>
              <w:left w:val="single" w:sz="8" w:color="3C5896"/>
            </w:tcBorders>
          </w:tcPr>
          <w:p>
            <w:pPr>
              <w:spacing w:after="0"/>
              <w:rPr>
                <w:sz w:val="24"/>
                <w:szCs w:val="24"/>
                <w:color w:val="auto"/>
              </w:rPr>
            </w:pPr>
          </w:p>
        </w:tc>
        <w:tc>
          <w:tcPr>
            <w:tcW w:w="35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80" w:type="dxa"/>
            <w:vAlign w:val="bottom"/>
          </w:tcPr>
          <w:p>
            <w:pPr>
              <w:spacing w:after="0"/>
              <w:rPr>
                <w:sz w:val="24"/>
                <w:szCs w:val="24"/>
                <w:color w:val="auto"/>
              </w:rPr>
            </w:pPr>
          </w:p>
        </w:tc>
        <w:tc>
          <w:tcPr>
            <w:tcW w:w="5480" w:type="dxa"/>
            <w:vAlign w:val="bottom"/>
            <w:tcBorders>
              <w:right w:val="single" w:sz="8" w:color="3C5896"/>
            </w:tcBorders>
          </w:tcPr>
          <w:p>
            <w:pPr>
              <w:spacing w:after="0"/>
              <w:rPr>
                <w:sz w:val="20"/>
                <w:szCs w:val="20"/>
                <w:color w:val="auto"/>
              </w:rPr>
            </w:pPr>
            <w:r>
              <w:rPr>
                <w:rFonts w:ascii="Arial" w:cs="Arial" w:eastAsia="Arial" w:hAnsi="Arial"/>
                <w:sz w:val="18"/>
                <w:szCs w:val="18"/>
                <w:color w:val="auto"/>
              </w:rPr>
              <w:t>Senior Vice President, Chief Marketing Officer</w:t>
            </w: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358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5480" w:type="dxa"/>
            <w:vAlign w:val="bottom"/>
            <w:tcBorders>
              <w:right w:val="single" w:sz="8" w:color="3C5896"/>
            </w:tcBorders>
            <w:shd w:val="clear" w:color="auto" w:fill="3C5896"/>
          </w:tcPr>
          <w:p>
            <w:pPr>
              <w:spacing w:after="0" w:line="20" w:lineRule="exact"/>
              <w:rPr>
                <w:sz w:val="1"/>
                <w:szCs w:val="1"/>
                <w:color w:val="auto"/>
              </w:rPr>
            </w:pPr>
          </w:p>
        </w:tc>
      </w:tr>
    </w:tbl>
    <w:p>
      <w:pPr>
        <w:spacing w:after="0" w:line="161"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The following information summarizes the Company’s 2020 performance and our key executive compensation actions and decisions. Additional information about these topics can be found in the Company’s 2020 Form 10-K and this proxy statement.</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2020 Business Highlights</w:t>
      </w:r>
    </w:p>
    <w:p>
      <w:pPr>
        <w:spacing w:after="0" w:line="139" w:lineRule="exact"/>
        <w:rPr>
          <w:sz w:val="20"/>
          <w:szCs w:val="20"/>
          <w:color w:val="auto"/>
        </w:rPr>
      </w:pPr>
    </w:p>
    <w:p>
      <w:pPr>
        <w:jc w:val="both"/>
        <w:ind w:left="760"/>
        <w:spacing w:after="0" w:line="250" w:lineRule="auto"/>
        <w:rPr>
          <w:sz w:val="20"/>
          <w:szCs w:val="20"/>
          <w:color w:val="auto"/>
        </w:rPr>
      </w:pPr>
      <w:r>
        <w:rPr>
          <w:rFonts w:ascii="Arial" w:cs="Arial" w:eastAsia="Arial" w:hAnsi="Arial"/>
          <w:sz w:val="18"/>
          <w:szCs w:val="18"/>
          <w:color w:val="auto"/>
        </w:rPr>
        <w:t>2020 was a challenging year with the outbreak of the COVID-19 global pandemic and the resulting impact on economic activity and businesses. Even with a year of unprecedented business challenges, we believe the Company has and continues to navigate through the pandemic and will emerge stronger and more resilient. With a safety-first approach in mind, we (1) prioritized the health and safety of our associates, doctors, patients and customers by closing our stores to the public for a period of time to implement enhanced safety protocols,</w:t>
      </w:r>
    </w:p>
    <w:p>
      <w:pPr>
        <w:spacing w:after="0" w:line="2" w:lineRule="exact"/>
        <w:rPr>
          <w:sz w:val="20"/>
          <w:szCs w:val="20"/>
          <w:color w:val="auto"/>
        </w:rPr>
      </w:pPr>
    </w:p>
    <w:p>
      <w:pPr>
        <w:jc w:val="both"/>
        <w:ind w:left="760" w:firstLine="2"/>
        <w:spacing w:after="0" w:line="253" w:lineRule="auto"/>
        <w:tabs>
          <w:tab w:leader="none" w:pos="10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supported local health and government directives and guidance by implementing such protocols to assist in mitigating the spread of the pandemic at our stores and our corporate headquarters, and (3) served our patients and customers in a responsible and positive way by modifying our operations to comply with new public health guidelines and evolving customer expectations all while continuing to deliver low cost eye care and eyewear, a medical necessity, to the communities we serve.</w:t>
      </w:r>
    </w:p>
    <w:p>
      <w:pPr>
        <w:spacing w:after="0" w:line="9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Our Board and management team focused on responding appropriately to the pandemic and took certain operational and cost-cutting measures, as outlined below, to prioritize cash conservation and the prudent management of our business, while positioning the Company to safely conduct normal operations. Our fiscal 2020 compensation was consistent with our pay for performance and motivational philosophy and reflected the continued strength and resilience of our brand in challenging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sz w:val="1"/>
          <w:szCs w:val="1"/>
          <w:color w:val="auto"/>
        </w:rPr>
        <w:drawing>
          <wp:inline distT="0" distB="0" distL="0" distR="0">
            <wp:extent cx="299720" cy="2400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jc w:val="right"/>
        <w:ind w:right="88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157480</wp:posOffset>
            </wp:positionV>
            <wp:extent cx="5837555"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OUR COVID-19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28575</wp:posOffset>
            </wp:positionV>
            <wp:extent cx="5837555" cy="38830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37555" cy="388302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5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FFFFFF"/>
        </w:rPr>
        <w:t>Operational</w:t>
      </w:r>
    </w:p>
    <w:p>
      <w:pPr>
        <w:spacing w:after="0" w:line="58" w:lineRule="exact"/>
        <w:rPr>
          <w:sz w:val="20"/>
          <w:szCs w:val="20"/>
          <w:color w:val="auto"/>
        </w:rPr>
      </w:pPr>
    </w:p>
    <w:p>
      <w:pPr>
        <w:ind w:left="1060" w:hanging="230"/>
        <w:spacing w:after="0" w:line="252" w:lineRule="auto"/>
        <w:tabs>
          <w:tab w:leader="none" w:pos="1060" w:val="left"/>
        </w:tabs>
        <w:numPr>
          <w:ilvl w:val="0"/>
          <w:numId w:val="22"/>
        </w:numPr>
        <w:rPr>
          <w:rFonts w:ascii="MS PGothic" w:cs="MS PGothic" w:eastAsia="MS PGothic" w:hAnsi="MS PGothic"/>
          <w:sz w:val="18"/>
          <w:szCs w:val="18"/>
          <w:color w:val="3C5896"/>
        </w:rPr>
      </w:pPr>
      <w:r>
        <w:rPr>
          <w:rFonts w:ascii="Arial" w:cs="Arial" w:eastAsia="Arial" w:hAnsi="Arial"/>
          <w:sz w:val="18"/>
          <w:szCs w:val="18"/>
          <w:color w:val="auto"/>
        </w:rPr>
        <w:t>Temporarily closed stores to the public in part of 2020 to implement enhanced safety measures, including a temporary furlough of a significant portion of our associates during April and May 2020</w:t>
      </w:r>
    </w:p>
    <w:p>
      <w:pPr>
        <w:spacing w:after="0" w:line="85" w:lineRule="exact"/>
        <w:rPr>
          <w:rFonts w:ascii="MS PGothic" w:cs="MS PGothic" w:eastAsia="MS PGothic" w:hAnsi="MS PGothic"/>
          <w:sz w:val="18"/>
          <w:szCs w:val="18"/>
          <w:color w:val="3C5896"/>
        </w:rPr>
      </w:pPr>
    </w:p>
    <w:p>
      <w:pPr>
        <w:ind w:left="1040" w:right="60" w:hanging="210"/>
        <w:spacing w:after="0" w:line="254" w:lineRule="auto"/>
        <w:tabs>
          <w:tab w:leader="none" w:pos="1040" w:val="left"/>
        </w:tabs>
        <w:numPr>
          <w:ilvl w:val="0"/>
          <w:numId w:val="22"/>
        </w:numPr>
        <w:rPr>
          <w:rFonts w:ascii="MS PGothic" w:cs="MS PGothic" w:eastAsia="MS PGothic" w:hAnsi="MS PGothic"/>
          <w:sz w:val="18"/>
          <w:szCs w:val="18"/>
          <w:color w:val="3C5896"/>
        </w:rPr>
      </w:pPr>
      <w:r>
        <w:rPr>
          <w:rFonts w:ascii="Arial" w:cs="Arial" w:eastAsia="Arial" w:hAnsi="Arial"/>
          <w:sz w:val="18"/>
          <w:szCs w:val="18"/>
          <w:color w:val="auto"/>
        </w:rPr>
        <w:t>Worked with a base of vendors and landlords to extend payment terms and modify existing contracts</w:t>
      </w:r>
    </w:p>
    <w:p>
      <w:pPr>
        <w:spacing w:after="0" w:line="68" w:lineRule="exact"/>
        <w:rPr>
          <w:rFonts w:ascii="MS PGothic" w:cs="MS PGothic" w:eastAsia="MS PGothic" w:hAnsi="MS PGothic"/>
          <w:sz w:val="18"/>
          <w:szCs w:val="18"/>
          <w:color w:val="3C5896"/>
        </w:rPr>
      </w:pPr>
    </w:p>
    <w:p>
      <w:pPr>
        <w:ind w:left="1040" w:hanging="210"/>
        <w:spacing w:after="0" w:line="256" w:lineRule="auto"/>
        <w:tabs>
          <w:tab w:leader="none" w:pos="1040" w:val="left"/>
        </w:tabs>
        <w:numPr>
          <w:ilvl w:val="0"/>
          <w:numId w:val="22"/>
        </w:numPr>
        <w:rPr>
          <w:rFonts w:ascii="MS PGothic" w:cs="MS PGothic" w:eastAsia="MS PGothic" w:hAnsi="MS PGothic"/>
          <w:sz w:val="18"/>
          <w:szCs w:val="18"/>
          <w:color w:val="3C5896"/>
        </w:rPr>
      </w:pPr>
      <w:r>
        <w:rPr>
          <w:rFonts w:ascii="Arial" w:cs="Arial" w:eastAsia="Arial" w:hAnsi="Arial"/>
          <w:sz w:val="18"/>
          <w:szCs w:val="18"/>
          <w:color w:val="auto"/>
        </w:rPr>
        <w:t>Temporarily paused new store openings until the second quarter of 2020</w:t>
      </w:r>
    </w:p>
    <w:p>
      <w:pPr>
        <w:spacing w:after="0" w:line="80" w:lineRule="exact"/>
        <w:rPr>
          <w:rFonts w:ascii="MS PGothic" w:cs="MS PGothic" w:eastAsia="MS PGothic" w:hAnsi="MS PGothic"/>
          <w:sz w:val="18"/>
          <w:szCs w:val="18"/>
          <w:color w:val="3C5896"/>
        </w:rPr>
      </w:pPr>
    </w:p>
    <w:p>
      <w:pPr>
        <w:ind w:left="1040" w:right="280" w:hanging="210"/>
        <w:spacing w:after="0" w:line="261" w:lineRule="auto"/>
        <w:tabs>
          <w:tab w:leader="none" w:pos="1040" w:val="left"/>
        </w:tabs>
        <w:numPr>
          <w:ilvl w:val="0"/>
          <w:numId w:val="22"/>
        </w:numPr>
        <w:rPr>
          <w:rFonts w:ascii="MS PGothic" w:cs="MS PGothic" w:eastAsia="MS PGothic" w:hAnsi="MS PGothic"/>
          <w:sz w:val="18"/>
          <w:szCs w:val="18"/>
          <w:color w:val="3C5896"/>
        </w:rPr>
      </w:pPr>
      <w:r>
        <w:rPr>
          <w:rFonts w:ascii="Arial" w:cs="Arial" w:eastAsia="Arial" w:hAnsi="Arial"/>
          <w:sz w:val="18"/>
          <w:szCs w:val="18"/>
          <w:color w:val="auto"/>
        </w:rPr>
        <w:t>Reduced near term marketing spend</w:t>
      </w:r>
    </w:p>
    <w:p>
      <w:pPr>
        <w:spacing w:after="0" w:line="76" w:lineRule="exact"/>
        <w:rPr>
          <w:rFonts w:ascii="MS PGothic" w:cs="MS PGothic" w:eastAsia="MS PGothic" w:hAnsi="MS PGothic"/>
          <w:sz w:val="18"/>
          <w:szCs w:val="18"/>
          <w:color w:val="3C5896"/>
        </w:rPr>
      </w:pPr>
    </w:p>
    <w:p>
      <w:pPr>
        <w:ind w:left="1040" w:right="180" w:hanging="210"/>
        <w:spacing w:after="0" w:line="253" w:lineRule="auto"/>
        <w:tabs>
          <w:tab w:leader="none" w:pos="1040" w:val="left"/>
        </w:tabs>
        <w:numPr>
          <w:ilvl w:val="0"/>
          <w:numId w:val="22"/>
        </w:numPr>
        <w:rPr>
          <w:rFonts w:ascii="MS PGothic" w:cs="MS PGothic" w:eastAsia="MS PGothic" w:hAnsi="MS PGothic"/>
          <w:sz w:val="18"/>
          <w:szCs w:val="18"/>
          <w:color w:val="3C5896"/>
        </w:rPr>
      </w:pPr>
      <w:r>
        <w:rPr>
          <w:rFonts w:ascii="Arial" w:cs="Arial" w:eastAsia="Arial" w:hAnsi="Arial"/>
          <w:sz w:val="18"/>
          <w:szCs w:val="18"/>
          <w:color w:val="auto"/>
        </w:rPr>
        <w:t>Implemented enhanced safety protocols that allowed us to reopen our stores and continue servicing our patients and customers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Liquidity</w:t>
      </w:r>
    </w:p>
    <w:p>
      <w:pPr>
        <w:spacing w:after="0" w:line="58" w:lineRule="exact"/>
        <w:rPr>
          <w:sz w:val="20"/>
          <w:szCs w:val="20"/>
          <w:color w:val="auto"/>
        </w:rPr>
      </w:pPr>
    </w:p>
    <w:p>
      <w:pPr>
        <w:ind w:left="240" w:hanging="239"/>
        <w:spacing w:after="0"/>
        <w:tabs>
          <w:tab w:leader="none" w:pos="240" w:val="left"/>
        </w:tabs>
        <w:numPr>
          <w:ilvl w:val="0"/>
          <w:numId w:val="23"/>
        </w:numPr>
        <w:rPr>
          <w:rFonts w:ascii="MS PGothic" w:cs="MS PGothic" w:eastAsia="MS PGothic" w:hAnsi="MS PGothic"/>
          <w:sz w:val="18"/>
          <w:szCs w:val="18"/>
          <w:color w:val="3C5896"/>
        </w:rPr>
      </w:pPr>
      <w:r>
        <w:rPr>
          <w:rFonts w:ascii="Arial" w:cs="Arial" w:eastAsia="Arial" w:hAnsi="Arial"/>
          <w:sz w:val="18"/>
          <w:szCs w:val="18"/>
          <w:color w:val="auto"/>
        </w:rPr>
        <w:t>Borrowed remaining</w:t>
      </w:r>
    </w:p>
    <w:p>
      <w:pPr>
        <w:spacing w:after="0" w:line="9" w:lineRule="exact"/>
        <w:rPr>
          <w:rFonts w:ascii="MS PGothic" w:cs="MS PGothic" w:eastAsia="MS PGothic" w:hAnsi="MS PGothic"/>
          <w:sz w:val="18"/>
          <w:szCs w:val="18"/>
          <w:color w:val="3C5896"/>
        </w:rPr>
      </w:pPr>
    </w:p>
    <w:p>
      <w:pPr>
        <w:ind w:left="240" w:right="120"/>
        <w:spacing w:after="0" w:line="254" w:lineRule="auto"/>
        <w:rPr>
          <w:rFonts w:ascii="MS PGothic" w:cs="MS PGothic" w:eastAsia="MS PGothic" w:hAnsi="MS PGothic"/>
          <w:sz w:val="18"/>
          <w:szCs w:val="18"/>
          <w:color w:val="3C5896"/>
        </w:rPr>
      </w:pPr>
      <w:r>
        <w:rPr>
          <w:rFonts w:ascii="Arial" w:cs="Arial" w:eastAsia="Arial" w:hAnsi="Arial"/>
          <w:sz w:val="18"/>
          <w:szCs w:val="18"/>
          <w:color w:val="auto"/>
        </w:rPr>
        <w:t>$146.3 million under revolving credit facility in March 2020 and fully repaid revolving credit facility in May 2020</w:t>
      </w:r>
    </w:p>
    <w:p>
      <w:pPr>
        <w:spacing w:after="0" w:line="82" w:lineRule="exact"/>
        <w:rPr>
          <w:rFonts w:ascii="MS PGothic" w:cs="MS PGothic" w:eastAsia="MS PGothic" w:hAnsi="MS PGothic"/>
          <w:sz w:val="18"/>
          <w:szCs w:val="18"/>
          <w:color w:val="3C5896"/>
        </w:rPr>
      </w:pPr>
    </w:p>
    <w:p>
      <w:pPr>
        <w:ind w:left="220" w:right="40" w:hanging="219"/>
        <w:spacing w:after="0" w:line="251" w:lineRule="auto"/>
        <w:tabs>
          <w:tab w:leader="none" w:pos="220" w:val="left"/>
        </w:tabs>
        <w:numPr>
          <w:ilvl w:val="0"/>
          <w:numId w:val="23"/>
        </w:numPr>
        <w:rPr>
          <w:rFonts w:ascii="MS PGothic" w:cs="MS PGothic" w:eastAsia="MS PGothic" w:hAnsi="MS PGothic"/>
          <w:sz w:val="18"/>
          <w:szCs w:val="18"/>
          <w:color w:val="3C5896"/>
        </w:rPr>
      </w:pPr>
      <w:r>
        <w:rPr>
          <w:rFonts w:ascii="Arial" w:cs="Arial" w:eastAsia="Arial" w:hAnsi="Arial"/>
          <w:sz w:val="18"/>
          <w:szCs w:val="18"/>
          <w:color w:val="auto"/>
        </w:rPr>
        <w:t>Entered into credit agreement amendment in May 2020 to prevent the effects of the pandemic, including the temporary closure of stores, from creating uncertainty in financial covenant compliance and allowing focus on prudent management of business</w:t>
      </w:r>
    </w:p>
    <w:p>
      <w:pPr>
        <w:spacing w:after="0" w:line="76" w:lineRule="exact"/>
        <w:rPr>
          <w:rFonts w:ascii="MS PGothic" w:cs="MS PGothic" w:eastAsia="MS PGothic" w:hAnsi="MS PGothic"/>
          <w:sz w:val="18"/>
          <w:szCs w:val="18"/>
          <w:color w:val="3C5896"/>
        </w:rPr>
      </w:pPr>
    </w:p>
    <w:p>
      <w:pPr>
        <w:ind w:left="220" w:right="540" w:hanging="219"/>
        <w:spacing w:after="0" w:line="250" w:lineRule="auto"/>
        <w:tabs>
          <w:tab w:leader="none" w:pos="220" w:val="left"/>
        </w:tabs>
        <w:numPr>
          <w:ilvl w:val="0"/>
          <w:numId w:val="23"/>
        </w:numPr>
        <w:rPr>
          <w:rFonts w:ascii="MS PGothic" w:cs="MS PGothic" w:eastAsia="MS PGothic" w:hAnsi="MS PGothic"/>
          <w:sz w:val="18"/>
          <w:szCs w:val="18"/>
          <w:color w:val="3C5896"/>
        </w:rPr>
      </w:pPr>
      <w:r>
        <w:rPr>
          <w:rFonts w:ascii="Arial" w:cs="Arial" w:eastAsia="Arial" w:hAnsi="Arial"/>
          <w:sz w:val="18"/>
          <w:szCs w:val="18"/>
          <w:color w:val="auto"/>
        </w:rPr>
        <w:t>Completed the issuance of $402.5 million of 2.50% convertible senior notes in</w:t>
      </w:r>
    </w:p>
    <w:p>
      <w:pPr>
        <w:spacing w:after="0" w:line="1" w:lineRule="exact"/>
        <w:rPr>
          <w:rFonts w:ascii="MS PGothic" w:cs="MS PGothic" w:eastAsia="MS PGothic" w:hAnsi="MS PGothic"/>
          <w:sz w:val="18"/>
          <w:szCs w:val="18"/>
          <w:color w:val="3C5896"/>
        </w:rPr>
      </w:pPr>
    </w:p>
    <w:p>
      <w:pPr>
        <w:ind w:left="220"/>
        <w:spacing w:after="0" w:line="278" w:lineRule="auto"/>
        <w:rPr>
          <w:rFonts w:ascii="MS PGothic" w:cs="MS PGothic" w:eastAsia="MS PGothic" w:hAnsi="MS PGothic"/>
          <w:sz w:val="18"/>
          <w:szCs w:val="18"/>
          <w:color w:val="3C5896"/>
        </w:rPr>
      </w:pPr>
      <w:r>
        <w:rPr>
          <w:rFonts w:ascii="Arial" w:cs="Arial" w:eastAsia="Arial" w:hAnsi="Arial"/>
          <w:sz w:val="17"/>
          <w:szCs w:val="17"/>
          <w:color w:val="auto"/>
        </w:rPr>
        <w:t>May 2020 and used net proceeds to partially repay term loan and fully repay revolving credit facility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821"/>
        <w:spacing w:after="0"/>
        <w:rPr>
          <w:sz w:val="20"/>
          <w:szCs w:val="20"/>
          <w:color w:val="auto"/>
        </w:rPr>
      </w:pPr>
      <w:r>
        <w:rPr>
          <w:rFonts w:ascii="Arial" w:cs="Arial" w:eastAsia="Arial" w:hAnsi="Arial"/>
          <w:sz w:val="18"/>
          <w:szCs w:val="18"/>
          <w:b w:val="1"/>
          <w:bCs w:val="1"/>
          <w:color w:val="FFFFFF"/>
        </w:rPr>
        <w:t>Compensation</w:t>
      </w:r>
    </w:p>
    <w:p>
      <w:pPr>
        <w:spacing w:after="0" w:line="58" w:lineRule="exact"/>
        <w:rPr>
          <w:sz w:val="20"/>
          <w:szCs w:val="20"/>
          <w:color w:val="auto"/>
        </w:rPr>
      </w:pPr>
    </w:p>
    <w:p>
      <w:pPr>
        <w:ind w:left="241" w:right="860" w:hanging="241"/>
        <w:spacing w:after="0" w:line="267" w:lineRule="auto"/>
        <w:tabs>
          <w:tab w:leader="none" w:pos="241" w:val="left"/>
        </w:tabs>
        <w:numPr>
          <w:ilvl w:val="0"/>
          <w:numId w:val="24"/>
        </w:numPr>
        <w:rPr>
          <w:rFonts w:ascii="MS PGothic" w:cs="MS PGothic" w:eastAsia="MS PGothic" w:hAnsi="MS PGothic"/>
          <w:sz w:val="17"/>
          <w:szCs w:val="17"/>
          <w:color w:val="3C5896"/>
        </w:rPr>
      </w:pPr>
      <w:r>
        <w:rPr>
          <w:rFonts w:ascii="Arial" w:cs="Arial" w:eastAsia="Arial" w:hAnsi="Arial"/>
          <w:sz w:val="17"/>
          <w:szCs w:val="17"/>
          <w:color w:val="auto"/>
        </w:rPr>
        <w:t>Reduced compensation across the organization until the second quarter of 2020, including a voluntary salary reduction by the CEO to $1, voluntary 30% salary reductions by the other executive officers and a voluntary election by the Board to forego their cash compensation for the second quarter, with the CEO returning to full base salary only after all non-executive employees were back to 100% compensation</w:t>
      </w:r>
    </w:p>
    <w:p>
      <w:pPr>
        <w:spacing w:after="0" w:line="75" w:lineRule="exact"/>
        <w:rPr>
          <w:rFonts w:ascii="MS PGothic" w:cs="MS PGothic" w:eastAsia="MS PGothic" w:hAnsi="MS PGothic"/>
          <w:sz w:val="17"/>
          <w:szCs w:val="17"/>
          <w:color w:val="3C5896"/>
        </w:rPr>
      </w:pPr>
    </w:p>
    <w:p>
      <w:pPr>
        <w:ind w:left="221" w:right="1000" w:hanging="221"/>
        <w:spacing w:after="0" w:line="278" w:lineRule="auto"/>
        <w:tabs>
          <w:tab w:leader="none" w:pos="221" w:val="left"/>
        </w:tabs>
        <w:numPr>
          <w:ilvl w:val="0"/>
          <w:numId w:val="24"/>
        </w:numPr>
        <w:rPr>
          <w:rFonts w:ascii="MS PGothic" w:cs="MS PGothic" w:eastAsia="MS PGothic" w:hAnsi="MS PGothic"/>
          <w:sz w:val="17"/>
          <w:szCs w:val="17"/>
          <w:color w:val="3C5896"/>
        </w:rPr>
      </w:pPr>
      <w:r>
        <w:rPr>
          <w:rFonts w:ascii="Arial" w:cs="Arial" w:eastAsia="Arial" w:hAnsi="Arial"/>
          <w:sz w:val="17"/>
          <w:szCs w:val="17"/>
          <w:color w:val="auto"/>
        </w:rPr>
        <w:t>Granted one-time appreciation bonuses to customer-facing associates in third quarter 2020</w:t>
      </w:r>
    </w:p>
    <w:p>
      <w:pPr>
        <w:spacing w:after="0" w:line="49" w:lineRule="exact"/>
        <w:rPr>
          <w:rFonts w:ascii="MS PGothic" w:cs="MS PGothic" w:eastAsia="MS PGothic" w:hAnsi="MS PGothic"/>
          <w:sz w:val="17"/>
          <w:szCs w:val="17"/>
          <w:color w:val="3C5896"/>
        </w:rPr>
      </w:pPr>
    </w:p>
    <w:p>
      <w:pPr>
        <w:ind w:left="221" w:right="1140" w:hanging="221"/>
        <w:spacing w:after="0" w:line="261" w:lineRule="auto"/>
        <w:tabs>
          <w:tab w:leader="none" w:pos="221" w:val="left"/>
        </w:tabs>
        <w:numPr>
          <w:ilvl w:val="0"/>
          <w:numId w:val="24"/>
        </w:numPr>
        <w:rPr>
          <w:rFonts w:ascii="MS PGothic" w:cs="MS PGothic" w:eastAsia="MS PGothic" w:hAnsi="MS PGothic"/>
          <w:sz w:val="18"/>
          <w:szCs w:val="18"/>
          <w:color w:val="3C5896"/>
        </w:rPr>
      </w:pPr>
      <w:r>
        <w:rPr>
          <w:rFonts w:ascii="Arial" w:cs="Arial" w:eastAsia="Arial" w:hAnsi="Arial"/>
          <w:sz w:val="18"/>
          <w:szCs w:val="18"/>
          <w:color w:val="auto"/>
        </w:rPr>
        <w:t>Granted additional holidays in fourth quarter 2020</w:t>
      </w:r>
    </w:p>
    <w:p>
      <w:pPr>
        <w:spacing w:after="0" w:line="76" w:lineRule="exact"/>
        <w:rPr>
          <w:rFonts w:ascii="MS PGothic" w:cs="MS PGothic" w:eastAsia="MS PGothic" w:hAnsi="MS PGothic"/>
          <w:sz w:val="18"/>
          <w:szCs w:val="18"/>
          <w:color w:val="3C5896"/>
        </w:rPr>
      </w:pPr>
    </w:p>
    <w:p>
      <w:pPr>
        <w:ind w:left="221" w:right="1220" w:hanging="221"/>
        <w:spacing w:after="0" w:line="256" w:lineRule="auto"/>
        <w:tabs>
          <w:tab w:leader="none" w:pos="221" w:val="left"/>
        </w:tabs>
        <w:numPr>
          <w:ilvl w:val="0"/>
          <w:numId w:val="24"/>
        </w:numPr>
        <w:rPr>
          <w:rFonts w:ascii="MS PGothic" w:cs="MS PGothic" w:eastAsia="MS PGothic" w:hAnsi="MS PGothic"/>
          <w:sz w:val="18"/>
          <w:szCs w:val="18"/>
          <w:color w:val="3C5896"/>
        </w:rPr>
      </w:pPr>
      <w:r>
        <w:rPr>
          <w:rFonts w:ascii="Arial" w:cs="Arial" w:eastAsia="Arial" w:hAnsi="Arial"/>
          <w:sz w:val="18"/>
          <w:szCs w:val="18"/>
          <w:color w:val="auto"/>
        </w:rPr>
        <w:t>Continued to pay benefits for associates furloughed in response to pandemic</w:t>
      </w:r>
    </w:p>
    <w:p>
      <w:pPr>
        <w:spacing w:after="0" w:line="80" w:lineRule="exact"/>
        <w:rPr>
          <w:rFonts w:ascii="MS PGothic" w:cs="MS PGothic" w:eastAsia="MS PGothic" w:hAnsi="MS PGothic"/>
          <w:sz w:val="18"/>
          <w:szCs w:val="18"/>
          <w:color w:val="3C5896"/>
        </w:rPr>
      </w:pPr>
    </w:p>
    <w:p>
      <w:pPr>
        <w:ind w:left="221" w:right="1100" w:hanging="221"/>
        <w:spacing w:after="0" w:line="254" w:lineRule="auto"/>
        <w:tabs>
          <w:tab w:leader="none" w:pos="221" w:val="left"/>
        </w:tabs>
        <w:numPr>
          <w:ilvl w:val="0"/>
          <w:numId w:val="24"/>
        </w:numPr>
        <w:rPr>
          <w:rFonts w:ascii="MS PGothic" w:cs="MS PGothic" w:eastAsia="MS PGothic" w:hAnsi="MS PGothic"/>
          <w:sz w:val="18"/>
          <w:szCs w:val="18"/>
          <w:color w:val="3C5896"/>
        </w:rPr>
      </w:pPr>
      <w:r>
        <w:rPr>
          <w:rFonts w:ascii="Arial" w:cs="Arial" w:eastAsia="Arial" w:hAnsi="Arial"/>
          <w:sz w:val="18"/>
          <w:szCs w:val="18"/>
          <w:color w:val="auto"/>
        </w:rPr>
        <w:t>Paid short-term incentive cash bonuses at target level for associates to reward their dedication and resiliency</w:t>
      </w:r>
    </w:p>
    <w:p>
      <w:pPr>
        <w:spacing w:after="0" w:line="200" w:lineRule="exact"/>
        <w:rPr>
          <w:sz w:val="20"/>
          <w:szCs w:val="20"/>
          <w:color w:val="auto"/>
        </w:rPr>
      </w:pPr>
    </w:p>
    <w:p>
      <w:pPr>
        <w:sectPr>
          <w:pgSz w:w="11900" w:h="16838" w:orient="portrait"/>
          <w:cols w:equalWidth="0" w:num="3">
            <w:col w:w="3700" w:space="220"/>
            <w:col w:w="2880" w:space="199"/>
            <w:col w:w="3721"/>
          </w:cols>
          <w:pgMar w:left="580" w:top="131" w:right="599" w:bottom="1440" w:gutter="0" w:footer="0" w:header="0"/>
          <w:type w:val="continuous"/>
        </w:sectPr>
      </w:pPr>
    </w:p>
    <w:p>
      <w:pPr>
        <w:spacing w:after="0" w:line="31"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Throughout the course of fiscal 2020, we maintained a focus on keeping our customers and associates safe and healthy. The dedication and resiliency of our associates allowed us to reopen our stores and continue servicing our customers. Considering our performance and achievement despite the extraordinary circumstances of this year, we believe fiscal 2020 was ultimately successful and we are well positioned to capitalize on future opportunities for the Company.</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fiscal 2020, we achieved healthy financial and operational results, despite the pandemic, including:</w:t>
      </w:r>
    </w:p>
    <w:p>
      <w:pPr>
        <w:spacing w:after="0" w:line="144" w:lineRule="exact"/>
        <w:rPr>
          <w:sz w:val="20"/>
          <w:szCs w:val="20"/>
          <w:color w:val="auto"/>
        </w:rPr>
      </w:pPr>
    </w:p>
    <w:p>
      <w:pPr>
        <w:ind w:left="1340" w:hanging="218"/>
        <w:spacing w:after="0"/>
        <w:tabs>
          <w:tab w:leader="none" w:pos="1340" w:val="left"/>
        </w:tabs>
        <w:numPr>
          <w:ilvl w:val="1"/>
          <w:numId w:val="25"/>
        </w:numPr>
        <w:rPr>
          <w:rFonts w:ascii="Arial" w:cs="Arial" w:eastAsia="Arial" w:hAnsi="Arial"/>
          <w:sz w:val="18"/>
          <w:szCs w:val="18"/>
          <w:color w:val="3C5896"/>
        </w:rPr>
      </w:pPr>
      <w:r>
        <w:rPr>
          <w:rFonts w:ascii="Arial" w:cs="Arial" w:eastAsia="Arial" w:hAnsi="Arial"/>
          <w:sz w:val="18"/>
          <w:szCs w:val="18"/>
          <w:color w:val="auto"/>
        </w:rPr>
        <w:t>Net income increased 10.6% to $36.3 million</w:t>
      </w:r>
    </w:p>
    <w:p>
      <w:pPr>
        <w:spacing w:after="0" w:line="90" w:lineRule="exact"/>
        <w:rPr>
          <w:rFonts w:ascii="Arial" w:cs="Arial" w:eastAsia="Arial" w:hAnsi="Arial"/>
          <w:sz w:val="18"/>
          <w:szCs w:val="18"/>
          <w:color w:val="3C5896"/>
        </w:rPr>
      </w:pPr>
    </w:p>
    <w:p>
      <w:pPr>
        <w:ind w:left="1340" w:hanging="218"/>
        <w:spacing w:after="0"/>
        <w:tabs>
          <w:tab w:leader="none" w:pos="1340" w:val="left"/>
        </w:tabs>
        <w:numPr>
          <w:ilvl w:val="1"/>
          <w:numId w:val="25"/>
        </w:numPr>
        <w:rPr>
          <w:rFonts w:ascii="Arial" w:cs="Arial" w:eastAsia="Arial" w:hAnsi="Arial"/>
          <w:sz w:val="18"/>
          <w:szCs w:val="18"/>
          <w:color w:val="3C5896"/>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12.4% to $218.3 million</w:t>
      </w:r>
    </w:p>
    <w:p>
      <w:pPr>
        <w:spacing w:after="0" w:line="52" w:lineRule="exact"/>
        <w:rPr>
          <w:rFonts w:ascii="Arial" w:cs="Arial" w:eastAsia="Arial" w:hAnsi="Arial"/>
          <w:sz w:val="18"/>
          <w:szCs w:val="18"/>
          <w:color w:val="3C5896"/>
        </w:rPr>
      </w:pPr>
    </w:p>
    <w:p>
      <w:pPr>
        <w:ind w:left="1340" w:hanging="218"/>
        <w:spacing w:after="0"/>
        <w:tabs>
          <w:tab w:leader="none" w:pos="1340" w:val="left"/>
        </w:tabs>
        <w:numPr>
          <w:ilvl w:val="1"/>
          <w:numId w:val="25"/>
        </w:numPr>
        <w:rPr>
          <w:rFonts w:ascii="Arial" w:cs="Arial" w:eastAsia="Arial" w:hAnsi="Arial"/>
          <w:sz w:val="18"/>
          <w:szCs w:val="18"/>
          <w:color w:val="3C5896"/>
        </w:rPr>
      </w:pPr>
      <w:r>
        <w:rPr>
          <w:rFonts w:ascii="Arial" w:cs="Arial" w:eastAsia="Arial" w:hAnsi="Arial"/>
          <w:sz w:val="18"/>
          <w:szCs w:val="18"/>
          <w:color w:val="auto"/>
        </w:rPr>
        <w:t>Adjusted Operating Income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17.4% to $134.1 million</w:t>
      </w:r>
    </w:p>
    <w:p>
      <w:pPr>
        <w:spacing w:after="0" w:line="78" w:lineRule="exact"/>
        <w:rPr>
          <w:rFonts w:ascii="Arial" w:cs="Arial" w:eastAsia="Arial" w:hAnsi="Arial"/>
          <w:sz w:val="18"/>
          <w:szCs w:val="18"/>
          <w:color w:val="3C5896"/>
        </w:rPr>
      </w:pPr>
    </w:p>
    <w:p>
      <w:pPr>
        <w:ind w:left="1340" w:hanging="218"/>
        <w:spacing w:after="0"/>
        <w:tabs>
          <w:tab w:leader="none" w:pos="1340" w:val="left"/>
        </w:tabs>
        <w:numPr>
          <w:ilvl w:val="1"/>
          <w:numId w:val="25"/>
        </w:numPr>
        <w:rPr>
          <w:rFonts w:ascii="Arial" w:cs="Arial" w:eastAsia="Arial" w:hAnsi="Arial"/>
          <w:sz w:val="18"/>
          <w:szCs w:val="18"/>
          <w:color w:val="3C5896"/>
        </w:rPr>
      </w:pPr>
      <w:r>
        <w:rPr>
          <w:rFonts w:ascii="Arial" w:cs="Arial" w:eastAsia="Arial" w:hAnsi="Arial"/>
          <w:sz w:val="18"/>
          <w:szCs w:val="18"/>
          <w:color w:val="auto"/>
        </w:rPr>
        <w:t>Overall store count grew 4.7%, and fiscal 2020 ended with 1,205 stores</w:t>
      </w:r>
    </w:p>
    <w:p>
      <w:pPr>
        <w:spacing w:after="0" w:line="117" w:lineRule="exact"/>
        <w:rPr>
          <w:rFonts w:ascii="Arial" w:cs="Arial" w:eastAsia="Arial" w:hAnsi="Arial"/>
          <w:sz w:val="18"/>
          <w:szCs w:val="18"/>
          <w:color w:val="3C5896"/>
        </w:rPr>
      </w:pPr>
    </w:p>
    <w:p>
      <w:pPr>
        <w:jc w:val="both"/>
        <w:ind w:left="1340" w:right="760" w:hanging="218"/>
        <w:spacing w:after="0" w:line="213" w:lineRule="auto"/>
        <w:tabs>
          <w:tab w:leader="none" w:pos="1340" w:val="left"/>
        </w:tabs>
        <w:numPr>
          <w:ilvl w:val="1"/>
          <w:numId w:val="25"/>
        </w:numPr>
        <w:rPr>
          <w:rFonts w:ascii="Arial" w:cs="Arial" w:eastAsia="Arial" w:hAnsi="Arial"/>
          <w:sz w:val="18"/>
          <w:szCs w:val="18"/>
          <w:color w:val="3C5896"/>
        </w:rPr>
      </w:pPr>
      <w:r>
        <w:rPr>
          <w:rFonts w:ascii="Arial" w:cs="Arial" w:eastAsia="Arial" w:hAnsi="Arial"/>
          <w:sz w:val="18"/>
          <w:szCs w:val="18"/>
          <w:color w:val="auto"/>
        </w:rPr>
        <w:t>Total comparable store sales growth for the seven months ended January 2, 2021 (after we began gradually re-opening stores to the public) was 13.1%, and Adjusted 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for the seven months ended January 2, 2021 was 12.6%</w:t>
      </w:r>
    </w:p>
    <w:p>
      <w:pPr>
        <w:spacing w:after="0" w:line="123" w:lineRule="exact"/>
        <w:rPr>
          <w:rFonts w:ascii="Arial" w:cs="Arial" w:eastAsia="Arial" w:hAnsi="Arial"/>
          <w:sz w:val="18"/>
          <w:szCs w:val="18"/>
          <w:color w:val="3C5896"/>
        </w:rPr>
      </w:pPr>
    </w:p>
    <w:p>
      <w:pPr>
        <w:ind w:left="1340" w:hanging="218"/>
        <w:spacing w:after="0"/>
        <w:tabs>
          <w:tab w:leader="none" w:pos="1340" w:val="left"/>
        </w:tabs>
        <w:numPr>
          <w:ilvl w:val="1"/>
          <w:numId w:val="25"/>
        </w:numPr>
        <w:rPr>
          <w:rFonts w:ascii="Arial" w:cs="Arial" w:eastAsia="Arial" w:hAnsi="Arial"/>
          <w:sz w:val="18"/>
          <w:szCs w:val="18"/>
          <w:color w:val="3C5896"/>
        </w:rPr>
      </w:pPr>
      <w:r>
        <w:rPr>
          <w:rFonts w:ascii="Arial" w:cs="Arial" w:eastAsia="Arial" w:hAnsi="Arial"/>
          <w:sz w:val="18"/>
          <w:szCs w:val="18"/>
          <w:color w:val="auto"/>
        </w:rPr>
        <w:t>Record operating cash flows increased from $165.1 million in 2019 to $235.0 million in 2020</w:t>
      </w:r>
    </w:p>
    <w:p>
      <w:pPr>
        <w:spacing w:after="0" w:line="90" w:lineRule="exact"/>
        <w:rPr>
          <w:rFonts w:ascii="Arial" w:cs="Arial" w:eastAsia="Arial" w:hAnsi="Arial"/>
          <w:sz w:val="18"/>
          <w:szCs w:val="18"/>
          <w:color w:val="3C5896"/>
        </w:rPr>
      </w:pPr>
    </w:p>
    <w:p>
      <w:pPr>
        <w:ind w:left="1340" w:hanging="218"/>
        <w:spacing w:after="0"/>
        <w:tabs>
          <w:tab w:leader="none" w:pos="1340" w:val="left"/>
        </w:tabs>
        <w:numPr>
          <w:ilvl w:val="1"/>
          <w:numId w:val="25"/>
        </w:numPr>
        <w:rPr>
          <w:rFonts w:ascii="Arial" w:cs="Arial" w:eastAsia="Arial" w:hAnsi="Arial"/>
          <w:sz w:val="18"/>
          <w:szCs w:val="18"/>
          <w:color w:val="3C5896"/>
        </w:rPr>
      </w:pPr>
      <w:r>
        <w:rPr>
          <w:rFonts w:ascii="Arial" w:cs="Arial" w:eastAsia="Arial" w:hAnsi="Arial"/>
          <w:sz w:val="18"/>
          <w:szCs w:val="18"/>
          <w:color w:val="auto"/>
        </w:rPr>
        <w:t>Diluted EPS increased 9.1% to $0.44; Adjusted Diluted EPS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21.9% to $0.91</w:t>
      </w:r>
    </w:p>
    <w:p>
      <w:pPr>
        <w:spacing w:after="0" w:line="78" w:lineRule="exact"/>
        <w:rPr>
          <w:rFonts w:ascii="Arial" w:cs="Arial" w:eastAsia="Arial" w:hAnsi="Arial"/>
          <w:sz w:val="18"/>
          <w:szCs w:val="18"/>
          <w:color w:val="3C5896"/>
        </w:rPr>
      </w:pPr>
    </w:p>
    <w:p>
      <w:pPr>
        <w:ind w:left="1340" w:hanging="218"/>
        <w:spacing w:after="0"/>
        <w:tabs>
          <w:tab w:leader="none" w:pos="1340" w:val="left"/>
        </w:tabs>
        <w:numPr>
          <w:ilvl w:val="1"/>
          <w:numId w:val="25"/>
        </w:numPr>
        <w:rPr>
          <w:rFonts w:ascii="Arial" w:cs="Arial" w:eastAsia="Arial" w:hAnsi="Arial"/>
          <w:sz w:val="18"/>
          <w:szCs w:val="18"/>
          <w:color w:val="3C5896"/>
        </w:rPr>
      </w:pPr>
      <w:r>
        <w:rPr>
          <w:rFonts w:ascii="Arial" w:cs="Arial" w:eastAsia="Arial" w:hAnsi="Arial"/>
          <w:sz w:val="18"/>
          <w:szCs w:val="18"/>
          <w:color w:val="auto"/>
        </w:rPr>
        <w:t>Our cash balance was $373.9 million as of January 2, 2021</w:t>
      </w:r>
    </w:p>
    <w:p>
      <w:pPr>
        <w:spacing w:after="0" w:line="262" w:lineRule="exact"/>
        <w:rPr>
          <w:rFonts w:ascii="Arial" w:cs="Arial" w:eastAsia="Arial" w:hAnsi="Arial"/>
          <w:sz w:val="18"/>
          <w:szCs w:val="18"/>
          <w:color w:val="3C5896"/>
        </w:rPr>
      </w:pPr>
    </w:p>
    <w:p>
      <w:pPr>
        <w:jc w:val="both"/>
        <w:ind w:left="760" w:right="780" w:firstLine="2"/>
        <w:spacing w:after="0" w:line="216" w:lineRule="auto"/>
        <w:tabs>
          <w:tab w:leader="none" w:pos="974" w:val="left"/>
        </w:tabs>
        <w:numPr>
          <w:ilvl w:val="0"/>
          <w:numId w:val="25"/>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EBITDA, Adjusted Operating Income, Adjusted Comparable Store Sales Growth and Adjusted Diluted EPS to the most directly comparable GAAP measures, see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-414020</wp:posOffset>
            </wp:positionV>
            <wp:extent cx="12344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227965</wp:posOffset>
            </wp:positionV>
            <wp:extent cx="300355"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31</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157480</wp:posOffset>
            </wp:positionV>
            <wp:extent cx="5220335" cy="31457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20335"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760" w:right="20" w:firstLine="2"/>
        <w:spacing w:after="0" w:line="216" w:lineRule="auto"/>
        <w:tabs>
          <w:tab w:leader="none" w:pos="974" w:val="left"/>
        </w:tabs>
        <w:numPr>
          <w:ilvl w:val="0"/>
          <w:numId w:val="26"/>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EBITDA, Adjusted Operating Income, Adjusted Comparable Store Sales Growth and Adjusted Diluted EPS to the most directly comparable GAAP measures, see Appendix A to this proxy statement.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2020 Compensation Highlights</w:t>
      </w:r>
    </w:p>
    <w:p>
      <w:pPr>
        <w:spacing w:after="0" w:line="139" w:lineRule="exact"/>
        <w:rPr>
          <w:sz w:val="20"/>
          <w:szCs w:val="20"/>
          <w:color w:val="auto"/>
        </w:rPr>
      </w:pPr>
    </w:p>
    <w:p>
      <w:pPr>
        <w:jc w:val="both"/>
        <w:ind w:left="760" w:right="20"/>
        <w:spacing w:after="0" w:line="291" w:lineRule="auto"/>
        <w:rPr>
          <w:sz w:val="20"/>
          <w:szCs w:val="20"/>
          <w:color w:val="auto"/>
        </w:rPr>
      </w:pPr>
      <w:r>
        <w:rPr>
          <w:rFonts w:ascii="Arial" w:cs="Arial" w:eastAsia="Arial" w:hAnsi="Arial"/>
          <w:sz w:val="17"/>
          <w:szCs w:val="17"/>
          <w:color w:val="auto"/>
        </w:rPr>
        <w:t>As outlined in the expense reduction initiatives highlighted above, our compensation committee, executive officers and board members took measures in 2020 to assist with the potential pandemic impact on the Company including:</w:t>
      </w:r>
    </w:p>
    <w:p>
      <w:pPr>
        <w:spacing w:after="0" w:line="66" w:lineRule="exact"/>
        <w:rPr>
          <w:sz w:val="20"/>
          <w:szCs w:val="20"/>
          <w:color w:val="auto"/>
        </w:rPr>
      </w:pPr>
    </w:p>
    <w:p>
      <w:pPr>
        <w:ind w:left="1340" w:hanging="218"/>
        <w:spacing w:after="0"/>
        <w:tabs>
          <w:tab w:leader="none" w:pos="1340" w:val="left"/>
        </w:tabs>
        <w:numPr>
          <w:ilvl w:val="0"/>
          <w:numId w:val="27"/>
        </w:numPr>
        <w:rPr>
          <w:rFonts w:ascii="Arial" w:cs="Arial" w:eastAsia="Arial" w:hAnsi="Arial"/>
          <w:sz w:val="18"/>
          <w:szCs w:val="18"/>
          <w:color w:val="3C5896"/>
        </w:rPr>
      </w:pPr>
      <w:r>
        <w:rPr>
          <w:rFonts w:ascii="Arial" w:cs="Arial" w:eastAsia="Arial" w:hAnsi="Arial"/>
          <w:sz w:val="18"/>
          <w:szCs w:val="18"/>
          <w:color w:val="auto"/>
        </w:rPr>
        <w:t>A voluntary reduction in base salary by the Company’s CEO to $1 from March 29, 2020 to June 14, 2020.</w:t>
      </w:r>
    </w:p>
    <w:p>
      <w:pPr>
        <w:spacing w:after="0" w:line="103" w:lineRule="exact"/>
        <w:rPr>
          <w:rFonts w:ascii="Arial" w:cs="Arial" w:eastAsia="Arial" w:hAnsi="Arial"/>
          <w:sz w:val="18"/>
          <w:szCs w:val="18"/>
          <w:color w:val="3C5896"/>
        </w:rPr>
      </w:pPr>
    </w:p>
    <w:p>
      <w:pPr>
        <w:ind w:left="1340" w:hanging="218"/>
        <w:spacing w:after="0" w:line="246" w:lineRule="auto"/>
        <w:tabs>
          <w:tab w:leader="none" w:pos="1340" w:val="left"/>
        </w:tabs>
        <w:numPr>
          <w:ilvl w:val="0"/>
          <w:numId w:val="27"/>
        </w:numPr>
        <w:rPr>
          <w:rFonts w:ascii="Arial" w:cs="Arial" w:eastAsia="Arial" w:hAnsi="Arial"/>
          <w:sz w:val="18"/>
          <w:szCs w:val="18"/>
          <w:color w:val="3C5896"/>
        </w:rPr>
      </w:pPr>
      <w:r>
        <w:rPr>
          <w:rFonts w:ascii="Arial" w:cs="Arial" w:eastAsia="Arial" w:hAnsi="Arial"/>
          <w:sz w:val="18"/>
          <w:szCs w:val="18"/>
          <w:color w:val="auto"/>
        </w:rPr>
        <w:t>A voluntary reduction in base salaries by the Company’s other executive officers, including all of the NEOs, by 30% from March 29, 2020 to June 7, 2020.</w:t>
      </w:r>
    </w:p>
    <w:p>
      <w:pPr>
        <w:spacing w:after="0" w:line="88" w:lineRule="exact"/>
        <w:rPr>
          <w:rFonts w:ascii="Arial" w:cs="Arial" w:eastAsia="Arial" w:hAnsi="Arial"/>
          <w:sz w:val="18"/>
          <w:szCs w:val="18"/>
          <w:color w:val="3C5896"/>
        </w:rPr>
      </w:pPr>
    </w:p>
    <w:p>
      <w:pPr>
        <w:ind w:left="1340" w:right="20" w:hanging="218"/>
        <w:spacing w:after="0" w:line="246" w:lineRule="auto"/>
        <w:tabs>
          <w:tab w:leader="none" w:pos="1340" w:val="left"/>
        </w:tabs>
        <w:numPr>
          <w:ilvl w:val="0"/>
          <w:numId w:val="27"/>
        </w:numPr>
        <w:rPr>
          <w:rFonts w:ascii="Arial" w:cs="Arial" w:eastAsia="Arial" w:hAnsi="Arial"/>
          <w:sz w:val="18"/>
          <w:szCs w:val="18"/>
          <w:color w:val="3C5896"/>
        </w:rPr>
      </w:pPr>
      <w:r>
        <w:rPr>
          <w:rFonts w:ascii="Arial" w:cs="Arial" w:eastAsia="Arial" w:hAnsi="Arial"/>
          <w:sz w:val="18"/>
          <w:szCs w:val="18"/>
          <w:color w:val="auto"/>
        </w:rPr>
        <w:t>A voluntary election by the Company’s Board of Directors to forego their annual cash compensation for the second quarter of 2020.</w:t>
      </w:r>
    </w:p>
    <w:p>
      <w:pPr>
        <w:spacing w:after="0" w:line="8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Company also focused on creating multiple resources for associates, including additional leave of absence and paid leave options, a payment of one-time appreciation bonuses to customer-facing associates, a grant of additional Company holidays in the fourth quarter of 2020 and paid benefits for associates furloughed in response to the pandemic.</w:t>
      </w:r>
    </w:p>
    <w:p>
      <w:pPr>
        <w:spacing w:after="0" w:line="96"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Our 2020 compensation programs evolved to align with those found in the competitive market to continue attracting and retaining high-quality executives capable of executing the Company’s strategy and delivering value for stockholders. Key actions taken by the compensation committee include the following:</w:t>
      </w:r>
    </w:p>
    <w:p>
      <w:pPr>
        <w:spacing w:after="0" w:line="85" w:lineRule="exact"/>
        <w:rPr>
          <w:sz w:val="20"/>
          <w:szCs w:val="20"/>
          <w:color w:val="auto"/>
        </w:rPr>
      </w:pPr>
    </w:p>
    <w:p>
      <w:pPr>
        <w:jc w:val="both"/>
        <w:ind w:left="1120" w:hanging="214"/>
        <w:spacing w:after="0" w:line="242" w:lineRule="auto"/>
        <w:tabs>
          <w:tab w:leader="none" w:pos="1120" w:val="left"/>
        </w:tabs>
        <w:numPr>
          <w:ilvl w:val="0"/>
          <w:numId w:val="28"/>
        </w:numPr>
        <w:rPr>
          <w:rFonts w:ascii="Arial" w:cs="Arial" w:eastAsia="Arial" w:hAnsi="Arial"/>
          <w:sz w:val="18"/>
          <w:szCs w:val="18"/>
          <w:color w:val="3C5896"/>
        </w:rPr>
      </w:pPr>
      <w:r>
        <w:rPr>
          <w:rFonts w:ascii="Arial" w:cs="Arial" w:eastAsia="Arial" w:hAnsi="Arial"/>
          <w:sz w:val="18"/>
          <w:szCs w:val="18"/>
          <w:b w:val="1"/>
          <w:bCs w:val="1"/>
          <w:color w:val="auto"/>
        </w:rPr>
        <w:t>Base Salary</w:t>
      </w:r>
      <w:r>
        <w:rPr>
          <w:rFonts w:ascii="Arial" w:cs="Arial" w:eastAsia="Arial" w:hAnsi="Arial"/>
          <w:sz w:val="18"/>
          <w:szCs w:val="18"/>
          <w:color w:val="auto"/>
        </w:rPr>
        <w:t>—In February 2020, the compensation committee approved executive officer salary increases</w:t>
      </w:r>
      <w:r>
        <w:rPr>
          <w:rFonts w:ascii="Arial" w:cs="Arial" w:eastAsia="Arial" w:hAnsi="Arial"/>
          <w:sz w:val="18"/>
          <w:szCs w:val="18"/>
          <w:b w:val="1"/>
          <w:bCs w:val="1"/>
          <w:color w:val="auto"/>
        </w:rPr>
        <w:t xml:space="preserve"> </w:t>
      </w:r>
      <w:r>
        <w:rPr>
          <w:rFonts w:ascii="Arial" w:cs="Arial" w:eastAsia="Arial" w:hAnsi="Arial"/>
          <w:sz w:val="18"/>
          <w:szCs w:val="18"/>
          <w:color w:val="auto"/>
        </w:rPr>
        <w:t>ranging from 3% to 11%, to more closely align compensation opportunities with the competitive market. These increases were slated to take effect in April 2020, however, with the temporary closure of our stores due to the pandemic beginning in March 2020, our executive officers voluntarily elected to take a reduction in their base salaries to assist with cash preservation at that time. Upon reopening of our stores, our executive officers returned to full pay in June, and the previously approved salary increases became effective on July 5, 2020.</w:t>
      </w:r>
    </w:p>
    <w:p>
      <w:pPr>
        <w:spacing w:after="0" w:line="70" w:lineRule="exact"/>
        <w:rPr>
          <w:rFonts w:ascii="Arial" w:cs="Arial" w:eastAsia="Arial" w:hAnsi="Arial"/>
          <w:sz w:val="18"/>
          <w:szCs w:val="18"/>
          <w:color w:val="3C5896"/>
        </w:rPr>
      </w:pPr>
    </w:p>
    <w:p>
      <w:pPr>
        <w:jc w:val="both"/>
        <w:ind w:left="1120" w:hanging="214"/>
        <w:spacing w:after="0" w:line="242" w:lineRule="auto"/>
        <w:tabs>
          <w:tab w:leader="none" w:pos="1120" w:val="left"/>
        </w:tabs>
        <w:numPr>
          <w:ilvl w:val="0"/>
          <w:numId w:val="28"/>
        </w:numPr>
        <w:rPr>
          <w:rFonts w:ascii="Arial" w:cs="Arial" w:eastAsia="Arial" w:hAnsi="Arial"/>
          <w:sz w:val="18"/>
          <w:szCs w:val="18"/>
          <w:color w:val="3C5896"/>
        </w:rPr>
      </w:pPr>
      <w:r>
        <w:rPr>
          <w:rFonts w:ascii="Arial" w:cs="Arial" w:eastAsia="Arial" w:hAnsi="Arial"/>
          <w:sz w:val="18"/>
          <w:szCs w:val="18"/>
          <w:b w:val="1"/>
          <w:bCs w:val="1"/>
          <w:color w:val="auto"/>
        </w:rPr>
        <w:t>Annual Cash Incentive Plan</w:t>
      </w:r>
      <w:r>
        <w:rPr>
          <w:rFonts w:ascii="Arial" w:cs="Arial" w:eastAsia="Arial" w:hAnsi="Arial"/>
          <w:sz w:val="18"/>
          <w:szCs w:val="18"/>
          <w:color w:val="auto"/>
        </w:rPr>
        <w:t>—Annual incentive awards pay out between 0% and 200% of target,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against our Adjusted EBITDA target. Based on Adjusted EBITDA performance of $230.5 million (as defined under the fiscal 2020 Short-Term Incentive Plan (“STIP”)), the fiscal 2020 STIP funded at 91.22% of target. The compensation committee considered the Company’s performance in 2020 in navigating the pandemic, including the strong performance following the temporary store closures which were reflected in third quarter</w:t>
      </w:r>
    </w:p>
    <w:p>
      <w:pPr>
        <w:spacing w:after="0" w:line="303"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sz w:val="1"/>
          <w:szCs w:val="1"/>
          <w:color w:val="auto"/>
        </w:rPr>
        <w:drawing>
          <wp:inline distT="0" distB="0" distL="0" distR="0">
            <wp:extent cx="299720" cy="24003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34" w:lineRule="exact"/>
        <w:rPr>
          <w:sz w:val="20"/>
          <w:szCs w:val="20"/>
          <w:color w:val="auto"/>
        </w:rPr>
      </w:pPr>
    </w:p>
    <w:p>
      <w:pPr>
        <w:jc w:val="both"/>
        <w:ind w:left="1120" w:right="760"/>
        <w:spacing w:after="0" w:line="211" w:lineRule="auto"/>
        <w:rPr>
          <w:sz w:val="20"/>
          <w:szCs w:val="20"/>
          <w:color w:val="auto"/>
        </w:rPr>
      </w:pPr>
      <w:r>
        <w:rPr>
          <w:rFonts w:ascii="Arial" w:cs="Arial" w:eastAsia="Arial" w:hAnsi="Arial"/>
          <w:sz w:val="17"/>
          <w:szCs w:val="17"/>
          <w:color w:val="auto"/>
        </w:rPr>
        <w:t>2020 results (2,860% increase in net income compared to third quarter 2019, an Adjusted EBITDA increase of 89.3% and an Adjusted Operating Income increase of 160%) and fourth quarter 2020 results (795% increase in net income compared to fourth quarter 2019, an Adjusted EBITDA increase of 118% and an Adjusted Operating Income increase of 281%).</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With the strong performance of the Company in the second half of 2020,</w:t>
      </w:r>
    </w:p>
    <w:p>
      <w:pPr>
        <w:spacing w:after="0" w:line="1" w:lineRule="exact"/>
        <w:rPr>
          <w:sz w:val="20"/>
          <w:szCs w:val="20"/>
          <w:color w:val="auto"/>
        </w:rPr>
      </w:pPr>
    </w:p>
    <w:p>
      <w:pPr>
        <w:jc w:val="both"/>
        <w:ind w:left="1120" w:right="760"/>
        <w:spacing w:after="0" w:line="229" w:lineRule="auto"/>
        <w:rPr>
          <w:rFonts w:ascii="Arial" w:cs="Arial" w:eastAsia="Arial" w:hAnsi="Arial"/>
          <w:sz w:val="18"/>
          <w:szCs w:val="18"/>
          <w:color w:val="auto"/>
        </w:rPr>
      </w:pPr>
      <w:r>
        <w:rPr>
          <w:rFonts w:ascii="Arial" w:cs="Arial" w:eastAsia="Arial" w:hAnsi="Arial"/>
          <w:sz w:val="18"/>
          <w:szCs w:val="18"/>
          <w:color w:val="auto"/>
        </w:rPr>
        <w:t xml:space="preserve">the compensation committee used discretion to increase the incentive payout of STIP for executive officers by 8.78% to equal 100% of STIP target. Please see additional information in the footnotes to the Summary Compensation Table and the Short-Term Incentive Plan section on page </w:t>
      </w:r>
      <w:hyperlink w:anchor="page39">
        <w:r>
          <w:rPr>
            <w:rFonts w:ascii="Arial" w:cs="Arial" w:eastAsia="Arial" w:hAnsi="Arial"/>
            <w:sz w:val="18"/>
            <w:szCs w:val="18"/>
            <w:u w:val="single" w:color="auto"/>
            <w:color w:val="0000EE"/>
          </w:rPr>
          <w:t>36</w:t>
        </w:r>
      </w:hyperlink>
      <w:r>
        <w:rPr>
          <w:rFonts w:ascii="Arial" w:cs="Arial" w:eastAsia="Arial" w:hAnsi="Arial"/>
          <w:sz w:val="18"/>
          <w:szCs w:val="18"/>
          <w:color w:val="auto"/>
        </w:rPr>
        <w:t>.</w:t>
      </w:r>
    </w:p>
    <w:p>
      <w:pPr>
        <w:spacing w:after="0" w:line="47" w:lineRule="exact"/>
        <w:rPr>
          <w:sz w:val="20"/>
          <w:szCs w:val="20"/>
          <w:color w:val="auto"/>
        </w:rPr>
      </w:pPr>
    </w:p>
    <w:p>
      <w:pPr>
        <w:jc w:val="both"/>
        <w:ind w:left="1120" w:right="760" w:hanging="214"/>
        <w:spacing w:after="0" w:line="242" w:lineRule="auto"/>
        <w:tabs>
          <w:tab w:leader="none" w:pos="1120" w:val="left"/>
        </w:tabs>
        <w:numPr>
          <w:ilvl w:val="0"/>
          <w:numId w:val="29"/>
        </w:numPr>
        <w:rPr>
          <w:rFonts w:ascii="Arial" w:cs="Arial" w:eastAsia="Arial" w:hAnsi="Arial"/>
          <w:sz w:val="18"/>
          <w:szCs w:val="18"/>
          <w:color w:val="3C5896"/>
        </w:rPr>
      </w:pPr>
      <w:r>
        <w:rPr>
          <w:rFonts w:ascii="Arial" w:cs="Arial" w:eastAsia="Arial" w:hAnsi="Arial"/>
          <w:sz w:val="18"/>
          <w:szCs w:val="18"/>
          <w:b w:val="1"/>
          <w:bCs w:val="1"/>
          <w:color w:val="auto"/>
        </w:rPr>
        <w:t>Long-Term Incentive Program</w:t>
      </w:r>
      <w:r>
        <w:rPr>
          <w:rFonts w:ascii="Arial" w:cs="Arial" w:eastAsia="Arial" w:hAnsi="Arial"/>
          <w:sz w:val="18"/>
          <w:szCs w:val="18"/>
          <w:color w:val="auto"/>
        </w:rPr>
        <w:t>—The compensation committee adjusted the long-term incentive program in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2020 and approved a grant to each of our NEOs for time-vesting stock options, time-vesting restricted stock units (“RSUs”), and performance-based restricted stock units (“PSUs”). PSUs will vest between 0% and 200% of target, based on performance against a three-year Adjusted EBITDA growth target as defined within the PSU award agreement. The compensation committee did not approve any changes to the Long-Term Incentive Program in light of the pandemic.</w:t>
      </w:r>
    </w:p>
    <w:p>
      <w:pPr>
        <w:spacing w:after="0" w:line="57" w:lineRule="exact"/>
        <w:rPr>
          <w:rFonts w:ascii="Arial" w:cs="Arial" w:eastAsia="Arial" w:hAnsi="Arial"/>
          <w:sz w:val="18"/>
          <w:szCs w:val="18"/>
          <w:color w:val="3C5896"/>
        </w:rPr>
      </w:pPr>
    </w:p>
    <w:p>
      <w:pPr>
        <w:ind w:left="1120" w:right="780" w:hanging="214"/>
        <w:spacing w:after="0" w:line="271" w:lineRule="auto"/>
        <w:tabs>
          <w:tab w:leader="none" w:pos="1120" w:val="left"/>
        </w:tabs>
        <w:numPr>
          <w:ilvl w:val="0"/>
          <w:numId w:val="29"/>
        </w:numPr>
        <w:rPr>
          <w:rFonts w:ascii="Arial" w:cs="Arial" w:eastAsia="Arial" w:hAnsi="Arial"/>
          <w:sz w:val="18"/>
          <w:szCs w:val="18"/>
          <w:color w:val="3C5896"/>
        </w:rPr>
      </w:pPr>
      <w:r>
        <w:rPr>
          <w:rFonts w:ascii="Arial" w:cs="Arial" w:eastAsia="Arial" w:hAnsi="Arial"/>
          <w:sz w:val="18"/>
          <w:szCs w:val="18"/>
          <w:b w:val="1"/>
          <w:bCs w:val="1"/>
          <w:color w:val="auto"/>
        </w:rPr>
        <w:t>Pay-for-Performance</w:t>
      </w:r>
      <w:r>
        <w:rPr>
          <w:rFonts w:ascii="Arial" w:cs="Arial" w:eastAsia="Arial" w:hAnsi="Arial"/>
          <w:sz w:val="18"/>
          <w:szCs w:val="18"/>
          <w:color w:val="auto"/>
        </w:rPr>
        <w:t>—National Vision is committed to aligning executive compensation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The charts below illustrate that the majority of our NEOs’ compensation is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43180</wp:posOffset>
            </wp:positionV>
            <wp:extent cx="4363085" cy="16198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6308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Philosophy and Approach</w:t>
      </w:r>
    </w:p>
    <w:p>
      <w:pPr>
        <w:spacing w:after="0" w:line="139"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Our mission is making quality eye care and eyewear more accessible and affordable. In order to do this, we must attract, engage and retain highly talented individuals who are committed to our core values of doing what is right, creating happiness every day and being energized to serve. Our compensation programs are designed to help us achieve these goals. We expect our executive team to possess and demonstrate strong leadership and management capabilities and continue to execute against our strategic growth initiative. To reward and retain our leaders, including our NEOs, we have designed a total compensation approach that rewards both short-term and long-term success.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compensation program for executives is currently designed to support the following objectives:</w:t>
      </w:r>
    </w:p>
    <w:p>
      <w:pPr>
        <w:spacing w:after="0" w:line="95" w:lineRule="exact"/>
        <w:rPr>
          <w:sz w:val="20"/>
          <w:szCs w:val="20"/>
          <w:color w:val="auto"/>
        </w:rPr>
      </w:pPr>
    </w:p>
    <w:p>
      <w:pPr>
        <w:jc w:val="both"/>
        <w:ind w:left="1340" w:right="760" w:hanging="218"/>
        <w:spacing w:after="0" w:line="253" w:lineRule="auto"/>
        <w:tabs>
          <w:tab w:leader="none" w:pos="1340" w:val="left"/>
        </w:tabs>
        <w:numPr>
          <w:ilvl w:val="0"/>
          <w:numId w:val="30"/>
        </w:numPr>
        <w:rPr>
          <w:rFonts w:ascii="Arial" w:cs="Arial" w:eastAsia="Arial" w:hAnsi="Arial"/>
          <w:sz w:val="18"/>
          <w:szCs w:val="18"/>
          <w:color w:val="3C5896"/>
        </w:rPr>
      </w:pPr>
      <w:r>
        <w:rPr>
          <w:rFonts w:ascii="Arial" w:cs="Arial" w:eastAsia="Arial" w:hAnsi="Arial"/>
          <w:sz w:val="18"/>
          <w:szCs w:val="18"/>
          <w:b w:val="1"/>
          <w:bCs w:val="1"/>
          <w:i w:val="1"/>
          <w:iCs w:val="1"/>
          <w:color w:val="auto"/>
        </w:rPr>
        <w:t>Motivate executives to meet or exceed Company performance goals</w:t>
      </w:r>
      <w:r>
        <w:rPr>
          <w:rFonts w:ascii="Arial" w:cs="Arial" w:eastAsia="Arial" w:hAnsi="Arial"/>
          <w:sz w:val="18"/>
          <w:szCs w:val="18"/>
          <w:color w:val="auto"/>
        </w:rPr>
        <w:t>. A significant portion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total compensation is directly tied to the achievement of the Company’s overall business and performance goals.</w:t>
      </w:r>
    </w:p>
    <w:p>
      <w:pPr>
        <w:spacing w:after="0" w:line="33" w:lineRule="exact"/>
        <w:rPr>
          <w:rFonts w:ascii="Arial" w:cs="Arial" w:eastAsia="Arial" w:hAnsi="Arial"/>
          <w:sz w:val="18"/>
          <w:szCs w:val="18"/>
          <w:color w:val="3C5896"/>
        </w:rPr>
      </w:pPr>
    </w:p>
    <w:p>
      <w:pPr>
        <w:jc w:val="both"/>
        <w:ind w:left="1340" w:right="760" w:hanging="218"/>
        <w:spacing w:after="0" w:line="253" w:lineRule="auto"/>
        <w:tabs>
          <w:tab w:leader="none" w:pos="1340" w:val="left"/>
        </w:tabs>
        <w:numPr>
          <w:ilvl w:val="0"/>
          <w:numId w:val="30"/>
        </w:numPr>
        <w:rPr>
          <w:rFonts w:ascii="Arial" w:cs="Arial" w:eastAsia="Arial" w:hAnsi="Arial"/>
          <w:sz w:val="18"/>
          <w:szCs w:val="18"/>
          <w:color w:val="3C5896"/>
        </w:rPr>
      </w:pPr>
      <w:r>
        <w:rPr>
          <w:rFonts w:ascii="Arial" w:cs="Arial" w:eastAsia="Arial" w:hAnsi="Arial"/>
          <w:sz w:val="18"/>
          <w:szCs w:val="18"/>
          <w:b w:val="1"/>
          <w:bCs w:val="1"/>
          <w:i w:val="1"/>
          <w:iCs w:val="1"/>
          <w:color w:val="auto"/>
        </w:rPr>
        <w:t>Attract and retain talented executives</w:t>
      </w:r>
      <w:r>
        <w:rPr>
          <w:rFonts w:ascii="Arial" w:cs="Arial" w:eastAsia="Arial" w:hAnsi="Arial"/>
          <w:sz w:val="18"/>
          <w:szCs w:val="18"/>
          <w:color w:val="auto"/>
        </w:rPr>
        <w:t>. The Company seeks to provide overall levels of compensation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market competitive to attract, retain and motivate highly qualified executives to continue to enhance long-term equity value.</w:t>
      </w:r>
    </w:p>
    <w:p>
      <w:pPr>
        <w:spacing w:after="0" w:line="47" w:lineRule="exact"/>
        <w:rPr>
          <w:rFonts w:ascii="Arial" w:cs="Arial" w:eastAsia="Arial" w:hAnsi="Arial"/>
          <w:sz w:val="18"/>
          <w:szCs w:val="18"/>
          <w:color w:val="3C5896"/>
        </w:rPr>
      </w:pPr>
    </w:p>
    <w:p>
      <w:pPr>
        <w:jc w:val="both"/>
        <w:ind w:left="1340" w:right="760" w:hanging="218"/>
        <w:spacing w:after="0" w:line="247" w:lineRule="auto"/>
        <w:tabs>
          <w:tab w:leader="none" w:pos="1340" w:val="left"/>
        </w:tabs>
        <w:numPr>
          <w:ilvl w:val="0"/>
          <w:numId w:val="30"/>
        </w:numPr>
        <w:rPr>
          <w:rFonts w:ascii="Arial" w:cs="Arial" w:eastAsia="Arial" w:hAnsi="Arial"/>
          <w:sz w:val="18"/>
          <w:szCs w:val="18"/>
          <w:color w:val="3C5896"/>
        </w:rPr>
      </w:pPr>
      <w:r>
        <w:rPr>
          <w:rFonts w:ascii="Arial" w:cs="Arial" w:eastAsia="Arial" w:hAnsi="Arial"/>
          <w:sz w:val="18"/>
          <w:szCs w:val="18"/>
          <w:b w:val="1"/>
          <w:bCs w:val="1"/>
          <w:i w:val="1"/>
          <w:iCs w:val="1"/>
          <w:color w:val="auto"/>
        </w:rPr>
        <w:t>Link the financial interests of executives and stockholders</w:t>
      </w:r>
      <w:r>
        <w:rPr>
          <w:rFonts w:ascii="Arial" w:cs="Arial" w:eastAsia="Arial" w:hAnsi="Arial"/>
          <w:sz w:val="18"/>
          <w:szCs w:val="18"/>
          <w:color w:val="auto"/>
        </w:rPr>
        <w:t>. In order to foster a strong relationship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stockholder value and executive compensation, a significant portion of compensation is composed of equity-based incentive awards. Additionally, NEOs are subject to stock ownership guidelines that ensure they retain a significant portion of their vested equity awards.</w:t>
      </w:r>
    </w:p>
    <w:p>
      <w:pPr>
        <w:spacing w:after="0" w:line="88"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Our compensation packages are designed to promote integrity, leadership, teamwork, ownership and initiative by our employees whose performance and responsibilities directly affect our results. We strive to create competitive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60325</wp:posOffset>
            </wp:positionV>
            <wp:extent cx="12344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3" w:lineRule="exact"/>
        <w:rPr>
          <w:sz w:val="20"/>
          <w:szCs w:val="20"/>
          <w:color w:val="auto"/>
        </w:rPr>
      </w:pPr>
    </w:p>
    <w:p>
      <w:pPr>
        <w:jc w:val="both"/>
        <w:ind w:left="760" w:right="780" w:firstLine="2"/>
        <w:spacing w:after="0" w:line="216" w:lineRule="auto"/>
        <w:tabs>
          <w:tab w:leader="none" w:pos="974"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EBITDA, Adjusted Operating Income, Adjusted Comparable Store Sales Growth and Adjusted Diluted EPS to the most directly comparable GAAP measures, see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210820</wp:posOffset>
            </wp:positionV>
            <wp:extent cx="300355" cy="240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33</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168275</wp:posOffset>
            </wp:positionV>
            <wp:extent cx="5837555" cy="180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packages for all employees that encourage them to achieve our long-term business goals without taking unnecessary risks. We believe that, to attract and retain talented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88900</wp:posOffset>
            </wp:positionV>
            <wp:extent cx="5837555" cy="28721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37555" cy="287210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What We Do:</w:t>
      </w:r>
    </w:p>
    <w:p>
      <w:pPr>
        <w:spacing w:after="0" w:line="85" w:lineRule="exact"/>
        <w:rPr>
          <w:sz w:val="20"/>
          <w:szCs w:val="20"/>
          <w:color w:val="auto"/>
        </w:rPr>
      </w:pPr>
    </w:p>
    <w:p>
      <w:pPr>
        <w:ind w:left="1180" w:hanging="184"/>
        <w:spacing w:after="0"/>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Pay for performance</w:t>
      </w:r>
    </w:p>
    <w:p>
      <w:pPr>
        <w:spacing w:after="0" w:line="63" w:lineRule="exact"/>
        <w:rPr>
          <w:rFonts w:ascii="MS PGothic" w:cs="MS PGothic" w:eastAsia="MS PGothic" w:hAnsi="MS PGothic"/>
          <w:sz w:val="18"/>
          <w:szCs w:val="18"/>
          <w:color w:val="3C5896"/>
        </w:rPr>
      </w:pPr>
    </w:p>
    <w:p>
      <w:pPr>
        <w:ind w:left="1180" w:right="600" w:hanging="184"/>
        <w:spacing w:after="0" w:line="261" w:lineRule="auto"/>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Maintain strong stock ownership guidelines for our named executive officers (“NEOs”)</w:t>
      </w:r>
    </w:p>
    <w:p>
      <w:pPr>
        <w:spacing w:after="0" w:line="76" w:lineRule="exact"/>
        <w:rPr>
          <w:rFonts w:ascii="MS PGothic" w:cs="MS PGothic" w:eastAsia="MS PGothic" w:hAnsi="MS PGothic"/>
          <w:sz w:val="18"/>
          <w:szCs w:val="18"/>
          <w:color w:val="3C5896"/>
        </w:rPr>
      </w:pPr>
    </w:p>
    <w:p>
      <w:pPr>
        <w:ind w:left="1180" w:right="420" w:hanging="184"/>
        <w:spacing w:after="0" w:line="286" w:lineRule="auto"/>
        <w:tabs>
          <w:tab w:leader="none" w:pos="1180" w:val="left"/>
        </w:tabs>
        <w:numPr>
          <w:ilvl w:val="0"/>
          <w:numId w:val="32"/>
        </w:numPr>
        <w:rPr>
          <w:rFonts w:ascii="MS PGothic" w:cs="MS PGothic" w:eastAsia="MS PGothic" w:hAnsi="MS PGothic"/>
          <w:sz w:val="17"/>
          <w:szCs w:val="17"/>
          <w:color w:val="3C5896"/>
        </w:rPr>
      </w:pPr>
      <w:r>
        <w:rPr>
          <w:rFonts w:ascii="Arial" w:cs="Arial" w:eastAsia="Arial" w:hAnsi="Arial"/>
          <w:sz w:val="17"/>
          <w:szCs w:val="17"/>
          <w:color w:val="auto"/>
        </w:rPr>
        <w:t>Require our NEOs to retain 50% of vested awards net of tax withholdings until they have met our ownership guidelines</w:t>
      </w:r>
    </w:p>
    <w:p>
      <w:pPr>
        <w:spacing w:after="0" w:line="47" w:lineRule="exact"/>
        <w:rPr>
          <w:rFonts w:ascii="MS PGothic" w:cs="MS PGothic" w:eastAsia="MS PGothic" w:hAnsi="MS PGothic"/>
          <w:sz w:val="17"/>
          <w:szCs w:val="17"/>
          <w:color w:val="3C5896"/>
        </w:rPr>
      </w:pPr>
    </w:p>
    <w:p>
      <w:pPr>
        <w:ind w:left="1180" w:hanging="184"/>
        <w:spacing w:after="0"/>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Provide market-level retirement benefits and limited perquisites</w:t>
      </w:r>
    </w:p>
    <w:p>
      <w:pPr>
        <w:spacing w:after="0" w:line="63" w:lineRule="exact"/>
        <w:rPr>
          <w:rFonts w:ascii="MS PGothic" w:cs="MS PGothic" w:eastAsia="MS PGothic" w:hAnsi="MS PGothic"/>
          <w:sz w:val="18"/>
          <w:szCs w:val="18"/>
          <w:color w:val="3C5896"/>
        </w:rPr>
      </w:pPr>
    </w:p>
    <w:p>
      <w:pPr>
        <w:ind w:left="1180" w:hanging="184"/>
        <w:spacing w:after="0" w:line="261" w:lineRule="auto"/>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Engage an independent compensation consultant to advise us on matters surrounding our compensation plans</w:t>
      </w:r>
    </w:p>
    <w:p>
      <w:pPr>
        <w:spacing w:after="0" w:line="76" w:lineRule="exact"/>
        <w:rPr>
          <w:rFonts w:ascii="MS PGothic" w:cs="MS PGothic" w:eastAsia="MS PGothic" w:hAnsi="MS PGothic"/>
          <w:sz w:val="18"/>
          <w:szCs w:val="18"/>
          <w:color w:val="3C5896"/>
        </w:rPr>
      </w:pPr>
    </w:p>
    <w:p>
      <w:pPr>
        <w:ind w:left="1180" w:right="200" w:hanging="184"/>
        <w:spacing w:after="0" w:line="261" w:lineRule="auto"/>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Review our compensation programs annually to prevent undue risk taking</w:t>
      </w:r>
    </w:p>
    <w:p>
      <w:pPr>
        <w:spacing w:after="0" w:line="62" w:lineRule="exact"/>
        <w:rPr>
          <w:rFonts w:ascii="MS PGothic" w:cs="MS PGothic" w:eastAsia="MS PGothic" w:hAnsi="MS PGothic"/>
          <w:sz w:val="18"/>
          <w:szCs w:val="18"/>
          <w:color w:val="3C5896"/>
        </w:rPr>
      </w:pPr>
    </w:p>
    <w:p>
      <w:pPr>
        <w:ind w:left="1180" w:hanging="184"/>
        <w:spacing w:after="0"/>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Hold an annual say-on-pay vote</w:t>
      </w:r>
    </w:p>
    <w:p>
      <w:pPr>
        <w:spacing w:after="0" w:line="63" w:lineRule="exact"/>
        <w:rPr>
          <w:rFonts w:ascii="MS PGothic" w:cs="MS PGothic" w:eastAsia="MS PGothic" w:hAnsi="MS PGothic"/>
          <w:sz w:val="18"/>
          <w:szCs w:val="18"/>
          <w:color w:val="3C5896"/>
        </w:rPr>
      </w:pPr>
    </w:p>
    <w:p>
      <w:pPr>
        <w:ind w:left="1180" w:right="320" w:hanging="184"/>
        <w:spacing w:after="0" w:line="261" w:lineRule="auto"/>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Establish target and maximum awards under our annual cash incentive program</w:t>
      </w:r>
    </w:p>
    <w:p>
      <w:pPr>
        <w:spacing w:after="0" w:line="62" w:lineRule="exact"/>
        <w:rPr>
          <w:rFonts w:ascii="MS PGothic" w:cs="MS PGothic" w:eastAsia="MS PGothic" w:hAnsi="MS PGothic"/>
          <w:sz w:val="18"/>
          <w:szCs w:val="18"/>
          <w:color w:val="3C5896"/>
        </w:rPr>
      </w:pPr>
    </w:p>
    <w:p>
      <w:pPr>
        <w:ind w:left="1180" w:hanging="184"/>
        <w:spacing w:after="0"/>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Maintain an established stockholder engagement program</w:t>
      </w:r>
    </w:p>
    <w:p>
      <w:pPr>
        <w:spacing w:after="0" w:line="76" w:lineRule="exact"/>
        <w:rPr>
          <w:rFonts w:ascii="MS PGothic" w:cs="MS PGothic" w:eastAsia="MS PGothic" w:hAnsi="MS PGothic"/>
          <w:sz w:val="18"/>
          <w:szCs w:val="18"/>
          <w:color w:val="3C5896"/>
        </w:rPr>
      </w:pPr>
    </w:p>
    <w:p>
      <w:pPr>
        <w:ind w:left="1180" w:right="200" w:hanging="184"/>
        <w:spacing w:after="0" w:line="261" w:lineRule="auto"/>
        <w:tabs>
          <w:tab w:leader="none" w:pos="1180" w:val="left"/>
        </w:tabs>
        <w:numPr>
          <w:ilvl w:val="0"/>
          <w:numId w:val="32"/>
        </w:numPr>
        <w:rPr>
          <w:rFonts w:ascii="MS PGothic" w:cs="MS PGothic" w:eastAsia="MS PGothic" w:hAnsi="MS PGothic"/>
          <w:sz w:val="18"/>
          <w:szCs w:val="18"/>
          <w:color w:val="3C5896"/>
        </w:rPr>
      </w:pPr>
      <w:r>
        <w:rPr>
          <w:rFonts w:ascii="Arial" w:cs="Arial" w:eastAsia="Arial" w:hAnsi="Arial"/>
          <w:sz w:val="18"/>
          <w:szCs w:val="18"/>
          <w:color w:val="auto"/>
        </w:rPr>
        <w:t>Require “Double-Trigger” vesting for Change in Control in post-IPO equity awards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99" w:lineRule="exact"/>
        <w:rPr>
          <w:sz w:val="20"/>
          <w:szCs w:val="20"/>
          <w:color w:val="auto"/>
        </w:rPr>
      </w:pPr>
    </w:p>
    <w:p>
      <w:pPr>
        <w:ind w:left="360" w:right="460" w:hanging="185"/>
        <w:spacing w:after="0" w:line="261" w:lineRule="auto"/>
        <w:tabs>
          <w:tab w:leader="none" w:pos="36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No excise tax gross-ups upon a Change in Control</w:t>
      </w:r>
    </w:p>
    <w:p>
      <w:pPr>
        <w:spacing w:after="0" w:line="62" w:lineRule="exact"/>
        <w:rPr>
          <w:rFonts w:ascii="MS PGothic" w:cs="MS PGothic" w:eastAsia="MS PGothic" w:hAnsi="MS PGothic"/>
          <w:sz w:val="18"/>
          <w:szCs w:val="18"/>
          <w:color w:val="auto"/>
        </w:rPr>
      </w:pPr>
    </w:p>
    <w:p>
      <w:pPr>
        <w:ind w:left="360" w:right="140" w:hanging="185"/>
        <w:spacing w:after="0" w:line="261" w:lineRule="auto"/>
        <w:tabs>
          <w:tab w:leader="none" w:pos="36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No hedging of the Company’s stock by NEOs or directors</w:t>
      </w:r>
    </w:p>
    <w:p>
      <w:pPr>
        <w:spacing w:after="0" w:line="76" w:lineRule="exact"/>
        <w:rPr>
          <w:rFonts w:ascii="MS PGothic" w:cs="MS PGothic" w:eastAsia="MS PGothic" w:hAnsi="MS PGothic"/>
          <w:sz w:val="18"/>
          <w:szCs w:val="18"/>
          <w:color w:val="auto"/>
        </w:rPr>
      </w:pPr>
    </w:p>
    <w:p>
      <w:pPr>
        <w:ind w:left="360" w:right="820" w:hanging="185"/>
        <w:spacing w:after="0" w:line="261" w:lineRule="auto"/>
        <w:tabs>
          <w:tab w:leader="none" w:pos="36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No supplemental executive retirement plans</w:t>
      </w:r>
    </w:p>
    <w:p>
      <w:pPr>
        <w:spacing w:after="0" w:line="76" w:lineRule="exact"/>
        <w:rPr>
          <w:rFonts w:ascii="MS PGothic" w:cs="MS PGothic" w:eastAsia="MS PGothic" w:hAnsi="MS PGothic"/>
          <w:sz w:val="18"/>
          <w:szCs w:val="18"/>
          <w:color w:val="auto"/>
        </w:rPr>
      </w:pPr>
    </w:p>
    <w:p>
      <w:pPr>
        <w:ind w:left="360" w:right="220" w:hanging="185"/>
        <w:spacing w:after="0" w:line="254" w:lineRule="auto"/>
        <w:tabs>
          <w:tab w:leader="none" w:pos="36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No re-pricing of underwater stock options and no grants below 100% of fair market value without stockholder approval</w:t>
      </w:r>
    </w:p>
    <w:p>
      <w:pPr>
        <w:spacing w:after="0" w:line="68" w:lineRule="exact"/>
        <w:rPr>
          <w:rFonts w:ascii="MS PGothic" w:cs="MS PGothic" w:eastAsia="MS PGothic" w:hAnsi="MS PGothic"/>
          <w:sz w:val="18"/>
          <w:szCs w:val="18"/>
          <w:color w:val="auto"/>
        </w:rPr>
      </w:pPr>
    </w:p>
    <w:p>
      <w:pPr>
        <w:ind w:left="360" w:right="720" w:hanging="185"/>
        <w:spacing w:after="0" w:line="261" w:lineRule="auto"/>
        <w:tabs>
          <w:tab w:leader="none" w:pos="36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No significant perquisites for executive officers</w:t>
      </w:r>
    </w:p>
    <w:p>
      <w:pPr>
        <w:spacing w:after="0" w:line="1361" w:lineRule="exact"/>
        <w:rPr>
          <w:sz w:val="20"/>
          <w:szCs w:val="20"/>
          <w:color w:val="auto"/>
        </w:rPr>
      </w:pPr>
    </w:p>
    <w:p>
      <w:pPr>
        <w:sectPr>
          <w:pgSz w:w="11900" w:h="16838" w:orient="portrait"/>
          <w:cols w:equalWidth="0" w:num="2">
            <w:col w:w="6360" w:space="280"/>
            <w:col w:w="3320"/>
          </w:cols>
          <w:pgMar w:left="580" w:top="131" w:right="1359" w:bottom="1440" w:gutter="0" w:footer="0" w:header="0"/>
          <w:type w:val="continuous"/>
        </w:sectPr>
      </w:pPr>
    </w:p>
    <w:p>
      <w:pPr>
        <w:spacing w:after="0" w:line="7"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i w:val="1"/>
          <w:iCs w:val="1"/>
          <w:color w:val="auto"/>
        </w:rPr>
        <w:t>Consideration of Say on Pay Votes</w:t>
      </w:r>
      <w:r>
        <w:rPr>
          <w:rFonts w:ascii="Arial" w:cs="Arial" w:eastAsia="Arial" w:hAnsi="Arial"/>
          <w:sz w:val="18"/>
          <w:szCs w:val="18"/>
          <w:color w:val="auto"/>
        </w:rPr>
        <w:t>. We are pleased that stockholders representing over 99% of the shares voted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Say on Pay Proposal at the 2020 annual meeting expressed their support and approval of our NEO compensation described in our 2020 proxy statement. Following the compensation committee’s review and consideration of this stockholder support, as well as the other factors discussed in more detail in “—Our Annual Compensation-Setting Process” below, the compensation committee determined to make no changes to its executive compensation program as a direct result of stockholder feedback. During 2019, we established our stockholder engagement program and sought feedback from stockholders on a range of topics, including executive compensation. We continued our stockholder engagement program in 2020 and sought feedback from stockholders representing approximately 63% of the Company’s outstanding common stock. See Stockholder Engagement earlier in this proxy statement for a description of our program.</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Our Annual Compensation-Setting Process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39"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Our executive compensation plans and programs are administered by our compensation committee. Our compensation committee is responsible for reviewing and approving, or recommending to our full Board of Directors, equity compensation grants and other aspects of compensation, including base salaries and the administration of our Short-Term Incentive Plan (“STIP”) for employees. Our compensation committee is also responsible for recommending to the full Board of Directors, the compensation of our CEO and determining and approving the compensation of other executive officers, as recommended by our CEO and Chief People Officer. At the beginning of each performance cycle, the compensation committee or the Board of Directors, as applicable, approves financial goals designed to align executive pay with company performance and stockholder interests, provide competitive pay opportunities dependent on performance, retain talent, create optimal stockholder value and mitigate material risk. These approvals include reviewing and setting performance goals under the STIP and Long-Term Incentive Program (“LTIP”), and reviewing and approving awards (including the terms and conditions of such awards) under the STIP and LTIP for all executive officers (other than the CEO).</w:t>
      </w:r>
    </w:p>
    <w:p>
      <w:pPr>
        <w:spacing w:after="0" w:line="31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sz w:val="1"/>
          <w:szCs w:val="1"/>
          <w:color w:val="auto"/>
        </w:rPr>
        <w:drawing>
          <wp:inline distT="0" distB="0" distL="0" distR="0">
            <wp:extent cx="299720" cy="24003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Independent Members of the Board of Directors</w:t>
      </w:r>
    </w:p>
    <w:p>
      <w:pPr>
        <w:spacing w:after="0" w:line="139"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Independent members of our Board assist in setting executive compensation by assessing the performance of the CEO, reviewing the compensation committee’s assessment of the CEO’s performance and approving the compensation of the CEO based on the recommendation of the compensation committee. During the temporary closure of the Company’s stores in response to the pandemic in the spring of 2020, the independent members of the Board also discussed and approved the temporary voluntary reductions in base salaries for the CEO and other executive officers until such time as it was determined to re-instate such salaries at their prior levels based on the Company’s performance once stores were safely re-opened in June.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39"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In setting executive compensation for 2020, our CEO and our Chief People Officer worked closely with the compensation committee in managing the executive compensation program, along with gathering information for and attending meetings of the compensation committee. Our CEO made recommendations to the compensation committee regarding compensation for the executive officers (other than himself), including base salary amounts and equity compensation grants. Our CEO and CFO also provided input in discussions regarding the development of annual Company performance goals for which annual incentive payouts under our STIP and PSU awards under LTIP could be earned. Additionally, during this uniquely challenging year, our executive officers and the CEO worked closely with the independent members of the Board and kept them up to date with respect to executive officer voluntary salary reductions as Company stores were temporarily closed to the public and significant portion of employees were furloughed for the same time period.</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39"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The compensation committee has engaged Meridian Compensation Partners, LLC (“Meridian”) to assist the Committee regarding various executive compensation matters and to serve as its independent compensation consulting firm. In connection with this appointment, in 2020 the compensation committee reviewed Meridian’s independence, including considering the factors specified in the NASDAQ listing standards and receiving confirmation by Meridian of its independent status. The compensation committee believes that Meridian is independent and that there is no conflict of interest between Meridian and the compensation committee. Meridian assists the compensation committee in reviewing the effectiveness and competitiveness of the Company’s executive compensation program, including an annual risk assessment of the program, and makes recommendations consistent with the Company’s pay philosophy, market trends, legal and regulatory considerations and the Company’s overall business needs. In addition to providing advice regarding executive compensation best practices, Meridian also provides market data as a background for recommendations regarding CEO and other executive base salary and annual and long-term incentives.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Use of Comparative Market Data</w:t>
      </w:r>
    </w:p>
    <w:p>
      <w:pPr>
        <w:spacing w:after="0" w:line="139"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We aim to compensate our executive officers competitively. To gain a general understanding of current market compensation practices, our compensation committee reviewed the findings as presented in a market study conducted by Meridian in September 2019. The external market data reviewed included proxy data from the peer group companies described below and retail industry survey data. The peer group reflects a mix of industries that together represent our business and scope of operations (as measured by annual revenue, market capitalization and number of employees). At the time of the selection of the peer group, the Company was near the 43rd percentile of the peer group in revenue and 37th percentile in market capitalization. We believe it is appropriate for the peer group to reflect both the retail component as well as the health care aspects of our business. The data from the peer group below was reviewed in connection with compensation decisions for 2020. The peer group consisted of the following 15 companies: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7"/>
              </w:rPr>
              <w:t>Align Technology,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Merit Medical Systems,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At Home Group,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Ollie’s Bargain Outlet Holdings,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8"/>
              </w:rPr>
              <w:t>Caleres,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8"/>
              </w:rPr>
              <w:t>Oxford Industries,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Columbia Sportswear Co.</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Surgery Partners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Dentsply Sirona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The Container Store Group,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7"/>
              </w:rPr>
              <w:t>Five Below, Inc.</w:t>
            </w:r>
          </w:p>
        </w:tc>
        <w:tc>
          <w:tcPr>
            <w:tcW w:w="3740" w:type="dxa"/>
            <w:vAlign w:val="bottom"/>
          </w:tcPr>
          <w:p>
            <w:pPr>
              <w:jc w:val="center"/>
              <w:ind w:left="790"/>
              <w:spacing w:after="0"/>
              <w:rPr>
                <w:sz w:val="20"/>
                <w:szCs w:val="20"/>
                <w:color w:val="auto"/>
              </w:rPr>
            </w:pPr>
            <w:r>
              <w:rPr>
                <w:rFonts w:ascii="Arial" w:cs="Arial" w:eastAsia="Arial" w:hAnsi="Arial"/>
                <w:sz w:val="18"/>
                <w:szCs w:val="18"/>
                <w:color w:val="auto"/>
                <w:w w:val="99"/>
              </w:rPr>
              <w:t>The Cooper Companies, Inc.</w:t>
            </w:r>
          </w:p>
        </w:tc>
      </w:tr>
      <w:tr>
        <w:trPr>
          <w:trHeight w:val="216"/>
        </w:trPr>
        <w:tc>
          <w:tcPr>
            <w:tcW w:w="3160" w:type="dxa"/>
            <w:vAlign w:val="bottom"/>
          </w:tcPr>
          <w:p>
            <w:pPr>
              <w:jc w:val="center"/>
              <w:ind w:right="830"/>
              <w:spacing w:after="0"/>
              <w:rPr>
                <w:sz w:val="20"/>
                <w:szCs w:val="20"/>
                <w:color w:val="auto"/>
              </w:rPr>
            </w:pPr>
            <w:r>
              <w:rPr>
                <w:rFonts w:ascii="Arial" w:cs="Arial" w:eastAsia="Arial" w:hAnsi="Arial"/>
                <w:sz w:val="18"/>
                <w:szCs w:val="18"/>
                <w:color w:val="auto"/>
                <w:w w:val="99"/>
              </w:rPr>
              <w:t>Floor &amp; Decor Holdings, Inc.</w:t>
            </w:r>
          </w:p>
        </w:tc>
        <w:tc>
          <w:tcPr>
            <w:tcW w:w="3740" w:type="dxa"/>
            <w:vAlign w:val="bottom"/>
          </w:tcPr>
          <w:p>
            <w:pPr>
              <w:ind w:left="920"/>
              <w:spacing w:after="0"/>
              <w:rPr>
                <w:sz w:val="20"/>
                <w:szCs w:val="20"/>
                <w:color w:val="auto"/>
              </w:rPr>
            </w:pPr>
            <w:r>
              <w:rPr>
                <w:rFonts w:ascii="Arial" w:cs="Arial" w:eastAsia="Arial" w:hAnsi="Arial"/>
                <w:sz w:val="18"/>
                <w:szCs w:val="18"/>
                <w:color w:val="auto"/>
                <w:w w:val="98"/>
              </w:rPr>
              <w:t>West Pharmaceutical Services, Inc.</w:t>
            </w:r>
          </w:p>
        </w:tc>
      </w:tr>
      <w:tr>
        <w:trPr>
          <w:trHeight w:val="217"/>
        </w:trPr>
        <w:tc>
          <w:tcPr>
            <w:tcW w:w="3160" w:type="dxa"/>
            <w:vAlign w:val="bottom"/>
          </w:tcPr>
          <w:p>
            <w:pPr>
              <w:ind w:left="460"/>
              <w:spacing w:after="0"/>
              <w:rPr>
                <w:sz w:val="20"/>
                <w:szCs w:val="20"/>
                <w:color w:val="auto"/>
              </w:rPr>
            </w:pPr>
            <w:r>
              <w:rPr>
                <w:rFonts w:ascii="Arial" w:cs="Arial" w:eastAsia="Arial" w:hAnsi="Arial"/>
                <w:sz w:val="18"/>
                <w:szCs w:val="18"/>
                <w:color w:val="auto"/>
              </w:rPr>
              <w:t>ICU Medical, Inc.</w:t>
            </w:r>
          </w:p>
        </w:tc>
        <w:tc>
          <w:tcPr>
            <w:tcW w:w="3740" w:type="dxa"/>
            <w:vAlign w:val="bottom"/>
          </w:tcPr>
          <w:p>
            <w:pPr>
              <w:spacing w:after="0"/>
              <w:rPr>
                <w:sz w:val="18"/>
                <w:szCs w:val="18"/>
                <w:color w:val="auto"/>
              </w:rPr>
            </w:pPr>
          </w:p>
        </w:tc>
      </w:tr>
    </w:tbl>
    <w:p>
      <w:pPr>
        <w:spacing w:after="0" w:line="175"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As more fully described below under “—Compensation Elements,” the compensation committee reviewed the compensation data provided by Meridian and set total compensation for our NEOs accordingly. The compensation committee did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213995</wp:posOffset>
            </wp:positionV>
            <wp:extent cx="300355" cy="240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35</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target a specific percentile with respect to the peer group in determining our NEOs’ total compensation, nor did it establish a prescribed mix of pay for our executives.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i w:val="1"/>
          <w:iCs w:val="1"/>
          <w:color w:val="auto"/>
        </w:rPr>
        <w:t>Program Design</w:t>
      </w:r>
      <w:r>
        <w:rPr>
          <w:rFonts w:ascii="Arial" w:cs="Arial" w:eastAsia="Arial" w:hAnsi="Arial"/>
          <w:sz w:val="18"/>
          <w:szCs w:val="18"/>
          <w:color w:val="auto"/>
        </w:rPr>
        <w:t>. Our executive compensation program has three main components: (1) base salary; (2)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incentive compensation (STIP); and (3) long-term incentive awards (LTIP). Each component is designed to be consistent with the Company’s compensation philosophy.</w:t>
      </w:r>
    </w:p>
    <w:p>
      <w:pPr>
        <w:spacing w:after="0" w:line="8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Each element of the compensation program complements the others and, together, these elements are intended to achieve the compensation committee’s principal compensation objectives. When decisions about compensation for an executive officer are made, the impact on the total value of all these elements of compensation for the individual is considered. For executives, the compensation committee reviews competitive market data and establishes target total direct compensation opportunities (</w:t>
      </w:r>
      <w:r>
        <w:rPr>
          <w:rFonts w:ascii="Arial" w:cs="Arial" w:eastAsia="Arial" w:hAnsi="Arial"/>
          <w:sz w:val="18"/>
          <w:szCs w:val="18"/>
          <w:i w:val="1"/>
          <w:iCs w:val="1"/>
          <w:color w:val="auto"/>
        </w:rPr>
        <w:t>i.e</w:t>
      </w:r>
      <w:r>
        <w:rPr>
          <w:rFonts w:ascii="Arial" w:cs="Arial" w:eastAsia="Arial" w:hAnsi="Arial"/>
          <w:sz w:val="18"/>
          <w:szCs w:val="18"/>
          <w:color w:val="auto"/>
        </w:rPr>
        <w:t>., salary, annual incentive and annual long-term incentive targets) based on the following factors: corporate performance, competitive market data and the circumstances surrounding the executive’s initial hiring or promotion to a position with increased responsibilities.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Base Salary</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We believe it is important to provide a competitive fixed level of pay to attract and retain talented and experienced executives capable of driving the Company’s business strategy.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 Base salary increases were approved for 2020 as outlined below.</w:t>
      </w:r>
    </w:p>
    <w:p>
      <w:pPr>
        <w:spacing w:after="0" w:line="120"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3340" w:type="dxa"/>
            <w:vAlign w:val="bottom"/>
            <w:tcBorders>
              <w:top w:val="single" w:sz="8" w:color="3C5896"/>
              <w:right w:val="single" w:sz="8" w:color="9EACCA"/>
            </w:tcBorders>
            <w:shd w:val="clear" w:color="auto" w:fill="3C5896"/>
          </w:tcPr>
          <w:p>
            <w:pPr>
              <w:spacing w:after="0"/>
              <w:rPr>
                <w:sz w:val="17"/>
                <w:szCs w:val="17"/>
                <w:color w:val="auto"/>
              </w:rPr>
            </w:pPr>
          </w:p>
        </w:tc>
        <w:tc>
          <w:tcPr>
            <w:tcW w:w="116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060" w:type="dxa"/>
            <w:vAlign w:val="bottom"/>
            <w:tcBorders>
              <w:top w:val="single" w:sz="8" w:color="3C5896"/>
              <w:right w:val="single" w:sz="8" w:color="9EACCA"/>
            </w:tcBorders>
            <w:shd w:val="clear" w:color="auto" w:fill="3C5896"/>
          </w:tcPr>
          <w:p>
            <w:pPr>
              <w:spacing w:after="0"/>
              <w:rPr>
                <w:sz w:val="17"/>
                <w:szCs w:val="17"/>
                <w:color w:val="auto"/>
              </w:rPr>
            </w:pPr>
          </w:p>
        </w:tc>
        <w:tc>
          <w:tcPr>
            <w:tcW w:w="116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12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6"/>
              </w:rPr>
              <w:t>Original</w:t>
            </w:r>
          </w:p>
        </w:tc>
        <w:tc>
          <w:tcPr>
            <w:tcW w:w="40" w:type="dxa"/>
            <w:vAlign w:val="bottom"/>
            <w:tcBorders>
              <w:top w:val="single" w:sz="8" w:color="3C5896"/>
            </w:tcBorders>
            <w:shd w:val="clear" w:color="auto" w:fill="3C5896"/>
          </w:tcPr>
          <w:p>
            <w:pPr>
              <w:spacing w:after="0"/>
              <w:rPr>
                <w:sz w:val="17"/>
                <w:szCs w:val="17"/>
                <w:color w:val="auto"/>
              </w:rPr>
            </w:pPr>
          </w:p>
        </w:tc>
        <w:tc>
          <w:tcPr>
            <w:tcW w:w="1180" w:type="dxa"/>
            <w:vAlign w:val="bottom"/>
            <w:tcBorders>
              <w:top w:val="single" w:sz="8" w:color="3C5896"/>
              <w:right w:val="single" w:sz="8" w:color="3C5896"/>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8"/>
              </w:rPr>
              <w:t>Actual</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340" w:type="dxa"/>
            <w:vAlign w:val="bottom"/>
            <w:tcBorders>
              <w:right w:val="single" w:sz="8" w:color="9EACCA"/>
            </w:tcBorders>
            <w:shd w:val="clear" w:color="auto" w:fill="3C5896"/>
          </w:tcPr>
          <w:p>
            <w:pPr>
              <w:spacing w:after="0"/>
              <w:rPr>
                <w:sz w:val="16"/>
                <w:szCs w:val="16"/>
                <w:color w:val="auto"/>
              </w:rPr>
            </w:pPr>
          </w:p>
        </w:tc>
        <w:tc>
          <w:tcPr>
            <w:tcW w:w="116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060" w:type="dxa"/>
            <w:vAlign w:val="bottom"/>
            <w:tcBorders>
              <w:right w:val="single" w:sz="8" w:color="9EACCA"/>
            </w:tcBorders>
            <w:shd w:val="clear" w:color="auto" w:fill="3C5896"/>
          </w:tcPr>
          <w:p>
            <w:pPr>
              <w:spacing w:after="0"/>
              <w:rPr>
                <w:sz w:val="16"/>
                <w:szCs w:val="16"/>
                <w:color w:val="auto"/>
              </w:rPr>
            </w:pPr>
          </w:p>
        </w:tc>
        <w:tc>
          <w:tcPr>
            <w:tcW w:w="116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12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8"/>
              </w:rPr>
              <w:t>Effective</w:t>
            </w:r>
          </w:p>
        </w:tc>
        <w:tc>
          <w:tcPr>
            <w:tcW w:w="40" w:type="dxa"/>
            <w:vAlign w:val="bottom"/>
            <w:shd w:val="clear" w:color="auto" w:fill="3C5896"/>
          </w:tcPr>
          <w:p>
            <w:pPr>
              <w:spacing w:after="0"/>
              <w:rPr>
                <w:sz w:val="16"/>
                <w:szCs w:val="16"/>
                <w:color w:val="auto"/>
              </w:rPr>
            </w:pPr>
          </w:p>
        </w:tc>
        <w:tc>
          <w:tcPr>
            <w:tcW w:w="11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Effective</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340" w:type="dxa"/>
            <w:vAlign w:val="bottom"/>
            <w:tcBorders>
              <w:right w:val="single" w:sz="8" w:color="9EACCA"/>
            </w:tcBorders>
            <w:shd w:val="clear" w:color="auto" w:fill="3C5896"/>
          </w:tcPr>
          <w:p>
            <w:pPr>
              <w:spacing w:after="0"/>
              <w:rPr>
                <w:sz w:val="16"/>
                <w:szCs w:val="16"/>
                <w:color w:val="auto"/>
              </w:rPr>
            </w:pPr>
          </w:p>
        </w:tc>
        <w:tc>
          <w:tcPr>
            <w:tcW w:w="116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2019</w:t>
            </w:r>
          </w:p>
        </w:tc>
        <w:tc>
          <w:tcPr>
            <w:tcW w:w="40" w:type="dxa"/>
            <w:vAlign w:val="bottom"/>
            <w:shd w:val="clear" w:color="auto" w:fill="3C5896"/>
          </w:tcPr>
          <w:p>
            <w:pPr>
              <w:spacing w:after="0"/>
              <w:rPr>
                <w:sz w:val="16"/>
                <w:szCs w:val="16"/>
                <w:color w:val="auto"/>
              </w:rPr>
            </w:pPr>
          </w:p>
        </w:tc>
        <w:tc>
          <w:tcPr>
            <w:tcW w:w="1060" w:type="dxa"/>
            <w:vAlign w:val="bottom"/>
            <w:tcBorders>
              <w:right w:val="single" w:sz="8" w:color="9EACCA"/>
            </w:tcBorders>
            <w:vMerge w:val="restart"/>
            <w:shd w:val="clear" w:color="auto" w:fill="3C5896"/>
          </w:tcPr>
          <w:p>
            <w:pPr>
              <w:jc w:val="right"/>
              <w:ind w:right="10"/>
              <w:spacing w:after="0"/>
              <w:rPr>
                <w:sz w:val="20"/>
                <w:szCs w:val="20"/>
                <w:color w:val="auto"/>
              </w:rPr>
            </w:pPr>
            <w:r>
              <w:rPr>
                <w:rFonts w:ascii="Arial" w:cs="Arial" w:eastAsia="Arial" w:hAnsi="Arial"/>
                <w:sz w:val="18"/>
                <w:szCs w:val="18"/>
                <w:b w:val="1"/>
                <w:bCs w:val="1"/>
                <w:color w:val="FFFFFF"/>
                <w:w w:val="96"/>
              </w:rPr>
              <w:t>Percentage</w:t>
            </w:r>
          </w:p>
        </w:tc>
        <w:tc>
          <w:tcPr>
            <w:tcW w:w="116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2020</w:t>
            </w:r>
          </w:p>
        </w:tc>
        <w:tc>
          <w:tcPr>
            <w:tcW w:w="40" w:type="dxa"/>
            <w:vAlign w:val="bottom"/>
            <w:shd w:val="clear" w:color="auto" w:fill="3C5896"/>
          </w:tcPr>
          <w:p>
            <w:pPr>
              <w:spacing w:after="0"/>
              <w:rPr>
                <w:sz w:val="16"/>
                <w:szCs w:val="16"/>
                <w:color w:val="auto"/>
              </w:rPr>
            </w:pPr>
          </w:p>
        </w:tc>
        <w:tc>
          <w:tcPr>
            <w:tcW w:w="112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6"/>
              </w:rPr>
              <w:t>Date for</w:t>
            </w:r>
          </w:p>
        </w:tc>
        <w:tc>
          <w:tcPr>
            <w:tcW w:w="40" w:type="dxa"/>
            <w:vAlign w:val="bottom"/>
            <w:shd w:val="clear" w:color="auto" w:fill="3C5896"/>
          </w:tcPr>
          <w:p>
            <w:pPr>
              <w:spacing w:after="0"/>
              <w:rPr>
                <w:sz w:val="16"/>
                <w:szCs w:val="16"/>
                <w:color w:val="auto"/>
              </w:rPr>
            </w:pPr>
          </w:p>
        </w:tc>
        <w:tc>
          <w:tcPr>
            <w:tcW w:w="11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6"/>
              </w:rPr>
              <w:t>Date for</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340" w:type="dxa"/>
            <w:vAlign w:val="bottom"/>
            <w:tcBorders>
              <w:right w:val="single" w:sz="8" w:color="9EACCA"/>
            </w:tcBorders>
            <w:vMerge w:val="restart"/>
            <w:shd w:val="clear" w:color="auto" w:fill="3C5896"/>
          </w:tcPr>
          <w:p>
            <w:pPr>
              <w:ind w:left="580"/>
              <w:spacing w:after="0"/>
              <w:rPr>
                <w:sz w:val="20"/>
                <w:szCs w:val="20"/>
                <w:color w:val="auto"/>
              </w:rPr>
            </w:pPr>
            <w:r>
              <w:rPr>
                <w:rFonts w:ascii="Arial" w:cs="Arial" w:eastAsia="Arial" w:hAnsi="Arial"/>
                <w:sz w:val="18"/>
                <w:szCs w:val="18"/>
                <w:b w:val="1"/>
                <w:bCs w:val="1"/>
                <w:color w:val="FFFFFF"/>
              </w:rPr>
              <w:t>Named Executive Officer</w:t>
            </w:r>
          </w:p>
        </w:tc>
        <w:tc>
          <w:tcPr>
            <w:tcW w:w="116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060" w:type="dxa"/>
            <w:vAlign w:val="bottom"/>
            <w:tcBorders>
              <w:right w:val="single" w:sz="8" w:color="9EACCA"/>
            </w:tcBorders>
            <w:vMerge w:val="continue"/>
            <w:shd w:val="clear" w:color="auto" w:fill="3C5896"/>
          </w:tcPr>
          <w:p>
            <w:pPr>
              <w:spacing w:after="0"/>
              <w:rPr>
                <w:sz w:val="16"/>
                <w:szCs w:val="16"/>
                <w:color w:val="auto"/>
              </w:rPr>
            </w:pPr>
          </w:p>
        </w:tc>
        <w:tc>
          <w:tcPr>
            <w:tcW w:w="116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12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9"/>
              </w:rPr>
              <w:t>Base Salary</w:t>
            </w:r>
          </w:p>
        </w:tc>
        <w:tc>
          <w:tcPr>
            <w:tcW w:w="40" w:type="dxa"/>
            <w:vAlign w:val="bottom"/>
            <w:shd w:val="clear" w:color="auto" w:fill="3C5896"/>
          </w:tcPr>
          <w:p>
            <w:pPr>
              <w:spacing w:after="0"/>
              <w:rPr>
                <w:sz w:val="16"/>
                <w:szCs w:val="16"/>
                <w:color w:val="auto"/>
              </w:rPr>
            </w:pPr>
          </w:p>
        </w:tc>
        <w:tc>
          <w:tcPr>
            <w:tcW w:w="11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Base Salary</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3340" w:type="dxa"/>
            <w:vAlign w:val="bottom"/>
            <w:tcBorders>
              <w:right w:val="single" w:sz="8" w:color="9EACCA"/>
            </w:tcBorders>
            <w:vMerge w:val="continue"/>
            <w:shd w:val="clear" w:color="auto" w:fill="3C5896"/>
          </w:tcPr>
          <w:p>
            <w:pPr>
              <w:spacing w:after="0"/>
              <w:rPr>
                <w:sz w:val="21"/>
                <w:szCs w:val="21"/>
                <w:color w:val="auto"/>
              </w:rPr>
            </w:pPr>
          </w:p>
        </w:tc>
        <w:tc>
          <w:tcPr>
            <w:tcW w:w="11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Base Salary</w:t>
            </w:r>
          </w:p>
        </w:tc>
        <w:tc>
          <w:tcPr>
            <w:tcW w:w="40" w:type="dxa"/>
            <w:vAlign w:val="bottom"/>
            <w:shd w:val="clear" w:color="auto" w:fill="3C5896"/>
          </w:tcPr>
          <w:p>
            <w:pPr>
              <w:spacing w:after="0"/>
              <w:rPr>
                <w:sz w:val="21"/>
                <w:szCs w:val="21"/>
                <w:color w:val="auto"/>
              </w:rPr>
            </w:pPr>
          </w:p>
        </w:tc>
        <w:tc>
          <w:tcPr>
            <w:tcW w:w="1060" w:type="dxa"/>
            <w:vAlign w:val="bottom"/>
            <w:tcBorders>
              <w:right w:val="single" w:sz="8" w:color="9EACCA"/>
            </w:tcBorders>
            <w:shd w:val="clear" w:color="auto" w:fill="3C5896"/>
          </w:tcPr>
          <w:p>
            <w:pPr>
              <w:jc w:val="right"/>
              <w:ind w:right="110"/>
              <w:spacing w:after="0"/>
              <w:rPr>
                <w:sz w:val="20"/>
                <w:szCs w:val="20"/>
                <w:color w:val="auto"/>
              </w:rPr>
            </w:pPr>
            <w:r>
              <w:rPr>
                <w:rFonts w:ascii="Arial" w:cs="Arial" w:eastAsia="Arial" w:hAnsi="Arial"/>
                <w:sz w:val="18"/>
                <w:szCs w:val="18"/>
                <w:b w:val="1"/>
                <w:bCs w:val="1"/>
                <w:color w:val="FFFFFF"/>
              </w:rPr>
              <w:t>Increase</w:t>
            </w:r>
          </w:p>
        </w:tc>
        <w:tc>
          <w:tcPr>
            <w:tcW w:w="11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Base Salary</w:t>
            </w:r>
          </w:p>
        </w:tc>
        <w:tc>
          <w:tcPr>
            <w:tcW w:w="40" w:type="dxa"/>
            <w:vAlign w:val="bottom"/>
            <w:shd w:val="clear" w:color="auto" w:fill="3C5896"/>
          </w:tcPr>
          <w:p>
            <w:pPr>
              <w:spacing w:after="0"/>
              <w:rPr>
                <w:sz w:val="21"/>
                <w:szCs w:val="21"/>
                <w:color w:val="auto"/>
              </w:rPr>
            </w:pPr>
          </w:p>
        </w:tc>
        <w:tc>
          <w:tcPr>
            <w:tcW w:w="11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Increase</w:t>
            </w:r>
          </w:p>
        </w:tc>
        <w:tc>
          <w:tcPr>
            <w:tcW w:w="40" w:type="dxa"/>
            <w:vAlign w:val="bottom"/>
            <w:shd w:val="clear" w:color="auto" w:fill="3C5896"/>
          </w:tcPr>
          <w:p>
            <w:pPr>
              <w:spacing w:after="0"/>
              <w:rPr>
                <w:sz w:val="21"/>
                <w:szCs w:val="21"/>
                <w:color w:val="auto"/>
              </w:rPr>
            </w:pPr>
          </w:p>
        </w:tc>
        <w:tc>
          <w:tcPr>
            <w:tcW w:w="118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Increase</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33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L. Reade Fahs</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$927,000</w:t>
            </w:r>
          </w:p>
        </w:tc>
        <w:tc>
          <w:tcPr>
            <w:tcW w:w="1100" w:type="dxa"/>
            <w:vAlign w:val="bottom"/>
            <w:tcBorders>
              <w:right w:val="single" w:sz="8" w:color="9EACCA"/>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$955,000</w:t>
            </w:r>
          </w:p>
        </w:tc>
        <w:tc>
          <w:tcPr>
            <w:tcW w:w="40" w:type="dxa"/>
            <w:vAlign w:val="bottom"/>
          </w:tcPr>
          <w:p>
            <w:pPr>
              <w:spacing w:after="0"/>
              <w:rPr>
                <w:sz w:val="21"/>
                <w:szCs w:val="21"/>
                <w:color w:val="auto"/>
              </w:rPr>
            </w:pPr>
          </w:p>
        </w:tc>
        <w:tc>
          <w:tcPr>
            <w:tcW w:w="11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8"/>
              </w:rPr>
              <w:t>April 2020</w:t>
            </w:r>
          </w:p>
        </w:tc>
        <w:tc>
          <w:tcPr>
            <w:tcW w:w="40" w:type="dxa"/>
            <w:vAlign w:val="bottom"/>
          </w:tcPr>
          <w:p>
            <w:pPr>
              <w:spacing w:after="0"/>
              <w:rPr>
                <w:sz w:val="21"/>
                <w:szCs w:val="21"/>
                <w:color w:val="auto"/>
              </w:rPr>
            </w:pPr>
          </w:p>
        </w:tc>
        <w:tc>
          <w:tcPr>
            <w:tcW w:w="118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8"/>
              </w:rPr>
              <w:t>July 2020</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3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116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$450,000</w:t>
            </w:r>
          </w:p>
        </w:tc>
        <w:tc>
          <w:tcPr>
            <w:tcW w:w="1100" w:type="dxa"/>
            <w:vAlign w:val="bottom"/>
            <w:tcBorders>
              <w:right w:val="single" w:sz="8" w:color="9EACCA"/>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11.1%</w:t>
            </w:r>
          </w:p>
        </w:tc>
        <w:tc>
          <w:tcPr>
            <w:tcW w:w="116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CCCC"/>
          </w:tcPr>
          <w:p>
            <w:pPr>
              <w:spacing w:after="0"/>
              <w:rPr>
                <w:sz w:val="22"/>
                <w:szCs w:val="22"/>
                <w:color w:val="auto"/>
              </w:rPr>
            </w:pPr>
          </w:p>
        </w:tc>
        <w:tc>
          <w:tcPr>
            <w:tcW w:w="112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8"/>
              </w:rPr>
              <w:t>April 2020</w:t>
            </w:r>
          </w:p>
        </w:tc>
        <w:tc>
          <w:tcPr>
            <w:tcW w:w="40" w:type="dxa"/>
            <w:vAlign w:val="bottom"/>
            <w:shd w:val="clear" w:color="auto" w:fill="CCCCCC"/>
          </w:tcPr>
          <w:p>
            <w:pPr>
              <w:spacing w:after="0"/>
              <w:rPr>
                <w:sz w:val="22"/>
                <w:szCs w:val="22"/>
                <w:color w:val="auto"/>
              </w:rPr>
            </w:pPr>
          </w:p>
        </w:tc>
        <w:tc>
          <w:tcPr>
            <w:tcW w:w="1180" w:type="dxa"/>
            <w:vAlign w:val="bottom"/>
            <w:tcBorders>
              <w:right w:val="single" w:sz="8" w:color="3C5896"/>
            </w:tcBorders>
            <w:shd w:val="clear" w:color="auto" w:fill="CCCCCC"/>
          </w:tcPr>
          <w:p>
            <w:pPr>
              <w:jc w:val="center"/>
              <w:spacing w:after="0"/>
              <w:rPr>
                <w:sz w:val="20"/>
                <w:szCs w:val="20"/>
                <w:color w:val="auto"/>
              </w:rPr>
            </w:pPr>
            <w:r>
              <w:rPr>
                <w:rFonts w:ascii="Arial" w:cs="Arial" w:eastAsia="Arial" w:hAnsi="Arial"/>
                <w:sz w:val="18"/>
                <w:szCs w:val="18"/>
                <w:color w:val="auto"/>
                <w:w w:val="98"/>
              </w:rPr>
              <w:t>July 2020</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33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Bill Clark</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$320,000</w:t>
            </w:r>
          </w:p>
        </w:tc>
        <w:tc>
          <w:tcPr>
            <w:tcW w:w="1100" w:type="dxa"/>
            <w:vAlign w:val="bottom"/>
            <w:tcBorders>
              <w:right w:val="single" w:sz="8" w:color="9EACCA"/>
            </w:tcBorders>
            <w:gridSpan w:val="2"/>
          </w:tcPr>
          <w:p>
            <w:pPr>
              <w:jc w:val="right"/>
              <w:ind w:right="150"/>
              <w:spacing w:after="0"/>
              <w:rPr>
                <w:sz w:val="20"/>
                <w:szCs w:val="20"/>
                <w:color w:val="auto"/>
              </w:rPr>
            </w:pPr>
            <w:r>
              <w:rPr>
                <w:rFonts w:ascii="Arial" w:cs="Arial" w:eastAsia="Arial" w:hAnsi="Arial"/>
                <w:sz w:val="18"/>
                <w:szCs w:val="18"/>
                <w:color w:val="auto"/>
              </w:rPr>
              <w:t>9.3%</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21"/>
                <w:szCs w:val="21"/>
                <w:color w:val="auto"/>
              </w:rPr>
            </w:pPr>
          </w:p>
        </w:tc>
        <w:tc>
          <w:tcPr>
            <w:tcW w:w="11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8"/>
              </w:rPr>
              <w:t>April 2020</w:t>
            </w:r>
          </w:p>
        </w:tc>
        <w:tc>
          <w:tcPr>
            <w:tcW w:w="40" w:type="dxa"/>
            <w:vAlign w:val="bottom"/>
          </w:tcPr>
          <w:p>
            <w:pPr>
              <w:spacing w:after="0"/>
              <w:rPr>
                <w:sz w:val="21"/>
                <w:szCs w:val="21"/>
                <w:color w:val="auto"/>
              </w:rPr>
            </w:pPr>
          </w:p>
        </w:tc>
        <w:tc>
          <w:tcPr>
            <w:tcW w:w="118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8"/>
              </w:rPr>
              <w:t>July 2020</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3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Jared Brandman</w:t>
            </w:r>
          </w:p>
        </w:tc>
        <w:tc>
          <w:tcPr>
            <w:tcW w:w="116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$300,000</w:t>
            </w:r>
          </w:p>
        </w:tc>
        <w:tc>
          <w:tcPr>
            <w:tcW w:w="1100" w:type="dxa"/>
            <w:vAlign w:val="bottom"/>
            <w:tcBorders>
              <w:right w:val="single" w:sz="8" w:color="9EACCA"/>
            </w:tcBorders>
            <w:gridSpan w:val="2"/>
            <w:shd w:val="clear" w:color="auto" w:fill="CCCCCC"/>
          </w:tcPr>
          <w:p>
            <w:pPr>
              <w:jc w:val="right"/>
              <w:ind w:right="150"/>
              <w:spacing w:after="0"/>
              <w:rPr>
                <w:sz w:val="20"/>
                <w:szCs w:val="20"/>
                <w:color w:val="auto"/>
              </w:rPr>
            </w:pPr>
            <w:r>
              <w:rPr>
                <w:rFonts w:ascii="Arial" w:cs="Arial" w:eastAsia="Arial" w:hAnsi="Arial"/>
                <w:sz w:val="18"/>
                <w:szCs w:val="18"/>
                <w:color w:val="auto"/>
              </w:rPr>
              <w:t>14.2%</w:t>
            </w:r>
          </w:p>
        </w:tc>
        <w:tc>
          <w:tcPr>
            <w:tcW w:w="116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CCCC"/>
          </w:tcPr>
          <w:p>
            <w:pPr>
              <w:spacing w:after="0"/>
              <w:rPr>
                <w:sz w:val="22"/>
                <w:szCs w:val="22"/>
                <w:color w:val="auto"/>
              </w:rPr>
            </w:pPr>
          </w:p>
        </w:tc>
        <w:tc>
          <w:tcPr>
            <w:tcW w:w="112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CCCC"/>
          </w:tcPr>
          <w:p>
            <w:pPr>
              <w:spacing w:after="0"/>
              <w:rPr>
                <w:sz w:val="22"/>
                <w:szCs w:val="22"/>
                <w:color w:val="auto"/>
              </w:rPr>
            </w:pPr>
          </w:p>
        </w:tc>
        <w:tc>
          <w:tcPr>
            <w:tcW w:w="1180" w:type="dxa"/>
            <w:vAlign w:val="bottom"/>
            <w:tcBorders>
              <w:right w:val="single" w:sz="8" w:color="3C5896"/>
            </w:tcBorders>
            <w:shd w:val="clear" w:color="auto" w:fill="CCCCCC"/>
          </w:tcPr>
          <w:p>
            <w:pPr>
              <w:jc w:val="center"/>
              <w:spacing w:after="0"/>
              <w:rPr>
                <w:sz w:val="20"/>
                <w:szCs w:val="20"/>
                <w:color w:val="auto"/>
              </w:rPr>
            </w:pPr>
            <w:r>
              <w:rPr>
                <w:rFonts w:ascii="Arial" w:cs="Arial" w:eastAsia="Arial" w:hAnsi="Arial"/>
                <w:sz w:val="18"/>
                <w:szCs w:val="18"/>
                <w:color w:val="auto"/>
                <w:highlight w:val="lightGray"/>
                <w:w w:val="98"/>
              </w:rPr>
              <w:t>January 2020</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33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$320,000</w:t>
            </w:r>
          </w:p>
        </w:tc>
        <w:tc>
          <w:tcPr>
            <w:tcW w:w="40" w:type="dxa"/>
            <w:vAlign w:val="bottom"/>
          </w:tcPr>
          <w:p>
            <w:pPr>
              <w:spacing w:after="0"/>
              <w:rPr>
                <w:sz w:val="24"/>
                <w:szCs w:val="24"/>
                <w:color w:val="auto"/>
              </w:rPr>
            </w:pPr>
          </w:p>
        </w:tc>
        <w:tc>
          <w:tcPr>
            <w:tcW w:w="1060" w:type="dxa"/>
            <w:vAlign w:val="bottom"/>
            <w:tcBorders>
              <w:right w:val="single" w:sz="8" w:color="9EACCA"/>
            </w:tcBorders>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$320,000</w:t>
            </w:r>
          </w:p>
        </w:tc>
        <w:tc>
          <w:tcPr>
            <w:tcW w:w="40" w:type="dxa"/>
            <w:vAlign w:val="bottom"/>
          </w:tcPr>
          <w:p>
            <w:pPr>
              <w:spacing w:after="0"/>
              <w:rPr>
                <w:sz w:val="24"/>
                <w:szCs w:val="24"/>
                <w:color w:val="auto"/>
              </w:rPr>
            </w:pPr>
          </w:p>
        </w:tc>
        <w:tc>
          <w:tcPr>
            <w:tcW w:w="11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1180" w:type="dxa"/>
            <w:vAlign w:val="bottom"/>
            <w:tcBorders>
              <w:right w:val="single" w:sz="8" w:color="3C5896"/>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3340" w:type="dxa"/>
            <w:vAlign w:val="bottom"/>
            <w:tcBorders>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060" w:type="dxa"/>
            <w:vAlign w:val="bottom"/>
            <w:tcBorders>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1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18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-839470</wp:posOffset>
            </wp:positionV>
            <wp:extent cx="58204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141"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As reflected in the table above, in December 2019, the compensation committee approved an adjustment to the base salary of Mr. Brandman from $300,000 to $350,000 effective January 2020 to reflect his role change to General Counsel and Corporate Secretary earlier in 2019. The compensation committee also approved a salary of $320,000 for Ms. Blackwood when she joined the Company in December 2019. In February 2020, the compensation committee approved adjustments to the base salaries of Messrs. Fahs, Moore and Clark, which were intended to be effective in April 2020.</w:t>
      </w:r>
    </w:p>
    <w:p>
      <w:pPr>
        <w:spacing w:after="0" w:line="10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However, on March 25, 2020, in light of the unprecedented impact of COVID-19 and the Company’s temporary closure of its stores to the public, the independent members of the Board also discussed and approved the voluntary reduction in base salaries for the NEOs by 30% and a reduction in the base salary for the CEO to $1. Upon the reopening of the Company’s stores, our executive officers returned to full pay in June 2020 and the previously approved salary increases became effective on July 5, 2020. Eligible associates who were impacted with a salary reduction or delayed salary increase due to the pandemic in spring 2020 also received salary increases effective in July 2020.</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Annual Cash Incentive Program—Short Term Incentive Plan (STIP)</w:t>
      </w:r>
    </w:p>
    <w:p>
      <w:pPr>
        <w:spacing w:after="0" w:line="139"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In fiscal year 2020, our executives participated in the STIP, which is an annual cash incentive program. The primary purpose of the STIP is to focus management on key measures that drive financial performance and to provide competitive bonus opportunities tied to the achievement of our annual financial and strategic growth objectives.</w:t>
      </w:r>
    </w:p>
    <w:p>
      <w:pPr>
        <w:spacing w:after="0" w:line="317"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sz w:val="1"/>
          <w:szCs w:val="1"/>
          <w:color w:val="auto"/>
        </w:rPr>
        <w:drawing>
          <wp:inline distT="0" distB="0" distL="0" distR="0">
            <wp:extent cx="29972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We believe that tying NEO bonuses to Company performance goals encourages collaboration across the executive leadership team. For fiscal 2020, STIP awards were based on achievement of a STIP Adjusted EBITDA goal (with Adjusted EBITDA as defined on Appendix A plus STIP expense and change in the margin on unearned revenue). In addition, beginning with the STIP and LTIP awards granted in fiscal 2020, the Company updated its definition of certain non-GAAP measures, including Adjusted EBITDA. Adjusted EBITDA no longer excludes new store pre-opening expenses and non-cash rent. The compensation committee has reserved the ability to adjust the actual Adjusted EBITDA results to exclude the effects of unplanned or unusual items (whether favorable or unfavorable).</w:t>
      </w:r>
    </w:p>
    <w:p>
      <w:pPr>
        <w:spacing w:after="0" w:line="95"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The compensation committee approved the STIP design, targets and Adjusted EBITDA goal in February 2020 as part of the annual compensation setting process. Each NEO’s target annual bonus under the STIP is expressed as a percentage of base salary with the targets ranging from 50% to 100% for 2020. Actual STIP awards were calculated by multiplying each NEO’s base salary by his or her payout percentage. For 2020, the STIP included threshold, target, and maximum levels of performance and corresponding payouts. Awards could be earned at more or less than target based on the pre-established scale set forth in the following table:</w:t>
      </w:r>
    </w:p>
    <w:p>
      <w:pPr>
        <w:spacing w:after="0" w:line="104" w:lineRule="exact"/>
        <w:rPr>
          <w:sz w:val="20"/>
          <w:szCs w:val="20"/>
          <w:color w:val="auto"/>
        </w:rPr>
      </w:pPr>
    </w:p>
    <w:tbl>
      <w:tblPr>
        <w:tblLayout w:type="fixed"/>
        <w:tblInd w:w="770" w:type="dxa"/>
        <w:tblCellMar>
          <w:top w:w="0" w:type="dxa"/>
          <w:left w:w="0" w:type="dxa"/>
          <w:bottom w:w="0" w:type="dxa"/>
          <w:right w:w="0" w:type="dxa"/>
        </w:tblCellMar>
      </w:tblPr>
      <w:tr>
        <w:trPr>
          <w:trHeight w:val="220"/>
        </w:trPr>
        <w:tc>
          <w:tcPr>
            <w:tcW w:w="4620" w:type="dxa"/>
            <w:vAlign w:val="bottom"/>
            <w:tcBorders>
              <w:top w:val="single" w:sz="8" w:color="3C5896"/>
              <w:left w:val="single" w:sz="8" w:color="3C5896"/>
              <w:right w:val="single" w:sz="8" w:color="9EACCA"/>
            </w:tcBorders>
            <w:shd w:val="clear" w:color="auto" w:fill="3C5896"/>
          </w:tcPr>
          <w:p>
            <w:pPr>
              <w:spacing w:after="0"/>
              <w:rPr>
                <w:sz w:val="19"/>
                <w:szCs w:val="19"/>
                <w:color w:val="auto"/>
              </w:rPr>
            </w:pPr>
          </w:p>
        </w:tc>
        <w:tc>
          <w:tcPr>
            <w:tcW w:w="2720" w:type="dxa"/>
            <w:vAlign w:val="bottom"/>
            <w:tcBorders>
              <w:top w:val="single" w:sz="8" w:color="3C5896"/>
              <w:right w:val="single" w:sz="8" w:color="9EACCA"/>
            </w:tcBorders>
            <w:shd w:val="clear" w:color="auto" w:fill="3C5896"/>
          </w:tcPr>
          <w:p>
            <w:pPr>
              <w:jc w:val="center"/>
              <w:spacing w:after="0" w:line="220" w:lineRule="exact"/>
              <w:rPr>
                <w:sz w:val="20"/>
                <w:szCs w:val="20"/>
                <w:color w:val="auto"/>
              </w:rPr>
            </w:pPr>
            <w:r>
              <w:rPr>
                <w:rFonts w:ascii="Arial" w:cs="Arial" w:eastAsia="Arial" w:hAnsi="Arial"/>
                <w:sz w:val="17"/>
                <w:szCs w:val="17"/>
                <w:b w:val="1"/>
                <w:bCs w:val="1"/>
                <w:color w:val="FFFFFF"/>
              </w:rPr>
              <w:t>STIP Adjusted EBITDA</w:t>
            </w:r>
            <w:r>
              <w:rPr>
                <w:rFonts w:ascii="Arial" w:cs="Arial" w:eastAsia="Arial" w:hAnsi="Arial"/>
                <w:sz w:val="25"/>
                <w:szCs w:val="25"/>
                <w:b w:val="1"/>
                <w:bCs w:val="1"/>
                <w:color w:val="FFFFFF"/>
                <w:vertAlign w:val="superscript"/>
              </w:rPr>
              <w:t>(1)</w:t>
            </w:r>
          </w:p>
        </w:tc>
        <w:tc>
          <w:tcPr>
            <w:tcW w:w="40" w:type="dxa"/>
            <w:vAlign w:val="bottom"/>
            <w:tcBorders>
              <w:top w:val="single" w:sz="8" w:color="3C5896"/>
            </w:tcBorders>
            <w:shd w:val="clear" w:color="auto" w:fill="3C5896"/>
          </w:tcPr>
          <w:p>
            <w:pPr>
              <w:spacing w:after="0"/>
              <w:rPr>
                <w:sz w:val="19"/>
                <w:szCs w:val="19"/>
                <w:color w:val="auto"/>
              </w:rPr>
            </w:pPr>
          </w:p>
        </w:tc>
        <w:tc>
          <w:tcPr>
            <w:tcW w:w="1820" w:type="dxa"/>
            <w:vAlign w:val="bottom"/>
            <w:tcBorders>
              <w:top w:val="single" w:sz="8" w:color="3C5896"/>
              <w:right w:val="single" w:sz="8" w:color="3C5896"/>
            </w:tcBorders>
            <w:shd w:val="clear" w:color="auto" w:fill="3C5896"/>
          </w:tcPr>
          <w:p>
            <w:pPr>
              <w:jc w:val="right"/>
              <w:ind w:right="590"/>
              <w:spacing w:after="0"/>
              <w:rPr>
                <w:sz w:val="20"/>
                <w:szCs w:val="20"/>
                <w:color w:val="auto"/>
              </w:rPr>
            </w:pPr>
            <w:r>
              <w:rPr>
                <w:rFonts w:ascii="Arial" w:cs="Arial" w:eastAsia="Arial" w:hAnsi="Arial"/>
                <w:sz w:val="18"/>
                <w:szCs w:val="18"/>
                <w:b w:val="1"/>
                <w:bCs w:val="1"/>
                <w:color w:val="FFFFFF"/>
              </w:rPr>
              <w:t>Payout</w:t>
            </w:r>
          </w:p>
        </w:tc>
      </w:tr>
      <w:tr>
        <w:trPr>
          <w:trHeight w:val="252"/>
        </w:trPr>
        <w:tc>
          <w:tcPr>
            <w:tcW w:w="4620" w:type="dxa"/>
            <w:vAlign w:val="bottom"/>
            <w:tcBorders>
              <w:left w:val="single" w:sz="8" w:color="3C5896"/>
              <w:right w:val="single" w:sz="8" w:color="9EACCA"/>
            </w:tcBorders>
            <w:shd w:val="clear" w:color="auto" w:fill="3C5896"/>
          </w:tcPr>
          <w:p>
            <w:pPr>
              <w:spacing w:after="0"/>
              <w:rPr>
                <w:sz w:val="21"/>
                <w:szCs w:val="21"/>
                <w:color w:val="auto"/>
              </w:rPr>
            </w:pPr>
          </w:p>
        </w:tc>
        <w:tc>
          <w:tcPr>
            <w:tcW w:w="27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($million)</w:t>
            </w:r>
          </w:p>
        </w:tc>
        <w:tc>
          <w:tcPr>
            <w:tcW w:w="40" w:type="dxa"/>
            <w:vAlign w:val="bottom"/>
            <w:shd w:val="clear" w:color="auto" w:fill="3C5896"/>
          </w:tcPr>
          <w:p>
            <w:pPr>
              <w:spacing w:after="0"/>
              <w:rPr>
                <w:sz w:val="21"/>
                <w:szCs w:val="21"/>
                <w:color w:val="auto"/>
              </w:rPr>
            </w:pPr>
          </w:p>
        </w:tc>
        <w:tc>
          <w:tcPr>
            <w:tcW w:w="1820" w:type="dxa"/>
            <w:vAlign w:val="bottom"/>
            <w:tcBorders>
              <w:right w:val="single" w:sz="8" w:color="3C5896"/>
            </w:tcBorders>
            <w:shd w:val="clear" w:color="auto" w:fill="3C5896"/>
          </w:tcPr>
          <w:p>
            <w:pPr>
              <w:jc w:val="right"/>
              <w:ind w:right="330"/>
              <w:spacing w:after="0"/>
              <w:rPr>
                <w:sz w:val="20"/>
                <w:szCs w:val="20"/>
                <w:color w:val="auto"/>
              </w:rPr>
            </w:pPr>
            <w:r>
              <w:rPr>
                <w:rFonts w:ascii="Arial" w:cs="Arial" w:eastAsia="Arial" w:hAnsi="Arial"/>
                <w:sz w:val="18"/>
                <w:szCs w:val="18"/>
                <w:b w:val="1"/>
                <w:bCs w:val="1"/>
                <w:color w:val="FFFFFF"/>
              </w:rPr>
              <w:t>(% of Target)</w:t>
            </w:r>
          </w:p>
        </w:tc>
      </w:tr>
      <w:tr>
        <w:trPr>
          <w:trHeight w:val="250"/>
        </w:trPr>
        <w:tc>
          <w:tcPr>
            <w:tcW w:w="46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Maximum</w:t>
            </w:r>
          </w:p>
        </w:tc>
        <w:tc>
          <w:tcPr>
            <w:tcW w:w="27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6"/>
              </w:rPr>
              <w:t>$ 255.7</w:t>
            </w:r>
          </w:p>
        </w:tc>
        <w:tc>
          <w:tcPr>
            <w:tcW w:w="1860" w:type="dxa"/>
            <w:vAlign w:val="bottom"/>
            <w:tcBorders>
              <w:right w:val="single" w:sz="8" w:color="3C5896"/>
            </w:tcBorders>
            <w:gridSpan w:val="2"/>
          </w:tcPr>
          <w:p>
            <w:pPr>
              <w:jc w:val="right"/>
              <w:ind w:right="470"/>
              <w:spacing w:after="0"/>
              <w:rPr>
                <w:sz w:val="20"/>
                <w:szCs w:val="20"/>
                <w:color w:val="auto"/>
              </w:rPr>
            </w:pPr>
            <w:r>
              <w:rPr>
                <w:rFonts w:ascii="Arial" w:cs="Arial" w:eastAsia="Arial" w:hAnsi="Arial"/>
                <w:sz w:val="18"/>
                <w:szCs w:val="18"/>
                <w:color w:val="auto"/>
              </w:rPr>
              <w:t>200%</w:t>
            </w:r>
          </w:p>
        </w:tc>
      </w:tr>
      <w:tr>
        <w:trPr>
          <w:trHeight w:val="277"/>
        </w:trPr>
        <w:tc>
          <w:tcPr>
            <w:tcW w:w="462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Target</w:t>
            </w:r>
          </w:p>
        </w:tc>
        <w:tc>
          <w:tcPr>
            <w:tcW w:w="272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w w:val="96"/>
              </w:rPr>
              <w:t>$ 234.6</w:t>
            </w:r>
          </w:p>
        </w:tc>
        <w:tc>
          <w:tcPr>
            <w:tcW w:w="1860" w:type="dxa"/>
            <w:vAlign w:val="bottom"/>
            <w:tcBorders>
              <w:right w:val="single" w:sz="8" w:color="3C5896"/>
            </w:tcBorders>
            <w:gridSpan w:val="2"/>
            <w:shd w:val="clear" w:color="auto" w:fill="CCCCCC"/>
          </w:tcPr>
          <w:p>
            <w:pPr>
              <w:jc w:val="right"/>
              <w:ind w:right="470"/>
              <w:spacing w:after="0"/>
              <w:rPr>
                <w:sz w:val="20"/>
                <w:szCs w:val="20"/>
                <w:color w:val="auto"/>
              </w:rPr>
            </w:pPr>
            <w:r>
              <w:rPr>
                <w:rFonts w:ascii="Arial" w:cs="Arial" w:eastAsia="Arial" w:hAnsi="Arial"/>
                <w:sz w:val="18"/>
                <w:szCs w:val="18"/>
                <w:color w:val="auto"/>
              </w:rPr>
              <w:t>100%</w:t>
            </w:r>
          </w:p>
        </w:tc>
      </w:tr>
      <w:tr>
        <w:trPr>
          <w:trHeight w:val="263"/>
        </w:trPr>
        <w:tc>
          <w:tcPr>
            <w:tcW w:w="462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Threshold</w:t>
            </w:r>
          </w:p>
        </w:tc>
        <w:tc>
          <w:tcPr>
            <w:tcW w:w="272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w w:val="96"/>
              </w:rPr>
              <w:t>$ 211.1</w:t>
            </w:r>
          </w:p>
        </w:tc>
        <w:tc>
          <w:tcPr>
            <w:tcW w:w="1860" w:type="dxa"/>
            <w:vAlign w:val="bottom"/>
            <w:tcBorders>
              <w:right w:val="single" w:sz="8" w:color="3C5896"/>
            </w:tcBorders>
            <w:gridSpan w:val="2"/>
          </w:tcPr>
          <w:p>
            <w:pPr>
              <w:jc w:val="right"/>
              <w:ind w:right="470"/>
              <w:spacing w:after="0"/>
              <w:rPr>
                <w:sz w:val="20"/>
                <w:szCs w:val="20"/>
                <w:color w:val="auto"/>
              </w:rPr>
            </w:pPr>
            <w:r>
              <w:rPr>
                <w:rFonts w:ascii="Arial" w:cs="Arial" w:eastAsia="Arial" w:hAnsi="Arial"/>
                <w:sz w:val="18"/>
                <w:szCs w:val="18"/>
                <w:color w:val="auto"/>
              </w:rPr>
              <w:t>50%</w:t>
            </w:r>
          </w:p>
        </w:tc>
      </w:tr>
      <w:tr>
        <w:trPr>
          <w:trHeight w:val="284"/>
        </w:trPr>
        <w:tc>
          <w:tcPr>
            <w:tcW w:w="4620" w:type="dxa"/>
            <w:vAlign w:val="bottom"/>
            <w:tcBorders>
              <w:left w:val="single" w:sz="8" w:color="3C5896"/>
              <w:bottom w:val="single" w:sz="8" w:color="CCCCCC"/>
              <w:right w:val="single" w:sz="8" w:color="9EACCA"/>
            </w:tcBorders>
            <w:shd w:val="clear" w:color="auto" w:fill="CCCCCC"/>
          </w:tcPr>
          <w:p>
            <w:pPr>
              <w:ind w:left="60"/>
              <w:spacing w:after="0"/>
              <w:rPr>
                <w:sz w:val="20"/>
                <w:szCs w:val="20"/>
                <w:color w:val="auto"/>
              </w:rPr>
            </w:pPr>
            <w:r>
              <w:rPr>
                <w:rFonts w:ascii="Arial" w:cs="Arial" w:eastAsia="Arial" w:hAnsi="Arial"/>
                <w:sz w:val="18"/>
                <w:szCs w:val="18"/>
                <w:b w:val="1"/>
                <w:bCs w:val="1"/>
                <w:color w:val="auto"/>
              </w:rPr>
              <w:t>Actual</w:t>
            </w:r>
          </w:p>
        </w:tc>
        <w:tc>
          <w:tcPr>
            <w:tcW w:w="2720" w:type="dxa"/>
            <w:vAlign w:val="bottom"/>
            <w:tcBorders>
              <w:bottom w:val="single" w:sz="8" w:color="CCCCCC"/>
              <w:right w:val="single" w:sz="8" w:color="9EACCA"/>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6"/>
              </w:rPr>
              <w:t>$ 230.5</w:t>
            </w:r>
          </w:p>
        </w:tc>
        <w:tc>
          <w:tcPr>
            <w:tcW w:w="1860" w:type="dxa"/>
            <w:vAlign w:val="bottom"/>
            <w:tcBorders>
              <w:bottom w:val="single" w:sz="8" w:color="CCCCCC"/>
              <w:right w:val="single" w:sz="8" w:color="3C5896"/>
            </w:tcBorders>
            <w:gridSpan w:val="2"/>
            <w:shd w:val="clear" w:color="auto" w:fill="CCCCCC"/>
          </w:tcPr>
          <w:p>
            <w:pPr>
              <w:jc w:val="right"/>
              <w:ind w:right="470"/>
              <w:spacing w:after="0"/>
              <w:rPr>
                <w:sz w:val="20"/>
                <w:szCs w:val="20"/>
                <w:color w:val="auto"/>
              </w:rPr>
            </w:pPr>
            <w:r>
              <w:rPr>
                <w:rFonts w:ascii="Arial" w:cs="Arial" w:eastAsia="Arial" w:hAnsi="Arial"/>
                <w:sz w:val="18"/>
                <w:szCs w:val="18"/>
                <w:b w:val="1"/>
                <w:bCs w:val="1"/>
                <w:color w:val="auto"/>
              </w:rPr>
              <w:t>91.22%</w:t>
            </w:r>
          </w:p>
        </w:tc>
      </w:tr>
      <w:tr>
        <w:trPr>
          <w:trHeight w:val="20"/>
        </w:trPr>
        <w:tc>
          <w:tcPr>
            <w:tcW w:w="462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27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820" w:type="dxa"/>
            <w:vAlign w:val="bottom"/>
            <w:tcBorders>
              <w:right w:val="single" w:sz="8" w:color="3C5896"/>
            </w:tcBorders>
            <w:shd w:val="clear" w:color="auto" w:fill="3C5896"/>
          </w:tcPr>
          <w:p>
            <w:pPr>
              <w:spacing w:after="0" w:line="20" w:lineRule="exact"/>
              <w:rPr>
                <w:sz w:val="1"/>
                <w:szCs w:val="1"/>
                <w:color w:val="auto"/>
              </w:rPr>
            </w:pPr>
          </w:p>
        </w:tc>
      </w:tr>
    </w:tbl>
    <w:p>
      <w:pPr>
        <w:spacing w:after="0" w:line="78" w:lineRule="exact"/>
        <w:rPr>
          <w:sz w:val="20"/>
          <w:szCs w:val="20"/>
          <w:color w:val="auto"/>
        </w:rPr>
      </w:pPr>
    </w:p>
    <w:p>
      <w:pPr>
        <w:ind w:left="1120" w:right="760" w:hanging="358"/>
        <w:spacing w:after="0" w:line="260"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See Appendix A to this proxy statement for an explanation of STIP Adjusted EBITDA and a reconciliation to the most directly comparable GAAP measure</w:t>
      </w:r>
    </w:p>
    <w:p>
      <w:pPr>
        <w:spacing w:after="0" w:line="74" w:lineRule="exact"/>
        <w:rPr>
          <w:sz w:val="20"/>
          <w:szCs w:val="20"/>
          <w:color w:val="auto"/>
        </w:rPr>
      </w:pPr>
    </w:p>
    <w:p>
      <w:pPr>
        <w:jc w:val="both"/>
        <w:ind w:left="760" w:right="780"/>
        <w:spacing w:after="0" w:line="246" w:lineRule="auto"/>
        <w:rPr>
          <w:sz w:val="20"/>
          <w:szCs w:val="20"/>
          <w:color w:val="auto"/>
        </w:rPr>
      </w:pPr>
      <w:r>
        <w:rPr>
          <w:rFonts w:ascii="Arial" w:cs="Arial" w:eastAsia="Arial" w:hAnsi="Arial"/>
          <w:sz w:val="18"/>
          <w:szCs w:val="18"/>
          <w:color w:val="auto"/>
        </w:rPr>
        <w:t>For performance percentages between the specified threshold, target, and maximum levels, payouts were interpolated on a straight-line basis.</w:t>
      </w:r>
    </w:p>
    <w:p>
      <w:pPr>
        <w:spacing w:after="0" w:line="75" w:lineRule="exact"/>
        <w:rPr>
          <w:sz w:val="20"/>
          <w:szCs w:val="20"/>
          <w:color w:val="auto"/>
        </w:rPr>
      </w:pPr>
    </w:p>
    <w:p>
      <w:pPr>
        <w:jc w:val="both"/>
        <w:ind w:left="760" w:right="760"/>
        <w:spacing w:after="0" w:line="246" w:lineRule="auto"/>
        <w:rPr>
          <w:sz w:val="20"/>
          <w:szCs w:val="20"/>
          <w:color w:val="auto"/>
        </w:rPr>
      </w:pPr>
      <w:r>
        <w:rPr>
          <w:rFonts w:ascii="Arial" w:cs="Arial" w:eastAsia="Arial" w:hAnsi="Arial"/>
          <w:sz w:val="18"/>
          <w:szCs w:val="18"/>
          <w:color w:val="auto"/>
        </w:rPr>
        <w:t>For fiscal 2020, the Company’s STIP Adjusted EBITDA achieved was $230.5 million, resulting in a formulaic payout percentage of 91.22%.</w:t>
      </w:r>
    </w:p>
    <w:p>
      <w:pPr>
        <w:spacing w:after="0" w:line="89" w:lineRule="exact"/>
        <w:rPr>
          <w:sz w:val="20"/>
          <w:szCs w:val="20"/>
          <w:color w:val="auto"/>
        </w:rPr>
      </w:pPr>
    </w:p>
    <w:p>
      <w:pPr>
        <w:jc w:val="both"/>
        <w:ind w:left="760" w:right="760"/>
        <w:spacing w:after="0" w:line="236" w:lineRule="auto"/>
        <w:rPr>
          <w:sz w:val="20"/>
          <w:szCs w:val="20"/>
          <w:color w:val="auto"/>
        </w:rPr>
      </w:pPr>
      <w:r>
        <w:rPr>
          <w:rFonts w:ascii="Arial" w:cs="Arial" w:eastAsia="Arial" w:hAnsi="Arial"/>
          <w:sz w:val="18"/>
          <w:szCs w:val="18"/>
          <w:color w:val="auto"/>
        </w:rPr>
        <w:t>Pursuant to the STIP, the compensation committee has the ability to exercise positive or negative discretion and award a greater or lesser amount to our NEOs than the amount determined by the scale above if it determines that circumstances so warrant. The committee took into account the Company’s performance during an unprecedented and challenging year, especially the strong performance following the temporary store closures which were reflected in third quarter and fourth quarter 2020 results. As part of those considerations, the compensation committee used discretion to increase the incentive payout of STIP for executive officers by 8.78% to equal payment at 100% of STIP target. A discretionary bonus to provide a target STIP payout was also made to all eligible non-executive officer associates.</w:t>
      </w:r>
    </w:p>
    <w:p>
      <w:pPr>
        <w:spacing w:after="0" w:line="100" w:lineRule="exact"/>
        <w:rPr>
          <w:sz w:val="20"/>
          <w:szCs w:val="20"/>
          <w:color w:val="auto"/>
        </w:rPr>
      </w:pPr>
    </w:p>
    <w:p>
      <w:pPr>
        <w:jc w:val="both"/>
        <w:ind w:left="760" w:right="760"/>
        <w:spacing w:after="0" w:line="238" w:lineRule="auto"/>
        <w:rPr>
          <w:sz w:val="20"/>
          <w:szCs w:val="20"/>
          <w:color w:val="auto"/>
        </w:rPr>
      </w:pPr>
      <w:r>
        <w:rPr>
          <w:rFonts w:ascii="Arial" w:cs="Arial" w:eastAsia="Arial" w:hAnsi="Arial"/>
          <w:sz w:val="18"/>
          <w:szCs w:val="18"/>
          <w:color w:val="auto"/>
        </w:rPr>
        <w:t>The NEOs earned STIP awards for fiscal 2020 as follows, which are included in the “Non-Equity Incentive Plan Compensation” column of the “Summary Compensation Table” later in this proxy statement. The discretionary bonus payments are outlined in the STIP awards table below and are included in the “Bonus” column of the “Summary Compensation Table” later in this proxy statement.</w:t>
      </w:r>
    </w:p>
    <w:p>
      <w:pPr>
        <w:spacing w:after="0" w:line="118"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2220" w:type="dxa"/>
            <w:vAlign w:val="bottom"/>
            <w:tcBorders>
              <w:top w:val="single" w:sz="8" w:color="3C5896"/>
              <w:left w:val="single" w:sz="8" w:color="3C5896"/>
              <w:right w:val="single" w:sz="8" w:color="9EACCA"/>
            </w:tcBorders>
            <w:shd w:val="clear" w:color="auto" w:fill="3C5896"/>
          </w:tcPr>
          <w:p>
            <w:pPr>
              <w:spacing w:after="0"/>
              <w:rPr>
                <w:sz w:val="18"/>
                <w:szCs w:val="18"/>
                <w:color w:val="auto"/>
              </w:rPr>
            </w:pPr>
          </w:p>
        </w:tc>
        <w:tc>
          <w:tcPr>
            <w:tcW w:w="90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2020</w:t>
            </w:r>
          </w:p>
        </w:tc>
        <w:tc>
          <w:tcPr>
            <w:tcW w:w="112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7"/>
              </w:rPr>
              <w:t>Target STIP</w:t>
            </w:r>
          </w:p>
        </w:tc>
        <w:tc>
          <w:tcPr>
            <w:tcW w:w="1280" w:type="dxa"/>
            <w:vAlign w:val="bottom"/>
            <w:tcBorders>
              <w:top w:val="single" w:sz="8" w:color="3C5896"/>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Achievement</w:t>
            </w:r>
          </w:p>
        </w:tc>
        <w:tc>
          <w:tcPr>
            <w:tcW w:w="126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Discretionary</w:t>
            </w:r>
          </w:p>
        </w:tc>
        <w:tc>
          <w:tcPr>
            <w:tcW w:w="1540" w:type="dxa"/>
            <w:vAlign w:val="bottom"/>
            <w:tcBorders>
              <w:top w:val="single" w:sz="8" w:color="3C5896"/>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Final</w:t>
            </w:r>
          </w:p>
        </w:tc>
        <w:tc>
          <w:tcPr>
            <w:tcW w:w="40" w:type="dxa"/>
            <w:vAlign w:val="bottom"/>
            <w:tcBorders>
              <w:top w:val="single" w:sz="8" w:color="3C5896"/>
            </w:tcBorders>
            <w:shd w:val="clear" w:color="auto" w:fill="3C5896"/>
          </w:tcPr>
          <w:p>
            <w:pPr>
              <w:spacing w:after="0"/>
              <w:rPr>
                <w:sz w:val="18"/>
                <w:szCs w:val="18"/>
                <w:color w:val="auto"/>
              </w:rPr>
            </w:pPr>
          </w:p>
        </w:tc>
        <w:tc>
          <w:tcPr>
            <w:tcW w:w="840" w:type="dxa"/>
            <w:vAlign w:val="bottom"/>
            <w:tcBorders>
              <w:top w:val="single" w:sz="8" w:color="3C5896"/>
              <w:right w:val="single" w:sz="8" w:color="3C5896"/>
            </w:tcBorders>
            <w:vMerge w:val="restart"/>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9"/>
              </w:rPr>
              <w:t>Final</w:t>
            </w:r>
          </w:p>
        </w:tc>
        <w:tc>
          <w:tcPr>
            <w:tcW w:w="0" w:type="dxa"/>
            <w:vAlign w:val="bottom"/>
          </w:tcPr>
          <w:p>
            <w:pPr>
              <w:spacing w:after="0"/>
              <w:rPr>
                <w:sz w:val="1"/>
                <w:szCs w:val="1"/>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rPr>
              <w:t>Base</w:t>
            </w:r>
          </w:p>
        </w:tc>
        <w:tc>
          <w:tcPr>
            <w:tcW w:w="112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(as a</w:t>
            </w:r>
          </w:p>
        </w:tc>
        <w:tc>
          <w:tcPr>
            <w:tcW w:w="1280" w:type="dxa"/>
            <w:vAlign w:val="bottom"/>
            <w:tcBorders>
              <w:right w:val="single" w:sz="8" w:color="9EACCA"/>
            </w:tcBorders>
            <w:vMerge w:val="continue"/>
            <w:shd w:val="clear" w:color="auto" w:fill="3C5896"/>
          </w:tcPr>
          <w:p>
            <w:pPr>
              <w:spacing w:after="0"/>
              <w:rPr>
                <w:sz w:val="16"/>
                <w:szCs w:val="16"/>
                <w:color w:val="auto"/>
              </w:rPr>
            </w:pPr>
          </w:p>
        </w:tc>
        <w:tc>
          <w:tcPr>
            <w:tcW w:w="12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Bonus (as a</w:t>
            </w:r>
          </w:p>
        </w:tc>
        <w:tc>
          <w:tcPr>
            <w:tcW w:w="154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840" w:type="dxa"/>
            <w:vAlign w:val="bottom"/>
            <w:tcBorders>
              <w:right w:val="single" w:sz="8" w:color="3C5896"/>
            </w:tcBorders>
            <w:vMerge w:val="continue"/>
            <w:shd w:val="clear" w:color="auto" w:fill="3C589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Borders>
              <w:left w:val="single" w:sz="8" w:color="3C5896"/>
              <w:right w:val="single" w:sz="8" w:color="9EACCA"/>
            </w:tcBorders>
            <w:shd w:val="clear" w:color="auto" w:fill="3C5896"/>
          </w:tcPr>
          <w:p>
            <w:pPr>
              <w:spacing w:after="0"/>
              <w:rPr>
                <w:sz w:val="16"/>
                <w:szCs w:val="16"/>
                <w:color w:val="auto"/>
              </w:rPr>
            </w:pPr>
          </w:p>
        </w:tc>
        <w:tc>
          <w:tcPr>
            <w:tcW w:w="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Salary as</w:t>
            </w:r>
          </w:p>
        </w:tc>
        <w:tc>
          <w:tcPr>
            <w:tcW w:w="112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Percentage</w:t>
            </w:r>
          </w:p>
        </w:tc>
        <w:tc>
          <w:tcPr>
            <w:tcW w:w="128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Factor as a</w:t>
            </w:r>
          </w:p>
        </w:tc>
        <w:tc>
          <w:tcPr>
            <w:tcW w:w="12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Percentage</w:t>
            </w:r>
          </w:p>
        </w:tc>
        <w:tc>
          <w:tcPr>
            <w:tcW w:w="15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STIP Payout</w:t>
            </w:r>
          </w:p>
        </w:tc>
        <w:tc>
          <w:tcPr>
            <w:tcW w:w="40" w:type="dxa"/>
            <w:vAlign w:val="bottom"/>
            <w:shd w:val="clear" w:color="auto" w:fill="3C5896"/>
          </w:tcPr>
          <w:p>
            <w:pPr>
              <w:spacing w:after="0"/>
              <w:rPr>
                <w:sz w:val="16"/>
                <w:szCs w:val="16"/>
                <w:color w:val="auto"/>
              </w:rPr>
            </w:pPr>
          </w:p>
        </w:tc>
        <w:tc>
          <w:tcPr>
            <w:tcW w:w="84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STIP</w:t>
            </w:r>
          </w:p>
        </w:tc>
        <w:tc>
          <w:tcPr>
            <w:tcW w:w="0" w:type="dxa"/>
            <w:vAlign w:val="bottom"/>
          </w:tcPr>
          <w:p>
            <w:pPr>
              <w:spacing w:after="0"/>
              <w:rPr>
                <w:sz w:val="1"/>
                <w:szCs w:val="1"/>
                <w:color w:val="auto"/>
              </w:rPr>
            </w:pPr>
          </w:p>
        </w:tc>
      </w:tr>
      <w:tr>
        <w:trPr>
          <w:trHeight w:val="189"/>
        </w:trPr>
        <w:tc>
          <w:tcPr>
            <w:tcW w:w="2220" w:type="dxa"/>
            <w:vAlign w:val="bottom"/>
            <w:tcBorders>
              <w:left w:val="single" w:sz="8" w:color="3C5896"/>
              <w:right w:val="single" w:sz="8" w:color="9EACCA"/>
            </w:tcBorders>
            <w:vMerge w:val="restart"/>
            <w:shd w:val="clear" w:color="auto" w:fill="3C5896"/>
          </w:tcPr>
          <w:p>
            <w:pPr>
              <w:ind w:left="40"/>
              <w:spacing w:after="0"/>
              <w:rPr>
                <w:sz w:val="20"/>
                <w:szCs w:val="20"/>
                <w:color w:val="auto"/>
              </w:rPr>
            </w:pPr>
            <w:r>
              <w:rPr>
                <w:rFonts w:ascii="Arial" w:cs="Arial" w:eastAsia="Arial" w:hAnsi="Arial"/>
                <w:sz w:val="18"/>
                <w:szCs w:val="18"/>
                <w:b w:val="1"/>
                <w:bCs w:val="1"/>
                <w:color w:val="FFFFFF"/>
              </w:rPr>
              <w:t>Named Executive Officer</w:t>
            </w:r>
          </w:p>
        </w:tc>
        <w:tc>
          <w:tcPr>
            <w:tcW w:w="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of July 5,</w:t>
            </w:r>
          </w:p>
        </w:tc>
        <w:tc>
          <w:tcPr>
            <w:tcW w:w="112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of Base</w:t>
            </w:r>
          </w:p>
        </w:tc>
        <w:tc>
          <w:tcPr>
            <w:tcW w:w="128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Percentage of</w:t>
            </w:r>
          </w:p>
        </w:tc>
        <w:tc>
          <w:tcPr>
            <w:tcW w:w="12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of Base</w:t>
            </w:r>
          </w:p>
        </w:tc>
        <w:tc>
          <w:tcPr>
            <w:tcW w:w="15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(as a percentage</w:t>
            </w:r>
          </w:p>
        </w:tc>
        <w:tc>
          <w:tcPr>
            <w:tcW w:w="40" w:type="dxa"/>
            <w:vAlign w:val="bottom"/>
            <w:shd w:val="clear" w:color="auto" w:fill="3C5896"/>
          </w:tcPr>
          <w:p>
            <w:pPr>
              <w:spacing w:after="0"/>
              <w:rPr>
                <w:sz w:val="16"/>
                <w:szCs w:val="16"/>
                <w:color w:val="auto"/>
              </w:rPr>
            </w:pPr>
          </w:p>
        </w:tc>
        <w:tc>
          <w:tcPr>
            <w:tcW w:w="84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256"/>
        </w:trPr>
        <w:tc>
          <w:tcPr>
            <w:tcW w:w="2220" w:type="dxa"/>
            <w:vAlign w:val="bottom"/>
            <w:tcBorders>
              <w:left w:val="single" w:sz="8" w:color="3C5896"/>
              <w:right w:val="single" w:sz="8" w:color="9EACCA"/>
            </w:tcBorders>
            <w:vMerge w:val="continue"/>
            <w:shd w:val="clear" w:color="auto" w:fill="3C5896"/>
          </w:tcPr>
          <w:p>
            <w:pPr>
              <w:spacing w:after="0"/>
              <w:rPr>
                <w:sz w:val="22"/>
                <w:szCs w:val="22"/>
                <w:color w:val="auto"/>
              </w:rPr>
            </w:pPr>
          </w:p>
        </w:tc>
        <w:tc>
          <w:tcPr>
            <w:tcW w:w="9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2020</w:t>
            </w:r>
          </w:p>
        </w:tc>
        <w:tc>
          <w:tcPr>
            <w:tcW w:w="11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6"/>
              </w:rPr>
              <w:t>Salary)</w:t>
            </w:r>
          </w:p>
        </w:tc>
        <w:tc>
          <w:tcPr>
            <w:tcW w:w="12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Base Salary</w:t>
            </w:r>
          </w:p>
        </w:tc>
        <w:tc>
          <w:tcPr>
            <w:tcW w:w="1260" w:type="dxa"/>
            <w:vAlign w:val="bottom"/>
            <w:tcBorders>
              <w:right w:val="single" w:sz="8" w:color="9EACCA"/>
            </w:tcBorders>
            <w:shd w:val="clear" w:color="auto" w:fill="3C5896"/>
          </w:tcPr>
          <w:p>
            <w:pPr>
              <w:jc w:val="center"/>
              <w:spacing w:after="0" w:line="256" w:lineRule="exact"/>
              <w:rPr>
                <w:sz w:val="20"/>
                <w:szCs w:val="20"/>
                <w:color w:val="auto"/>
              </w:rPr>
            </w:pPr>
            <w:r>
              <w:rPr>
                <w:rFonts w:ascii="Arial" w:cs="Arial" w:eastAsia="Arial" w:hAnsi="Arial"/>
                <w:sz w:val="18"/>
                <w:szCs w:val="18"/>
                <w:b w:val="1"/>
                <w:bCs w:val="1"/>
                <w:color w:val="FFFFFF"/>
                <w:w w:val="93"/>
              </w:rPr>
              <w:t>Salary)</w:t>
            </w:r>
            <w:r>
              <w:rPr>
                <w:rFonts w:ascii="Arial" w:cs="Arial" w:eastAsia="Arial" w:hAnsi="Arial"/>
                <w:sz w:val="26"/>
                <w:szCs w:val="26"/>
                <w:b w:val="1"/>
                <w:bCs w:val="1"/>
                <w:color w:val="FFFFFF"/>
                <w:w w:val="93"/>
                <w:vertAlign w:val="superscript"/>
              </w:rPr>
              <w:t>(1)</w:t>
            </w:r>
          </w:p>
        </w:tc>
        <w:tc>
          <w:tcPr>
            <w:tcW w:w="154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of Base Salary)</w:t>
            </w:r>
          </w:p>
        </w:tc>
        <w:tc>
          <w:tcPr>
            <w:tcW w:w="40" w:type="dxa"/>
            <w:vAlign w:val="bottom"/>
            <w:shd w:val="clear" w:color="auto" w:fill="3C5896"/>
          </w:tcPr>
          <w:p>
            <w:pPr>
              <w:spacing w:after="0"/>
              <w:rPr>
                <w:sz w:val="22"/>
                <w:szCs w:val="22"/>
                <w:color w:val="auto"/>
              </w:rPr>
            </w:pPr>
          </w:p>
        </w:tc>
        <w:tc>
          <w:tcPr>
            <w:tcW w:w="84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7"/>
              </w:rPr>
              <w:t>Amount</w:t>
            </w:r>
          </w:p>
        </w:tc>
        <w:tc>
          <w:tcPr>
            <w:tcW w:w="0" w:type="dxa"/>
            <w:vAlign w:val="bottom"/>
          </w:tcPr>
          <w:p>
            <w:pPr>
              <w:spacing w:after="0"/>
              <w:rPr>
                <w:sz w:val="1"/>
                <w:szCs w:val="1"/>
                <w:color w:val="auto"/>
              </w:rPr>
            </w:pPr>
          </w:p>
        </w:tc>
      </w:tr>
      <w:tr>
        <w:trPr>
          <w:trHeight w:val="250"/>
        </w:trPr>
        <w:tc>
          <w:tcPr>
            <w:tcW w:w="22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8"/>
                <w:szCs w:val="18"/>
                <w:color w:val="auto"/>
              </w:rPr>
              <w:t>L. Reade Fahs</w:t>
            </w:r>
          </w:p>
        </w:tc>
        <w:tc>
          <w:tcPr>
            <w:tcW w:w="9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$955,000</w:t>
            </w:r>
          </w:p>
        </w:tc>
        <w:tc>
          <w:tcPr>
            <w:tcW w:w="1120" w:type="dxa"/>
            <w:vAlign w:val="bottom"/>
            <w:tcBorders>
              <w:right w:val="single" w:sz="8" w:color="9EACCA"/>
            </w:tcBorders>
          </w:tcPr>
          <w:p>
            <w:pPr>
              <w:jc w:val="right"/>
              <w:ind w:right="190"/>
              <w:spacing w:after="0"/>
              <w:rPr>
                <w:sz w:val="20"/>
                <w:szCs w:val="20"/>
                <w:color w:val="auto"/>
              </w:rPr>
            </w:pPr>
            <w:r>
              <w:rPr>
                <w:rFonts w:ascii="Arial" w:cs="Arial" w:eastAsia="Arial" w:hAnsi="Arial"/>
                <w:sz w:val="18"/>
                <w:szCs w:val="18"/>
                <w:color w:val="auto"/>
              </w:rPr>
              <w:t>100%</w:t>
            </w:r>
          </w:p>
        </w:tc>
        <w:tc>
          <w:tcPr>
            <w:tcW w:w="1280" w:type="dxa"/>
            <w:vAlign w:val="bottom"/>
            <w:tcBorders>
              <w:right w:val="single" w:sz="8" w:color="9EACCA"/>
            </w:tcBorders>
          </w:tcPr>
          <w:p>
            <w:pPr>
              <w:jc w:val="right"/>
              <w:ind w:right="170"/>
              <w:spacing w:after="0"/>
              <w:rPr>
                <w:sz w:val="20"/>
                <w:szCs w:val="20"/>
                <w:color w:val="auto"/>
              </w:rPr>
            </w:pPr>
            <w:r>
              <w:rPr>
                <w:rFonts w:ascii="Arial" w:cs="Arial" w:eastAsia="Arial" w:hAnsi="Arial"/>
                <w:sz w:val="18"/>
                <w:szCs w:val="18"/>
                <w:color w:val="auto"/>
              </w:rPr>
              <w:t>91.22%</w:t>
            </w:r>
          </w:p>
        </w:tc>
        <w:tc>
          <w:tcPr>
            <w:tcW w:w="1260" w:type="dxa"/>
            <w:vAlign w:val="bottom"/>
            <w:tcBorders>
              <w:right w:val="single" w:sz="8" w:color="9EACCA"/>
            </w:tcBorders>
          </w:tcPr>
          <w:p>
            <w:pPr>
              <w:jc w:val="right"/>
              <w:ind w:right="230"/>
              <w:spacing w:after="0"/>
              <w:rPr>
                <w:sz w:val="20"/>
                <w:szCs w:val="20"/>
                <w:color w:val="auto"/>
              </w:rPr>
            </w:pPr>
            <w:r>
              <w:rPr>
                <w:rFonts w:ascii="Arial" w:cs="Arial" w:eastAsia="Arial" w:hAnsi="Arial"/>
                <w:sz w:val="18"/>
                <w:szCs w:val="18"/>
                <w:color w:val="auto"/>
              </w:rPr>
              <w:t>8.78%</w:t>
            </w:r>
          </w:p>
        </w:tc>
        <w:tc>
          <w:tcPr>
            <w:tcW w:w="154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rPr>
              <w:t>100%</w:t>
            </w:r>
          </w:p>
        </w:tc>
        <w:tc>
          <w:tcPr>
            <w:tcW w:w="880" w:type="dxa"/>
            <w:vAlign w:val="bottom"/>
            <w:tcBorders>
              <w:right w:val="single" w:sz="8" w:color="3C5896"/>
            </w:tcBorders>
            <w:gridSpan w:val="2"/>
          </w:tcPr>
          <w:p>
            <w:pPr>
              <w:jc w:val="center"/>
              <w:spacing w:after="0"/>
              <w:rPr>
                <w:sz w:val="20"/>
                <w:szCs w:val="20"/>
                <w:color w:val="auto"/>
              </w:rPr>
            </w:pPr>
            <w:r>
              <w:rPr>
                <w:rFonts w:ascii="Arial" w:cs="Arial" w:eastAsia="Arial" w:hAnsi="Arial"/>
                <w:sz w:val="18"/>
                <w:szCs w:val="18"/>
                <w:color w:val="auto"/>
              </w:rPr>
              <w:t>$955,000</w:t>
            </w:r>
          </w:p>
        </w:tc>
        <w:tc>
          <w:tcPr>
            <w:tcW w:w="0" w:type="dxa"/>
            <w:vAlign w:val="bottom"/>
          </w:tcPr>
          <w:p>
            <w:pPr>
              <w:spacing w:after="0"/>
              <w:rPr>
                <w:sz w:val="1"/>
                <w:szCs w:val="1"/>
                <w:color w:val="auto"/>
              </w:rPr>
            </w:pPr>
          </w:p>
        </w:tc>
      </w:tr>
      <w:tr>
        <w:trPr>
          <w:trHeight w:val="263"/>
        </w:trPr>
        <w:tc>
          <w:tcPr>
            <w:tcW w:w="22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8"/>
                <w:szCs w:val="18"/>
                <w:color w:val="auto"/>
              </w:rPr>
              <w:t>Patrick R. Moore</w:t>
            </w:r>
          </w:p>
        </w:tc>
        <w:tc>
          <w:tcPr>
            <w:tcW w:w="9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highlight w:val="lightGray"/>
              </w:rPr>
              <w:t>$500,000</w:t>
            </w:r>
          </w:p>
        </w:tc>
        <w:tc>
          <w:tcPr>
            <w:tcW w:w="1120" w:type="dxa"/>
            <w:vAlign w:val="bottom"/>
            <w:tcBorders>
              <w:right w:val="single" w:sz="8" w:color="9EACCA"/>
            </w:tcBorders>
            <w:shd w:val="clear" w:color="auto" w:fill="CCCCCC"/>
          </w:tcPr>
          <w:p>
            <w:pPr>
              <w:jc w:val="right"/>
              <w:ind w:right="190"/>
              <w:spacing w:after="0"/>
              <w:rPr>
                <w:sz w:val="20"/>
                <w:szCs w:val="20"/>
                <w:color w:val="auto"/>
              </w:rPr>
            </w:pPr>
            <w:r>
              <w:rPr>
                <w:rFonts w:ascii="Arial" w:cs="Arial" w:eastAsia="Arial" w:hAnsi="Arial"/>
                <w:sz w:val="18"/>
                <w:szCs w:val="18"/>
                <w:color w:val="auto"/>
              </w:rPr>
              <w:t>65%</w:t>
            </w:r>
          </w:p>
        </w:tc>
        <w:tc>
          <w:tcPr>
            <w:tcW w:w="1280" w:type="dxa"/>
            <w:vAlign w:val="bottom"/>
            <w:tcBorders>
              <w:right w:val="single" w:sz="8" w:color="9EACCA"/>
            </w:tcBorders>
            <w:shd w:val="clear" w:color="auto" w:fill="CCCCCC"/>
          </w:tcPr>
          <w:p>
            <w:pPr>
              <w:jc w:val="right"/>
              <w:ind w:right="170"/>
              <w:spacing w:after="0"/>
              <w:rPr>
                <w:sz w:val="20"/>
                <w:szCs w:val="20"/>
                <w:color w:val="auto"/>
              </w:rPr>
            </w:pPr>
            <w:r>
              <w:rPr>
                <w:rFonts w:ascii="Arial" w:cs="Arial" w:eastAsia="Arial" w:hAnsi="Arial"/>
                <w:sz w:val="18"/>
                <w:szCs w:val="18"/>
                <w:color w:val="auto"/>
              </w:rPr>
              <w:t>59.29%</w:t>
            </w:r>
          </w:p>
        </w:tc>
        <w:tc>
          <w:tcPr>
            <w:tcW w:w="1260" w:type="dxa"/>
            <w:vAlign w:val="bottom"/>
            <w:tcBorders>
              <w:right w:val="single" w:sz="8" w:color="9EACCA"/>
            </w:tcBorders>
            <w:shd w:val="clear" w:color="auto" w:fill="CCCCCC"/>
          </w:tcPr>
          <w:p>
            <w:pPr>
              <w:jc w:val="right"/>
              <w:ind w:right="230"/>
              <w:spacing w:after="0"/>
              <w:rPr>
                <w:sz w:val="20"/>
                <w:szCs w:val="20"/>
                <w:color w:val="auto"/>
              </w:rPr>
            </w:pPr>
            <w:r>
              <w:rPr>
                <w:rFonts w:ascii="Arial" w:cs="Arial" w:eastAsia="Arial" w:hAnsi="Arial"/>
                <w:sz w:val="18"/>
                <w:szCs w:val="18"/>
                <w:color w:val="auto"/>
              </w:rPr>
              <w:t>5.71%</w:t>
            </w:r>
          </w:p>
        </w:tc>
        <w:tc>
          <w:tcPr>
            <w:tcW w:w="1540" w:type="dxa"/>
            <w:vAlign w:val="bottom"/>
            <w:tcBorders>
              <w:right w:val="single" w:sz="8" w:color="9EACCA"/>
            </w:tcBorders>
            <w:shd w:val="clear" w:color="auto" w:fill="CCCCCC"/>
          </w:tcPr>
          <w:p>
            <w:pPr>
              <w:jc w:val="right"/>
              <w:ind w:right="390"/>
              <w:spacing w:after="0"/>
              <w:rPr>
                <w:sz w:val="20"/>
                <w:szCs w:val="20"/>
                <w:color w:val="auto"/>
              </w:rPr>
            </w:pPr>
            <w:r>
              <w:rPr>
                <w:rFonts w:ascii="Arial" w:cs="Arial" w:eastAsia="Arial" w:hAnsi="Arial"/>
                <w:sz w:val="18"/>
                <w:szCs w:val="18"/>
                <w:color w:val="auto"/>
              </w:rPr>
              <w:t>65%</w:t>
            </w:r>
          </w:p>
        </w:tc>
        <w:tc>
          <w:tcPr>
            <w:tcW w:w="880" w:type="dxa"/>
            <w:vAlign w:val="bottom"/>
            <w:tcBorders>
              <w:right w:val="single" w:sz="8" w:color="3C5896"/>
            </w:tcBorders>
            <w:gridSpan w:val="2"/>
            <w:shd w:val="clear" w:color="auto" w:fill="CCCCCC"/>
          </w:tcPr>
          <w:p>
            <w:pPr>
              <w:jc w:val="center"/>
              <w:spacing w:after="0"/>
              <w:rPr>
                <w:sz w:val="20"/>
                <w:szCs w:val="20"/>
                <w:color w:val="auto"/>
              </w:rPr>
            </w:pPr>
            <w:r>
              <w:rPr>
                <w:rFonts w:ascii="Arial" w:cs="Arial" w:eastAsia="Arial" w:hAnsi="Arial"/>
                <w:sz w:val="18"/>
                <w:szCs w:val="18"/>
                <w:color w:val="auto"/>
                <w:highlight w:val="lightGray"/>
              </w:rPr>
              <w:t>$325,000</w:t>
            </w:r>
          </w:p>
        </w:tc>
        <w:tc>
          <w:tcPr>
            <w:tcW w:w="0" w:type="dxa"/>
            <w:vAlign w:val="bottom"/>
          </w:tcPr>
          <w:p>
            <w:pPr>
              <w:spacing w:after="0"/>
              <w:rPr>
                <w:sz w:val="1"/>
                <w:szCs w:val="1"/>
                <w:color w:val="auto"/>
              </w:rPr>
            </w:pPr>
          </w:p>
        </w:tc>
      </w:tr>
      <w:tr>
        <w:trPr>
          <w:trHeight w:val="250"/>
        </w:trPr>
        <w:tc>
          <w:tcPr>
            <w:tcW w:w="22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8"/>
                <w:szCs w:val="18"/>
                <w:color w:val="auto"/>
              </w:rPr>
              <w:t>Bill Clark</w:t>
            </w:r>
          </w:p>
        </w:tc>
        <w:tc>
          <w:tcPr>
            <w:tcW w:w="9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$350,000</w:t>
            </w:r>
          </w:p>
        </w:tc>
        <w:tc>
          <w:tcPr>
            <w:tcW w:w="1120" w:type="dxa"/>
            <w:vAlign w:val="bottom"/>
            <w:tcBorders>
              <w:right w:val="single" w:sz="8" w:color="9EACCA"/>
            </w:tcBorders>
          </w:tcPr>
          <w:p>
            <w:pPr>
              <w:jc w:val="right"/>
              <w:ind w:right="190"/>
              <w:spacing w:after="0"/>
              <w:rPr>
                <w:sz w:val="20"/>
                <w:szCs w:val="20"/>
                <w:color w:val="auto"/>
              </w:rPr>
            </w:pPr>
            <w:r>
              <w:rPr>
                <w:rFonts w:ascii="Arial" w:cs="Arial" w:eastAsia="Arial" w:hAnsi="Arial"/>
                <w:sz w:val="18"/>
                <w:szCs w:val="18"/>
                <w:color w:val="auto"/>
              </w:rPr>
              <w:t>50%</w:t>
            </w:r>
          </w:p>
        </w:tc>
        <w:tc>
          <w:tcPr>
            <w:tcW w:w="1280" w:type="dxa"/>
            <w:vAlign w:val="bottom"/>
            <w:tcBorders>
              <w:right w:val="single" w:sz="8" w:color="9EACCA"/>
            </w:tcBorders>
          </w:tcPr>
          <w:p>
            <w:pPr>
              <w:jc w:val="right"/>
              <w:ind w:right="170"/>
              <w:spacing w:after="0"/>
              <w:rPr>
                <w:sz w:val="20"/>
                <w:szCs w:val="20"/>
                <w:color w:val="auto"/>
              </w:rPr>
            </w:pPr>
            <w:r>
              <w:rPr>
                <w:rFonts w:ascii="Arial" w:cs="Arial" w:eastAsia="Arial" w:hAnsi="Arial"/>
                <w:sz w:val="18"/>
                <w:szCs w:val="18"/>
                <w:color w:val="auto"/>
              </w:rPr>
              <w:t>45.61%</w:t>
            </w:r>
          </w:p>
        </w:tc>
        <w:tc>
          <w:tcPr>
            <w:tcW w:w="1260" w:type="dxa"/>
            <w:vAlign w:val="bottom"/>
            <w:tcBorders>
              <w:right w:val="single" w:sz="8" w:color="9EACCA"/>
            </w:tcBorders>
          </w:tcPr>
          <w:p>
            <w:pPr>
              <w:jc w:val="right"/>
              <w:ind w:right="230"/>
              <w:spacing w:after="0"/>
              <w:rPr>
                <w:sz w:val="20"/>
                <w:szCs w:val="20"/>
                <w:color w:val="auto"/>
              </w:rPr>
            </w:pPr>
            <w:r>
              <w:rPr>
                <w:rFonts w:ascii="Arial" w:cs="Arial" w:eastAsia="Arial" w:hAnsi="Arial"/>
                <w:sz w:val="18"/>
                <w:szCs w:val="18"/>
                <w:color w:val="auto"/>
              </w:rPr>
              <w:t>4.39%</w:t>
            </w:r>
          </w:p>
        </w:tc>
        <w:tc>
          <w:tcPr>
            <w:tcW w:w="154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rPr>
              <w:t>50%</w:t>
            </w:r>
          </w:p>
        </w:tc>
        <w:tc>
          <w:tcPr>
            <w:tcW w:w="880" w:type="dxa"/>
            <w:vAlign w:val="bottom"/>
            <w:tcBorders>
              <w:right w:val="single" w:sz="8" w:color="3C5896"/>
            </w:tcBorders>
            <w:gridSpan w:val="2"/>
          </w:tcPr>
          <w:p>
            <w:pPr>
              <w:jc w:val="center"/>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63"/>
        </w:trPr>
        <w:tc>
          <w:tcPr>
            <w:tcW w:w="222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8"/>
                <w:szCs w:val="18"/>
                <w:color w:val="auto"/>
              </w:rPr>
              <w:t>Jared Brandman</w:t>
            </w:r>
          </w:p>
        </w:tc>
        <w:tc>
          <w:tcPr>
            <w:tcW w:w="9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8"/>
                <w:szCs w:val="18"/>
                <w:color w:val="auto"/>
                <w:highlight w:val="lightGray"/>
              </w:rPr>
              <w:t>$350,000</w:t>
            </w:r>
          </w:p>
        </w:tc>
        <w:tc>
          <w:tcPr>
            <w:tcW w:w="1120" w:type="dxa"/>
            <w:vAlign w:val="bottom"/>
            <w:tcBorders>
              <w:right w:val="single" w:sz="8" w:color="9EACCA"/>
            </w:tcBorders>
            <w:shd w:val="clear" w:color="auto" w:fill="CCCCCC"/>
          </w:tcPr>
          <w:p>
            <w:pPr>
              <w:jc w:val="right"/>
              <w:ind w:right="190"/>
              <w:spacing w:after="0"/>
              <w:rPr>
                <w:sz w:val="20"/>
                <w:szCs w:val="20"/>
                <w:color w:val="auto"/>
              </w:rPr>
            </w:pPr>
            <w:r>
              <w:rPr>
                <w:rFonts w:ascii="Arial" w:cs="Arial" w:eastAsia="Arial" w:hAnsi="Arial"/>
                <w:sz w:val="18"/>
                <w:szCs w:val="18"/>
                <w:color w:val="auto"/>
              </w:rPr>
              <w:t>50%</w:t>
            </w:r>
          </w:p>
        </w:tc>
        <w:tc>
          <w:tcPr>
            <w:tcW w:w="1280" w:type="dxa"/>
            <w:vAlign w:val="bottom"/>
            <w:tcBorders>
              <w:right w:val="single" w:sz="8" w:color="9EACCA"/>
            </w:tcBorders>
            <w:shd w:val="clear" w:color="auto" w:fill="CCCCCC"/>
          </w:tcPr>
          <w:p>
            <w:pPr>
              <w:jc w:val="right"/>
              <w:ind w:right="170"/>
              <w:spacing w:after="0"/>
              <w:rPr>
                <w:sz w:val="20"/>
                <w:szCs w:val="20"/>
                <w:color w:val="auto"/>
              </w:rPr>
            </w:pPr>
            <w:r>
              <w:rPr>
                <w:rFonts w:ascii="Arial" w:cs="Arial" w:eastAsia="Arial" w:hAnsi="Arial"/>
                <w:sz w:val="18"/>
                <w:szCs w:val="18"/>
                <w:color w:val="auto"/>
              </w:rPr>
              <w:t>45.61%</w:t>
            </w:r>
          </w:p>
        </w:tc>
        <w:tc>
          <w:tcPr>
            <w:tcW w:w="1260" w:type="dxa"/>
            <w:vAlign w:val="bottom"/>
            <w:tcBorders>
              <w:right w:val="single" w:sz="8" w:color="9EACCA"/>
            </w:tcBorders>
            <w:shd w:val="clear" w:color="auto" w:fill="CCCCCC"/>
          </w:tcPr>
          <w:p>
            <w:pPr>
              <w:jc w:val="right"/>
              <w:ind w:right="230"/>
              <w:spacing w:after="0"/>
              <w:rPr>
                <w:sz w:val="20"/>
                <w:szCs w:val="20"/>
                <w:color w:val="auto"/>
              </w:rPr>
            </w:pPr>
            <w:r>
              <w:rPr>
                <w:rFonts w:ascii="Arial" w:cs="Arial" w:eastAsia="Arial" w:hAnsi="Arial"/>
                <w:sz w:val="18"/>
                <w:szCs w:val="18"/>
                <w:color w:val="auto"/>
              </w:rPr>
              <w:t>4.39%</w:t>
            </w:r>
          </w:p>
        </w:tc>
        <w:tc>
          <w:tcPr>
            <w:tcW w:w="1540" w:type="dxa"/>
            <w:vAlign w:val="bottom"/>
            <w:tcBorders>
              <w:right w:val="single" w:sz="8" w:color="9EACCA"/>
            </w:tcBorders>
            <w:shd w:val="clear" w:color="auto" w:fill="CCCCCC"/>
          </w:tcPr>
          <w:p>
            <w:pPr>
              <w:jc w:val="right"/>
              <w:ind w:right="390"/>
              <w:spacing w:after="0"/>
              <w:rPr>
                <w:sz w:val="20"/>
                <w:szCs w:val="20"/>
                <w:color w:val="auto"/>
              </w:rPr>
            </w:pPr>
            <w:r>
              <w:rPr>
                <w:rFonts w:ascii="Arial" w:cs="Arial" w:eastAsia="Arial" w:hAnsi="Arial"/>
                <w:sz w:val="18"/>
                <w:szCs w:val="18"/>
                <w:color w:val="auto"/>
              </w:rPr>
              <w:t>50%</w:t>
            </w:r>
          </w:p>
        </w:tc>
        <w:tc>
          <w:tcPr>
            <w:tcW w:w="880" w:type="dxa"/>
            <w:vAlign w:val="bottom"/>
            <w:tcBorders>
              <w:right w:val="single" w:sz="8" w:color="3C5896"/>
            </w:tcBorders>
            <w:gridSpan w:val="2"/>
            <w:shd w:val="clear" w:color="auto" w:fill="CCCCCC"/>
          </w:tcPr>
          <w:p>
            <w:pPr>
              <w:jc w:val="center"/>
              <w:spacing w:after="0"/>
              <w:rPr>
                <w:sz w:val="20"/>
                <w:szCs w:val="20"/>
                <w:color w:val="auto"/>
              </w:rPr>
            </w:pPr>
            <w:r>
              <w:rPr>
                <w:rFonts w:ascii="Arial" w:cs="Arial" w:eastAsia="Arial" w:hAnsi="Arial"/>
                <w:sz w:val="18"/>
                <w:szCs w:val="18"/>
                <w:color w:val="auto"/>
                <w:highlight w:val="lightGray"/>
              </w:rPr>
              <w:t>$175,000</w:t>
            </w:r>
          </w:p>
        </w:tc>
        <w:tc>
          <w:tcPr>
            <w:tcW w:w="0" w:type="dxa"/>
            <w:vAlign w:val="bottom"/>
          </w:tcPr>
          <w:p>
            <w:pPr>
              <w:spacing w:after="0"/>
              <w:rPr>
                <w:sz w:val="1"/>
                <w:szCs w:val="1"/>
                <w:color w:val="auto"/>
              </w:rPr>
            </w:pPr>
          </w:p>
        </w:tc>
      </w:tr>
      <w:tr>
        <w:trPr>
          <w:trHeight w:val="284"/>
        </w:trPr>
        <w:tc>
          <w:tcPr>
            <w:tcW w:w="222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8"/>
                <w:szCs w:val="18"/>
                <w:color w:val="auto"/>
              </w:rPr>
              <w:t>Joan Blackwood</w:t>
            </w:r>
          </w:p>
        </w:tc>
        <w:tc>
          <w:tcPr>
            <w:tcW w:w="900" w:type="dxa"/>
            <w:vAlign w:val="bottom"/>
            <w:tcBorders>
              <w:right w:val="single" w:sz="8" w:color="9EACCA"/>
            </w:tcBorders>
          </w:tcPr>
          <w:p>
            <w:pPr>
              <w:jc w:val="center"/>
              <w:spacing w:after="0"/>
              <w:rPr>
                <w:sz w:val="20"/>
                <w:szCs w:val="20"/>
                <w:color w:val="auto"/>
              </w:rPr>
            </w:pPr>
            <w:r>
              <w:rPr>
                <w:rFonts w:ascii="Arial" w:cs="Arial" w:eastAsia="Arial" w:hAnsi="Arial"/>
                <w:sz w:val="18"/>
                <w:szCs w:val="18"/>
                <w:color w:val="auto"/>
              </w:rPr>
              <w:t>$320,000</w:t>
            </w:r>
          </w:p>
        </w:tc>
        <w:tc>
          <w:tcPr>
            <w:tcW w:w="1120" w:type="dxa"/>
            <w:vAlign w:val="bottom"/>
            <w:tcBorders>
              <w:right w:val="single" w:sz="8" w:color="9EACCA"/>
            </w:tcBorders>
          </w:tcPr>
          <w:p>
            <w:pPr>
              <w:jc w:val="right"/>
              <w:ind w:right="190"/>
              <w:spacing w:after="0"/>
              <w:rPr>
                <w:sz w:val="20"/>
                <w:szCs w:val="20"/>
                <w:color w:val="auto"/>
              </w:rPr>
            </w:pPr>
            <w:r>
              <w:rPr>
                <w:rFonts w:ascii="Arial" w:cs="Arial" w:eastAsia="Arial" w:hAnsi="Arial"/>
                <w:sz w:val="18"/>
                <w:szCs w:val="18"/>
                <w:color w:val="auto"/>
              </w:rPr>
              <w:t>50%</w:t>
            </w:r>
          </w:p>
        </w:tc>
        <w:tc>
          <w:tcPr>
            <w:tcW w:w="1280" w:type="dxa"/>
            <w:vAlign w:val="bottom"/>
            <w:tcBorders>
              <w:right w:val="single" w:sz="8" w:color="9EACCA"/>
            </w:tcBorders>
          </w:tcPr>
          <w:p>
            <w:pPr>
              <w:jc w:val="right"/>
              <w:ind w:right="170"/>
              <w:spacing w:after="0"/>
              <w:rPr>
                <w:sz w:val="20"/>
                <w:szCs w:val="20"/>
                <w:color w:val="auto"/>
              </w:rPr>
            </w:pPr>
            <w:r>
              <w:rPr>
                <w:rFonts w:ascii="Arial" w:cs="Arial" w:eastAsia="Arial" w:hAnsi="Arial"/>
                <w:sz w:val="18"/>
                <w:szCs w:val="18"/>
                <w:color w:val="auto"/>
              </w:rPr>
              <w:t>45.61%</w:t>
            </w:r>
          </w:p>
        </w:tc>
        <w:tc>
          <w:tcPr>
            <w:tcW w:w="1260" w:type="dxa"/>
            <w:vAlign w:val="bottom"/>
            <w:tcBorders>
              <w:right w:val="single" w:sz="8" w:color="9EACCA"/>
            </w:tcBorders>
          </w:tcPr>
          <w:p>
            <w:pPr>
              <w:jc w:val="right"/>
              <w:ind w:right="230"/>
              <w:spacing w:after="0"/>
              <w:rPr>
                <w:sz w:val="20"/>
                <w:szCs w:val="20"/>
                <w:color w:val="auto"/>
              </w:rPr>
            </w:pPr>
            <w:r>
              <w:rPr>
                <w:rFonts w:ascii="Arial" w:cs="Arial" w:eastAsia="Arial" w:hAnsi="Arial"/>
                <w:sz w:val="18"/>
                <w:szCs w:val="18"/>
                <w:color w:val="auto"/>
              </w:rPr>
              <w:t>4.39%</w:t>
            </w:r>
          </w:p>
        </w:tc>
        <w:tc>
          <w:tcPr>
            <w:tcW w:w="154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rPr>
              <w:t>50%</w:t>
            </w:r>
          </w:p>
        </w:tc>
        <w:tc>
          <w:tcPr>
            <w:tcW w:w="880" w:type="dxa"/>
            <w:vAlign w:val="bottom"/>
            <w:tcBorders>
              <w:right w:val="single" w:sz="8" w:color="3C5896"/>
            </w:tcBorders>
            <w:gridSpan w:val="2"/>
          </w:tcPr>
          <w:p>
            <w:pPr>
              <w:jc w:val="center"/>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0"/>
        </w:trPr>
        <w:tc>
          <w:tcPr>
            <w:tcW w:w="222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900" w:type="dxa"/>
            <w:vAlign w:val="bottom"/>
            <w:tcBorders>
              <w:right w:val="single" w:sz="8" w:color="3C5896"/>
            </w:tcBorders>
            <w:shd w:val="clear" w:color="auto" w:fill="3C5896"/>
          </w:tcPr>
          <w:p>
            <w:pPr>
              <w:spacing w:after="0" w:line="20" w:lineRule="exact"/>
              <w:rPr>
                <w:sz w:val="1"/>
                <w:szCs w:val="1"/>
                <w:color w:val="auto"/>
              </w:rPr>
            </w:pPr>
          </w:p>
        </w:tc>
        <w:tc>
          <w:tcPr>
            <w:tcW w:w="1120" w:type="dxa"/>
            <w:vAlign w:val="bottom"/>
            <w:tcBorders>
              <w:right w:val="single" w:sz="8" w:color="3C5896"/>
            </w:tcBorders>
            <w:shd w:val="clear" w:color="auto" w:fill="3C5896"/>
          </w:tcPr>
          <w:p>
            <w:pPr>
              <w:spacing w:after="0" w:line="20" w:lineRule="exact"/>
              <w:rPr>
                <w:sz w:val="1"/>
                <w:szCs w:val="1"/>
                <w:color w:val="auto"/>
              </w:rPr>
            </w:pPr>
          </w:p>
        </w:tc>
        <w:tc>
          <w:tcPr>
            <w:tcW w:w="1280" w:type="dxa"/>
            <w:vAlign w:val="bottom"/>
            <w:tcBorders>
              <w:right w:val="single" w:sz="8" w:color="3C5896"/>
            </w:tcBorders>
            <w:shd w:val="clear" w:color="auto" w:fill="3C5896"/>
          </w:tcPr>
          <w:p>
            <w:pPr>
              <w:spacing w:after="0" w:line="20" w:lineRule="exact"/>
              <w:rPr>
                <w:sz w:val="1"/>
                <w:szCs w:val="1"/>
                <w:color w:val="auto"/>
              </w:rPr>
            </w:pPr>
          </w:p>
        </w:tc>
        <w:tc>
          <w:tcPr>
            <w:tcW w:w="1260" w:type="dxa"/>
            <w:vAlign w:val="bottom"/>
            <w:tcBorders>
              <w:right w:val="single" w:sz="8" w:color="3C5896"/>
            </w:tcBorders>
            <w:shd w:val="clear" w:color="auto" w:fill="3C5896"/>
          </w:tcPr>
          <w:p>
            <w:pPr>
              <w:spacing w:after="0" w:line="20" w:lineRule="exact"/>
              <w:rPr>
                <w:sz w:val="1"/>
                <w:szCs w:val="1"/>
                <w:color w:val="auto"/>
              </w:rPr>
            </w:pPr>
          </w:p>
        </w:tc>
        <w:tc>
          <w:tcPr>
            <w:tcW w:w="154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84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-839470</wp:posOffset>
            </wp:positionV>
            <wp:extent cx="58204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58" w:lineRule="exact"/>
        <w:rPr>
          <w:sz w:val="20"/>
          <w:szCs w:val="20"/>
          <w:color w:val="auto"/>
        </w:rPr>
      </w:pPr>
    </w:p>
    <w:p>
      <w:pPr>
        <w:ind w:left="1120" w:hanging="358"/>
        <w:spacing w:after="0"/>
        <w:tabs>
          <w:tab w:leader="none" w:pos="1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discretionary bonus noted above is disclosed in the Bonus column of the Summary Compensation Table.</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Long-Term Incentive Program</w:t>
      </w:r>
    </w:p>
    <w:p>
      <w:pPr>
        <w:spacing w:after="0" w:line="139" w:lineRule="exact"/>
        <w:rPr>
          <w:sz w:val="20"/>
          <w:szCs w:val="20"/>
          <w:color w:val="auto"/>
        </w:rPr>
      </w:pPr>
    </w:p>
    <w:p>
      <w:pPr>
        <w:ind w:left="760" w:right="760"/>
        <w:spacing w:after="0" w:line="246" w:lineRule="auto"/>
        <w:rPr>
          <w:sz w:val="20"/>
          <w:szCs w:val="20"/>
          <w:color w:val="auto"/>
        </w:rPr>
      </w:pPr>
      <w:r>
        <w:rPr>
          <w:rFonts w:ascii="Arial" w:cs="Arial" w:eastAsia="Arial" w:hAnsi="Arial"/>
          <w:sz w:val="18"/>
          <w:szCs w:val="18"/>
          <w:color w:val="auto"/>
        </w:rPr>
        <w:t>In connection with our IPO, our Board of Directors adopted, and our stockholders approved, the National Vision Holdings, Inc. 2017 Omnibus Incentive Plan (the “2017 Omnibus Plan”). The 2017 Omnibus Plan replaced the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202565</wp:posOffset>
            </wp:positionV>
            <wp:extent cx="300355" cy="2311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00355" cy="23114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37</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Stock Incentive Plan for Key Employees of Nautilus Parent, Inc. and its Subsidiaries (the “2014 Stock Plan,” and together with the 2017 Omnibus Plan, the “Equity Incentive Plans”). The purpose of our 2017 Omnibus Plan is to provide a means through which to attract and retain key personnel and to provide a means whereby our directors, officers, employees, consultants and advisors can acquire and maintain an equity interest in the Company, or be paid incentive compensation, including incentive compensation measured by reference to the value of our common stock, thereby strengthening their commitment to the Company’s long-term success and aligning their interests with those of our stockholders.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2020 LTIP Awards</w:t>
      </w:r>
    </w:p>
    <w:p>
      <w:pPr>
        <w:spacing w:after="0" w:line="135"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In February 2020, following an evaluation, with the assistance of Meridian, of the equity-based incentives for our executive officers, the compensation committee adopted a new long-term incentive program (“LTIP”). As part of our normal annual compensation cycle, all of our NEOs were granted the following awards under the 2017 Omnibus Plan: (1) time-vesting stock options (representing 25% of the total target value of fiscal 2020 LTIP awards for each NEO), (2) performance-vesting restricted stock units (“PSUs”) (representing 50% of the total target value of fiscal 2020 LTIP awards for each NEO), and (3) time-vesting restricted stock units (“RSUs”) (representing the remaining 25% of the total target value of fiscal 2020 LTIP awards for each NEO).</w:t>
      </w:r>
    </w:p>
    <w:p>
      <w:pPr>
        <w:spacing w:after="0" w:line="95" w:lineRule="exact"/>
        <w:rPr>
          <w:sz w:val="20"/>
          <w:szCs w:val="20"/>
          <w:color w:val="auto"/>
        </w:rPr>
      </w:pPr>
    </w:p>
    <w:p>
      <w:pPr>
        <w:jc w:val="both"/>
        <w:ind w:left="760" w:right="20"/>
        <w:spacing w:after="0" w:line="246" w:lineRule="auto"/>
        <w:rPr>
          <w:sz w:val="20"/>
          <w:szCs w:val="20"/>
          <w:color w:val="auto"/>
        </w:rPr>
      </w:pPr>
      <w:r>
        <w:rPr>
          <w:rFonts w:ascii="Arial" w:cs="Arial" w:eastAsia="Arial" w:hAnsi="Arial"/>
          <w:sz w:val="18"/>
          <w:szCs w:val="18"/>
          <w:color w:val="auto"/>
        </w:rPr>
        <w:t>The following table reflects the target grant value and division of stock options, PSUs and RSUs granted to each NEO in February 2020.</w:t>
      </w:r>
    </w:p>
    <w:p>
      <w:pPr>
        <w:spacing w:after="0" w:line="97"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3020" w:type="dxa"/>
            <w:vAlign w:val="bottom"/>
            <w:tcBorders>
              <w:top w:val="single" w:sz="8" w:color="3C5896"/>
              <w:right w:val="single" w:sz="8" w:color="9EACCA"/>
            </w:tcBorders>
            <w:shd w:val="clear" w:color="auto" w:fill="3C5896"/>
          </w:tcPr>
          <w:p>
            <w:pPr>
              <w:spacing w:after="0"/>
              <w:rPr>
                <w:sz w:val="17"/>
                <w:szCs w:val="17"/>
                <w:color w:val="auto"/>
              </w:rPr>
            </w:pPr>
          </w:p>
        </w:tc>
        <w:tc>
          <w:tcPr>
            <w:tcW w:w="200" w:type="dxa"/>
            <w:vAlign w:val="bottom"/>
            <w:tcBorders>
              <w:top w:val="single" w:sz="8" w:color="3C5896"/>
            </w:tcBorders>
            <w:shd w:val="clear" w:color="auto" w:fill="3C5896"/>
          </w:tcPr>
          <w:p>
            <w:pPr>
              <w:spacing w:after="0"/>
              <w:rPr>
                <w:sz w:val="17"/>
                <w:szCs w:val="17"/>
                <w:color w:val="auto"/>
              </w:rPr>
            </w:pPr>
          </w:p>
        </w:tc>
        <w:tc>
          <w:tcPr>
            <w:tcW w:w="940" w:type="dxa"/>
            <w:vAlign w:val="bottom"/>
            <w:tcBorders>
              <w:top w:val="single" w:sz="8" w:color="3C5896"/>
              <w:right w:val="single" w:sz="8" w:color="9EACCA"/>
            </w:tcBorders>
            <w:vMerge w:val="restart"/>
            <w:shd w:val="clear" w:color="auto" w:fill="3C5896"/>
          </w:tcPr>
          <w:p>
            <w:pPr>
              <w:jc w:val="center"/>
              <w:ind w:right="190"/>
              <w:spacing w:after="0"/>
              <w:rPr>
                <w:sz w:val="20"/>
                <w:szCs w:val="20"/>
                <w:color w:val="auto"/>
              </w:rPr>
            </w:pPr>
            <w:r>
              <w:rPr>
                <w:rFonts w:ascii="Arial" w:cs="Arial" w:eastAsia="Arial" w:hAnsi="Arial"/>
                <w:sz w:val="18"/>
                <w:szCs w:val="18"/>
                <w:b w:val="1"/>
                <w:bCs w:val="1"/>
                <w:color w:val="FFFFFF"/>
                <w:w w:val="98"/>
              </w:rPr>
              <w:t>Target</w:t>
            </w:r>
          </w:p>
        </w:tc>
        <w:tc>
          <w:tcPr>
            <w:tcW w:w="40" w:type="dxa"/>
            <w:vAlign w:val="bottom"/>
            <w:tcBorders>
              <w:top w:val="single" w:sz="8" w:color="3C5896"/>
            </w:tcBorders>
            <w:shd w:val="clear" w:color="auto" w:fill="3C5896"/>
          </w:tcPr>
          <w:p>
            <w:pPr>
              <w:spacing w:after="0"/>
              <w:rPr>
                <w:sz w:val="17"/>
                <w:szCs w:val="17"/>
                <w:color w:val="auto"/>
              </w:rPr>
            </w:pPr>
          </w:p>
        </w:tc>
        <w:tc>
          <w:tcPr>
            <w:tcW w:w="1320" w:type="dxa"/>
            <w:vAlign w:val="bottom"/>
            <w:tcBorders>
              <w:top w:val="single" w:sz="8" w:color="3C5896"/>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7"/>
              </w:rPr>
              <w:t>Time-Vesting</w:t>
            </w:r>
          </w:p>
        </w:tc>
        <w:tc>
          <w:tcPr>
            <w:tcW w:w="40" w:type="dxa"/>
            <w:vAlign w:val="bottom"/>
            <w:tcBorders>
              <w:top w:val="single" w:sz="8" w:color="3C5896"/>
            </w:tcBorders>
            <w:shd w:val="clear" w:color="auto" w:fill="3C5896"/>
          </w:tcPr>
          <w:p>
            <w:pPr>
              <w:spacing w:after="0"/>
              <w:rPr>
                <w:sz w:val="17"/>
                <w:szCs w:val="17"/>
                <w:color w:val="auto"/>
              </w:rPr>
            </w:pPr>
          </w:p>
        </w:tc>
        <w:tc>
          <w:tcPr>
            <w:tcW w:w="2020" w:type="dxa"/>
            <w:vAlign w:val="bottom"/>
            <w:tcBorders>
              <w:top w:val="single" w:sz="8" w:color="3C5896"/>
              <w:right w:val="single" w:sz="8" w:color="9EACCA"/>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8"/>
              </w:rPr>
              <w:t>Performance-Vesting</w:t>
            </w:r>
          </w:p>
        </w:tc>
        <w:tc>
          <w:tcPr>
            <w:tcW w:w="1560" w:type="dxa"/>
            <w:vAlign w:val="bottom"/>
            <w:tcBorders>
              <w:top w:val="single" w:sz="8" w:color="3C5896"/>
              <w:right w:val="single" w:sz="8" w:color="3C5896"/>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7"/>
              </w:rPr>
              <w:t>Time-Vesting</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020" w:type="dxa"/>
            <w:vAlign w:val="bottom"/>
            <w:tcBorders>
              <w:right w:val="single" w:sz="8" w:color="9EACCA"/>
            </w:tcBorders>
            <w:shd w:val="clear" w:color="auto" w:fill="3C5896"/>
          </w:tcPr>
          <w:p>
            <w:pPr>
              <w:spacing w:after="0"/>
              <w:rPr>
                <w:sz w:val="16"/>
                <w:szCs w:val="16"/>
                <w:color w:val="auto"/>
              </w:rPr>
            </w:pPr>
          </w:p>
        </w:tc>
        <w:tc>
          <w:tcPr>
            <w:tcW w:w="200" w:type="dxa"/>
            <w:vAlign w:val="bottom"/>
            <w:shd w:val="clear" w:color="auto" w:fill="3C5896"/>
          </w:tcPr>
          <w:p>
            <w:pPr>
              <w:spacing w:after="0"/>
              <w:rPr>
                <w:sz w:val="16"/>
                <w:szCs w:val="16"/>
                <w:color w:val="auto"/>
              </w:rPr>
            </w:pPr>
          </w:p>
        </w:tc>
        <w:tc>
          <w:tcPr>
            <w:tcW w:w="94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32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2020" w:type="dxa"/>
            <w:vAlign w:val="bottom"/>
            <w:tcBorders>
              <w:right w:val="single" w:sz="8" w:color="9EACCA"/>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Restricted Stock Units</w:t>
            </w:r>
          </w:p>
        </w:tc>
        <w:tc>
          <w:tcPr>
            <w:tcW w:w="15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Restricted Stock</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020" w:type="dxa"/>
            <w:vAlign w:val="bottom"/>
            <w:tcBorders>
              <w:right w:val="single" w:sz="8" w:color="9EACCA"/>
            </w:tcBorders>
            <w:vMerge w:val="restart"/>
            <w:shd w:val="clear" w:color="auto" w:fill="3C5896"/>
          </w:tcPr>
          <w:p>
            <w:pPr>
              <w:ind w:left="420"/>
              <w:spacing w:after="0"/>
              <w:rPr>
                <w:sz w:val="20"/>
                <w:szCs w:val="20"/>
                <w:color w:val="auto"/>
              </w:rPr>
            </w:pPr>
            <w:r>
              <w:rPr>
                <w:rFonts w:ascii="Arial" w:cs="Arial" w:eastAsia="Arial" w:hAnsi="Arial"/>
                <w:sz w:val="18"/>
                <w:szCs w:val="18"/>
                <w:b w:val="1"/>
                <w:bCs w:val="1"/>
                <w:color w:val="FFFFFF"/>
              </w:rPr>
              <w:t>Named Executive Officer</w:t>
            </w:r>
          </w:p>
        </w:tc>
        <w:tc>
          <w:tcPr>
            <w:tcW w:w="1140" w:type="dxa"/>
            <w:vAlign w:val="bottom"/>
            <w:tcBorders>
              <w:right w:val="single" w:sz="8" w:color="9EACCA"/>
            </w:tcBorders>
            <w:gridSpan w:val="2"/>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6"/>
              </w:rPr>
              <w:t>Grant Value</w:t>
            </w:r>
          </w:p>
        </w:tc>
        <w:tc>
          <w:tcPr>
            <w:tcW w:w="40" w:type="dxa"/>
            <w:vAlign w:val="bottom"/>
            <w:shd w:val="clear" w:color="auto" w:fill="3C5896"/>
          </w:tcPr>
          <w:p>
            <w:pPr>
              <w:spacing w:after="0"/>
              <w:rPr>
                <w:sz w:val="16"/>
                <w:szCs w:val="16"/>
                <w:color w:val="auto"/>
              </w:rPr>
            </w:pPr>
          </w:p>
        </w:tc>
        <w:tc>
          <w:tcPr>
            <w:tcW w:w="1320" w:type="dxa"/>
            <w:vAlign w:val="bottom"/>
            <w:tcBorders>
              <w:right w:val="single" w:sz="8" w:color="9EACCA"/>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Stock Options</w:t>
            </w:r>
          </w:p>
        </w:tc>
        <w:tc>
          <w:tcPr>
            <w:tcW w:w="40" w:type="dxa"/>
            <w:vAlign w:val="bottom"/>
            <w:shd w:val="clear" w:color="auto" w:fill="3C5896"/>
          </w:tcPr>
          <w:p>
            <w:pPr>
              <w:spacing w:after="0"/>
              <w:rPr>
                <w:sz w:val="16"/>
                <w:szCs w:val="16"/>
                <w:color w:val="auto"/>
              </w:rPr>
            </w:pPr>
          </w:p>
        </w:tc>
        <w:tc>
          <w:tcPr>
            <w:tcW w:w="2020" w:type="dxa"/>
            <w:vAlign w:val="bottom"/>
            <w:tcBorders>
              <w:right w:val="single" w:sz="8" w:color="9EACCA"/>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(PSUs)</w:t>
            </w:r>
          </w:p>
        </w:tc>
        <w:tc>
          <w:tcPr>
            <w:tcW w:w="15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Units (RSUs)</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3020" w:type="dxa"/>
            <w:vAlign w:val="bottom"/>
            <w:tcBorders>
              <w:right w:val="single" w:sz="8" w:color="9EACCA"/>
            </w:tcBorders>
            <w:vMerge w:val="continue"/>
            <w:shd w:val="clear" w:color="auto" w:fill="3C5896"/>
          </w:tcPr>
          <w:p>
            <w:pPr>
              <w:spacing w:after="0"/>
              <w:rPr>
                <w:sz w:val="21"/>
                <w:szCs w:val="21"/>
                <w:color w:val="auto"/>
              </w:rPr>
            </w:pPr>
          </w:p>
        </w:tc>
        <w:tc>
          <w:tcPr>
            <w:tcW w:w="200" w:type="dxa"/>
            <w:vAlign w:val="bottom"/>
            <w:shd w:val="clear" w:color="auto" w:fill="3C5896"/>
          </w:tcPr>
          <w:p>
            <w:pPr>
              <w:spacing w:after="0"/>
              <w:rPr>
                <w:sz w:val="21"/>
                <w:szCs w:val="21"/>
                <w:color w:val="auto"/>
              </w:rPr>
            </w:pPr>
          </w:p>
        </w:tc>
        <w:tc>
          <w:tcPr>
            <w:tcW w:w="940" w:type="dxa"/>
            <w:vAlign w:val="bottom"/>
            <w:tcBorders>
              <w:right w:val="single" w:sz="8" w:color="9EACCA"/>
            </w:tcBorders>
            <w:shd w:val="clear" w:color="auto" w:fill="3C5896"/>
          </w:tcPr>
          <w:p>
            <w:pPr>
              <w:jc w:val="center"/>
              <w:ind w:right="150"/>
              <w:spacing w:after="0"/>
              <w:rPr>
                <w:sz w:val="20"/>
                <w:szCs w:val="20"/>
                <w:color w:val="auto"/>
              </w:rPr>
            </w:pPr>
            <w:r>
              <w:rPr>
                <w:rFonts w:ascii="Arial" w:cs="Arial" w:eastAsia="Arial" w:hAnsi="Arial"/>
                <w:sz w:val="18"/>
                <w:szCs w:val="18"/>
                <w:b w:val="1"/>
                <w:bCs w:val="1"/>
                <w:color w:val="FFFFFF"/>
                <w:w w:val="99"/>
              </w:rPr>
              <w:t>($)</w:t>
            </w:r>
          </w:p>
        </w:tc>
        <w:tc>
          <w:tcPr>
            <w:tcW w:w="136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w:t>
            </w:r>
          </w:p>
        </w:tc>
        <w:tc>
          <w:tcPr>
            <w:tcW w:w="206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w:t>
            </w:r>
          </w:p>
        </w:tc>
        <w:tc>
          <w:tcPr>
            <w:tcW w:w="156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0"/>
              </w:rPr>
              <w:t>(#)</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30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L. Reade Fahs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tcPr>
          <w:p>
            <w:pPr>
              <w:jc w:val="right"/>
              <w:ind w:right="30"/>
              <w:spacing w:after="0"/>
              <w:rPr>
                <w:sz w:val="20"/>
                <w:szCs w:val="20"/>
                <w:color w:val="auto"/>
              </w:rPr>
            </w:pPr>
            <w:r>
              <w:rPr>
                <w:rFonts w:ascii="Arial" w:cs="Arial" w:eastAsia="Arial" w:hAnsi="Arial"/>
                <w:sz w:val="18"/>
                <w:szCs w:val="18"/>
                <w:color w:val="auto"/>
                <w:w w:val="99"/>
              </w:rPr>
              <w:t>2,250,000</w:t>
            </w:r>
          </w:p>
        </w:tc>
        <w:tc>
          <w:tcPr>
            <w:tcW w:w="13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41,089</w:t>
            </w:r>
          </w:p>
        </w:tc>
        <w:tc>
          <w:tcPr>
            <w:tcW w:w="2060" w:type="dxa"/>
            <w:vAlign w:val="bottom"/>
            <w:tcBorders>
              <w:right w:val="single" w:sz="8" w:color="9EACCA"/>
            </w:tcBorders>
            <w:gridSpan w:val="2"/>
          </w:tcPr>
          <w:p>
            <w:pPr>
              <w:jc w:val="right"/>
              <w:ind w:right="690"/>
              <w:spacing w:after="0"/>
              <w:rPr>
                <w:sz w:val="20"/>
                <w:szCs w:val="20"/>
                <w:color w:val="auto"/>
              </w:rPr>
            </w:pPr>
            <w:r>
              <w:rPr>
                <w:rFonts w:ascii="Arial" w:cs="Arial" w:eastAsia="Arial" w:hAnsi="Arial"/>
                <w:sz w:val="18"/>
                <w:szCs w:val="18"/>
                <w:color w:val="auto"/>
              </w:rPr>
              <w:t>32,310</w:t>
            </w:r>
          </w:p>
        </w:tc>
        <w:tc>
          <w:tcPr>
            <w:tcW w:w="156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16,155</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02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shd w:val="clear" w:color="auto" w:fill="CCCCCC"/>
          </w:tcPr>
          <w:p>
            <w:pPr>
              <w:jc w:val="right"/>
              <w:ind w:right="30"/>
              <w:spacing w:after="0"/>
              <w:rPr>
                <w:sz w:val="20"/>
                <w:szCs w:val="20"/>
                <w:color w:val="auto"/>
              </w:rPr>
            </w:pPr>
            <w:r>
              <w:rPr>
                <w:rFonts w:ascii="Arial" w:cs="Arial" w:eastAsia="Arial" w:hAnsi="Arial"/>
                <w:sz w:val="18"/>
                <w:szCs w:val="18"/>
                <w:color w:val="auto"/>
                <w:w w:val="99"/>
              </w:rPr>
              <w:t>1,000,000</w:t>
            </w:r>
          </w:p>
        </w:tc>
        <w:tc>
          <w:tcPr>
            <w:tcW w:w="13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18,262</w:t>
            </w:r>
          </w:p>
        </w:tc>
        <w:tc>
          <w:tcPr>
            <w:tcW w:w="2060" w:type="dxa"/>
            <w:vAlign w:val="bottom"/>
            <w:tcBorders>
              <w:right w:val="single" w:sz="8" w:color="9EACCA"/>
            </w:tcBorders>
            <w:gridSpan w:val="2"/>
            <w:shd w:val="clear" w:color="auto" w:fill="CCCCCC"/>
          </w:tcPr>
          <w:p>
            <w:pPr>
              <w:jc w:val="right"/>
              <w:ind w:right="690"/>
              <w:spacing w:after="0"/>
              <w:rPr>
                <w:sz w:val="20"/>
                <w:szCs w:val="20"/>
                <w:color w:val="auto"/>
              </w:rPr>
            </w:pPr>
            <w:r>
              <w:rPr>
                <w:rFonts w:ascii="Arial" w:cs="Arial" w:eastAsia="Arial" w:hAnsi="Arial"/>
                <w:sz w:val="18"/>
                <w:szCs w:val="18"/>
                <w:color w:val="auto"/>
              </w:rPr>
              <w:t>14,360</w:t>
            </w:r>
          </w:p>
        </w:tc>
        <w:tc>
          <w:tcPr>
            <w:tcW w:w="1560" w:type="dxa"/>
            <w:vAlign w:val="bottom"/>
            <w:tcBorders>
              <w:right w:val="single" w:sz="8" w:color="3C5896"/>
            </w:tcBorders>
            <w:shd w:val="clear" w:color="auto" w:fill="CCCCCC"/>
          </w:tcPr>
          <w:p>
            <w:pPr>
              <w:jc w:val="right"/>
              <w:ind w:right="450"/>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30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Bill Clark</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tcPr>
          <w:p>
            <w:pPr>
              <w:jc w:val="right"/>
              <w:ind w:right="30"/>
              <w:spacing w:after="0"/>
              <w:rPr>
                <w:sz w:val="20"/>
                <w:szCs w:val="20"/>
                <w:color w:val="auto"/>
              </w:rPr>
            </w:pPr>
            <w:r>
              <w:rPr>
                <w:rFonts w:ascii="Arial" w:cs="Arial" w:eastAsia="Arial" w:hAnsi="Arial"/>
                <w:sz w:val="18"/>
                <w:szCs w:val="18"/>
                <w:color w:val="auto"/>
              </w:rPr>
              <w:t>320,000</w:t>
            </w:r>
          </w:p>
        </w:tc>
        <w:tc>
          <w:tcPr>
            <w:tcW w:w="13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5,844</w:t>
            </w:r>
          </w:p>
        </w:tc>
        <w:tc>
          <w:tcPr>
            <w:tcW w:w="2060" w:type="dxa"/>
            <w:vAlign w:val="bottom"/>
            <w:tcBorders>
              <w:right w:val="single" w:sz="8" w:color="9EACCA"/>
            </w:tcBorders>
            <w:gridSpan w:val="2"/>
          </w:tcPr>
          <w:p>
            <w:pPr>
              <w:jc w:val="right"/>
              <w:ind w:right="690"/>
              <w:spacing w:after="0"/>
              <w:rPr>
                <w:sz w:val="20"/>
                <w:szCs w:val="20"/>
                <w:color w:val="auto"/>
              </w:rPr>
            </w:pPr>
            <w:r>
              <w:rPr>
                <w:rFonts w:ascii="Arial" w:cs="Arial" w:eastAsia="Arial" w:hAnsi="Arial"/>
                <w:sz w:val="18"/>
                <w:szCs w:val="18"/>
                <w:color w:val="auto"/>
              </w:rPr>
              <w:t>4,596</w:t>
            </w:r>
          </w:p>
        </w:tc>
        <w:tc>
          <w:tcPr>
            <w:tcW w:w="156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302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Jared Brandman</w:t>
            </w:r>
          </w:p>
        </w:tc>
        <w:tc>
          <w:tcPr>
            <w:tcW w:w="2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shd w:val="clear" w:color="auto" w:fill="CCCCCC"/>
          </w:tcPr>
          <w:p>
            <w:pPr>
              <w:jc w:val="right"/>
              <w:ind w:right="30"/>
              <w:spacing w:after="0"/>
              <w:rPr>
                <w:sz w:val="20"/>
                <w:szCs w:val="20"/>
                <w:color w:val="auto"/>
              </w:rPr>
            </w:pPr>
            <w:r>
              <w:rPr>
                <w:rFonts w:ascii="Arial" w:cs="Arial" w:eastAsia="Arial" w:hAnsi="Arial"/>
                <w:sz w:val="18"/>
                <w:szCs w:val="18"/>
                <w:color w:val="auto"/>
              </w:rPr>
              <w:t>250,000</w:t>
            </w:r>
          </w:p>
        </w:tc>
        <w:tc>
          <w:tcPr>
            <w:tcW w:w="1360" w:type="dxa"/>
            <w:vAlign w:val="bottom"/>
            <w:tcBorders>
              <w:right w:val="single" w:sz="8" w:color="9EACCA"/>
            </w:tcBorders>
            <w:gridSpan w:val="2"/>
            <w:shd w:val="clear" w:color="auto" w:fill="CCCCCC"/>
          </w:tcPr>
          <w:p>
            <w:pPr>
              <w:jc w:val="right"/>
              <w:ind w:right="330"/>
              <w:spacing w:after="0"/>
              <w:rPr>
                <w:sz w:val="20"/>
                <w:szCs w:val="20"/>
                <w:color w:val="auto"/>
              </w:rPr>
            </w:pPr>
            <w:r>
              <w:rPr>
                <w:rFonts w:ascii="Arial" w:cs="Arial" w:eastAsia="Arial" w:hAnsi="Arial"/>
                <w:sz w:val="18"/>
                <w:szCs w:val="18"/>
                <w:color w:val="auto"/>
              </w:rPr>
              <w:t>4,566</w:t>
            </w:r>
          </w:p>
        </w:tc>
        <w:tc>
          <w:tcPr>
            <w:tcW w:w="2060" w:type="dxa"/>
            <w:vAlign w:val="bottom"/>
            <w:tcBorders>
              <w:right w:val="single" w:sz="8" w:color="9EACCA"/>
            </w:tcBorders>
            <w:gridSpan w:val="2"/>
            <w:shd w:val="clear" w:color="auto" w:fill="CCCCCC"/>
          </w:tcPr>
          <w:p>
            <w:pPr>
              <w:jc w:val="right"/>
              <w:ind w:right="690"/>
              <w:spacing w:after="0"/>
              <w:rPr>
                <w:sz w:val="20"/>
                <w:szCs w:val="20"/>
                <w:color w:val="auto"/>
              </w:rPr>
            </w:pPr>
            <w:r>
              <w:rPr>
                <w:rFonts w:ascii="Arial" w:cs="Arial" w:eastAsia="Arial" w:hAnsi="Arial"/>
                <w:sz w:val="18"/>
                <w:szCs w:val="18"/>
                <w:color w:val="auto"/>
              </w:rPr>
              <w:t>3,590</w:t>
            </w:r>
          </w:p>
        </w:tc>
        <w:tc>
          <w:tcPr>
            <w:tcW w:w="1560" w:type="dxa"/>
            <w:vAlign w:val="bottom"/>
            <w:tcBorders>
              <w:right w:val="single" w:sz="8" w:color="3C5896"/>
            </w:tcBorders>
            <w:shd w:val="clear" w:color="auto" w:fill="CCCCCC"/>
          </w:tcPr>
          <w:p>
            <w:pPr>
              <w:jc w:val="right"/>
              <w:ind w:right="45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30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9EACCA"/>
            </w:tcBorders>
          </w:tcPr>
          <w:p>
            <w:pPr>
              <w:jc w:val="right"/>
              <w:ind w:right="30"/>
              <w:spacing w:after="0"/>
              <w:rPr>
                <w:sz w:val="20"/>
                <w:szCs w:val="20"/>
                <w:color w:val="auto"/>
              </w:rPr>
            </w:pPr>
            <w:r>
              <w:rPr>
                <w:rFonts w:ascii="Arial" w:cs="Arial" w:eastAsia="Arial" w:hAnsi="Arial"/>
                <w:sz w:val="18"/>
                <w:szCs w:val="18"/>
                <w:color w:val="auto"/>
              </w:rPr>
              <w:t>250,000</w:t>
            </w:r>
          </w:p>
        </w:tc>
        <w:tc>
          <w:tcPr>
            <w:tcW w:w="1360" w:type="dxa"/>
            <w:vAlign w:val="bottom"/>
            <w:tcBorders>
              <w:right w:val="single" w:sz="8" w:color="9EACCA"/>
            </w:tcBorders>
            <w:gridSpan w:val="2"/>
          </w:tcPr>
          <w:p>
            <w:pPr>
              <w:jc w:val="right"/>
              <w:ind w:right="330"/>
              <w:spacing w:after="0"/>
              <w:rPr>
                <w:sz w:val="20"/>
                <w:szCs w:val="20"/>
                <w:color w:val="auto"/>
              </w:rPr>
            </w:pPr>
            <w:r>
              <w:rPr>
                <w:rFonts w:ascii="Arial" w:cs="Arial" w:eastAsia="Arial" w:hAnsi="Arial"/>
                <w:sz w:val="18"/>
                <w:szCs w:val="18"/>
                <w:color w:val="auto"/>
              </w:rPr>
              <w:t>4,566</w:t>
            </w:r>
          </w:p>
        </w:tc>
        <w:tc>
          <w:tcPr>
            <w:tcW w:w="2060" w:type="dxa"/>
            <w:vAlign w:val="bottom"/>
            <w:tcBorders>
              <w:right w:val="single" w:sz="8" w:color="9EACCA"/>
            </w:tcBorders>
            <w:gridSpan w:val="2"/>
          </w:tcPr>
          <w:p>
            <w:pPr>
              <w:jc w:val="right"/>
              <w:ind w:right="690"/>
              <w:spacing w:after="0"/>
              <w:rPr>
                <w:sz w:val="20"/>
                <w:szCs w:val="20"/>
                <w:color w:val="auto"/>
              </w:rPr>
            </w:pPr>
            <w:r>
              <w:rPr>
                <w:rFonts w:ascii="Arial" w:cs="Arial" w:eastAsia="Arial" w:hAnsi="Arial"/>
                <w:sz w:val="18"/>
                <w:szCs w:val="18"/>
                <w:color w:val="auto"/>
              </w:rPr>
              <w:t>3,590</w:t>
            </w:r>
          </w:p>
        </w:tc>
        <w:tc>
          <w:tcPr>
            <w:tcW w:w="1560" w:type="dxa"/>
            <w:vAlign w:val="bottom"/>
            <w:tcBorders>
              <w:right w:val="single" w:sz="8" w:color="3C5896"/>
            </w:tcBorders>
          </w:tcPr>
          <w:p>
            <w:pPr>
              <w:jc w:val="right"/>
              <w:ind w:right="45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3020" w:type="dxa"/>
            <w:vAlign w:val="bottom"/>
            <w:tcBorders>
              <w:right w:val="single" w:sz="8" w:color="3C5896"/>
            </w:tcBorders>
            <w:shd w:val="clear" w:color="auto" w:fill="3C5896"/>
          </w:tcPr>
          <w:p>
            <w:pPr>
              <w:spacing w:after="0" w:line="20" w:lineRule="exact"/>
              <w:rPr>
                <w:sz w:val="1"/>
                <w:szCs w:val="1"/>
                <w:color w:val="auto"/>
              </w:rPr>
            </w:pPr>
          </w:p>
        </w:tc>
        <w:tc>
          <w:tcPr>
            <w:tcW w:w="200" w:type="dxa"/>
            <w:vAlign w:val="bottom"/>
            <w:shd w:val="clear" w:color="auto" w:fill="3C5896"/>
          </w:tcPr>
          <w:p>
            <w:pPr>
              <w:spacing w:after="0" w:line="20" w:lineRule="exact"/>
              <w:rPr>
                <w:sz w:val="1"/>
                <w:szCs w:val="1"/>
                <w:color w:val="auto"/>
              </w:rPr>
            </w:pPr>
          </w:p>
        </w:tc>
        <w:tc>
          <w:tcPr>
            <w:tcW w:w="94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3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2020" w:type="dxa"/>
            <w:vAlign w:val="bottom"/>
            <w:tcBorders>
              <w:right w:val="single" w:sz="8" w:color="3C5896"/>
            </w:tcBorders>
            <w:shd w:val="clear" w:color="auto" w:fill="3C5896"/>
          </w:tcPr>
          <w:p>
            <w:pPr>
              <w:spacing w:after="0" w:line="20" w:lineRule="exact"/>
              <w:rPr>
                <w:sz w:val="1"/>
                <w:szCs w:val="1"/>
                <w:color w:val="auto"/>
              </w:rPr>
            </w:pPr>
          </w:p>
        </w:tc>
        <w:tc>
          <w:tcPr>
            <w:tcW w:w="15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-839470</wp:posOffset>
            </wp:positionV>
            <wp:extent cx="58204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123"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i w:val="1"/>
          <w:iCs w:val="1"/>
          <w:color w:val="auto"/>
        </w:rPr>
        <w:t>2020 Stock Option Awards</w:t>
      </w:r>
      <w:r>
        <w:rPr>
          <w:rFonts w:ascii="Arial" w:cs="Arial" w:eastAsia="Arial" w:hAnsi="Arial"/>
          <w:sz w:val="17"/>
          <w:szCs w:val="17"/>
          <w:color w:val="auto"/>
        </w:rPr>
        <w:t>. The options granted in fiscal 2020 vest in three equal annual installments, with one-third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number of shares underlying the options vesting on each of the first, second, and third anniversaries of February 28, 2020, subject to the executive’s continued employment through the applicable vesting date.</w:t>
      </w:r>
    </w:p>
    <w:p>
      <w:pPr>
        <w:spacing w:after="0" w:line="51"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i w:val="1"/>
          <w:iCs w:val="1"/>
          <w:color w:val="auto"/>
        </w:rPr>
        <w:t>2020 PSU Awards</w:t>
      </w:r>
      <w:r>
        <w:rPr>
          <w:rFonts w:ascii="Arial" w:cs="Arial" w:eastAsia="Arial" w:hAnsi="Arial"/>
          <w:sz w:val="18"/>
          <w:szCs w:val="18"/>
          <w:color w:val="auto"/>
        </w:rPr>
        <w:t>. PSU awards are earned over a three-year performance period and are conditioned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achievement of certain Adjusted EBITDA growth targets, as set forth in the PSU award agreement. Vesting is based on an achievement factor which, in each case, ranges from a 50% payout for threshold performance, 100% for target performance, and 200% for maximum performance. To the extent that performance falls between the applicable threshold, target or maximum levels, payouts will be determined using linear interpolation. PSU performance goals and the target awards for our executive officers are established each February, shortly after the beginning of the fiscal year. The PSU awards granted in fiscal 2020 will be settled after the end of the respective three-year performance period, which began on the first day of our 2020 fiscal year and ends on the last day of our 2022 fiscal year. Beginning with the STIP and LTIP awards granted in fiscal 2020, the Company has updated its definition of Adjusted EBITDA, which will no longer exclude new store pre-opening expenses and non-cash rent. As a note, the 2019 PSUs remain subject to the prior definition of Adjusted EBITDA. These definitions are set forth in Appendix A to this proxy statement.</w:t>
      </w:r>
    </w:p>
    <w:p>
      <w:pPr>
        <w:spacing w:after="0" w:line="85" w:lineRule="exact"/>
        <w:rPr>
          <w:sz w:val="20"/>
          <w:szCs w:val="20"/>
          <w:color w:val="auto"/>
        </w:rPr>
      </w:pPr>
    </w:p>
    <w:p>
      <w:pPr>
        <w:jc w:val="both"/>
        <w:ind w:left="760"/>
        <w:spacing w:after="0" w:line="250" w:lineRule="auto"/>
        <w:rPr>
          <w:sz w:val="20"/>
          <w:szCs w:val="20"/>
          <w:color w:val="auto"/>
        </w:rPr>
      </w:pPr>
      <w:r>
        <w:rPr>
          <w:rFonts w:ascii="Arial" w:cs="Arial" w:eastAsia="Arial" w:hAnsi="Arial"/>
          <w:sz w:val="18"/>
          <w:szCs w:val="18"/>
          <w:i w:val="1"/>
          <w:iCs w:val="1"/>
          <w:color w:val="auto"/>
        </w:rPr>
        <w:t>2020 RSU Awards</w:t>
      </w:r>
      <w:r>
        <w:rPr>
          <w:rFonts w:ascii="Arial" w:cs="Arial" w:eastAsia="Arial" w:hAnsi="Arial"/>
          <w:sz w:val="18"/>
          <w:szCs w:val="18"/>
          <w:color w:val="auto"/>
        </w:rPr>
        <w:t>. The RSUs granted in fiscal 2020 vest in three equal annual installments, with one-third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total number of shares underlying the RSUs vesting on each of the first, second, and third anniversaries of February 28, 2020, subject to the executive’s continued employment through the applicable vesting period.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Management Stockholder’s Agreement</w:t>
      </w:r>
    </w:p>
    <w:p>
      <w:pPr>
        <w:spacing w:after="0" w:line="135"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Each of our NEOs, other than Mr. Clark and Ms. Blackwood, is party to a Management Stockholder’s Agreement with the Company. The Management Stockholder’s Agreement, along with an applicable option agreement, generally govern each such NEO’s rights with respect to shares of common stock of the Company held by such NEO prior to our IPO, including such NEO’s stock option awards and contain certain rights and obligations of the parties thereto. The pre-IPO options are subject to certain put and call rights pursuant to the Management Stockholder’s Agreement.</w:t>
      </w:r>
    </w:p>
    <w:p>
      <w:pPr>
        <w:spacing w:after="0" w:line="307"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sz w:val="1"/>
          <w:szCs w:val="1"/>
          <w:color w:val="auto"/>
        </w:rPr>
        <w:drawing>
          <wp:inline distT="0" distB="0" distL="0" distR="0">
            <wp:extent cx="299720" cy="24003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Changes for 2021 STIP and LTIP Awards</w:t>
      </w:r>
    </w:p>
    <w:p>
      <w:pPr>
        <w:spacing w:after="0" w:line="139"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For fiscal 2021, the compensation committee has approved new performance metrics for the STIP and LTIP awards under the 2017 Omnibus Plan. The 2021 STIP awards are based off Adjusted Operating Income instead of Adjusted EBITDA, which was the metric used in prior years. We moved to Adjusted Operating Income for the STIP following the introduction of this non-GAAP measure in our Fiscal 2020 Outlook, as it reflects our profits, excluding interest and taxes, is a common profitability measure for companies, and injects heightened accountability for sound investment decisions and returns on those investments by our executives. Adjusted Operating Income under the STIP is defined as net income (loss), plus interest expense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other expenses.</w:t>
      </w:r>
    </w:p>
    <w:p>
      <w:pPr>
        <w:spacing w:after="0" w:line="103" w:lineRule="exact"/>
        <w:rPr>
          <w:sz w:val="20"/>
          <w:szCs w:val="20"/>
          <w:color w:val="auto"/>
        </w:rPr>
      </w:pPr>
    </w:p>
    <w:p>
      <w:pPr>
        <w:jc w:val="both"/>
        <w:ind w:left="760" w:right="760"/>
        <w:spacing w:after="0" w:line="269" w:lineRule="auto"/>
        <w:rPr>
          <w:sz w:val="20"/>
          <w:szCs w:val="20"/>
          <w:color w:val="auto"/>
        </w:rPr>
      </w:pPr>
      <w:r>
        <w:rPr>
          <w:rFonts w:ascii="Arial" w:cs="Arial" w:eastAsia="Arial" w:hAnsi="Arial"/>
          <w:sz w:val="17"/>
          <w:szCs w:val="17"/>
          <w:color w:val="auto"/>
        </w:rPr>
        <w:t>The LTIP awards granted in 2021 include the same vehicle mix as in 2020 of 25% time-based stock options, 50% PSUs and the remaining 25% in time-based RSUs. For fiscal 2021, the compensation committee approved new performance metrics for the PSUs. The 2021 PSUs will be based off two performance growth measures, Adjusted Operating Income and return on invested capital (ROIC), which will be weighted, 75% and 25%, respectively, for the three year performance period. As described above, Adjusted Operating Income is a common profitability measure. ROIC is a standard measure of a company’s ability to produce profitable return on all aspects of investment necessary to generate those returns and is a key measure for investor assessment of company performance.</w:t>
      </w:r>
    </w:p>
    <w:p>
      <w:pPr>
        <w:spacing w:after="0" w:line="86"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The compensation committee took into account feedback from stockholders and the evolution of our public reporting and fiscal outlook measures in transitioning to these new performance metrics for our 2021 awards.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39"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The benefits and perquisites provided to our NEOs are not a material part of executive compensation and are largely limited to those offered to our employees generally, or that we have otherwise determined are necessary or appropriate to attract and retain talented executives. Our NEOs are eligible for specified benefits, such as group health, dental, disability and life insurance. These benefits are intended to provide competitive and adequate protection in case of sickness and the NEOs participate in these plans on the same basis as all other employees.</w:t>
      </w:r>
    </w:p>
    <w:p>
      <w:pPr>
        <w:spacing w:after="0" w:line="97"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We provide specified perquisites to our NEOs when appropriate, including relocation as required. We also provide our executives, including our NEOs, with additional basic life insurance coverage and supplemental long-term disability and accidental death insurance. In addition, we provide our CEO with tax accounting services and a Young Presidents’ Organization (“YPO”) membership. The value of these perquisites and other personal benefits are reflected in the “All Other Compensation” column to the “Summary Compensation Table” and the accompanying footnotes below.</w:t>
      </w:r>
    </w:p>
    <w:p>
      <w:pPr>
        <w:spacing w:after="0" w:line="82" w:lineRule="exact"/>
        <w:rPr>
          <w:sz w:val="20"/>
          <w:szCs w:val="20"/>
          <w:color w:val="auto"/>
        </w:rPr>
      </w:pPr>
    </w:p>
    <w:p>
      <w:pPr>
        <w:jc w:val="both"/>
        <w:ind w:left="760" w:right="760"/>
        <w:spacing w:after="0" w:line="258" w:lineRule="auto"/>
        <w:rPr>
          <w:sz w:val="20"/>
          <w:szCs w:val="20"/>
          <w:color w:val="auto"/>
        </w:rPr>
      </w:pPr>
      <w:r>
        <w:rPr>
          <w:rFonts w:ascii="Arial" w:cs="Arial" w:eastAsia="Arial" w:hAnsi="Arial"/>
          <w:sz w:val="18"/>
          <w:szCs w:val="18"/>
          <w:i w:val="1"/>
          <w:iCs w:val="1"/>
          <w:color w:val="auto"/>
        </w:rPr>
        <w:t>401(k) Savings Plan</w:t>
      </w:r>
      <w:r>
        <w:rPr>
          <w:rFonts w:ascii="Arial" w:cs="Arial" w:eastAsia="Arial" w:hAnsi="Arial"/>
          <w:sz w:val="18"/>
          <w:szCs w:val="18"/>
          <w:color w:val="auto"/>
        </w:rPr>
        <w:t>. Our eligible U.S. employees, including our NEOs, participate in the National Vision, Inc. 401(k)</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Savings Plan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75" w:lineRule="exact"/>
        <w:rPr>
          <w:sz w:val="20"/>
          <w:szCs w:val="20"/>
          <w:color w:val="auto"/>
        </w:rPr>
      </w:pPr>
    </w:p>
    <w:p>
      <w:pPr>
        <w:jc w:val="both"/>
        <w:ind w:left="760" w:right="760"/>
        <w:spacing w:after="0" w:line="266" w:lineRule="auto"/>
        <w:rPr>
          <w:sz w:val="20"/>
          <w:szCs w:val="20"/>
          <w:color w:val="auto"/>
        </w:rPr>
      </w:pPr>
      <w:r>
        <w:rPr>
          <w:rFonts w:ascii="Arial" w:cs="Arial" w:eastAsia="Arial" w:hAnsi="Arial"/>
          <w:sz w:val="18"/>
          <w:szCs w:val="18"/>
          <w:i w:val="1"/>
          <w:iCs w:val="1"/>
          <w:color w:val="auto"/>
        </w:rPr>
        <w:t>Associate Stock Purchase Plan</w:t>
      </w:r>
      <w:r>
        <w:rPr>
          <w:rFonts w:ascii="Arial" w:cs="Arial" w:eastAsia="Arial" w:hAnsi="Arial"/>
          <w:sz w:val="18"/>
          <w:szCs w:val="18"/>
          <w:color w:val="auto"/>
        </w:rPr>
        <w:t>. We have maintained an Associate Stock Purchase Plan (the “ASPP”) since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ASPP provides all our eligible U.S. employees, including our NEOs, the opportunity to purchase up to $25,000 in our common stock annually at a 10% discount to the market price of our stock.</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39" w:lineRule="exact"/>
        <w:rPr>
          <w:sz w:val="20"/>
          <w:szCs w:val="20"/>
          <w:color w:val="auto"/>
        </w:rPr>
      </w:pPr>
    </w:p>
    <w:p>
      <w:pPr>
        <w:jc w:val="both"/>
        <w:ind w:left="760" w:right="760"/>
        <w:spacing w:after="0" w:line="268" w:lineRule="auto"/>
        <w:rPr>
          <w:sz w:val="20"/>
          <w:szCs w:val="20"/>
          <w:color w:val="auto"/>
        </w:rPr>
      </w:pPr>
      <w:r>
        <w:rPr>
          <w:rFonts w:ascii="Arial" w:cs="Arial" w:eastAsia="Arial" w:hAnsi="Arial"/>
          <w:sz w:val="17"/>
          <w:szCs w:val="17"/>
          <w:color w:val="auto"/>
        </w:rPr>
        <w:t>The Company provides severance benefits to its executives in order to offer competitive total compensation packages and to be competitive in the Company’s executive attraction and retention efforts. On December 11, 2018, the Board of Directors adopted and approved the National Vision Holdings, Inc. Executive Severance Plan (the “Executive Severance Plan”), which replaced our prior severance plan. The Executive Severance Plan provides for severance payments and benefits to eligible executives, including our NEOs, upon a termination of employment by the Company without cause or by the executive for good reason (each as defined in the Executive Severance Plan), in each case, subject to the (i) executive’s execution and non-revocation of a release of claims in favor of the Company and (ii) continued compliance with the executive’s confidentiality, non-interference and invention assignment obligations to the Company. See “Potential Payments upon Termination or Change in Control,” which describes the payments to which each of the NEOs may be entitled under the Executive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217805</wp:posOffset>
            </wp:positionV>
            <wp:extent cx="300355" cy="240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39</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In addition, our NEOs have agreed to specified restrictive covenants, including confidentiality and non-disparagement covenants and covenants related to non-competition and non-solicitation of our employees, consultants and independent contractors at all times during the NEO’s employment, and for specific periods following the termination of employment for any reason. The post-employment restricted time periods are as follows: Mr. Fahs for twenty-four months after termination; Messrs. Moore and Brandman for eighteen months after termination; and Messrs. Clark and Ms. Blackwood for twelve months after termination.</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Stock Ownership Guidelines</w:t>
      </w:r>
    </w:p>
    <w:p>
      <w:pPr>
        <w:spacing w:after="0" w:line="13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Our Board of Directors adopted stock ownership guidelines (the “Guidelines”) applicable to our executive officers. These Guidelines align the interests of our management and directors with those of our stockholders. Such executive officers will be required to hold a specific level of equity ownership, as a multiple of annual base salary or annual cash retainer, as applicable, as follows:</w:t>
      </w:r>
    </w:p>
    <w:p>
      <w:pPr>
        <w:spacing w:after="0" w:line="109" w:lineRule="exact"/>
        <w:rPr>
          <w:sz w:val="20"/>
          <w:szCs w:val="20"/>
          <w:color w:val="auto"/>
        </w:rPr>
      </w:pPr>
    </w:p>
    <w:p>
      <w:pPr>
        <w:ind w:left="1340" w:hanging="218"/>
        <w:spacing w:after="0"/>
        <w:tabs>
          <w:tab w:leader="none" w:pos="1340" w:val="left"/>
        </w:tabs>
        <w:numPr>
          <w:ilvl w:val="0"/>
          <w:numId w:val="36"/>
        </w:numPr>
        <w:rPr>
          <w:rFonts w:ascii="Arial" w:cs="Arial" w:eastAsia="Arial" w:hAnsi="Arial"/>
          <w:sz w:val="18"/>
          <w:szCs w:val="18"/>
          <w:color w:val="3C5896"/>
        </w:rPr>
      </w:pPr>
      <w:r>
        <w:rPr>
          <w:rFonts w:ascii="Arial" w:cs="Arial" w:eastAsia="Arial" w:hAnsi="Arial"/>
          <w:sz w:val="18"/>
          <w:szCs w:val="18"/>
          <w:color w:val="auto"/>
        </w:rPr>
        <w:t>Chief Executive Officer: 6x annual base salary.</w:t>
      </w:r>
    </w:p>
    <w:p>
      <w:pPr>
        <w:spacing w:after="0" w:line="103" w:lineRule="exact"/>
        <w:rPr>
          <w:rFonts w:ascii="Arial" w:cs="Arial" w:eastAsia="Arial" w:hAnsi="Arial"/>
          <w:sz w:val="18"/>
          <w:szCs w:val="18"/>
          <w:color w:val="3C5896"/>
        </w:rPr>
      </w:pPr>
    </w:p>
    <w:p>
      <w:pPr>
        <w:ind w:left="1340" w:hanging="218"/>
        <w:spacing w:after="0"/>
        <w:tabs>
          <w:tab w:leader="none" w:pos="1340" w:val="left"/>
        </w:tabs>
        <w:numPr>
          <w:ilvl w:val="0"/>
          <w:numId w:val="36"/>
        </w:numPr>
        <w:rPr>
          <w:rFonts w:ascii="Arial" w:cs="Arial" w:eastAsia="Arial" w:hAnsi="Arial"/>
          <w:sz w:val="18"/>
          <w:szCs w:val="18"/>
          <w:color w:val="3C5896"/>
        </w:rPr>
      </w:pPr>
      <w:r>
        <w:rPr>
          <w:rFonts w:ascii="Arial" w:cs="Arial" w:eastAsia="Arial" w:hAnsi="Arial"/>
          <w:sz w:val="18"/>
          <w:szCs w:val="18"/>
          <w:color w:val="auto"/>
        </w:rPr>
        <w:t>Other Executive Officers: 3x annual base salary.</w:t>
      </w:r>
    </w:p>
    <w:p>
      <w:pPr>
        <w:spacing w:after="0" w:line="10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There is no required time period within which an executive officer must attain the applicable stock ownership level under the Guidelines. However, until the applicable ownership level is achieved, executive officers must retain 50% of vested shares net of stock option exercise and tax withholding.</w:t>
      </w:r>
    </w:p>
    <w:p>
      <w:pPr>
        <w:spacing w:after="0" w:line="94"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Shares that count toward these ownership guidelines include shares owned outright, shares held in the Company’s 401(k) or other retirement plan, shares of time-based restricted stock (whether vested or unvested) and vested stock options issued prior to the Company’s IPO. The retention requirement applies to all prior and future grants. As of the January 2, 2021, Messrs. Fahs, Moore and Brandman have met or exceeded their current ownership requirements and the remaining executive officers are subject to the restrictions in the guidelines until their ownership requirements are met.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Hedging and Pledging Policies</w:t>
      </w:r>
    </w:p>
    <w:p>
      <w:pPr>
        <w:spacing w:after="0" w:line="139" w:lineRule="exact"/>
        <w:rPr>
          <w:sz w:val="20"/>
          <w:szCs w:val="20"/>
          <w:color w:val="auto"/>
        </w:rPr>
      </w:pPr>
    </w:p>
    <w:p>
      <w:pPr>
        <w:jc w:val="both"/>
        <w:ind w:left="7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Our NEOs are subject to our hedging and pledging policies as outlined in the Company’s Securities Trading Policy described on page </w:t>
      </w:r>
      <w:hyperlink w:anchor="page23">
        <w:r>
          <w:rPr>
            <w:rFonts w:ascii="Arial" w:cs="Arial" w:eastAsia="Arial" w:hAnsi="Arial"/>
            <w:sz w:val="18"/>
            <w:szCs w:val="18"/>
            <w:u w:val="single" w:color="auto"/>
            <w:color w:val="0000EE"/>
          </w:rPr>
          <w:t>20</w:t>
        </w:r>
      </w:hyperlink>
      <w:r>
        <w:rPr>
          <w:rFonts w:ascii="Arial" w:cs="Arial" w:eastAsia="Arial" w:hAnsi="Arial"/>
          <w:sz w:val="18"/>
          <w:szCs w:val="18"/>
          <w:color w:val="auto"/>
        </w:rPr>
        <w: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Risk Assessment</w:t>
      </w:r>
    </w:p>
    <w:p>
      <w:pPr>
        <w:spacing w:after="0" w:line="13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The compensation committee, with the assistance of Meridian, reviewed our incentive programs to assess whether the programs encourage inappropriate risk-taking. Based on its review, the compensation committee concluded that risks arising from the company’s compensation plans, programs and policies, considered as a whole, including applicable risk-mitigation features, are not reasonably likely to have a material adverse effect on the company.</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Tax and Accounting Considerations</w:t>
      </w:r>
    </w:p>
    <w:p>
      <w:pPr>
        <w:spacing w:after="0" w:line="13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intent of our programs.</w:t>
      </w:r>
    </w:p>
    <w:p>
      <w:pPr>
        <w:spacing w:after="0" w:line="9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Section 162(m) of the Internal Revenue Code of 1986, as amended (the “Code”) generally disallows tax deductions to publicly-held companies for individual compensation over $1 million paid to certain executive officers in a taxable year. Historically, compensation above $1 million could be deducted if it was considered “performance-based compensation” within the meaning of the Code, but as a result of tax legislation enacted at the end of 2017, this exemption is no longer available. The Company may award compensation that is not exempt from the deduction limits of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sz w:val="1"/>
          <w:szCs w:val="1"/>
          <w:color w:val="auto"/>
        </w:rPr>
        <w:drawing>
          <wp:inline distT="0" distB="0" distL="0" distR="0">
            <wp:extent cx="29972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 Report</w:t>
      </w:r>
    </w:p>
    <w:p>
      <w:pPr>
        <w:spacing w:after="0" w:line="139"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incorporated by reference in the Annual Report on Form 10-K for the fiscal year ended January 2, 2021 filed with the Securities and Exchange Commission.</w:t>
      </w:r>
    </w:p>
    <w:p>
      <w:pPr>
        <w:spacing w:after="0" w:line="7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Thomas V. Taylor, Jr., Chair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Heather Cianfrocco</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Randy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6229985</wp:posOffset>
            </wp:positionV>
            <wp:extent cx="300355"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41</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Tables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3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NEOs for services rendered in all capacities for the fiscal years ended January 2, 2021, December 28, 2019 and December 29, 2018.</w:t>
      </w:r>
    </w:p>
    <w:p>
      <w:pPr>
        <w:spacing w:after="0" w:line="102" w:lineRule="exact"/>
        <w:rPr>
          <w:sz w:val="20"/>
          <w:szCs w:val="20"/>
          <w:color w:val="auto"/>
        </w:rPr>
      </w:pPr>
    </w:p>
    <w:tbl>
      <w:tblPr>
        <w:tblLayout w:type="fixed"/>
        <w:tblInd w:w="770" w:type="dxa"/>
        <w:tblCellMar>
          <w:top w:w="0" w:type="dxa"/>
          <w:left w:w="0" w:type="dxa"/>
          <w:bottom w:w="0" w:type="dxa"/>
          <w:right w:w="0" w:type="dxa"/>
        </w:tblCellMar>
      </w:tblPr>
      <w:tr>
        <w:trPr>
          <w:trHeight w:val="162"/>
        </w:trPr>
        <w:tc>
          <w:tcPr>
            <w:tcW w:w="1520" w:type="dxa"/>
            <w:vAlign w:val="bottom"/>
            <w:tcBorders>
              <w:top w:val="single" w:sz="8" w:color="3C5896"/>
              <w:left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420" w:type="dxa"/>
            <w:vAlign w:val="bottom"/>
            <w:tcBorders>
              <w:top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620" w:type="dxa"/>
            <w:vAlign w:val="bottom"/>
            <w:tcBorders>
              <w:top w:val="single" w:sz="8" w:color="3C5896"/>
              <w:right w:val="single" w:sz="8" w:color="9EACCA"/>
            </w:tcBorders>
            <w:shd w:val="clear" w:color="auto" w:fill="3C5896"/>
          </w:tcPr>
          <w:p>
            <w:pPr>
              <w:spacing w:after="0"/>
              <w:rPr>
                <w:sz w:val="14"/>
                <w:szCs w:val="14"/>
                <w:color w:val="auto"/>
              </w:rPr>
            </w:pPr>
          </w:p>
        </w:tc>
        <w:tc>
          <w:tcPr>
            <w:tcW w:w="120" w:type="dxa"/>
            <w:vAlign w:val="bottom"/>
            <w:tcBorders>
              <w:top w:val="single" w:sz="8" w:color="3C5896"/>
            </w:tcBorders>
            <w:shd w:val="clear" w:color="auto" w:fill="3C5896"/>
          </w:tcPr>
          <w:p>
            <w:pPr>
              <w:spacing w:after="0"/>
              <w:rPr>
                <w:sz w:val="14"/>
                <w:szCs w:val="14"/>
                <w:color w:val="auto"/>
              </w:rPr>
            </w:pPr>
          </w:p>
        </w:tc>
        <w:tc>
          <w:tcPr>
            <w:tcW w:w="580" w:type="dxa"/>
            <w:vAlign w:val="bottom"/>
            <w:tcBorders>
              <w:top w:val="single" w:sz="8" w:color="3C5896"/>
              <w:right w:val="single" w:sz="8" w:color="9EACCA"/>
            </w:tcBorders>
            <w:shd w:val="clear" w:color="auto" w:fill="3C5896"/>
          </w:tcPr>
          <w:p>
            <w:pPr>
              <w:spacing w:after="0"/>
              <w:rPr>
                <w:sz w:val="14"/>
                <w:szCs w:val="14"/>
                <w:color w:val="auto"/>
              </w:rPr>
            </w:pPr>
          </w:p>
        </w:tc>
        <w:tc>
          <w:tcPr>
            <w:tcW w:w="740" w:type="dxa"/>
            <w:vAlign w:val="bottom"/>
            <w:tcBorders>
              <w:top w:val="single" w:sz="8" w:color="3C5896"/>
              <w:right w:val="single" w:sz="8" w:color="9EACCA"/>
            </w:tcBorders>
            <w:shd w:val="clear" w:color="auto" w:fill="3C5896"/>
          </w:tcPr>
          <w:p>
            <w:pPr>
              <w:spacing w:after="0"/>
              <w:rPr>
                <w:sz w:val="14"/>
                <w:szCs w:val="14"/>
                <w:color w:val="auto"/>
              </w:rPr>
            </w:pPr>
          </w:p>
        </w:tc>
        <w:tc>
          <w:tcPr>
            <w:tcW w:w="60" w:type="dxa"/>
            <w:vAlign w:val="bottom"/>
            <w:tcBorders>
              <w:top w:val="single" w:sz="8" w:color="3C5896"/>
            </w:tcBorders>
            <w:shd w:val="clear" w:color="auto" w:fill="3C5896"/>
          </w:tcPr>
          <w:p>
            <w:pPr>
              <w:spacing w:after="0"/>
              <w:rPr>
                <w:sz w:val="14"/>
                <w:szCs w:val="14"/>
                <w:color w:val="auto"/>
              </w:rPr>
            </w:pPr>
          </w:p>
        </w:tc>
        <w:tc>
          <w:tcPr>
            <w:tcW w:w="720" w:type="dxa"/>
            <w:vAlign w:val="bottom"/>
            <w:tcBorders>
              <w:top w:val="single" w:sz="8" w:color="3C5896"/>
              <w:right w:val="single" w:sz="8" w:color="9EACCA"/>
            </w:tcBorders>
            <w:shd w:val="clear" w:color="auto" w:fill="3C5896"/>
          </w:tcPr>
          <w:p>
            <w:pPr>
              <w:spacing w:after="0"/>
              <w:rPr>
                <w:sz w:val="14"/>
                <w:szCs w:val="14"/>
                <w:color w:val="auto"/>
              </w:rPr>
            </w:pPr>
          </w:p>
        </w:tc>
        <w:tc>
          <w:tcPr>
            <w:tcW w:w="260" w:type="dxa"/>
            <w:vAlign w:val="bottom"/>
            <w:tcBorders>
              <w:top w:val="single" w:sz="8" w:color="3C5896"/>
            </w:tcBorders>
            <w:shd w:val="clear" w:color="auto" w:fill="3C5896"/>
          </w:tcPr>
          <w:p>
            <w:pPr>
              <w:spacing w:after="0"/>
              <w:rPr>
                <w:sz w:val="14"/>
                <w:szCs w:val="14"/>
                <w:color w:val="auto"/>
              </w:rPr>
            </w:pPr>
          </w:p>
        </w:tc>
        <w:tc>
          <w:tcPr>
            <w:tcW w:w="920" w:type="dxa"/>
            <w:vAlign w:val="bottom"/>
            <w:tcBorders>
              <w:top w:val="single" w:sz="8" w:color="3C5896"/>
              <w:right w:val="single" w:sz="8" w:color="9EACCA"/>
            </w:tcBorders>
            <w:shd w:val="clear" w:color="auto" w:fill="3C5896"/>
          </w:tcPr>
          <w:p>
            <w:pPr>
              <w:spacing w:after="0"/>
              <w:rPr>
                <w:sz w:val="14"/>
                <w:szCs w:val="14"/>
                <w:color w:val="auto"/>
              </w:rPr>
            </w:pPr>
          </w:p>
        </w:tc>
        <w:tc>
          <w:tcPr>
            <w:tcW w:w="1160" w:type="dxa"/>
            <w:vAlign w:val="bottom"/>
            <w:tcBorders>
              <w:top w:val="single" w:sz="8" w:color="3C5896"/>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Change in</w:t>
            </w:r>
          </w:p>
        </w:tc>
        <w:tc>
          <w:tcPr>
            <w:tcW w:w="300" w:type="dxa"/>
            <w:vAlign w:val="bottom"/>
            <w:tcBorders>
              <w:top w:val="single" w:sz="8" w:color="3C5896"/>
            </w:tcBorders>
            <w:shd w:val="clear" w:color="auto" w:fill="3C5896"/>
          </w:tcPr>
          <w:p>
            <w:pPr>
              <w:spacing w:after="0"/>
              <w:rPr>
                <w:sz w:val="14"/>
                <w:szCs w:val="14"/>
                <w:color w:val="auto"/>
              </w:rPr>
            </w:pPr>
          </w:p>
        </w:tc>
        <w:tc>
          <w:tcPr>
            <w:tcW w:w="860" w:type="dxa"/>
            <w:vAlign w:val="bottom"/>
            <w:tcBorders>
              <w:top w:val="single" w:sz="8" w:color="3C5896"/>
              <w:right w:val="single" w:sz="8" w:color="9EACCA"/>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720" w:type="dxa"/>
            <w:vAlign w:val="bottom"/>
            <w:tcBorders>
              <w:top w:val="single" w:sz="8" w:color="3C5896"/>
              <w:right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shd w:val="clear" w:color="auto" w:fill="3C5896"/>
          </w:tcPr>
          <w:p>
            <w:pPr>
              <w:spacing w:after="0"/>
              <w:rPr>
                <w:sz w:val="10"/>
                <w:szCs w:val="10"/>
                <w:color w:val="auto"/>
              </w:rPr>
            </w:pPr>
          </w:p>
        </w:tc>
        <w:tc>
          <w:tcPr>
            <w:tcW w:w="260" w:type="dxa"/>
            <w:vAlign w:val="bottom"/>
            <w:shd w:val="clear" w:color="auto" w:fill="3C5896"/>
          </w:tcPr>
          <w:p>
            <w:pPr>
              <w:spacing w:after="0"/>
              <w:rPr>
                <w:sz w:val="10"/>
                <w:szCs w:val="10"/>
                <w:color w:val="auto"/>
              </w:rPr>
            </w:pPr>
          </w:p>
        </w:tc>
        <w:tc>
          <w:tcPr>
            <w:tcW w:w="920" w:type="dxa"/>
            <w:vAlign w:val="bottom"/>
            <w:tcBorders>
              <w:right w:val="single" w:sz="8" w:color="9EACCA"/>
            </w:tcBorders>
            <w:shd w:val="clear" w:color="auto" w:fill="3C5896"/>
          </w:tcPr>
          <w:p>
            <w:pPr>
              <w:spacing w:after="0"/>
              <w:rPr>
                <w:sz w:val="10"/>
                <w:szCs w:val="10"/>
                <w:color w:val="auto"/>
              </w:rPr>
            </w:pP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4"/>
              </w:rPr>
              <w:t>Pension Value</w:t>
            </w:r>
          </w:p>
        </w:tc>
        <w:tc>
          <w:tcPr>
            <w:tcW w:w="300" w:type="dxa"/>
            <w:vAlign w:val="bottom"/>
            <w:shd w:val="clear" w:color="auto" w:fill="3C5896"/>
          </w:tcPr>
          <w:p>
            <w:pPr>
              <w:spacing w:after="0"/>
              <w:rPr>
                <w:sz w:val="10"/>
                <w:szCs w:val="10"/>
                <w:color w:val="auto"/>
              </w:rPr>
            </w:pPr>
          </w:p>
        </w:tc>
        <w:tc>
          <w:tcPr>
            <w:tcW w:w="860" w:type="dxa"/>
            <w:vAlign w:val="bottom"/>
            <w:tcBorders>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shd w:val="clear" w:color="auto" w:fill="3C5896"/>
          </w:tcPr>
          <w:p>
            <w:pPr>
              <w:spacing w:after="0"/>
              <w:rPr>
                <w:sz w:val="10"/>
                <w:szCs w:val="10"/>
                <w:color w:val="auto"/>
              </w:rPr>
            </w:pPr>
          </w:p>
        </w:tc>
        <w:tc>
          <w:tcPr>
            <w:tcW w:w="1180" w:type="dxa"/>
            <w:vAlign w:val="bottom"/>
            <w:tcBorders>
              <w:right w:val="single" w:sz="8" w:color="9EACCA"/>
            </w:tcBorders>
            <w:gridSpan w:val="2"/>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Non-Equity</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and Nonqualified</w:t>
            </w:r>
          </w:p>
        </w:tc>
        <w:tc>
          <w:tcPr>
            <w:tcW w:w="300" w:type="dxa"/>
            <w:vAlign w:val="bottom"/>
            <w:shd w:val="clear" w:color="auto" w:fill="3C5896"/>
          </w:tcPr>
          <w:p>
            <w:pPr>
              <w:spacing w:after="0"/>
              <w:rPr>
                <w:sz w:val="10"/>
                <w:szCs w:val="10"/>
                <w:color w:val="auto"/>
              </w:rPr>
            </w:pPr>
          </w:p>
        </w:tc>
        <w:tc>
          <w:tcPr>
            <w:tcW w:w="860" w:type="dxa"/>
            <w:vAlign w:val="bottom"/>
            <w:tcBorders>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3C5896"/>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shd w:val="clear" w:color="auto" w:fill="3C5896"/>
          </w:tcPr>
          <w:p>
            <w:pPr>
              <w:spacing w:after="0"/>
              <w:rPr>
                <w:sz w:val="10"/>
                <w:szCs w:val="10"/>
                <w:color w:val="auto"/>
              </w:rPr>
            </w:pPr>
          </w:p>
        </w:tc>
        <w:tc>
          <w:tcPr>
            <w:tcW w:w="740" w:type="dxa"/>
            <w:vAlign w:val="bottom"/>
            <w:tcBorders>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w w:val="95"/>
              </w:rPr>
              <w:t>Stock</w:t>
            </w: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vMerge w:val="restart"/>
            <w:shd w:val="clear" w:color="auto" w:fill="3C5896"/>
          </w:tcPr>
          <w:p>
            <w:pPr>
              <w:jc w:val="center"/>
              <w:ind w:right="51"/>
              <w:spacing w:after="0"/>
              <w:rPr>
                <w:sz w:val="20"/>
                <w:szCs w:val="20"/>
                <w:color w:val="auto"/>
              </w:rPr>
            </w:pPr>
            <w:r>
              <w:rPr>
                <w:rFonts w:ascii="Arial" w:cs="Arial" w:eastAsia="Arial" w:hAnsi="Arial"/>
                <w:sz w:val="13"/>
                <w:szCs w:val="13"/>
                <w:b w:val="1"/>
                <w:bCs w:val="1"/>
                <w:color w:val="FFFFFF"/>
                <w:w w:val="95"/>
              </w:rPr>
              <w:t>Option</w:t>
            </w:r>
          </w:p>
        </w:tc>
        <w:tc>
          <w:tcPr>
            <w:tcW w:w="1180" w:type="dxa"/>
            <w:vAlign w:val="bottom"/>
            <w:tcBorders>
              <w:right w:val="single" w:sz="8" w:color="9EACCA"/>
            </w:tcBorders>
            <w:gridSpan w:val="2"/>
            <w:vMerge w:val="continue"/>
            <w:shd w:val="clear" w:color="auto" w:fill="3C5896"/>
          </w:tcPr>
          <w:p>
            <w:pPr>
              <w:spacing w:after="0"/>
              <w:rPr>
                <w:sz w:val="10"/>
                <w:szCs w:val="10"/>
                <w:color w:val="auto"/>
              </w:rPr>
            </w:pP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Deferred</w:t>
            </w:r>
          </w:p>
        </w:tc>
        <w:tc>
          <w:tcPr>
            <w:tcW w:w="1160" w:type="dxa"/>
            <w:vAlign w:val="bottom"/>
            <w:tcBorders>
              <w:right w:val="single" w:sz="8" w:color="9EACCA"/>
            </w:tcBorders>
            <w:gridSpan w:val="2"/>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3C5896"/>
              <w:right w:val="single" w:sz="8" w:color="9EACCA"/>
            </w:tcBorders>
            <w:vMerge w:val="restart"/>
            <w:shd w:val="clear" w:color="auto" w:fill="3C5896"/>
          </w:tcPr>
          <w:p>
            <w:pPr>
              <w:ind w:left="160"/>
              <w:spacing w:after="0"/>
              <w:rPr>
                <w:sz w:val="20"/>
                <w:szCs w:val="20"/>
                <w:color w:val="auto"/>
              </w:rPr>
            </w:pPr>
            <w:r>
              <w:rPr>
                <w:rFonts w:ascii="Arial" w:cs="Arial" w:eastAsia="Arial" w:hAnsi="Arial"/>
                <w:sz w:val="13"/>
                <w:szCs w:val="13"/>
                <w:b w:val="1"/>
                <w:bCs w:val="1"/>
                <w:color w:val="FFFFFF"/>
              </w:rPr>
              <w:t>Name and Principal</w:t>
            </w: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vMerge w:val="restart"/>
            <w:shd w:val="clear" w:color="auto" w:fill="3C5896"/>
          </w:tcPr>
          <w:p>
            <w:pPr>
              <w:ind w:left="60"/>
              <w:spacing w:after="0"/>
              <w:rPr>
                <w:sz w:val="20"/>
                <w:szCs w:val="20"/>
                <w:color w:val="auto"/>
              </w:rPr>
            </w:pPr>
            <w:r>
              <w:rPr>
                <w:rFonts w:ascii="Arial" w:cs="Arial" w:eastAsia="Arial" w:hAnsi="Arial"/>
                <w:sz w:val="13"/>
                <w:szCs w:val="13"/>
                <w:b w:val="1"/>
                <w:bCs w:val="1"/>
                <w:color w:val="FFFFFF"/>
              </w:rPr>
              <w:t>Salary</w:t>
            </w: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vMerge w:val="restart"/>
            <w:shd w:val="clear" w:color="auto" w:fill="3C5896"/>
          </w:tcPr>
          <w:p>
            <w:pPr>
              <w:jc w:val="right"/>
              <w:ind w:right="110"/>
              <w:spacing w:after="0"/>
              <w:rPr>
                <w:sz w:val="20"/>
                <w:szCs w:val="20"/>
                <w:color w:val="auto"/>
              </w:rPr>
            </w:pPr>
            <w:r>
              <w:rPr>
                <w:rFonts w:ascii="Arial" w:cs="Arial" w:eastAsia="Arial" w:hAnsi="Arial"/>
                <w:sz w:val="13"/>
                <w:szCs w:val="13"/>
                <w:b w:val="1"/>
                <w:bCs w:val="1"/>
                <w:color w:val="FFFFFF"/>
                <w:w w:val="93"/>
              </w:rPr>
              <w:t>Bonus</w:t>
            </w:r>
          </w:p>
        </w:tc>
        <w:tc>
          <w:tcPr>
            <w:tcW w:w="740" w:type="dxa"/>
            <w:vAlign w:val="bottom"/>
            <w:tcBorders>
              <w:right w:val="single" w:sz="8" w:color="9EACCA"/>
            </w:tcBorders>
            <w:vMerge w:val="continue"/>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vMerge w:val="continue"/>
            <w:shd w:val="clear" w:color="auto" w:fill="3C5896"/>
          </w:tcPr>
          <w:p>
            <w:pPr>
              <w:spacing w:after="0"/>
              <w:rPr>
                <w:sz w:val="10"/>
                <w:szCs w:val="10"/>
                <w:color w:val="auto"/>
              </w:rPr>
            </w:pPr>
          </w:p>
        </w:tc>
        <w:tc>
          <w:tcPr>
            <w:tcW w:w="118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Incentive Plan</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1160" w:type="dxa"/>
            <w:vAlign w:val="bottom"/>
            <w:tcBorders>
              <w:right w:val="single" w:sz="8" w:color="9EACCA"/>
            </w:tcBorders>
            <w:gridSpan w:val="2"/>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vMerge w:val="restart"/>
            <w:shd w:val="clear" w:color="auto" w:fill="3C5896"/>
          </w:tcPr>
          <w:p>
            <w:pPr>
              <w:jc w:val="right"/>
              <w:ind w:right="19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22"/>
        </w:trPr>
        <w:tc>
          <w:tcPr>
            <w:tcW w:w="1520" w:type="dxa"/>
            <w:vAlign w:val="bottom"/>
            <w:tcBorders>
              <w:left w:val="single" w:sz="8" w:color="3C5896"/>
              <w:right w:val="single" w:sz="8" w:color="9EACCA"/>
            </w:tcBorders>
            <w:vMerge w:val="continue"/>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420" w:type="dxa"/>
            <w:vAlign w:val="bottom"/>
            <w:tcBorders>
              <w:right w:val="single" w:sz="8" w:color="9EACCA"/>
            </w:tcBorders>
            <w:vMerge w:val="restart"/>
            <w:shd w:val="clear" w:color="auto" w:fill="3C5896"/>
          </w:tcPr>
          <w:p>
            <w:pPr>
              <w:jc w:val="center"/>
              <w:ind w:right="50"/>
              <w:spacing w:after="0"/>
              <w:rPr>
                <w:sz w:val="20"/>
                <w:szCs w:val="20"/>
                <w:color w:val="auto"/>
              </w:rPr>
            </w:pPr>
            <w:r>
              <w:rPr>
                <w:rFonts w:ascii="Arial" w:cs="Arial" w:eastAsia="Arial" w:hAnsi="Arial"/>
                <w:sz w:val="13"/>
                <w:szCs w:val="13"/>
                <w:b w:val="1"/>
                <w:bCs w:val="1"/>
                <w:color w:val="FFFFFF"/>
                <w:w w:val="92"/>
              </w:rPr>
              <w:t>Year</w:t>
            </w:r>
          </w:p>
        </w:tc>
        <w:tc>
          <w:tcPr>
            <w:tcW w:w="80" w:type="dxa"/>
            <w:vAlign w:val="bottom"/>
            <w:shd w:val="clear" w:color="auto" w:fill="3C5896"/>
          </w:tcPr>
          <w:p>
            <w:pPr>
              <w:spacing w:after="0"/>
              <w:rPr>
                <w:sz w:val="10"/>
                <w:szCs w:val="10"/>
                <w:color w:val="auto"/>
              </w:rPr>
            </w:pPr>
          </w:p>
        </w:tc>
        <w:tc>
          <w:tcPr>
            <w:tcW w:w="620" w:type="dxa"/>
            <w:vAlign w:val="bottom"/>
            <w:tcBorders>
              <w:right w:val="single" w:sz="8" w:color="9EACCA"/>
            </w:tcBorders>
            <w:vMerge w:val="continue"/>
            <w:shd w:val="clear" w:color="auto" w:fill="3C5896"/>
          </w:tcPr>
          <w:p>
            <w:pPr>
              <w:spacing w:after="0"/>
              <w:rPr>
                <w:sz w:val="10"/>
                <w:szCs w:val="10"/>
                <w:color w:val="auto"/>
              </w:rPr>
            </w:pPr>
          </w:p>
        </w:tc>
        <w:tc>
          <w:tcPr>
            <w:tcW w:w="120" w:type="dxa"/>
            <w:vAlign w:val="bottom"/>
            <w:shd w:val="clear" w:color="auto" w:fill="3C5896"/>
          </w:tcPr>
          <w:p>
            <w:pPr>
              <w:spacing w:after="0"/>
              <w:rPr>
                <w:sz w:val="10"/>
                <w:szCs w:val="10"/>
                <w:color w:val="auto"/>
              </w:rPr>
            </w:pPr>
          </w:p>
        </w:tc>
        <w:tc>
          <w:tcPr>
            <w:tcW w:w="580" w:type="dxa"/>
            <w:vAlign w:val="bottom"/>
            <w:tcBorders>
              <w:right w:val="single" w:sz="8" w:color="9EACCA"/>
            </w:tcBorders>
            <w:vMerge w:val="continue"/>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ind w:right="10"/>
              <w:spacing w:after="0" w:line="122" w:lineRule="exact"/>
              <w:rPr>
                <w:sz w:val="20"/>
                <w:szCs w:val="20"/>
                <w:color w:val="auto"/>
              </w:rPr>
            </w:pPr>
            <w:r>
              <w:rPr>
                <w:rFonts w:ascii="Arial" w:cs="Arial" w:eastAsia="Arial" w:hAnsi="Arial"/>
                <w:sz w:val="13"/>
                <w:szCs w:val="13"/>
                <w:b w:val="1"/>
                <w:bCs w:val="1"/>
                <w:color w:val="FFFFFF"/>
                <w:w w:val="97"/>
              </w:rPr>
              <w:t>Awards</w:t>
            </w:r>
          </w:p>
        </w:tc>
        <w:tc>
          <w:tcPr>
            <w:tcW w:w="60" w:type="dxa"/>
            <w:vAlign w:val="bottom"/>
            <w:shd w:val="clear" w:color="auto" w:fill="3C5896"/>
          </w:tcPr>
          <w:p>
            <w:pPr>
              <w:spacing w:after="0"/>
              <w:rPr>
                <w:sz w:val="10"/>
                <w:szCs w:val="10"/>
                <w:color w:val="auto"/>
              </w:rPr>
            </w:pPr>
          </w:p>
        </w:tc>
        <w:tc>
          <w:tcPr>
            <w:tcW w:w="720" w:type="dxa"/>
            <w:vAlign w:val="bottom"/>
            <w:tcBorders>
              <w:right w:val="single" w:sz="8" w:color="9EACCA"/>
            </w:tcBorders>
            <w:shd w:val="clear" w:color="auto" w:fill="3C5896"/>
          </w:tcPr>
          <w:p>
            <w:pPr>
              <w:jc w:val="center"/>
              <w:ind w:right="51"/>
              <w:spacing w:after="0" w:line="122" w:lineRule="exact"/>
              <w:rPr>
                <w:sz w:val="20"/>
                <w:szCs w:val="20"/>
                <w:color w:val="auto"/>
              </w:rPr>
            </w:pPr>
            <w:r>
              <w:rPr>
                <w:rFonts w:ascii="Arial" w:cs="Arial" w:eastAsia="Arial" w:hAnsi="Arial"/>
                <w:sz w:val="13"/>
                <w:szCs w:val="13"/>
                <w:b w:val="1"/>
                <w:bCs w:val="1"/>
                <w:color w:val="FFFFFF"/>
                <w:w w:val="93"/>
              </w:rPr>
              <w:t>Awards</w:t>
            </w:r>
          </w:p>
        </w:tc>
        <w:tc>
          <w:tcPr>
            <w:tcW w:w="118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6"/>
              </w:rPr>
              <w:t>Earnings</w:t>
            </w:r>
          </w:p>
        </w:tc>
        <w:tc>
          <w:tcPr>
            <w:tcW w:w="1160" w:type="dxa"/>
            <w:vAlign w:val="bottom"/>
            <w:tcBorders>
              <w:right w:val="single" w:sz="8" w:color="9EACCA"/>
            </w:tcBorders>
            <w:gridSpan w:val="2"/>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40" w:type="dxa"/>
            <w:vAlign w:val="bottom"/>
            <w:shd w:val="clear" w:color="auto" w:fill="3C5896"/>
          </w:tcPr>
          <w:p>
            <w:pPr>
              <w:spacing w:after="0"/>
              <w:rPr>
                <w:sz w:val="10"/>
                <w:szCs w:val="10"/>
                <w:color w:val="auto"/>
              </w:rPr>
            </w:pPr>
          </w:p>
        </w:tc>
        <w:tc>
          <w:tcPr>
            <w:tcW w:w="720" w:type="dxa"/>
            <w:vAlign w:val="bottom"/>
            <w:tcBorders>
              <w:right w:val="single" w:sz="8" w:color="3C5896"/>
            </w:tcBorders>
            <w:vMerge w:val="continue"/>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3C5896"/>
              <w:bottom w:val="single" w:sz="8" w:color="auto"/>
              <w:right w:val="single" w:sz="8" w:color="9EACCA"/>
            </w:tcBorders>
            <w:shd w:val="clear" w:color="auto" w:fill="3C5896"/>
          </w:tcPr>
          <w:p>
            <w:pPr>
              <w:ind w:left="520"/>
              <w:spacing w:after="0"/>
              <w:rPr>
                <w:sz w:val="20"/>
                <w:szCs w:val="20"/>
                <w:color w:val="auto"/>
              </w:rPr>
            </w:pPr>
            <w:r>
              <w:rPr>
                <w:rFonts w:ascii="Arial" w:cs="Arial" w:eastAsia="Arial" w:hAnsi="Arial"/>
                <w:sz w:val="13"/>
                <w:szCs w:val="13"/>
                <w:b w:val="1"/>
                <w:bCs w:val="1"/>
                <w:color w:val="FFFFFF"/>
              </w:rPr>
              <w:t>Position</w:t>
            </w:r>
          </w:p>
        </w:tc>
        <w:tc>
          <w:tcPr>
            <w:tcW w:w="80" w:type="dxa"/>
            <w:vAlign w:val="bottom"/>
            <w:tcBorders>
              <w:bottom w:val="single" w:sz="8" w:color="auto"/>
            </w:tcBorders>
            <w:shd w:val="clear" w:color="auto" w:fill="3C5896"/>
          </w:tcPr>
          <w:p>
            <w:pPr>
              <w:spacing w:after="0"/>
              <w:rPr>
                <w:sz w:val="17"/>
                <w:szCs w:val="17"/>
                <w:color w:val="auto"/>
              </w:rPr>
            </w:pPr>
          </w:p>
        </w:tc>
        <w:tc>
          <w:tcPr>
            <w:tcW w:w="420" w:type="dxa"/>
            <w:vAlign w:val="bottom"/>
            <w:tcBorders>
              <w:bottom w:val="single" w:sz="8" w:color="auto"/>
              <w:right w:val="single" w:sz="8" w:color="9EACCA"/>
            </w:tcBorders>
            <w:vMerge w:val="continue"/>
            <w:shd w:val="clear" w:color="auto" w:fill="3C5896"/>
          </w:tcPr>
          <w:p>
            <w:pPr>
              <w:spacing w:after="0"/>
              <w:rPr>
                <w:sz w:val="17"/>
                <w:szCs w:val="17"/>
                <w:color w:val="auto"/>
              </w:rPr>
            </w:pPr>
          </w:p>
        </w:tc>
        <w:tc>
          <w:tcPr>
            <w:tcW w:w="700" w:type="dxa"/>
            <w:vAlign w:val="bottom"/>
            <w:tcBorders>
              <w:bottom w:val="single" w:sz="8" w:color="auto"/>
              <w:right w:val="single" w:sz="8" w:color="9EACCA"/>
            </w:tcBorders>
            <w:gridSpan w:val="2"/>
            <w:shd w:val="clear" w:color="auto" w:fill="3C5896"/>
          </w:tcPr>
          <w:p>
            <w:pPr>
              <w:jc w:val="center"/>
              <w:spacing w:after="0" w:line="203"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(2)</w:t>
            </w:r>
          </w:p>
        </w:tc>
        <w:tc>
          <w:tcPr>
            <w:tcW w:w="700" w:type="dxa"/>
            <w:vAlign w:val="bottom"/>
            <w:tcBorders>
              <w:bottom w:val="single" w:sz="8" w:color="auto"/>
              <w:right w:val="single" w:sz="8" w:color="9EACCA"/>
            </w:tcBorders>
            <w:gridSpan w:val="2"/>
            <w:shd w:val="clear" w:color="auto" w:fill="3C5896"/>
          </w:tcPr>
          <w:p>
            <w:pPr>
              <w:jc w:val="right"/>
              <w:ind w:right="150"/>
              <w:spacing w:after="0" w:line="203"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9"/>
                <w:szCs w:val="19"/>
                <w:b w:val="1"/>
                <w:bCs w:val="1"/>
                <w:color w:val="FFFFFF"/>
                <w:vertAlign w:val="superscript"/>
              </w:rPr>
              <w:t>(3)</w:t>
            </w:r>
          </w:p>
        </w:tc>
        <w:tc>
          <w:tcPr>
            <w:tcW w:w="740" w:type="dxa"/>
            <w:vAlign w:val="bottom"/>
            <w:tcBorders>
              <w:bottom w:val="single" w:sz="8" w:color="auto"/>
              <w:right w:val="single" w:sz="8" w:color="9EACCA"/>
            </w:tcBorders>
            <w:shd w:val="clear" w:color="auto" w:fill="3C5896"/>
          </w:tcPr>
          <w:p>
            <w:pPr>
              <w:jc w:val="center"/>
              <w:spacing w:after="0" w:line="203"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9"/>
                <w:szCs w:val="19"/>
                <w:b w:val="1"/>
                <w:bCs w:val="1"/>
                <w:color w:val="FFFFFF"/>
                <w:w w:val="82"/>
                <w:vertAlign w:val="superscript"/>
              </w:rPr>
              <w:t>(4)</w:t>
            </w:r>
          </w:p>
        </w:tc>
        <w:tc>
          <w:tcPr>
            <w:tcW w:w="780" w:type="dxa"/>
            <w:vAlign w:val="bottom"/>
            <w:tcBorders>
              <w:bottom w:val="single" w:sz="8" w:color="auto"/>
              <w:right w:val="single" w:sz="8" w:color="9EACCA"/>
            </w:tcBorders>
            <w:gridSpan w:val="2"/>
            <w:shd w:val="clear" w:color="auto" w:fill="3C5896"/>
          </w:tcPr>
          <w:p>
            <w:pPr>
              <w:jc w:val="center"/>
              <w:spacing w:after="0" w:line="203"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(5)</w:t>
            </w:r>
          </w:p>
        </w:tc>
        <w:tc>
          <w:tcPr>
            <w:tcW w:w="1180" w:type="dxa"/>
            <w:vAlign w:val="bottom"/>
            <w:tcBorders>
              <w:bottom w:val="single" w:sz="8" w:color="auto"/>
              <w:right w:val="single" w:sz="8" w:color="9EACCA"/>
            </w:tcBorders>
            <w:gridSpan w:val="2"/>
            <w:shd w:val="clear" w:color="auto" w:fill="3C5896"/>
          </w:tcPr>
          <w:p>
            <w:pPr>
              <w:jc w:val="center"/>
              <w:spacing w:after="0" w:line="203"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(6)</w:t>
            </w:r>
          </w:p>
        </w:tc>
        <w:tc>
          <w:tcPr>
            <w:tcW w:w="1160" w:type="dxa"/>
            <w:vAlign w:val="bottom"/>
            <w:tcBorders>
              <w:bottom w:val="single" w:sz="8" w:color="auto"/>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c>
          <w:tcPr>
            <w:tcW w:w="1160" w:type="dxa"/>
            <w:vAlign w:val="bottom"/>
            <w:tcBorders>
              <w:bottom w:val="single" w:sz="8" w:color="auto"/>
              <w:right w:val="single" w:sz="8" w:color="9EACCA"/>
            </w:tcBorders>
            <w:gridSpan w:val="2"/>
            <w:shd w:val="clear" w:color="auto" w:fill="3C5896"/>
          </w:tcPr>
          <w:p>
            <w:pPr>
              <w:jc w:val="center"/>
              <w:spacing w:after="0" w:line="203"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9"/>
                <w:szCs w:val="19"/>
                <w:b w:val="1"/>
                <w:bCs w:val="1"/>
                <w:color w:val="FFFFFF"/>
                <w:w w:val="82"/>
                <w:vertAlign w:val="superscript"/>
              </w:rPr>
              <w:t>(7)</w:t>
            </w:r>
          </w:p>
        </w:tc>
        <w:tc>
          <w:tcPr>
            <w:tcW w:w="760" w:type="dxa"/>
            <w:vAlign w:val="bottom"/>
            <w:tcBorders>
              <w:bottom w:val="single" w:sz="8" w:color="auto"/>
              <w:right w:val="single" w:sz="8" w:color="3C5896"/>
            </w:tcBorders>
            <w:gridSpan w:val="2"/>
            <w:shd w:val="clear" w:color="auto" w:fill="3C5896"/>
          </w:tcPr>
          <w:p>
            <w:pPr>
              <w:jc w:val="right"/>
              <w:ind w:right="25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1"/>
        </w:trPr>
        <w:tc>
          <w:tcPr>
            <w:tcW w:w="1520" w:type="dxa"/>
            <w:vAlign w:val="bottom"/>
            <w:tcBorders>
              <w:left w:val="single" w:sz="8" w:color="3C5896"/>
              <w:right w:val="single" w:sz="8" w:color="9EACCA"/>
            </w:tcBorders>
          </w:tcPr>
          <w:p>
            <w:pPr>
              <w:ind w:left="20"/>
              <w:spacing w:after="0"/>
              <w:rPr>
                <w:sz w:val="20"/>
                <w:szCs w:val="20"/>
                <w:color w:val="auto"/>
              </w:rPr>
            </w:pPr>
            <w:r>
              <w:rPr>
                <w:rFonts w:ascii="Arial" w:cs="Arial" w:eastAsia="Arial" w:hAnsi="Arial"/>
                <w:sz w:val="14"/>
                <w:szCs w:val="14"/>
                <w:color w:val="auto"/>
              </w:rPr>
              <w:t>L. Reade Fahs</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743,827</w:t>
            </w:r>
          </w:p>
        </w:tc>
        <w:tc>
          <w:tcPr>
            <w:tcW w:w="700" w:type="dxa"/>
            <w:vAlign w:val="bottom"/>
            <w:tcBorders>
              <w:right w:val="single" w:sz="8" w:color="9EACCA"/>
            </w:tcBorders>
            <w:gridSpan w:val="2"/>
          </w:tcPr>
          <w:p>
            <w:pPr>
              <w:jc w:val="right"/>
              <w:ind w:right="70"/>
              <w:spacing w:after="0"/>
              <w:rPr>
                <w:sz w:val="20"/>
                <w:szCs w:val="20"/>
                <w:color w:val="auto"/>
              </w:rPr>
            </w:pPr>
            <w:r>
              <w:rPr>
                <w:rFonts w:ascii="Arial" w:cs="Arial" w:eastAsia="Arial" w:hAnsi="Arial"/>
                <w:sz w:val="14"/>
                <w:szCs w:val="14"/>
                <w:color w:val="auto"/>
              </w:rPr>
              <w:t>83,849</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1,687,551</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562,508</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871,151</w:t>
            </w:r>
          </w:p>
        </w:tc>
        <w:tc>
          <w:tcPr>
            <w:tcW w:w="500" w:type="dxa"/>
            <w:vAlign w:val="bottom"/>
          </w:tcPr>
          <w:p>
            <w:pPr>
              <w:spacing w:after="0"/>
              <w:rPr>
                <w:sz w:val="17"/>
                <w:szCs w:val="17"/>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27,442</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3,976,328</w:t>
            </w: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Chief Executive</w:t>
            </w: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2019</w:t>
            </w:r>
          </w:p>
        </w:tc>
        <w:tc>
          <w:tcPr>
            <w:tcW w:w="7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919,211</w:t>
            </w:r>
          </w:p>
        </w:tc>
        <w:tc>
          <w:tcPr>
            <w:tcW w:w="120" w:type="dxa"/>
            <w:vAlign w:val="bottom"/>
          </w:tcPr>
          <w:p>
            <w:pPr>
              <w:spacing w:after="0"/>
              <w:rPr>
                <w:sz w:val="14"/>
                <w:szCs w:val="14"/>
                <w:color w:val="auto"/>
              </w:rPr>
            </w:pPr>
          </w:p>
        </w:tc>
        <w:tc>
          <w:tcPr>
            <w:tcW w:w="580" w:type="dxa"/>
            <w:vAlign w:val="bottom"/>
            <w:tcBorders>
              <w:right w:val="single" w:sz="8" w:color="9EACCA"/>
            </w:tcBorders>
            <w:vMerge w:val="restart"/>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4"/>
                <w:szCs w:val="14"/>
                <w:color w:val="auto"/>
              </w:rPr>
              <w:t>1,125,024</w:t>
            </w:r>
          </w:p>
        </w:tc>
        <w:tc>
          <w:tcPr>
            <w:tcW w:w="780" w:type="dxa"/>
            <w:vAlign w:val="bottom"/>
            <w:tcBorders>
              <w:right w:val="single" w:sz="8" w:color="9EACCA"/>
            </w:tcBorders>
            <w:gridSpan w:val="2"/>
            <w:vMerge w:val="restart"/>
          </w:tcPr>
          <w:p>
            <w:pPr>
              <w:jc w:val="right"/>
              <w:ind w:right="11"/>
              <w:spacing w:after="0"/>
              <w:rPr>
                <w:sz w:val="20"/>
                <w:szCs w:val="20"/>
                <w:color w:val="auto"/>
              </w:rPr>
            </w:pPr>
            <w:r>
              <w:rPr>
                <w:rFonts w:ascii="Arial" w:cs="Arial" w:eastAsia="Arial" w:hAnsi="Arial"/>
                <w:sz w:val="14"/>
                <w:szCs w:val="14"/>
                <w:color w:val="auto"/>
              </w:rPr>
              <w:t>1,125,001</w:t>
            </w:r>
          </w:p>
        </w:tc>
        <w:tc>
          <w:tcPr>
            <w:tcW w:w="1180" w:type="dxa"/>
            <w:vAlign w:val="bottom"/>
            <w:tcBorders>
              <w:right w:val="single" w:sz="8" w:color="9EACCA"/>
            </w:tcBorders>
            <w:gridSpan w:val="2"/>
            <w:vMerge w:val="restart"/>
          </w:tcPr>
          <w:p>
            <w:pPr>
              <w:jc w:val="right"/>
              <w:ind w:right="208"/>
              <w:spacing w:after="0"/>
              <w:rPr>
                <w:sz w:val="20"/>
                <w:szCs w:val="20"/>
                <w:color w:val="auto"/>
              </w:rPr>
            </w:pPr>
            <w:r>
              <w:rPr>
                <w:rFonts w:ascii="Arial" w:cs="Arial" w:eastAsia="Arial" w:hAnsi="Arial"/>
                <w:sz w:val="14"/>
                <w:szCs w:val="14"/>
                <w:color w:val="auto"/>
              </w:rPr>
              <w:t>1,281,776</w:t>
            </w:r>
          </w:p>
        </w:tc>
        <w:tc>
          <w:tcPr>
            <w:tcW w:w="500" w:type="dxa"/>
            <w:vAlign w:val="bottom"/>
          </w:tcPr>
          <w:p>
            <w:pPr>
              <w:spacing w:after="0"/>
              <w:rPr>
                <w:sz w:val="14"/>
                <w:szCs w:val="14"/>
                <w:color w:val="auto"/>
              </w:rPr>
            </w:pPr>
          </w:p>
        </w:tc>
        <w:tc>
          <w:tcPr>
            <w:tcW w:w="660" w:type="dxa"/>
            <w:vAlign w:val="bottom"/>
            <w:tcBorders>
              <w:right w:val="single" w:sz="8" w:color="9EACCA"/>
            </w:tcBorders>
            <w:vMerge w:val="restart"/>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vMerge w:val="restart"/>
          </w:tcPr>
          <w:p>
            <w:pPr>
              <w:jc w:val="right"/>
              <w:ind w:right="248"/>
              <w:spacing w:after="0"/>
              <w:rPr>
                <w:sz w:val="20"/>
                <w:szCs w:val="20"/>
                <w:color w:val="auto"/>
              </w:rPr>
            </w:pPr>
            <w:r>
              <w:rPr>
                <w:rFonts w:ascii="Arial" w:cs="Arial" w:eastAsia="Arial" w:hAnsi="Arial"/>
                <w:sz w:val="14"/>
                <w:szCs w:val="14"/>
                <w:color w:val="auto"/>
              </w:rPr>
              <w:t>36,815</w:t>
            </w:r>
          </w:p>
        </w:tc>
        <w:tc>
          <w:tcPr>
            <w:tcW w:w="760" w:type="dxa"/>
            <w:vAlign w:val="bottom"/>
            <w:tcBorders>
              <w:right w:val="single" w:sz="8" w:color="3C5896"/>
            </w:tcBorders>
            <w:gridSpan w:val="2"/>
            <w:vMerge w:val="restart"/>
          </w:tcPr>
          <w:p>
            <w:pPr>
              <w:jc w:val="right"/>
              <w:ind w:right="10"/>
              <w:spacing w:after="0"/>
              <w:rPr>
                <w:sz w:val="20"/>
                <w:szCs w:val="20"/>
                <w:color w:val="auto"/>
              </w:rPr>
            </w:pPr>
            <w:r>
              <w:rPr>
                <w:rFonts w:ascii="Arial" w:cs="Arial" w:eastAsia="Arial" w:hAnsi="Arial"/>
                <w:sz w:val="14"/>
                <w:szCs w:val="14"/>
                <w:color w:val="auto"/>
              </w:rPr>
              <w:t>4,487,827</w:t>
            </w:r>
          </w:p>
        </w:tc>
        <w:tc>
          <w:tcPr>
            <w:tcW w:w="0" w:type="dxa"/>
            <w:vAlign w:val="bottom"/>
          </w:tcPr>
          <w:p>
            <w:pPr>
              <w:spacing w:after="0"/>
              <w:rPr>
                <w:sz w:val="1"/>
                <w:szCs w:val="1"/>
                <w:color w:val="auto"/>
              </w:rPr>
            </w:pPr>
          </w:p>
        </w:tc>
      </w:tr>
      <w:tr>
        <w:trPr>
          <w:trHeight w:val="78"/>
        </w:trPr>
        <w:tc>
          <w:tcPr>
            <w:tcW w:w="1520" w:type="dxa"/>
            <w:vAlign w:val="bottom"/>
            <w:tcBorders>
              <w:left w:val="single" w:sz="8" w:color="3C5896"/>
              <w:right w:val="single" w:sz="8" w:color="9EACCA"/>
            </w:tcBorders>
            <w:vMerge w:val="restart"/>
          </w:tcPr>
          <w:p>
            <w:pPr>
              <w:ind w:left="180"/>
              <w:spacing w:after="0"/>
              <w:rPr>
                <w:sz w:val="20"/>
                <w:szCs w:val="20"/>
                <w:color w:val="auto"/>
              </w:rPr>
            </w:pPr>
            <w:r>
              <w:rPr>
                <w:rFonts w:ascii="Arial" w:cs="Arial" w:eastAsia="Arial" w:hAnsi="Arial"/>
                <w:sz w:val="14"/>
                <w:szCs w:val="14"/>
                <w:color w:val="auto"/>
              </w:rPr>
              <w:t>Officer</w:t>
            </w:r>
          </w:p>
        </w:tc>
        <w:tc>
          <w:tcPr>
            <w:tcW w:w="500" w:type="dxa"/>
            <w:vAlign w:val="bottom"/>
            <w:tcBorders>
              <w:right w:val="single" w:sz="8" w:color="9EACCA"/>
            </w:tcBorders>
            <w:gridSpan w:val="2"/>
            <w:vMerge w:val="continue"/>
          </w:tcPr>
          <w:p>
            <w:pPr>
              <w:spacing w:after="0"/>
              <w:rPr>
                <w:sz w:val="6"/>
                <w:szCs w:val="6"/>
                <w:color w:val="auto"/>
              </w:rPr>
            </w:pPr>
          </w:p>
        </w:tc>
        <w:tc>
          <w:tcPr>
            <w:tcW w:w="700" w:type="dxa"/>
            <w:vAlign w:val="bottom"/>
            <w:tcBorders>
              <w:right w:val="single" w:sz="8" w:color="9EACCA"/>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9EACCA"/>
            </w:tcBorders>
            <w:vMerge w:val="continue"/>
          </w:tcPr>
          <w:p>
            <w:pPr>
              <w:spacing w:after="0"/>
              <w:rPr>
                <w:sz w:val="6"/>
                <w:szCs w:val="6"/>
                <w:color w:val="auto"/>
              </w:rPr>
            </w:pPr>
          </w:p>
        </w:tc>
        <w:tc>
          <w:tcPr>
            <w:tcW w:w="740" w:type="dxa"/>
            <w:vAlign w:val="bottom"/>
            <w:tcBorders>
              <w:right w:val="single" w:sz="8" w:color="9EACCA"/>
            </w:tcBorders>
            <w:vMerge w:val="continue"/>
          </w:tcPr>
          <w:p>
            <w:pPr>
              <w:spacing w:after="0"/>
              <w:rPr>
                <w:sz w:val="6"/>
                <w:szCs w:val="6"/>
                <w:color w:val="auto"/>
              </w:rPr>
            </w:pPr>
          </w:p>
        </w:tc>
        <w:tc>
          <w:tcPr>
            <w:tcW w:w="780" w:type="dxa"/>
            <w:vAlign w:val="bottom"/>
            <w:tcBorders>
              <w:right w:val="single" w:sz="8" w:color="9EACCA"/>
            </w:tcBorders>
            <w:gridSpan w:val="2"/>
            <w:vMerge w:val="continue"/>
          </w:tcPr>
          <w:p>
            <w:pPr>
              <w:spacing w:after="0"/>
              <w:rPr>
                <w:sz w:val="6"/>
                <w:szCs w:val="6"/>
                <w:color w:val="auto"/>
              </w:rPr>
            </w:pPr>
          </w:p>
        </w:tc>
        <w:tc>
          <w:tcPr>
            <w:tcW w:w="1180" w:type="dxa"/>
            <w:vAlign w:val="bottom"/>
            <w:tcBorders>
              <w:right w:val="single" w:sz="8" w:color="9EACCA"/>
            </w:tcBorders>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Borders>
              <w:right w:val="single" w:sz="8" w:color="9EACCA"/>
            </w:tcBorders>
            <w:vMerge w:val="continue"/>
          </w:tcPr>
          <w:p>
            <w:pPr>
              <w:spacing w:after="0"/>
              <w:rPr>
                <w:sz w:val="6"/>
                <w:szCs w:val="6"/>
                <w:color w:val="auto"/>
              </w:rPr>
            </w:pPr>
          </w:p>
        </w:tc>
        <w:tc>
          <w:tcPr>
            <w:tcW w:w="1160" w:type="dxa"/>
            <w:vAlign w:val="bottom"/>
            <w:tcBorders>
              <w:right w:val="single" w:sz="8" w:color="9EACCA"/>
            </w:tcBorders>
            <w:gridSpan w:val="2"/>
            <w:vMerge w:val="continue"/>
          </w:tcPr>
          <w:p>
            <w:pPr>
              <w:spacing w:after="0"/>
              <w:rPr>
                <w:sz w:val="6"/>
                <w:szCs w:val="6"/>
                <w:color w:val="auto"/>
              </w:rPr>
            </w:pPr>
          </w:p>
        </w:tc>
        <w:tc>
          <w:tcPr>
            <w:tcW w:w="760" w:type="dxa"/>
            <w:vAlign w:val="bottom"/>
            <w:tcBorders>
              <w:right w:val="single" w:sz="8" w:color="3C58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520" w:type="dxa"/>
            <w:vAlign w:val="bottom"/>
            <w:tcBorders>
              <w:left w:val="single" w:sz="8" w:color="3C5896"/>
              <w:right w:val="single" w:sz="8" w:color="9EACCA"/>
            </w:tcBorders>
            <w:vMerge w:val="continue"/>
          </w:tcPr>
          <w:p>
            <w:pPr>
              <w:spacing w:after="0"/>
              <w:rPr>
                <w:sz w:val="8"/>
                <w:szCs w:val="8"/>
                <w:color w:val="auto"/>
              </w:rPr>
            </w:pPr>
          </w:p>
        </w:tc>
        <w:tc>
          <w:tcPr>
            <w:tcW w:w="5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2018</w:t>
            </w:r>
          </w:p>
        </w:tc>
        <w:tc>
          <w:tcPr>
            <w:tcW w:w="700" w:type="dxa"/>
            <w:vAlign w:val="bottom"/>
            <w:tcBorders>
              <w:right w:val="single" w:sz="8" w:color="9EACCA"/>
            </w:tcBorders>
            <w:gridSpan w:val="2"/>
            <w:vMerge w:val="restart"/>
          </w:tcPr>
          <w:p>
            <w:pPr>
              <w:jc w:val="center"/>
              <w:spacing w:after="0"/>
              <w:rPr>
                <w:sz w:val="20"/>
                <w:szCs w:val="20"/>
                <w:color w:val="auto"/>
              </w:rPr>
            </w:pPr>
            <w:r>
              <w:rPr>
                <w:rFonts w:ascii="Arial" w:cs="Arial" w:eastAsia="Arial" w:hAnsi="Arial"/>
                <w:sz w:val="14"/>
                <w:szCs w:val="14"/>
                <w:color w:val="auto"/>
              </w:rPr>
              <w:t>900,000</w:t>
            </w:r>
          </w:p>
        </w:tc>
        <w:tc>
          <w:tcPr>
            <w:tcW w:w="120" w:type="dxa"/>
            <w:vAlign w:val="bottom"/>
          </w:tcPr>
          <w:p>
            <w:pPr>
              <w:spacing w:after="0"/>
              <w:rPr>
                <w:sz w:val="8"/>
                <w:szCs w:val="8"/>
                <w:color w:val="auto"/>
              </w:rPr>
            </w:pPr>
          </w:p>
        </w:tc>
        <w:tc>
          <w:tcPr>
            <w:tcW w:w="580" w:type="dxa"/>
            <w:vAlign w:val="bottom"/>
            <w:tcBorders>
              <w:right w:val="single" w:sz="8" w:color="9EACCA"/>
            </w:tcBorders>
            <w:vMerge w:val="restart"/>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8"/>
                <w:szCs w:val="8"/>
                <w:color w:val="auto"/>
              </w:rPr>
            </w:pPr>
          </w:p>
        </w:tc>
        <w:tc>
          <w:tcPr>
            <w:tcW w:w="720" w:type="dxa"/>
            <w:vAlign w:val="bottom"/>
            <w:tcBorders>
              <w:right w:val="single" w:sz="8" w:color="9EACCA"/>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9EACCA"/>
            </w:tcBorders>
            <w:gridSpan w:val="2"/>
            <w:vMerge w:val="restart"/>
          </w:tcPr>
          <w:p>
            <w:pPr>
              <w:jc w:val="right"/>
              <w:ind w:right="208"/>
              <w:spacing w:after="0"/>
              <w:rPr>
                <w:sz w:val="20"/>
                <w:szCs w:val="20"/>
                <w:color w:val="auto"/>
              </w:rPr>
            </w:pPr>
            <w:r>
              <w:rPr>
                <w:rFonts w:ascii="Arial" w:cs="Arial" w:eastAsia="Arial" w:hAnsi="Arial"/>
                <w:sz w:val="14"/>
                <w:szCs w:val="14"/>
                <w:color w:val="auto"/>
              </w:rPr>
              <w:t>688,635</w:t>
            </w:r>
          </w:p>
        </w:tc>
        <w:tc>
          <w:tcPr>
            <w:tcW w:w="500" w:type="dxa"/>
            <w:vAlign w:val="bottom"/>
          </w:tcPr>
          <w:p>
            <w:pPr>
              <w:spacing w:after="0"/>
              <w:rPr>
                <w:sz w:val="8"/>
                <w:szCs w:val="8"/>
                <w:color w:val="auto"/>
              </w:rPr>
            </w:pPr>
          </w:p>
        </w:tc>
        <w:tc>
          <w:tcPr>
            <w:tcW w:w="660" w:type="dxa"/>
            <w:vAlign w:val="bottom"/>
            <w:tcBorders>
              <w:right w:val="single" w:sz="8" w:color="9EACCA"/>
            </w:tcBorders>
            <w:vMerge w:val="restart"/>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vMerge w:val="restart"/>
          </w:tcPr>
          <w:p>
            <w:pPr>
              <w:jc w:val="right"/>
              <w:ind w:right="248"/>
              <w:spacing w:after="0"/>
              <w:rPr>
                <w:sz w:val="20"/>
                <w:szCs w:val="20"/>
                <w:color w:val="auto"/>
              </w:rPr>
            </w:pPr>
            <w:r>
              <w:rPr>
                <w:rFonts w:ascii="Arial" w:cs="Arial" w:eastAsia="Arial" w:hAnsi="Arial"/>
                <w:sz w:val="14"/>
                <w:szCs w:val="14"/>
                <w:color w:val="auto"/>
              </w:rPr>
              <w:t>14,035</w:t>
            </w:r>
          </w:p>
        </w:tc>
        <w:tc>
          <w:tcPr>
            <w:tcW w:w="760" w:type="dxa"/>
            <w:vAlign w:val="bottom"/>
            <w:tcBorders>
              <w:right w:val="single" w:sz="8" w:color="3C5896"/>
            </w:tcBorders>
            <w:gridSpan w:val="2"/>
            <w:vMerge w:val="restart"/>
          </w:tcPr>
          <w:p>
            <w:pPr>
              <w:jc w:val="right"/>
              <w:ind w:right="10"/>
              <w:spacing w:after="0"/>
              <w:rPr>
                <w:sz w:val="20"/>
                <w:szCs w:val="20"/>
                <w:color w:val="auto"/>
              </w:rPr>
            </w:pPr>
            <w:r>
              <w:rPr>
                <w:rFonts w:ascii="Arial" w:cs="Arial" w:eastAsia="Arial" w:hAnsi="Arial"/>
                <w:sz w:val="14"/>
                <w:szCs w:val="14"/>
                <w:color w:val="auto"/>
              </w:rPr>
              <w:t>1,602,670</w:t>
            </w:r>
          </w:p>
        </w:tc>
        <w:tc>
          <w:tcPr>
            <w:tcW w:w="0" w:type="dxa"/>
            <w:vAlign w:val="bottom"/>
          </w:tcPr>
          <w:p>
            <w:pPr>
              <w:spacing w:after="0"/>
              <w:rPr>
                <w:sz w:val="1"/>
                <w:szCs w:val="1"/>
                <w:color w:val="auto"/>
              </w:rPr>
            </w:pPr>
          </w:p>
        </w:tc>
      </w:tr>
      <w:tr>
        <w:trPr>
          <w:trHeight w:val="135"/>
        </w:trPr>
        <w:tc>
          <w:tcPr>
            <w:tcW w:w="1520" w:type="dxa"/>
            <w:vAlign w:val="bottom"/>
            <w:tcBorders>
              <w:left w:val="single" w:sz="8" w:color="3C5896"/>
              <w:right w:val="single" w:sz="8" w:color="9EACCA"/>
            </w:tcBorders>
          </w:tcPr>
          <w:p>
            <w:pPr>
              <w:spacing w:after="0"/>
              <w:rPr>
                <w:sz w:val="11"/>
                <w:szCs w:val="11"/>
                <w:color w:val="auto"/>
              </w:rPr>
            </w:pPr>
          </w:p>
        </w:tc>
        <w:tc>
          <w:tcPr>
            <w:tcW w:w="500" w:type="dxa"/>
            <w:vAlign w:val="bottom"/>
            <w:tcBorders>
              <w:right w:val="single" w:sz="8" w:color="9EACCA"/>
            </w:tcBorders>
            <w:gridSpan w:val="2"/>
            <w:vMerge w:val="continue"/>
          </w:tcPr>
          <w:p>
            <w:pPr>
              <w:spacing w:after="0"/>
              <w:rPr>
                <w:sz w:val="11"/>
                <w:szCs w:val="11"/>
                <w:color w:val="auto"/>
              </w:rPr>
            </w:pPr>
          </w:p>
        </w:tc>
        <w:tc>
          <w:tcPr>
            <w:tcW w:w="700" w:type="dxa"/>
            <w:vAlign w:val="bottom"/>
            <w:tcBorders>
              <w:right w:val="single" w:sz="8" w:color="9EACCA"/>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9EACCA"/>
            </w:tcBorders>
            <w:vMerge w:val="continue"/>
          </w:tcPr>
          <w:p>
            <w:pPr>
              <w:spacing w:after="0"/>
              <w:rPr>
                <w:sz w:val="11"/>
                <w:szCs w:val="11"/>
                <w:color w:val="auto"/>
              </w:rPr>
            </w:pPr>
          </w:p>
        </w:tc>
        <w:tc>
          <w:tcPr>
            <w:tcW w:w="740" w:type="dxa"/>
            <w:vAlign w:val="bottom"/>
            <w:tcBorders>
              <w:right w:val="single" w:sz="8" w:color="9EACCA"/>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right w:val="single" w:sz="8" w:color="9EACCA"/>
            </w:tcBorders>
            <w:vMerge w:val="continue"/>
          </w:tcPr>
          <w:p>
            <w:pPr>
              <w:spacing w:after="0"/>
              <w:rPr>
                <w:sz w:val="11"/>
                <w:szCs w:val="11"/>
                <w:color w:val="auto"/>
              </w:rPr>
            </w:pPr>
          </w:p>
        </w:tc>
        <w:tc>
          <w:tcPr>
            <w:tcW w:w="1180" w:type="dxa"/>
            <w:vAlign w:val="bottom"/>
            <w:tcBorders>
              <w:right w:val="single" w:sz="8" w:color="9EACCA"/>
            </w:tcBorders>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Borders>
              <w:right w:val="single" w:sz="8" w:color="9EACCA"/>
            </w:tcBorders>
            <w:vMerge w:val="continue"/>
          </w:tcPr>
          <w:p>
            <w:pPr>
              <w:spacing w:after="0"/>
              <w:rPr>
                <w:sz w:val="11"/>
                <w:szCs w:val="11"/>
                <w:color w:val="auto"/>
              </w:rPr>
            </w:pPr>
          </w:p>
        </w:tc>
        <w:tc>
          <w:tcPr>
            <w:tcW w:w="1160" w:type="dxa"/>
            <w:vAlign w:val="bottom"/>
            <w:tcBorders>
              <w:right w:val="single" w:sz="8" w:color="9EACCA"/>
            </w:tcBorders>
            <w:gridSpan w:val="2"/>
            <w:vMerge w:val="continue"/>
          </w:tcPr>
          <w:p>
            <w:pPr>
              <w:spacing w:after="0"/>
              <w:rPr>
                <w:sz w:val="11"/>
                <w:szCs w:val="11"/>
                <w:color w:val="auto"/>
              </w:rPr>
            </w:pPr>
          </w:p>
        </w:tc>
        <w:tc>
          <w:tcPr>
            <w:tcW w:w="760" w:type="dxa"/>
            <w:vAlign w:val="bottom"/>
            <w:tcBorders>
              <w:right w:val="single" w:sz="8" w:color="3C5896"/>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520" w:type="dxa"/>
            <w:vAlign w:val="bottom"/>
            <w:tcBorders>
              <w:left w:val="single" w:sz="8" w:color="3C5896"/>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right w:val="single" w:sz="8" w:color="9EACCA"/>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right w:val="single" w:sz="8" w:color="9EACCA"/>
            </w:tcBorders>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Borders>
              <w:right w:val="single" w:sz="8" w:color="9EACCA"/>
            </w:tcBorders>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520" w:type="dxa"/>
            <w:vAlign w:val="bottom"/>
            <w:tcBorders>
              <w:left w:val="single" w:sz="8" w:color="3C5896"/>
              <w:right w:val="single" w:sz="8" w:color="9EACCA"/>
            </w:tcBorders>
            <w:shd w:val="clear" w:color="auto" w:fill="CCCCCC"/>
          </w:tcPr>
          <w:p>
            <w:pPr>
              <w:ind w:left="20"/>
              <w:spacing w:after="0"/>
              <w:rPr>
                <w:sz w:val="20"/>
                <w:szCs w:val="20"/>
                <w:color w:val="auto"/>
              </w:rPr>
            </w:pPr>
            <w:r>
              <w:rPr>
                <w:rFonts w:ascii="Arial" w:cs="Arial" w:eastAsia="Arial" w:hAnsi="Arial"/>
                <w:sz w:val="14"/>
                <w:szCs w:val="14"/>
                <w:color w:val="auto"/>
              </w:rPr>
              <w:t>Patrick R. Moore</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447,115</w:t>
            </w:r>
          </w:p>
        </w:tc>
        <w:tc>
          <w:tcPr>
            <w:tcW w:w="700" w:type="dxa"/>
            <w:vAlign w:val="bottom"/>
            <w:tcBorders>
              <w:right w:val="single" w:sz="8" w:color="9EACCA"/>
            </w:tcBorders>
            <w:gridSpan w:val="2"/>
            <w:shd w:val="clear" w:color="auto" w:fill="CCCCCC"/>
          </w:tcPr>
          <w:p>
            <w:pPr>
              <w:jc w:val="right"/>
              <w:ind w:right="70"/>
              <w:spacing w:after="0"/>
              <w:rPr>
                <w:sz w:val="20"/>
                <w:szCs w:val="20"/>
                <w:color w:val="auto"/>
              </w:rPr>
            </w:pPr>
            <w:r>
              <w:rPr>
                <w:rFonts w:ascii="Arial" w:cs="Arial" w:eastAsia="Arial" w:hAnsi="Arial"/>
                <w:sz w:val="14"/>
                <w:szCs w:val="14"/>
                <w:color w:val="auto"/>
              </w:rPr>
              <w:t>28,550</w:t>
            </w:r>
          </w:p>
        </w:tc>
        <w:tc>
          <w:tcPr>
            <w:tcW w:w="7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750,023</w:t>
            </w:r>
          </w:p>
        </w:tc>
        <w:tc>
          <w:tcPr>
            <w:tcW w:w="780" w:type="dxa"/>
            <w:vAlign w:val="bottom"/>
            <w:tcBorders>
              <w:right w:val="single" w:sz="8" w:color="9EACCA"/>
            </w:tcBorders>
            <w:gridSpan w:val="2"/>
            <w:shd w:val="clear" w:color="auto" w:fill="CCCCCC"/>
          </w:tcPr>
          <w:p>
            <w:pPr>
              <w:jc w:val="right"/>
              <w:ind w:right="11"/>
              <w:spacing w:after="0"/>
              <w:rPr>
                <w:sz w:val="20"/>
                <w:szCs w:val="20"/>
                <w:color w:val="auto"/>
              </w:rPr>
            </w:pPr>
            <w:r>
              <w:rPr>
                <w:rFonts w:ascii="Arial" w:cs="Arial" w:eastAsia="Arial" w:hAnsi="Arial"/>
                <w:sz w:val="14"/>
                <w:szCs w:val="14"/>
                <w:color w:val="auto"/>
              </w:rPr>
              <w:t>250,007</w:t>
            </w:r>
          </w:p>
        </w:tc>
        <w:tc>
          <w:tcPr>
            <w:tcW w:w="1180" w:type="dxa"/>
            <w:vAlign w:val="bottom"/>
            <w:tcBorders>
              <w:right w:val="single" w:sz="8" w:color="9EACCA"/>
            </w:tcBorders>
            <w:gridSpan w:val="2"/>
            <w:shd w:val="clear" w:color="auto" w:fill="CCCCCC"/>
          </w:tcPr>
          <w:p>
            <w:pPr>
              <w:jc w:val="right"/>
              <w:ind w:right="208"/>
              <w:spacing w:after="0"/>
              <w:rPr>
                <w:sz w:val="20"/>
                <w:szCs w:val="20"/>
                <w:color w:val="auto"/>
              </w:rPr>
            </w:pPr>
            <w:r>
              <w:rPr>
                <w:rFonts w:ascii="Arial" w:cs="Arial" w:eastAsia="Arial" w:hAnsi="Arial"/>
                <w:sz w:val="14"/>
                <w:szCs w:val="14"/>
                <w:color w:val="auto"/>
              </w:rPr>
              <w:t>296,450</w:t>
            </w:r>
          </w:p>
        </w:tc>
        <w:tc>
          <w:tcPr>
            <w:tcW w:w="500" w:type="dxa"/>
            <w:vAlign w:val="bottom"/>
            <w:shd w:val="clear" w:color="auto" w:fill="CCCCCC"/>
          </w:tcPr>
          <w:p>
            <w:pPr>
              <w:spacing w:after="0"/>
              <w:rPr>
                <w:sz w:val="18"/>
                <w:szCs w:val="18"/>
                <w:color w:val="auto"/>
              </w:rPr>
            </w:pPr>
          </w:p>
        </w:tc>
        <w:tc>
          <w:tcPr>
            <w:tcW w:w="660" w:type="dxa"/>
            <w:vAlign w:val="bottom"/>
            <w:tcBorders>
              <w:right w:val="single" w:sz="8" w:color="9EACCA"/>
            </w:tcBorders>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shd w:val="clear" w:color="auto" w:fill="CCCCCC"/>
          </w:tcPr>
          <w:p>
            <w:pPr>
              <w:jc w:val="right"/>
              <w:ind w:right="248"/>
              <w:spacing w:after="0"/>
              <w:rPr>
                <w:sz w:val="20"/>
                <w:szCs w:val="20"/>
                <w:color w:val="auto"/>
              </w:rPr>
            </w:pPr>
            <w:r>
              <w:rPr>
                <w:rFonts w:ascii="Arial" w:cs="Arial" w:eastAsia="Arial" w:hAnsi="Arial"/>
                <w:sz w:val="14"/>
                <w:szCs w:val="14"/>
                <w:color w:val="auto"/>
              </w:rPr>
              <w:t>7,287</w:t>
            </w:r>
          </w:p>
        </w:tc>
        <w:tc>
          <w:tcPr>
            <w:tcW w:w="760" w:type="dxa"/>
            <w:vAlign w:val="bottom"/>
            <w:tcBorders>
              <w:right w:val="single" w:sz="8" w:color="3C5896"/>
            </w:tcBorders>
            <w:gridSpan w:val="2"/>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rPr>
              <w:t>1,779,432</w:t>
            </w: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CCCC"/>
          </w:tcPr>
          <w:p>
            <w:pPr>
              <w:spacing w:after="0"/>
              <w:rPr>
                <w:sz w:val="14"/>
                <w:szCs w:val="14"/>
                <w:color w:val="auto"/>
              </w:rPr>
            </w:pPr>
          </w:p>
        </w:tc>
        <w:tc>
          <w:tcPr>
            <w:tcW w:w="6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444,231</w:t>
            </w:r>
          </w:p>
        </w:tc>
        <w:tc>
          <w:tcPr>
            <w:tcW w:w="120" w:type="dxa"/>
            <w:vAlign w:val="bottom"/>
            <w:shd w:val="clear" w:color="auto" w:fill="CCCCCC"/>
          </w:tcPr>
          <w:p>
            <w:pPr>
              <w:spacing w:after="0"/>
              <w:rPr>
                <w:sz w:val="14"/>
                <w:szCs w:val="14"/>
                <w:color w:val="auto"/>
              </w:rPr>
            </w:pPr>
          </w:p>
        </w:tc>
        <w:tc>
          <w:tcPr>
            <w:tcW w:w="580" w:type="dxa"/>
            <w:vAlign w:val="bottom"/>
            <w:tcBorders>
              <w:right w:val="single" w:sz="8" w:color="9EACCA"/>
            </w:tcBorders>
            <w:vMerge w:val="restart"/>
            <w:shd w:val="clear" w:color="auto" w:fill="CCCCCC"/>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4"/>
                <w:szCs w:val="14"/>
                <w:color w:val="auto"/>
              </w:rPr>
              <w:t>600,031</w:t>
            </w:r>
          </w:p>
        </w:tc>
        <w:tc>
          <w:tcPr>
            <w:tcW w:w="60" w:type="dxa"/>
            <w:vAlign w:val="bottom"/>
            <w:shd w:val="clear" w:color="auto" w:fill="CCCCCC"/>
          </w:tcPr>
          <w:p>
            <w:pPr>
              <w:spacing w:after="0"/>
              <w:rPr>
                <w:sz w:val="14"/>
                <w:szCs w:val="14"/>
                <w:color w:val="auto"/>
              </w:rPr>
            </w:pPr>
          </w:p>
        </w:tc>
        <w:tc>
          <w:tcPr>
            <w:tcW w:w="720" w:type="dxa"/>
            <w:vAlign w:val="bottom"/>
            <w:tcBorders>
              <w:right w:val="single" w:sz="8" w:color="9EACCA"/>
            </w:tcBorders>
            <w:vMerge w:val="restart"/>
            <w:shd w:val="clear" w:color="auto" w:fill="CCCCCC"/>
          </w:tcPr>
          <w:p>
            <w:pPr>
              <w:jc w:val="right"/>
              <w:ind w:right="11"/>
              <w:spacing w:after="0"/>
              <w:rPr>
                <w:sz w:val="20"/>
                <w:szCs w:val="20"/>
                <w:color w:val="auto"/>
              </w:rPr>
            </w:pPr>
            <w:r>
              <w:rPr>
                <w:rFonts w:ascii="Arial" w:cs="Arial" w:eastAsia="Arial" w:hAnsi="Arial"/>
                <w:sz w:val="14"/>
                <w:szCs w:val="14"/>
                <w:color w:val="auto"/>
              </w:rPr>
              <w:t>300,014</w:t>
            </w:r>
          </w:p>
        </w:tc>
        <w:tc>
          <w:tcPr>
            <w:tcW w:w="260" w:type="dxa"/>
            <w:vAlign w:val="bottom"/>
            <w:shd w:val="clear" w:color="auto" w:fill="CCCCCC"/>
          </w:tcPr>
          <w:p>
            <w:pPr>
              <w:spacing w:after="0"/>
              <w:rPr>
                <w:sz w:val="14"/>
                <w:szCs w:val="14"/>
                <w:color w:val="auto"/>
              </w:rPr>
            </w:pPr>
          </w:p>
        </w:tc>
        <w:tc>
          <w:tcPr>
            <w:tcW w:w="9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rPr>
              <w:t>371,669</w:t>
            </w: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vMerge w:val="restart"/>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CCCC"/>
          </w:tcPr>
          <w:p>
            <w:pPr>
              <w:spacing w:after="0"/>
              <w:rPr>
                <w:sz w:val="14"/>
                <w:szCs w:val="14"/>
                <w:color w:val="auto"/>
              </w:rPr>
            </w:pPr>
          </w:p>
        </w:tc>
        <w:tc>
          <w:tcPr>
            <w:tcW w:w="860" w:type="dxa"/>
            <w:vAlign w:val="bottom"/>
            <w:tcBorders>
              <w:right w:val="single" w:sz="8" w:color="9EACCA"/>
            </w:tcBorders>
            <w:vMerge w:val="restart"/>
            <w:shd w:val="clear" w:color="auto" w:fill="CCCCCC"/>
          </w:tcPr>
          <w:p>
            <w:pPr>
              <w:jc w:val="right"/>
              <w:ind w:right="248"/>
              <w:spacing w:after="0"/>
              <w:rPr>
                <w:sz w:val="20"/>
                <w:szCs w:val="20"/>
                <w:color w:val="auto"/>
              </w:rPr>
            </w:pPr>
            <w:r>
              <w:rPr>
                <w:rFonts w:ascii="Arial" w:cs="Arial" w:eastAsia="Arial" w:hAnsi="Arial"/>
                <w:sz w:val="14"/>
                <w:szCs w:val="14"/>
                <w:color w:val="auto"/>
              </w:rPr>
              <w:t>8,153</w:t>
            </w: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w w:val="99"/>
              </w:rPr>
              <w:t>1,724,098</w:t>
            </w:r>
          </w:p>
        </w:tc>
        <w:tc>
          <w:tcPr>
            <w:tcW w:w="0" w:type="dxa"/>
            <w:vAlign w:val="bottom"/>
          </w:tcPr>
          <w:p>
            <w:pPr>
              <w:spacing w:after="0"/>
              <w:rPr>
                <w:sz w:val="1"/>
                <w:szCs w:val="1"/>
                <w:color w:val="auto"/>
              </w:rPr>
            </w:pPr>
          </w:p>
        </w:tc>
      </w:tr>
      <w:tr>
        <w:trPr>
          <w:trHeight w:val="78"/>
        </w:trPr>
        <w:tc>
          <w:tcPr>
            <w:tcW w:w="1520" w:type="dxa"/>
            <w:vAlign w:val="bottom"/>
            <w:tcBorders>
              <w:left w:val="single" w:sz="8" w:color="3C5896"/>
              <w:right w:val="single" w:sz="8" w:color="9EACCA"/>
            </w:tcBorders>
            <w:vMerge w:val="restart"/>
            <w:shd w:val="clear" w:color="auto" w:fill="CCCCCC"/>
          </w:tcPr>
          <w:p>
            <w:pPr>
              <w:ind w:left="180"/>
              <w:spacing w:after="0"/>
              <w:rPr>
                <w:sz w:val="20"/>
                <w:szCs w:val="20"/>
                <w:color w:val="auto"/>
              </w:rPr>
            </w:pPr>
            <w:r>
              <w:rPr>
                <w:rFonts w:ascii="Arial" w:cs="Arial" w:eastAsia="Arial" w:hAnsi="Arial"/>
                <w:sz w:val="14"/>
                <w:szCs w:val="14"/>
                <w:color w:val="auto"/>
              </w:rPr>
              <w:t>President and Chief</w:t>
            </w:r>
          </w:p>
        </w:tc>
        <w:tc>
          <w:tcPr>
            <w:tcW w:w="80" w:type="dxa"/>
            <w:vAlign w:val="bottom"/>
            <w:shd w:val="clear" w:color="auto" w:fill="CCCCCC"/>
          </w:tcPr>
          <w:p>
            <w:pPr>
              <w:spacing w:after="0"/>
              <w:rPr>
                <w:sz w:val="6"/>
                <w:szCs w:val="6"/>
                <w:color w:val="auto"/>
              </w:rPr>
            </w:pPr>
          </w:p>
        </w:tc>
        <w:tc>
          <w:tcPr>
            <w:tcW w:w="420" w:type="dxa"/>
            <w:vAlign w:val="bottom"/>
            <w:tcBorders>
              <w:right w:val="single" w:sz="8" w:color="9EACCA"/>
            </w:tcBorders>
            <w:vMerge w:val="continue"/>
            <w:shd w:val="clear" w:color="auto" w:fill="CCCCCC"/>
          </w:tcPr>
          <w:p>
            <w:pPr>
              <w:spacing w:after="0"/>
              <w:rPr>
                <w:sz w:val="6"/>
                <w:szCs w:val="6"/>
                <w:color w:val="auto"/>
              </w:rPr>
            </w:pPr>
          </w:p>
        </w:tc>
        <w:tc>
          <w:tcPr>
            <w:tcW w:w="80" w:type="dxa"/>
            <w:vAlign w:val="bottom"/>
            <w:shd w:val="clear" w:color="auto" w:fill="CCCCCC"/>
          </w:tcPr>
          <w:p>
            <w:pPr>
              <w:spacing w:after="0"/>
              <w:rPr>
                <w:sz w:val="6"/>
                <w:szCs w:val="6"/>
                <w:color w:val="auto"/>
              </w:rPr>
            </w:pPr>
          </w:p>
        </w:tc>
        <w:tc>
          <w:tcPr>
            <w:tcW w:w="620" w:type="dxa"/>
            <w:vAlign w:val="bottom"/>
            <w:tcBorders>
              <w:right w:val="single" w:sz="8" w:color="9EACCA"/>
            </w:tcBorders>
            <w:vMerge w:val="continue"/>
            <w:shd w:val="clear" w:color="auto" w:fill="CCCCCC"/>
          </w:tcPr>
          <w:p>
            <w:pPr>
              <w:spacing w:after="0"/>
              <w:rPr>
                <w:sz w:val="6"/>
                <w:szCs w:val="6"/>
                <w:color w:val="auto"/>
              </w:rPr>
            </w:pPr>
          </w:p>
        </w:tc>
        <w:tc>
          <w:tcPr>
            <w:tcW w:w="120" w:type="dxa"/>
            <w:vAlign w:val="bottom"/>
            <w:shd w:val="clear" w:color="auto" w:fill="CCCCCC"/>
          </w:tcPr>
          <w:p>
            <w:pPr>
              <w:spacing w:after="0"/>
              <w:rPr>
                <w:sz w:val="6"/>
                <w:szCs w:val="6"/>
                <w:color w:val="auto"/>
              </w:rPr>
            </w:pPr>
          </w:p>
        </w:tc>
        <w:tc>
          <w:tcPr>
            <w:tcW w:w="580" w:type="dxa"/>
            <w:vAlign w:val="bottom"/>
            <w:tcBorders>
              <w:right w:val="single" w:sz="8" w:color="9EACCA"/>
            </w:tcBorders>
            <w:vMerge w:val="continue"/>
            <w:shd w:val="clear" w:color="auto" w:fill="CCCCCC"/>
          </w:tcPr>
          <w:p>
            <w:pPr>
              <w:spacing w:after="0"/>
              <w:rPr>
                <w:sz w:val="6"/>
                <w:szCs w:val="6"/>
                <w:color w:val="auto"/>
              </w:rPr>
            </w:pPr>
          </w:p>
        </w:tc>
        <w:tc>
          <w:tcPr>
            <w:tcW w:w="740" w:type="dxa"/>
            <w:vAlign w:val="bottom"/>
            <w:tcBorders>
              <w:right w:val="single" w:sz="8" w:color="9EACCA"/>
            </w:tcBorders>
            <w:vMerge w:val="continue"/>
            <w:shd w:val="clear" w:color="auto" w:fill="CCCCCC"/>
          </w:tcPr>
          <w:p>
            <w:pPr>
              <w:spacing w:after="0"/>
              <w:rPr>
                <w:sz w:val="6"/>
                <w:szCs w:val="6"/>
                <w:color w:val="auto"/>
              </w:rPr>
            </w:pPr>
          </w:p>
        </w:tc>
        <w:tc>
          <w:tcPr>
            <w:tcW w:w="60" w:type="dxa"/>
            <w:vAlign w:val="bottom"/>
            <w:shd w:val="clear" w:color="auto" w:fill="CCCCCC"/>
          </w:tcPr>
          <w:p>
            <w:pPr>
              <w:spacing w:after="0"/>
              <w:rPr>
                <w:sz w:val="6"/>
                <w:szCs w:val="6"/>
                <w:color w:val="auto"/>
              </w:rPr>
            </w:pPr>
          </w:p>
        </w:tc>
        <w:tc>
          <w:tcPr>
            <w:tcW w:w="720" w:type="dxa"/>
            <w:vAlign w:val="bottom"/>
            <w:tcBorders>
              <w:right w:val="single" w:sz="8" w:color="9EACCA"/>
            </w:tcBorders>
            <w:vMerge w:val="continue"/>
            <w:shd w:val="clear" w:color="auto" w:fill="CCCCCC"/>
          </w:tcPr>
          <w:p>
            <w:pPr>
              <w:spacing w:after="0"/>
              <w:rPr>
                <w:sz w:val="6"/>
                <w:szCs w:val="6"/>
                <w:color w:val="auto"/>
              </w:rPr>
            </w:pPr>
          </w:p>
        </w:tc>
        <w:tc>
          <w:tcPr>
            <w:tcW w:w="260" w:type="dxa"/>
            <w:vAlign w:val="bottom"/>
            <w:shd w:val="clear" w:color="auto" w:fill="CCCCCC"/>
          </w:tcPr>
          <w:p>
            <w:pPr>
              <w:spacing w:after="0"/>
              <w:rPr>
                <w:sz w:val="6"/>
                <w:szCs w:val="6"/>
                <w:color w:val="auto"/>
              </w:rPr>
            </w:pPr>
          </w:p>
        </w:tc>
        <w:tc>
          <w:tcPr>
            <w:tcW w:w="920" w:type="dxa"/>
            <w:vAlign w:val="bottom"/>
            <w:tcBorders>
              <w:right w:val="single" w:sz="8" w:color="9EACCA"/>
            </w:tcBorders>
            <w:vMerge w:val="continue"/>
            <w:shd w:val="clear" w:color="auto" w:fill="CCCCCC"/>
          </w:tcPr>
          <w:p>
            <w:pPr>
              <w:spacing w:after="0"/>
              <w:rPr>
                <w:sz w:val="6"/>
                <w:szCs w:val="6"/>
                <w:color w:val="auto"/>
              </w:rPr>
            </w:pPr>
          </w:p>
        </w:tc>
        <w:tc>
          <w:tcPr>
            <w:tcW w:w="500" w:type="dxa"/>
            <w:vAlign w:val="bottom"/>
            <w:shd w:val="clear" w:color="auto" w:fill="CCCCCC"/>
          </w:tcPr>
          <w:p>
            <w:pPr>
              <w:spacing w:after="0"/>
              <w:rPr>
                <w:sz w:val="6"/>
                <w:szCs w:val="6"/>
                <w:color w:val="auto"/>
              </w:rPr>
            </w:pPr>
          </w:p>
        </w:tc>
        <w:tc>
          <w:tcPr>
            <w:tcW w:w="660" w:type="dxa"/>
            <w:vAlign w:val="bottom"/>
            <w:tcBorders>
              <w:right w:val="single" w:sz="8" w:color="9EACCA"/>
            </w:tcBorders>
            <w:vMerge w:val="continue"/>
            <w:shd w:val="clear" w:color="auto" w:fill="CCCCCC"/>
          </w:tcPr>
          <w:p>
            <w:pPr>
              <w:spacing w:after="0"/>
              <w:rPr>
                <w:sz w:val="6"/>
                <w:szCs w:val="6"/>
                <w:color w:val="auto"/>
              </w:rPr>
            </w:pPr>
          </w:p>
        </w:tc>
        <w:tc>
          <w:tcPr>
            <w:tcW w:w="300" w:type="dxa"/>
            <w:vAlign w:val="bottom"/>
            <w:shd w:val="clear" w:color="auto" w:fill="CCCCCC"/>
          </w:tcPr>
          <w:p>
            <w:pPr>
              <w:spacing w:after="0"/>
              <w:rPr>
                <w:sz w:val="6"/>
                <w:szCs w:val="6"/>
                <w:color w:val="auto"/>
              </w:rPr>
            </w:pPr>
          </w:p>
        </w:tc>
        <w:tc>
          <w:tcPr>
            <w:tcW w:w="860" w:type="dxa"/>
            <w:vAlign w:val="bottom"/>
            <w:tcBorders>
              <w:right w:val="single" w:sz="8" w:color="9EACCA"/>
            </w:tcBorders>
            <w:vMerge w:val="continue"/>
            <w:shd w:val="clear" w:color="auto" w:fill="CCCCCC"/>
          </w:tcPr>
          <w:p>
            <w:pPr>
              <w:spacing w:after="0"/>
              <w:rPr>
                <w:sz w:val="6"/>
                <w:szCs w:val="6"/>
                <w:color w:val="auto"/>
              </w:rPr>
            </w:pPr>
          </w:p>
        </w:tc>
        <w:tc>
          <w:tcPr>
            <w:tcW w:w="40" w:type="dxa"/>
            <w:vAlign w:val="bottom"/>
            <w:shd w:val="clear" w:color="auto" w:fill="CCCCCC"/>
          </w:tcPr>
          <w:p>
            <w:pPr>
              <w:spacing w:after="0"/>
              <w:rPr>
                <w:sz w:val="6"/>
                <w:szCs w:val="6"/>
                <w:color w:val="auto"/>
              </w:rPr>
            </w:pPr>
          </w:p>
        </w:tc>
        <w:tc>
          <w:tcPr>
            <w:tcW w:w="720" w:type="dxa"/>
            <w:vAlign w:val="bottom"/>
            <w:tcBorders>
              <w:right w:val="single" w:sz="8" w:color="3C5896"/>
            </w:tcBorders>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520" w:type="dxa"/>
            <w:vAlign w:val="bottom"/>
            <w:tcBorders>
              <w:left w:val="single" w:sz="8" w:color="3C5896"/>
              <w:right w:val="single" w:sz="8" w:color="9EACCA"/>
            </w:tcBorders>
            <w:vMerge w:val="continue"/>
            <w:shd w:val="clear" w:color="auto" w:fill="CCCCCC"/>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4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CCCCC"/>
          </w:tcPr>
          <w:p>
            <w:pPr>
              <w:spacing w:after="0"/>
              <w:rPr>
                <w:sz w:val="7"/>
                <w:szCs w:val="7"/>
                <w:color w:val="auto"/>
              </w:rPr>
            </w:pPr>
          </w:p>
        </w:tc>
        <w:tc>
          <w:tcPr>
            <w:tcW w:w="620" w:type="dxa"/>
            <w:vAlign w:val="bottom"/>
            <w:tcBorders>
              <w:right w:val="single" w:sz="8" w:color="9EACCA"/>
            </w:tcBorders>
            <w:vMerge w:val="restart"/>
            <w:shd w:val="clear" w:color="auto" w:fill="CCCCCC"/>
          </w:tcPr>
          <w:p>
            <w:pPr>
              <w:jc w:val="center"/>
              <w:ind w:right="30"/>
              <w:spacing w:after="0"/>
              <w:rPr>
                <w:sz w:val="20"/>
                <w:szCs w:val="20"/>
                <w:color w:val="auto"/>
              </w:rPr>
            </w:pPr>
            <w:r>
              <w:rPr>
                <w:rFonts w:ascii="Arial" w:cs="Arial" w:eastAsia="Arial" w:hAnsi="Arial"/>
                <w:sz w:val="14"/>
                <w:szCs w:val="14"/>
                <w:color w:val="auto"/>
              </w:rPr>
              <w:t>421,923</w:t>
            </w:r>
          </w:p>
        </w:tc>
        <w:tc>
          <w:tcPr>
            <w:tcW w:w="120" w:type="dxa"/>
            <w:vAlign w:val="bottom"/>
            <w:shd w:val="clear" w:color="auto" w:fill="CCCCCC"/>
          </w:tcPr>
          <w:p>
            <w:pPr>
              <w:spacing w:after="0"/>
              <w:rPr>
                <w:sz w:val="7"/>
                <w:szCs w:val="7"/>
                <w:color w:val="auto"/>
              </w:rPr>
            </w:pPr>
          </w:p>
        </w:tc>
        <w:tc>
          <w:tcPr>
            <w:tcW w:w="580" w:type="dxa"/>
            <w:vAlign w:val="bottom"/>
            <w:tcBorders>
              <w:right w:val="single" w:sz="8" w:color="9EACCA"/>
            </w:tcBorders>
            <w:vMerge w:val="restart"/>
            <w:shd w:val="clear" w:color="auto" w:fill="CCCCCC"/>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7"/>
                <w:szCs w:val="7"/>
                <w:color w:val="auto"/>
              </w:rPr>
            </w:pPr>
          </w:p>
        </w:tc>
        <w:tc>
          <w:tcPr>
            <w:tcW w:w="720" w:type="dxa"/>
            <w:vAlign w:val="bottom"/>
            <w:tcBorders>
              <w:right w:val="single" w:sz="8" w:color="9EACCA"/>
            </w:tcBorders>
            <w:vMerge w:val="restart"/>
            <w:shd w:val="clear" w:color="auto" w:fill="CCCCCC"/>
          </w:tcPr>
          <w:p>
            <w:pPr>
              <w:jc w:val="right"/>
              <w:ind w:right="1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CCCC"/>
          </w:tcPr>
          <w:p>
            <w:pPr>
              <w:spacing w:after="0"/>
              <w:rPr>
                <w:sz w:val="7"/>
                <w:szCs w:val="7"/>
                <w:color w:val="auto"/>
              </w:rPr>
            </w:pPr>
          </w:p>
        </w:tc>
        <w:tc>
          <w:tcPr>
            <w:tcW w:w="920" w:type="dxa"/>
            <w:vAlign w:val="bottom"/>
            <w:tcBorders>
              <w:right w:val="single" w:sz="8" w:color="9EACCA"/>
            </w:tcBorders>
            <w:vMerge w:val="restart"/>
            <w:shd w:val="clear" w:color="auto" w:fill="CCCCCC"/>
          </w:tcPr>
          <w:p>
            <w:pPr>
              <w:jc w:val="right"/>
              <w:ind w:right="208"/>
              <w:spacing w:after="0"/>
              <w:rPr>
                <w:sz w:val="20"/>
                <w:szCs w:val="20"/>
                <w:color w:val="auto"/>
              </w:rPr>
            </w:pPr>
            <w:r>
              <w:rPr>
                <w:rFonts w:ascii="Arial" w:cs="Arial" w:eastAsia="Arial" w:hAnsi="Arial"/>
                <w:sz w:val="14"/>
                <w:szCs w:val="14"/>
                <w:color w:val="auto"/>
              </w:rPr>
              <w:t>161,418</w:t>
            </w:r>
          </w:p>
        </w:tc>
        <w:tc>
          <w:tcPr>
            <w:tcW w:w="500" w:type="dxa"/>
            <w:vAlign w:val="bottom"/>
            <w:shd w:val="clear" w:color="auto" w:fill="CCCCCC"/>
          </w:tcPr>
          <w:p>
            <w:pPr>
              <w:spacing w:after="0"/>
              <w:rPr>
                <w:sz w:val="7"/>
                <w:szCs w:val="7"/>
                <w:color w:val="auto"/>
              </w:rPr>
            </w:pPr>
          </w:p>
        </w:tc>
        <w:tc>
          <w:tcPr>
            <w:tcW w:w="660" w:type="dxa"/>
            <w:vAlign w:val="bottom"/>
            <w:tcBorders>
              <w:right w:val="single" w:sz="8" w:color="9EACCA"/>
            </w:tcBorders>
            <w:vMerge w:val="restart"/>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CCCC"/>
          </w:tcPr>
          <w:p>
            <w:pPr>
              <w:spacing w:after="0"/>
              <w:rPr>
                <w:sz w:val="7"/>
                <w:szCs w:val="7"/>
                <w:color w:val="auto"/>
              </w:rPr>
            </w:pPr>
          </w:p>
        </w:tc>
        <w:tc>
          <w:tcPr>
            <w:tcW w:w="860" w:type="dxa"/>
            <w:vAlign w:val="bottom"/>
            <w:tcBorders>
              <w:right w:val="single" w:sz="8" w:color="9EACCA"/>
            </w:tcBorders>
            <w:vMerge w:val="restart"/>
            <w:shd w:val="clear" w:color="auto" w:fill="CCCCCC"/>
          </w:tcPr>
          <w:p>
            <w:pPr>
              <w:jc w:val="right"/>
              <w:ind w:right="248"/>
              <w:spacing w:after="0"/>
              <w:rPr>
                <w:sz w:val="20"/>
                <w:szCs w:val="20"/>
                <w:color w:val="auto"/>
              </w:rPr>
            </w:pPr>
            <w:r>
              <w:rPr>
                <w:rFonts w:ascii="Arial" w:cs="Arial" w:eastAsia="Arial" w:hAnsi="Arial"/>
                <w:sz w:val="14"/>
                <w:szCs w:val="14"/>
                <w:color w:val="auto"/>
              </w:rPr>
              <w:t>7,404</w:t>
            </w:r>
          </w:p>
        </w:tc>
        <w:tc>
          <w:tcPr>
            <w:tcW w:w="40" w:type="dxa"/>
            <w:vAlign w:val="bottom"/>
            <w:shd w:val="clear" w:color="auto" w:fill="CCCCCC"/>
          </w:tcPr>
          <w:p>
            <w:pPr>
              <w:spacing w:after="0"/>
              <w:rPr>
                <w:sz w:val="7"/>
                <w:szCs w:val="7"/>
                <w:color w:val="auto"/>
              </w:rPr>
            </w:pPr>
          </w:p>
        </w:tc>
        <w:tc>
          <w:tcPr>
            <w:tcW w:w="720" w:type="dxa"/>
            <w:vAlign w:val="bottom"/>
            <w:tcBorders>
              <w:right w:val="single" w:sz="8" w:color="3C5896"/>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rPr>
              <w:t>590,745</w:t>
            </w:r>
          </w:p>
        </w:tc>
        <w:tc>
          <w:tcPr>
            <w:tcW w:w="0" w:type="dxa"/>
            <w:vAlign w:val="bottom"/>
          </w:tcPr>
          <w:p>
            <w:pPr>
              <w:spacing w:after="0"/>
              <w:rPr>
                <w:sz w:val="1"/>
                <w:szCs w:val="1"/>
                <w:color w:val="auto"/>
              </w:rPr>
            </w:pPr>
          </w:p>
        </w:tc>
      </w:tr>
      <w:tr>
        <w:trPr>
          <w:trHeight w:val="191"/>
        </w:trPr>
        <w:tc>
          <w:tcPr>
            <w:tcW w:w="1520" w:type="dxa"/>
            <w:vAlign w:val="bottom"/>
            <w:tcBorders>
              <w:left w:val="single" w:sz="8" w:color="3C5896"/>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Financial Officer</w:t>
            </w:r>
          </w:p>
        </w:tc>
        <w:tc>
          <w:tcPr>
            <w:tcW w:w="80" w:type="dxa"/>
            <w:vAlign w:val="bottom"/>
            <w:tcBorders>
              <w:bottom w:val="single" w:sz="8" w:color="CCCCCC"/>
            </w:tcBorders>
            <w:shd w:val="clear" w:color="auto" w:fill="CCCCCC"/>
          </w:tcPr>
          <w:p>
            <w:pPr>
              <w:spacing w:after="0"/>
              <w:rPr>
                <w:sz w:val="16"/>
                <w:szCs w:val="16"/>
                <w:color w:val="auto"/>
              </w:rPr>
            </w:pPr>
          </w:p>
        </w:tc>
        <w:tc>
          <w:tcPr>
            <w:tcW w:w="4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80" w:type="dxa"/>
            <w:vAlign w:val="bottom"/>
            <w:tcBorders>
              <w:bottom w:val="single" w:sz="8" w:color="CCCCCC"/>
            </w:tcBorders>
            <w:shd w:val="clear" w:color="auto" w:fill="CCCCCC"/>
          </w:tcPr>
          <w:p>
            <w:pPr>
              <w:spacing w:after="0"/>
              <w:rPr>
                <w:sz w:val="16"/>
                <w:szCs w:val="16"/>
                <w:color w:val="auto"/>
              </w:rPr>
            </w:pPr>
          </w:p>
        </w:tc>
        <w:tc>
          <w:tcPr>
            <w:tcW w:w="6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120" w:type="dxa"/>
            <w:vAlign w:val="bottom"/>
            <w:tcBorders>
              <w:bottom w:val="single" w:sz="8" w:color="CCCCCC"/>
            </w:tcBorders>
            <w:shd w:val="clear" w:color="auto" w:fill="CCCCCC"/>
          </w:tcPr>
          <w:p>
            <w:pPr>
              <w:spacing w:after="0"/>
              <w:rPr>
                <w:sz w:val="16"/>
                <w:szCs w:val="16"/>
                <w:color w:val="auto"/>
              </w:rPr>
            </w:pPr>
          </w:p>
        </w:tc>
        <w:tc>
          <w:tcPr>
            <w:tcW w:w="58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74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60" w:type="dxa"/>
            <w:vAlign w:val="bottom"/>
            <w:tcBorders>
              <w:bottom w:val="single" w:sz="8" w:color="CCCCCC"/>
            </w:tcBorders>
            <w:shd w:val="clear" w:color="auto" w:fill="CCCCCC"/>
          </w:tcPr>
          <w:p>
            <w:pPr>
              <w:spacing w:after="0"/>
              <w:rPr>
                <w:sz w:val="16"/>
                <w:szCs w:val="16"/>
                <w:color w:val="auto"/>
              </w:rPr>
            </w:pPr>
          </w:p>
        </w:tc>
        <w:tc>
          <w:tcPr>
            <w:tcW w:w="7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260" w:type="dxa"/>
            <w:vAlign w:val="bottom"/>
            <w:tcBorders>
              <w:bottom w:val="single" w:sz="8" w:color="CCCCCC"/>
            </w:tcBorders>
            <w:shd w:val="clear" w:color="auto" w:fill="CCCCCC"/>
          </w:tcPr>
          <w:p>
            <w:pPr>
              <w:spacing w:after="0"/>
              <w:rPr>
                <w:sz w:val="16"/>
                <w:szCs w:val="16"/>
                <w:color w:val="auto"/>
              </w:rPr>
            </w:pPr>
          </w:p>
        </w:tc>
        <w:tc>
          <w:tcPr>
            <w:tcW w:w="92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500" w:type="dxa"/>
            <w:vAlign w:val="bottom"/>
            <w:tcBorders>
              <w:bottom w:val="single" w:sz="8" w:color="CCCCCC"/>
            </w:tcBorders>
            <w:shd w:val="clear" w:color="auto" w:fill="CCCCCC"/>
          </w:tcPr>
          <w:p>
            <w:pPr>
              <w:spacing w:after="0"/>
              <w:rPr>
                <w:sz w:val="16"/>
                <w:szCs w:val="16"/>
                <w:color w:val="auto"/>
              </w:rPr>
            </w:pPr>
          </w:p>
        </w:tc>
        <w:tc>
          <w:tcPr>
            <w:tcW w:w="66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300" w:type="dxa"/>
            <w:vAlign w:val="bottom"/>
            <w:tcBorders>
              <w:bottom w:val="single" w:sz="8" w:color="CCCCCC"/>
            </w:tcBorders>
            <w:shd w:val="clear" w:color="auto" w:fill="CCCCCC"/>
          </w:tcPr>
          <w:p>
            <w:pPr>
              <w:spacing w:after="0"/>
              <w:rPr>
                <w:sz w:val="16"/>
                <w:szCs w:val="16"/>
                <w:color w:val="auto"/>
              </w:rPr>
            </w:pPr>
          </w:p>
        </w:tc>
        <w:tc>
          <w:tcPr>
            <w:tcW w:w="860" w:type="dxa"/>
            <w:vAlign w:val="bottom"/>
            <w:tcBorders>
              <w:bottom w:val="single" w:sz="8" w:color="CCCCCC"/>
              <w:right w:val="single" w:sz="8" w:color="9EACCA"/>
            </w:tcBorders>
            <w:vMerge w:val="continue"/>
            <w:shd w:val="clear" w:color="auto" w:fill="CCCCCC"/>
          </w:tcPr>
          <w:p>
            <w:pPr>
              <w:spacing w:after="0"/>
              <w:rPr>
                <w:sz w:val="16"/>
                <w:szCs w:val="16"/>
                <w:color w:val="auto"/>
              </w:rPr>
            </w:pPr>
          </w:p>
        </w:tc>
        <w:tc>
          <w:tcPr>
            <w:tcW w:w="40" w:type="dxa"/>
            <w:vAlign w:val="bottom"/>
            <w:tcBorders>
              <w:bottom w:val="single" w:sz="8" w:color="CCCCCC"/>
            </w:tcBorders>
            <w:shd w:val="clear" w:color="auto" w:fill="CCCCCC"/>
          </w:tcPr>
          <w:p>
            <w:pPr>
              <w:spacing w:after="0"/>
              <w:rPr>
                <w:sz w:val="16"/>
                <w:szCs w:val="16"/>
                <w:color w:val="auto"/>
              </w:rPr>
            </w:pPr>
          </w:p>
        </w:tc>
        <w:tc>
          <w:tcPr>
            <w:tcW w:w="720" w:type="dxa"/>
            <w:vAlign w:val="bottom"/>
            <w:tcBorders>
              <w:bottom w:val="single" w:sz="8" w:color="CCCCCC"/>
              <w:right w:val="single" w:sz="8" w:color="3C5896"/>
            </w:tcBorders>
            <w:vMerge w:val="continue"/>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20" w:type="dxa"/>
            <w:vAlign w:val="bottom"/>
            <w:tcBorders>
              <w:left w:val="single" w:sz="8" w:color="3C5896"/>
              <w:right w:val="single" w:sz="8" w:color="9EACCA"/>
            </w:tcBorders>
          </w:tcPr>
          <w:p>
            <w:pPr>
              <w:ind w:left="20"/>
              <w:spacing w:after="0" w:line="234" w:lineRule="exact"/>
              <w:rPr>
                <w:sz w:val="20"/>
                <w:szCs w:val="20"/>
                <w:color w:val="auto"/>
              </w:rPr>
            </w:pPr>
            <w:r>
              <w:rPr>
                <w:rFonts w:ascii="Arial" w:cs="Arial" w:eastAsia="Arial" w:hAnsi="Arial"/>
                <w:sz w:val="14"/>
                <w:szCs w:val="14"/>
                <w:color w:val="auto"/>
              </w:rPr>
              <w:t>Bill Clark</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315,385</w:t>
            </w:r>
          </w:p>
        </w:tc>
        <w:tc>
          <w:tcPr>
            <w:tcW w:w="700" w:type="dxa"/>
            <w:vAlign w:val="bottom"/>
            <w:tcBorders>
              <w:right w:val="single" w:sz="8" w:color="9EACCA"/>
            </w:tcBorders>
            <w:gridSpan w:val="2"/>
          </w:tcPr>
          <w:p>
            <w:pPr>
              <w:jc w:val="right"/>
              <w:ind w:right="70"/>
              <w:spacing w:after="0"/>
              <w:rPr>
                <w:sz w:val="20"/>
                <w:szCs w:val="20"/>
                <w:color w:val="auto"/>
              </w:rPr>
            </w:pPr>
            <w:r>
              <w:rPr>
                <w:rFonts w:ascii="Arial" w:cs="Arial" w:eastAsia="Arial" w:hAnsi="Arial"/>
                <w:sz w:val="14"/>
                <w:szCs w:val="14"/>
                <w:color w:val="auto"/>
              </w:rPr>
              <w:t>15,365</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240,049</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80,004</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159,635</w:t>
            </w:r>
          </w:p>
        </w:tc>
        <w:tc>
          <w:tcPr>
            <w:tcW w:w="500" w:type="dxa"/>
            <w:vAlign w:val="bottom"/>
          </w:tcPr>
          <w:p>
            <w:pPr>
              <w:spacing w:after="0"/>
              <w:rPr>
                <w:sz w:val="20"/>
                <w:szCs w:val="20"/>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7,375</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817,813</w:t>
            </w:r>
          </w:p>
        </w:tc>
        <w:tc>
          <w:tcPr>
            <w:tcW w:w="0" w:type="dxa"/>
            <w:vAlign w:val="bottom"/>
          </w:tcPr>
          <w:p>
            <w:pPr>
              <w:spacing w:after="0"/>
              <w:rPr>
                <w:sz w:val="1"/>
                <w:szCs w:val="1"/>
                <w:color w:val="auto"/>
              </w:rPr>
            </w:pPr>
          </w:p>
        </w:tc>
      </w:tr>
      <w:tr>
        <w:trPr>
          <w:trHeight w:val="171"/>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Senior Vice</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2019</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171,077</w:t>
            </w:r>
          </w:p>
        </w:tc>
        <w:tc>
          <w:tcPr>
            <w:tcW w:w="700" w:type="dxa"/>
            <w:vAlign w:val="bottom"/>
            <w:tcBorders>
              <w:right w:val="single" w:sz="8" w:color="9EACCA"/>
            </w:tcBorders>
            <w:gridSpan w:val="2"/>
          </w:tcPr>
          <w:p>
            <w:pPr>
              <w:jc w:val="right"/>
              <w:ind w:right="70"/>
              <w:spacing w:after="0"/>
              <w:rPr>
                <w:sz w:val="20"/>
                <w:szCs w:val="20"/>
                <w:color w:val="auto"/>
              </w:rPr>
            </w:pPr>
            <w:r>
              <w:rPr>
                <w:rFonts w:ascii="Arial" w:cs="Arial" w:eastAsia="Arial" w:hAnsi="Arial"/>
                <w:sz w:val="14"/>
                <w:szCs w:val="14"/>
                <w:color w:val="auto"/>
              </w:rPr>
              <w:t>50,000</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550,027</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250,005</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119,278</w:t>
            </w:r>
          </w:p>
        </w:tc>
        <w:tc>
          <w:tcPr>
            <w:tcW w:w="500" w:type="dxa"/>
            <w:vAlign w:val="bottom"/>
          </w:tcPr>
          <w:p>
            <w:pPr>
              <w:spacing w:after="0"/>
              <w:rPr>
                <w:sz w:val="14"/>
                <w:szCs w:val="14"/>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162,646</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1,303,033</w:t>
            </w:r>
          </w:p>
        </w:tc>
        <w:tc>
          <w:tcPr>
            <w:tcW w:w="0" w:type="dxa"/>
            <w:vAlign w:val="bottom"/>
          </w:tcPr>
          <w:p>
            <w:pPr>
              <w:spacing w:after="0"/>
              <w:rPr>
                <w:sz w:val="1"/>
                <w:szCs w:val="1"/>
                <w:color w:val="auto"/>
              </w:rPr>
            </w:pPr>
          </w:p>
        </w:tc>
      </w:tr>
      <w:tr>
        <w:trPr>
          <w:trHeight w:val="153"/>
        </w:trPr>
        <w:tc>
          <w:tcPr>
            <w:tcW w:w="1520" w:type="dxa"/>
            <w:vAlign w:val="bottom"/>
            <w:tcBorders>
              <w:left w:val="single" w:sz="8" w:color="3C5896"/>
              <w:right w:val="single" w:sz="8" w:color="9EACCA"/>
            </w:tcBorders>
          </w:tcPr>
          <w:p>
            <w:pPr>
              <w:ind w:left="180"/>
              <w:spacing w:after="0" w:line="153" w:lineRule="exact"/>
              <w:rPr>
                <w:sz w:val="20"/>
                <w:szCs w:val="20"/>
                <w:color w:val="auto"/>
              </w:rPr>
            </w:pPr>
            <w:r>
              <w:rPr>
                <w:rFonts w:ascii="Arial" w:cs="Arial" w:eastAsia="Arial" w:hAnsi="Arial"/>
                <w:sz w:val="14"/>
                <w:szCs w:val="14"/>
                <w:color w:val="auto"/>
              </w:rPr>
              <w:t>President, Chief</w:t>
            </w:r>
          </w:p>
        </w:tc>
        <w:tc>
          <w:tcPr>
            <w:tcW w:w="80" w:type="dxa"/>
            <w:vAlign w:val="bottom"/>
          </w:tcPr>
          <w:p>
            <w:pPr>
              <w:spacing w:after="0"/>
              <w:rPr>
                <w:sz w:val="13"/>
                <w:szCs w:val="13"/>
                <w:color w:val="auto"/>
              </w:rPr>
            </w:pPr>
          </w:p>
        </w:tc>
        <w:tc>
          <w:tcPr>
            <w:tcW w:w="420" w:type="dxa"/>
            <w:vAlign w:val="bottom"/>
            <w:tcBorders>
              <w:right w:val="single" w:sz="8" w:color="9EACCA"/>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9EACCA"/>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9EACCA"/>
            </w:tcBorders>
          </w:tcPr>
          <w:p>
            <w:pPr>
              <w:spacing w:after="0"/>
              <w:rPr>
                <w:sz w:val="13"/>
                <w:szCs w:val="13"/>
                <w:color w:val="auto"/>
              </w:rPr>
            </w:pPr>
          </w:p>
        </w:tc>
        <w:tc>
          <w:tcPr>
            <w:tcW w:w="740" w:type="dxa"/>
            <w:vAlign w:val="bottom"/>
            <w:tcBorders>
              <w:right w:val="single" w:sz="8" w:color="9EACCA"/>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right w:val="single" w:sz="8" w:color="9EACCA"/>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right w:val="single" w:sz="8" w:color="9EACCA"/>
            </w:tcBorders>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Borders>
              <w:right w:val="single" w:sz="8" w:color="9EACCA"/>
            </w:tcBorders>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Borders>
              <w:right w:val="single" w:sz="8" w:color="9EACCA"/>
            </w:tcBorders>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right w:val="single" w:sz="8" w:color="3C5896"/>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People Officer</w:t>
            </w:r>
          </w:p>
        </w:tc>
        <w:tc>
          <w:tcPr>
            <w:tcW w:w="80" w:type="dxa"/>
            <w:vAlign w:val="bottom"/>
          </w:tcPr>
          <w:p>
            <w:pPr>
              <w:spacing w:after="0"/>
              <w:rPr>
                <w:sz w:val="15"/>
                <w:szCs w:val="15"/>
                <w:color w:val="auto"/>
              </w:rPr>
            </w:pPr>
          </w:p>
        </w:tc>
        <w:tc>
          <w:tcPr>
            <w:tcW w:w="420" w:type="dxa"/>
            <w:vAlign w:val="bottom"/>
            <w:tcBorders>
              <w:right w:val="single" w:sz="8" w:color="9EACCA"/>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right w:val="single" w:sz="8" w:color="9EACCA"/>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9EACCA"/>
            </w:tcBorders>
          </w:tcPr>
          <w:p>
            <w:pPr>
              <w:spacing w:after="0"/>
              <w:rPr>
                <w:sz w:val="15"/>
                <w:szCs w:val="15"/>
                <w:color w:val="auto"/>
              </w:rPr>
            </w:pPr>
          </w:p>
        </w:tc>
        <w:tc>
          <w:tcPr>
            <w:tcW w:w="740" w:type="dxa"/>
            <w:vAlign w:val="bottom"/>
            <w:tcBorders>
              <w:right w:val="single" w:sz="8" w:color="9EACCA"/>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right w:val="single" w:sz="8" w:color="9EACCA"/>
            </w:tcBorders>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right w:val="single" w:sz="8" w:color="9EACCA"/>
            </w:tcBorders>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Borders>
              <w:right w:val="single" w:sz="8" w:color="9EACCA"/>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right w:val="single" w:sz="8" w:color="9EACCA"/>
            </w:tcBorders>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right w:val="single" w:sz="8" w:color="3C5896"/>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520" w:type="dxa"/>
            <w:vAlign w:val="bottom"/>
            <w:tcBorders>
              <w:left w:val="single" w:sz="8" w:color="3C5896"/>
              <w:right w:val="single" w:sz="8" w:color="9EACCA"/>
            </w:tcBorders>
            <w:shd w:val="clear" w:color="auto" w:fill="CCCCCC"/>
          </w:tcPr>
          <w:p>
            <w:pPr>
              <w:ind w:left="20"/>
              <w:spacing w:after="0" w:line="240" w:lineRule="exact"/>
              <w:rPr>
                <w:sz w:val="20"/>
                <w:szCs w:val="20"/>
                <w:color w:val="auto"/>
              </w:rPr>
            </w:pPr>
            <w:r>
              <w:rPr>
                <w:rFonts w:ascii="Arial" w:cs="Arial" w:eastAsia="Arial" w:hAnsi="Arial"/>
                <w:sz w:val="14"/>
                <w:szCs w:val="14"/>
                <w:color w:val="auto"/>
              </w:rPr>
              <w:t>Jared Brandman</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shd w:val="clear" w:color="auto" w:fill="CCCCCC"/>
          </w:tcPr>
          <w:p>
            <w:pPr>
              <w:jc w:val="center"/>
              <w:spacing w:after="0"/>
              <w:rPr>
                <w:sz w:val="20"/>
                <w:szCs w:val="20"/>
                <w:color w:val="auto"/>
              </w:rPr>
            </w:pPr>
            <w:r>
              <w:rPr>
                <w:rFonts w:ascii="Arial" w:cs="Arial" w:eastAsia="Arial" w:hAnsi="Arial"/>
                <w:sz w:val="14"/>
                <w:szCs w:val="14"/>
                <w:color w:val="auto"/>
              </w:rPr>
              <w:t>328,462</w:t>
            </w:r>
          </w:p>
        </w:tc>
        <w:tc>
          <w:tcPr>
            <w:tcW w:w="700" w:type="dxa"/>
            <w:vAlign w:val="bottom"/>
            <w:tcBorders>
              <w:right w:val="single" w:sz="8" w:color="9EACCA"/>
            </w:tcBorders>
            <w:gridSpan w:val="2"/>
            <w:shd w:val="clear" w:color="auto" w:fill="CCCCCC"/>
          </w:tcPr>
          <w:p>
            <w:pPr>
              <w:jc w:val="right"/>
              <w:ind w:right="70"/>
              <w:spacing w:after="0"/>
              <w:rPr>
                <w:sz w:val="20"/>
                <w:szCs w:val="20"/>
                <w:color w:val="auto"/>
              </w:rPr>
            </w:pPr>
            <w:r>
              <w:rPr>
                <w:rFonts w:ascii="Arial" w:cs="Arial" w:eastAsia="Arial" w:hAnsi="Arial"/>
                <w:sz w:val="14"/>
                <w:szCs w:val="14"/>
                <w:color w:val="auto"/>
              </w:rPr>
              <w:t>15,365</w:t>
            </w:r>
          </w:p>
        </w:tc>
        <w:tc>
          <w:tcPr>
            <w:tcW w:w="7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187,506</w:t>
            </w:r>
          </w:p>
        </w:tc>
        <w:tc>
          <w:tcPr>
            <w:tcW w:w="780" w:type="dxa"/>
            <w:vAlign w:val="bottom"/>
            <w:tcBorders>
              <w:right w:val="single" w:sz="8" w:color="9EACCA"/>
            </w:tcBorders>
            <w:gridSpan w:val="2"/>
            <w:shd w:val="clear" w:color="auto" w:fill="CCCCCC"/>
          </w:tcPr>
          <w:p>
            <w:pPr>
              <w:jc w:val="right"/>
              <w:ind w:right="11"/>
              <w:spacing w:after="0"/>
              <w:rPr>
                <w:sz w:val="20"/>
                <w:szCs w:val="20"/>
                <w:color w:val="auto"/>
              </w:rPr>
            </w:pPr>
            <w:r>
              <w:rPr>
                <w:rFonts w:ascii="Arial" w:cs="Arial" w:eastAsia="Arial" w:hAnsi="Arial"/>
                <w:sz w:val="14"/>
                <w:szCs w:val="14"/>
                <w:color w:val="auto"/>
              </w:rPr>
              <w:t>62,509</w:t>
            </w:r>
          </w:p>
        </w:tc>
        <w:tc>
          <w:tcPr>
            <w:tcW w:w="1180" w:type="dxa"/>
            <w:vAlign w:val="bottom"/>
            <w:tcBorders>
              <w:right w:val="single" w:sz="8" w:color="9EACCA"/>
            </w:tcBorders>
            <w:gridSpan w:val="2"/>
            <w:shd w:val="clear" w:color="auto" w:fill="CCCCCC"/>
          </w:tcPr>
          <w:p>
            <w:pPr>
              <w:jc w:val="right"/>
              <w:ind w:right="208"/>
              <w:spacing w:after="0"/>
              <w:rPr>
                <w:sz w:val="20"/>
                <w:szCs w:val="20"/>
                <w:color w:val="auto"/>
              </w:rPr>
            </w:pPr>
            <w:r>
              <w:rPr>
                <w:rFonts w:ascii="Arial" w:cs="Arial" w:eastAsia="Arial" w:hAnsi="Arial"/>
                <w:sz w:val="14"/>
                <w:szCs w:val="14"/>
                <w:color w:val="auto"/>
              </w:rPr>
              <w:t>159,635</w:t>
            </w:r>
          </w:p>
        </w:tc>
        <w:tc>
          <w:tcPr>
            <w:tcW w:w="500" w:type="dxa"/>
            <w:vAlign w:val="bottom"/>
            <w:shd w:val="clear" w:color="auto" w:fill="CCCCCC"/>
          </w:tcPr>
          <w:p>
            <w:pPr>
              <w:spacing w:after="0"/>
              <w:rPr>
                <w:sz w:val="20"/>
                <w:szCs w:val="20"/>
                <w:color w:val="auto"/>
              </w:rPr>
            </w:pPr>
          </w:p>
        </w:tc>
        <w:tc>
          <w:tcPr>
            <w:tcW w:w="660" w:type="dxa"/>
            <w:vAlign w:val="bottom"/>
            <w:tcBorders>
              <w:right w:val="single" w:sz="8" w:color="9EACCA"/>
            </w:tcBorders>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shd w:val="clear" w:color="auto" w:fill="CCCCCC"/>
          </w:tcPr>
          <w:p>
            <w:pPr>
              <w:jc w:val="right"/>
              <w:ind w:right="248"/>
              <w:spacing w:after="0"/>
              <w:rPr>
                <w:sz w:val="20"/>
                <w:szCs w:val="20"/>
                <w:color w:val="auto"/>
              </w:rPr>
            </w:pPr>
            <w:r>
              <w:rPr>
                <w:rFonts w:ascii="Arial" w:cs="Arial" w:eastAsia="Arial" w:hAnsi="Arial"/>
                <w:sz w:val="14"/>
                <w:szCs w:val="14"/>
                <w:color w:val="auto"/>
              </w:rPr>
              <w:t>6,809</w:t>
            </w:r>
          </w:p>
        </w:tc>
        <w:tc>
          <w:tcPr>
            <w:tcW w:w="760" w:type="dxa"/>
            <w:vAlign w:val="bottom"/>
            <w:tcBorders>
              <w:right w:val="single" w:sz="8" w:color="3C5896"/>
            </w:tcBorders>
            <w:gridSpan w:val="2"/>
            <w:shd w:val="clear" w:color="auto" w:fill="CCCCCC"/>
          </w:tcPr>
          <w:p>
            <w:pPr>
              <w:jc w:val="right"/>
              <w:ind w:right="10"/>
              <w:spacing w:after="0"/>
              <w:rPr>
                <w:sz w:val="20"/>
                <w:szCs w:val="20"/>
                <w:color w:val="auto"/>
              </w:rPr>
            </w:pPr>
            <w:r>
              <w:rPr>
                <w:rFonts w:ascii="Arial" w:cs="Arial" w:eastAsia="Arial" w:hAnsi="Arial"/>
                <w:sz w:val="14"/>
                <w:szCs w:val="14"/>
                <w:color w:val="auto"/>
              </w:rPr>
              <w:t>760,286</w:t>
            </w:r>
          </w:p>
        </w:tc>
        <w:tc>
          <w:tcPr>
            <w:tcW w:w="0" w:type="dxa"/>
            <w:vAlign w:val="bottom"/>
          </w:tcPr>
          <w:p>
            <w:pPr>
              <w:spacing w:after="0"/>
              <w:rPr>
                <w:sz w:val="1"/>
                <w:szCs w:val="1"/>
                <w:color w:val="auto"/>
              </w:rPr>
            </w:pPr>
          </w:p>
        </w:tc>
      </w:tr>
      <w:tr>
        <w:trPr>
          <w:trHeight w:val="171"/>
        </w:trPr>
        <w:tc>
          <w:tcPr>
            <w:tcW w:w="15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Senior Vice</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jc w:val="center"/>
              <w:ind w:right="3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CCCC"/>
          </w:tcPr>
          <w:p>
            <w:pPr>
              <w:spacing w:after="0"/>
              <w:rPr>
                <w:sz w:val="14"/>
                <w:szCs w:val="14"/>
                <w:color w:val="auto"/>
              </w:rPr>
            </w:pPr>
          </w:p>
        </w:tc>
        <w:tc>
          <w:tcPr>
            <w:tcW w:w="620" w:type="dxa"/>
            <w:vAlign w:val="bottom"/>
            <w:tcBorders>
              <w:right w:val="single" w:sz="8" w:color="9EACCA"/>
            </w:tcBorders>
            <w:shd w:val="clear" w:color="auto" w:fill="CCCCCC"/>
          </w:tcPr>
          <w:p>
            <w:pPr>
              <w:jc w:val="center"/>
              <w:ind w:right="30"/>
              <w:spacing w:after="0"/>
              <w:rPr>
                <w:sz w:val="20"/>
                <w:szCs w:val="20"/>
                <w:color w:val="auto"/>
              </w:rPr>
            </w:pPr>
            <w:r>
              <w:rPr>
                <w:rFonts w:ascii="Arial" w:cs="Arial" w:eastAsia="Arial" w:hAnsi="Arial"/>
                <w:sz w:val="14"/>
                <w:szCs w:val="14"/>
                <w:color w:val="auto"/>
              </w:rPr>
              <w:t>298,915</w:t>
            </w:r>
          </w:p>
        </w:tc>
        <w:tc>
          <w:tcPr>
            <w:tcW w:w="120" w:type="dxa"/>
            <w:vAlign w:val="bottom"/>
            <w:shd w:val="clear" w:color="auto" w:fill="CCCCCC"/>
          </w:tcPr>
          <w:p>
            <w:pPr>
              <w:spacing w:after="0"/>
              <w:rPr>
                <w:sz w:val="14"/>
                <w:szCs w:val="14"/>
                <w:color w:val="auto"/>
              </w:rPr>
            </w:pPr>
          </w:p>
        </w:tc>
        <w:tc>
          <w:tcPr>
            <w:tcW w:w="58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425,031</w:t>
            </w:r>
          </w:p>
        </w:tc>
        <w:tc>
          <w:tcPr>
            <w:tcW w:w="60" w:type="dxa"/>
            <w:vAlign w:val="bottom"/>
            <w:shd w:val="clear" w:color="auto" w:fill="CCCCCC"/>
          </w:tcPr>
          <w:p>
            <w:pPr>
              <w:spacing w:after="0"/>
              <w:rPr>
                <w:sz w:val="14"/>
                <w:szCs w:val="14"/>
                <w:color w:val="auto"/>
              </w:rPr>
            </w:pPr>
          </w:p>
        </w:tc>
        <w:tc>
          <w:tcPr>
            <w:tcW w:w="720" w:type="dxa"/>
            <w:vAlign w:val="bottom"/>
            <w:tcBorders>
              <w:right w:val="single" w:sz="8" w:color="9EACCA"/>
            </w:tcBorders>
            <w:shd w:val="clear" w:color="auto" w:fill="CCCCCC"/>
          </w:tcPr>
          <w:p>
            <w:pPr>
              <w:jc w:val="right"/>
              <w:ind w:right="11"/>
              <w:spacing w:after="0"/>
              <w:rPr>
                <w:sz w:val="20"/>
                <w:szCs w:val="20"/>
                <w:color w:val="auto"/>
              </w:rPr>
            </w:pPr>
            <w:r>
              <w:rPr>
                <w:rFonts w:ascii="Arial" w:cs="Arial" w:eastAsia="Arial" w:hAnsi="Arial"/>
                <w:sz w:val="14"/>
                <w:szCs w:val="14"/>
                <w:color w:val="auto"/>
              </w:rPr>
              <w:t>125,008</w:t>
            </w:r>
          </w:p>
        </w:tc>
        <w:tc>
          <w:tcPr>
            <w:tcW w:w="26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jc w:val="right"/>
              <w:ind w:right="208"/>
              <w:spacing w:after="0"/>
              <w:rPr>
                <w:sz w:val="20"/>
                <w:szCs w:val="20"/>
                <w:color w:val="auto"/>
              </w:rPr>
            </w:pPr>
            <w:r>
              <w:rPr>
                <w:rFonts w:ascii="Arial" w:cs="Arial" w:eastAsia="Arial" w:hAnsi="Arial"/>
                <w:sz w:val="14"/>
                <w:szCs w:val="14"/>
                <w:color w:val="auto"/>
              </w:rPr>
              <w:t>208,409</w:t>
            </w: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jc w:val="center"/>
              <w:ind w:right="448"/>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CCCCC"/>
          </w:tcPr>
          <w:p>
            <w:pPr>
              <w:spacing w:after="0"/>
              <w:rPr>
                <w:sz w:val="14"/>
                <w:szCs w:val="14"/>
                <w:color w:val="auto"/>
              </w:rPr>
            </w:pPr>
          </w:p>
        </w:tc>
        <w:tc>
          <w:tcPr>
            <w:tcW w:w="860" w:type="dxa"/>
            <w:vAlign w:val="bottom"/>
            <w:tcBorders>
              <w:right w:val="single" w:sz="8" w:color="9EACCA"/>
            </w:tcBorders>
            <w:shd w:val="clear" w:color="auto" w:fill="CCCCCC"/>
          </w:tcPr>
          <w:p>
            <w:pPr>
              <w:jc w:val="right"/>
              <w:ind w:right="248"/>
              <w:spacing w:after="0"/>
              <w:rPr>
                <w:sz w:val="20"/>
                <w:szCs w:val="20"/>
                <w:color w:val="auto"/>
              </w:rPr>
            </w:pPr>
            <w:r>
              <w:rPr>
                <w:rFonts w:ascii="Arial" w:cs="Arial" w:eastAsia="Arial" w:hAnsi="Arial"/>
                <w:sz w:val="14"/>
                <w:szCs w:val="14"/>
                <w:color w:val="auto"/>
              </w:rPr>
              <w:t>5,550</w:t>
            </w: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jc w:val="right"/>
              <w:ind w:right="10"/>
              <w:spacing w:after="0"/>
              <w:rPr>
                <w:sz w:val="20"/>
                <w:szCs w:val="20"/>
                <w:color w:val="auto"/>
              </w:rPr>
            </w:pPr>
            <w:r>
              <w:rPr>
                <w:rFonts w:ascii="Arial" w:cs="Arial" w:eastAsia="Arial" w:hAnsi="Arial"/>
                <w:sz w:val="14"/>
                <w:szCs w:val="14"/>
                <w:color w:val="auto"/>
                <w:highlight w:val="lightGray"/>
                <w:w w:val="99"/>
              </w:rPr>
              <w:t>1,062,913</w:t>
            </w:r>
          </w:p>
        </w:tc>
        <w:tc>
          <w:tcPr>
            <w:tcW w:w="0" w:type="dxa"/>
            <w:vAlign w:val="bottom"/>
          </w:tcPr>
          <w:p>
            <w:pPr>
              <w:spacing w:after="0"/>
              <w:rPr>
                <w:sz w:val="1"/>
                <w:szCs w:val="1"/>
                <w:color w:val="auto"/>
              </w:rPr>
            </w:pPr>
          </w:p>
        </w:tc>
      </w:tr>
      <w:tr>
        <w:trPr>
          <w:trHeight w:val="153"/>
        </w:trPr>
        <w:tc>
          <w:tcPr>
            <w:tcW w:w="1520" w:type="dxa"/>
            <w:vAlign w:val="bottom"/>
            <w:tcBorders>
              <w:left w:val="single" w:sz="8" w:color="3C5896"/>
              <w:right w:val="single" w:sz="8" w:color="9EACCA"/>
            </w:tcBorders>
            <w:shd w:val="clear" w:color="auto" w:fill="CCCCCC"/>
          </w:tcPr>
          <w:p>
            <w:pPr>
              <w:ind w:left="180"/>
              <w:spacing w:after="0" w:line="153" w:lineRule="exact"/>
              <w:rPr>
                <w:sz w:val="20"/>
                <w:szCs w:val="20"/>
                <w:color w:val="auto"/>
              </w:rPr>
            </w:pPr>
            <w:r>
              <w:rPr>
                <w:rFonts w:ascii="Arial" w:cs="Arial" w:eastAsia="Arial" w:hAnsi="Arial"/>
                <w:sz w:val="14"/>
                <w:szCs w:val="14"/>
                <w:color w:val="auto"/>
              </w:rPr>
              <w:t>President, General</w:t>
            </w:r>
          </w:p>
        </w:tc>
        <w:tc>
          <w:tcPr>
            <w:tcW w:w="80" w:type="dxa"/>
            <w:vAlign w:val="bottom"/>
            <w:shd w:val="clear" w:color="auto" w:fill="CCCCCC"/>
          </w:tcPr>
          <w:p>
            <w:pPr>
              <w:spacing w:after="0"/>
              <w:rPr>
                <w:sz w:val="13"/>
                <w:szCs w:val="13"/>
                <w:color w:val="auto"/>
              </w:rPr>
            </w:pPr>
          </w:p>
        </w:tc>
        <w:tc>
          <w:tcPr>
            <w:tcW w:w="420" w:type="dxa"/>
            <w:vAlign w:val="bottom"/>
            <w:tcBorders>
              <w:right w:val="single" w:sz="8" w:color="9EACCA"/>
            </w:tcBorders>
            <w:shd w:val="clear" w:color="auto" w:fill="CCCCCC"/>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620" w:type="dxa"/>
            <w:vAlign w:val="bottom"/>
            <w:tcBorders>
              <w:right w:val="single" w:sz="8" w:color="9EACCA"/>
            </w:tcBorders>
            <w:shd w:val="clear" w:color="auto" w:fill="CCCCCC"/>
          </w:tcPr>
          <w:p>
            <w:pPr>
              <w:spacing w:after="0"/>
              <w:rPr>
                <w:sz w:val="13"/>
                <w:szCs w:val="13"/>
                <w:color w:val="auto"/>
              </w:rPr>
            </w:pPr>
          </w:p>
        </w:tc>
        <w:tc>
          <w:tcPr>
            <w:tcW w:w="120" w:type="dxa"/>
            <w:vAlign w:val="bottom"/>
            <w:shd w:val="clear" w:color="auto" w:fill="CCCCCC"/>
          </w:tcPr>
          <w:p>
            <w:pPr>
              <w:spacing w:after="0"/>
              <w:rPr>
                <w:sz w:val="13"/>
                <w:szCs w:val="13"/>
                <w:color w:val="auto"/>
              </w:rPr>
            </w:pPr>
          </w:p>
        </w:tc>
        <w:tc>
          <w:tcPr>
            <w:tcW w:w="580" w:type="dxa"/>
            <w:vAlign w:val="bottom"/>
            <w:tcBorders>
              <w:right w:val="single" w:sz="8" w:color="9EACCA"/>
            </w:tcBorders>
            <w:shd w:val="clear" w:color="auto" w:fill="CCCCCC"/>
          </w:tcPr>
          <w:p>
            <w:pPr>
              <w:spacing w:after="0"/>
              <w:rPr>
                <w:sz w:val="13"/>
                <w:szCs w:val="13"/>
                <w:color w:val="auto"/>
              </w:rPr>
            </w:pPr>
          </w:p>
        </w:tc>
        <w:tc>
          <w:tcPr>
            <w:tcW w:w="740" w:type="dxa"/>
            <w:vAlign w:val="bottom"/>
            <w:tcBorders>
              <w:right w:val="single" w:sz="8" w:color="9EACCA"/>
            </w:tcBorders>
            <w:shd w:val="clear" w:color="auto" w:fill="CCCCCC"/>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720" w:type="dxa"/>
            <w:vAlign w:val="bottom"/>
            <w:tcBorders>
              <w:right w:val="single" w:sz="8" w:color="9EACCA"/>
            </w:tcBorders>
            <w:shd w:val="clear" w:color="auto" w:fill="CCCCCC"/>
          </w:tcPr>
          <w:p>
            <w:pPr>
              <w:spacing w:after="0"/>
              <w:rPr>
                <w:sz w:val="13"/>
                <w:szCs w:val="13"/>
                <w:color w:val="auto"/>
              </w:rPr>
            </w:pPr>
          </w:p>
        </w:tc>
        <w:tc>
          <w:tcPr>
            <w:tcW w:w="260" w:type="dxa"/>
            <w:vAlign w:val="bottom"/>
            <w:shd w:val="clear" w:color="auto" w:fill="CCCCCC"/>
          </w:tcPr>
          <w:p>
            <w:pPr>
              <w:spacing w:after="0"/>
              <w:rPr>
                <w:sz w:val="13"/>
                <w:szCs w:val="13"/>
                <w:color w:val="auto"/>
              </w:rPr>
            </w:pPr>
          </w:p>
        </w:tc>
        <w:tc>
          <w:tcPr>
            <w:tcW w:w="920" w:type="dxa"/>
            <w:vAlign w:val="bottom"/>
            <w:tcBorders>
              <w:right w:val="single" w:sz="8" w:color="9EACCA"/>
            </w:tcBorders>
            <w:shd w:val="clear" w:color="auto" w:fill="CCCCCC"/>
          </w:tcPr>
          <w:p>
            <w:pPr>
              <w:spacing w:after="0"/>
              <w:rPr>
                <w:sz w:val="13"/>
                <w:szCs w:val="13"/>
                <w:color w:val="auto"/>
              </w:rPr>
            </w:pPr>
          </w:p>
        </w:tc>
        <w:tc>
          <w:tcPr>
            <w:tcW w:w="500" w:type="dxa"/>
            <w:vAlign w:val="bottom"/>
            <w:shd w:val="clear" w:color="auto" w:fill="CCCCCC"/>
          </w:tcPr>
          <w:p>
            <w:pPr>
              <w:spacing w:after="0"/>
              <w:rPr>
                <w:sz w:val="13"/>
                <w:szCs w:val="13"/>
                <w:color w:val="auto"/>
              </w:rPr>
            </w:pPr>
          </w:p>
        </w:tc>
        <w:tc>
          <w:tcPr>
            <w:tcW w:w="660" w:type="dxa"/>
            <w:vAlign w:val="bottom"/>
            <w:tcBorders>
              <w:right w:val="single" w:sz="8" w:color="9EACCA"/>
            </w:tcBorders>
            <w:shd w:val="clear" w:color="auto" w:fill="CCCCCC"/>
          </w:tcPr>
          <w:p>
            <w:pPr>
              <w:spacing w:after="0"/>
              <w:rPr>
                <w:sz w:val="13"/>
                <w:szCs w:val="13"/>
                <w:color w:val="auto"/>
              </w:rPr>
            </w:pPr>
          </w:p>
        </w:tc>
        <w:tc>
          <w:tcPr>
            <w:tcW w:w="300" w:type="dxa"/>
            <w:vAlign w:val="bottom"/>
            <w:shd w:val="clear" w:color="auto" w:fill="CCCCCC"/>
          </w:tcPr>
          <w:p>
            <w:pPr>
              <w:spacing w:after="0"/>
              <w:rPr>
                <w:sz w:val="13"/>
                <w:szCs w:val="13"/>
                <w:color w:val="auto"/>
              </w:rPr>
            </w:pPr>
          </w:p>
        </w:tc>
        <w:tc>
          <w:tcPr>
            <w:tcW w:w="860" w:type="dxa"/>
            <w:vAlign w:val="bottom"/>
            <w:tcBorders>
              <w:right w:val="single" w:sz="8" w:color="9EACCA"/>
            </w:tcBorders>
            <w:shd w:val="clear" w:color="auto" w:fill="CCCCCC"/>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720" w:type="dxa"/>
            <w:vAlign w:val="bottom"/>
            <w:tcBorders>
              <w:right w:val="single" w:sz="8" w:color="3C5896"/>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Counsel and</w:t>
            </w:r>
          </w:p>
        </w:tc>
        <w:tc>
          <w:tcPr>
            <w:tcW w:w="80" w:type="dxa"/>
            <w:vAlign w:val="bottom"/>
            <w:shd w:val="clear" w:color="auto" w:fill="CCCCCC"/>
          </w:tcPr>
          <w:p>
            <w:pPr>
              <w:spacing w:after="0"/>
              <w:rPr>
                <w:sz w:val="14"/>
                <w:szCs w:val="14"/>
                <w:color w:val="auto"/>
              </w:rPr>
            </w:pPr>
          </w:p>
        </w:tc>
        <w:tc>
          <w:tcPr>
            <w:tcW w:w="420" w:type="dxa"/>
            <w:vAlign w:val="bottom"/>
            <w:tcBorders>
              <w:right w:val="single" w:sz="8" w:color="9EACCA"/>
            </w:tcBorders>
            <w:shd w:val="clear" w:color="auto" w:fill="CCCCCC"/>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620" w:type="dxa"/>
            <w:vAlign w:val="bottom"/>
            <w:tcBorders>
              <w:right w:val="single" w:sz="8" w:color="9EACCA"/>
            </w:tcBorders>
            <w:shd w:val="clear" w:color="auto" w:fill="CCCCCC"/>
          </w:tcPr>
          <w:p>
            <w:pPr>
              <w:spacing w:after="0"/>
              <w:rPr>
                <w:sz w:val="14"/>
                <w:szCs w:val="14"/>
                <w:color w:val="auto"/>
              </w:rPr>
            </w:pPr>
          </w:p>
        </w:tc>
        <w:tc>
          <w:tcPr>
            <w:tcW w:w="120" w:type="dxa"/>
            <w:vAlign w:val="bottom"/>
            <w:shd w:val="clear" w:color="auto" w:fill="CCCCCC"/>
          </w:tcPr>
          <w:p>
            <w:pPr>
              <w:spacing w:after="0"/>
              <w:rPr>
                <w:sz w:val="14"/>
                <w:szCs w:val="14"/>
                <w:color w:val="auto"/>
              </w:rPr>
            </w:pPr>
          </w:p>
        </w:tc>
        <w:tc>
          <w:tcPr>
            <w:tcW w:w="580" w:type="dxa"/>
            <w:vAlign w:val="bottom"/>
            <w:tcBorders>
              <w:right w:val="single" w:sz="8" w:color="9EACCA"/>
            </w:tcBorders>
            <w:shd w:val="clear" w:color="auto" w:fill="CCCCCC"/>
          </w:tcPr>
          <w:p>
            <w:pPr>
              <w:spacing w:after="0"/>
              <w:rPr>
                <w:sz w:val="14"/>
                <w:szCs w:val="14"/>
                <w:color w:val="auto"/>
              </w:rPr>
            </w:pPr>
          </w:p>
        </w:tc>
        <w:tc>
          <w:tcPr>
            <w:tcW w:w="740" w:type="dxa"/>
            <w:vAlign w:val="bottom"/>
            <w:tcBorders>
              <w:right w:val="single" w:sz="8" w:color="9EACCA"/>
            </w:tcBorders>
            <w:shd w:val="clear" w:color="auto" w:fill="CCCCCC"/>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720" w:type="dxa"/>
            <w:vAlign w:val="bottom"/>
            <w:tcBorders>
              <w:right w:val="single" w:sz="8" w:color="9EACCA"/>
            </w:tcBorders>
            <w:shd w:val="clear" w:color="auto" w:fill="CCCCCC"/>
          </w:tcPr>
          <w:p>
            <w:pPr>
              <w:spacing w:after="0"/>
              <w:rPr>
                <w:sz w:val="14"/>
                <w:szCs w:val="14"/>
                <w:color w:val="auto"/>
              </w:rPr>
            </w:pPr>
          </w:p>
        </w:tc>
        <w:tc>
          <w:tcPr>
            <w:tcW w:w="260" w:type="dxa"/>
            <w:vAlign w:val="bottom"/>
            <w:shd w:val="clear" w:color="auto" w:fill="CCCCCC"/>
          </w:tcPr>
          <w:p>
            <w:pPr>
              <w:spacing w:after="0"/>
              <w:rPr>
                <w:sz w:val="14"/>
                <w:szCs w:val="14"/>
                <w:color w:val="auto"/>
              </w:rPr>
            </w:pPr>
          </w:p>
        </w:tc>
        <w:tc>
          <w:tcPr>
            <w:tcW w:w="920" w:type="dxa"/>
            <w:vAlign w:val="bottom"/>
            <w:tcBorders>
              <w:right w:val="single" w:sz="8" w:color="9EACCA"/>
            </w:tcBorders>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660" w:type="dxa"/>
            <w:vAlign w:val="bottom"/>
            <w:tcBorders>
              <w:right w:val="single" w:sz="8" w:color="9EACCA"/>
            </w:tcBorders>
            <w:shd w:val="clear" w:color="auto" w:fill="CCCCCC"/>
          </w:tcPr>
          <w:p>
            <w:pPr>
              <w:spacing w:after="0"/>
              <w:rPr>
                <w:sz w:val="14"/>
                <w:szCs w:val="14"/>
                <w:color w:val="auto"/>
              </w:rPr>
            </w:pPr>
          </w:p>
        </w:tc>
        <w:tc>
          <w:tcPr>
            <w:tcW w:w="300" w:type="dxa"/>
            <w:vAlign w:val="bottom"/>
            <w:shd w:val="clear" w:color="auto" w:fill="CCCCCC"/>
          </w:tcPr>
          <w:p>
            <w:pPr>
              <w:spacing w:after="0"/>
              <w:rPr>
                <w:sz w:val="14"/>
                <w:szCs w:val="14"/>
                <w:color w:val="auto"/>
              </w:rPr>
            </w:pPr>
          </w:p>
        </w:tc>
        <w:tc>
          <w:tcPr>
            <w:tcW w:w="860" w:type="dxa"/>
            <w:vAlign w:val="bottom"/>
            <w:tcBorders>
              <w:right w:val="single" w:sz="8" w:color="9EACCA"/>
            </w:tcBorders>
            <w:shd w:val="clear" w:color="auto" w:fill="CCCCCC"/>
          </w:tcPr>
          <w:p>
            <w:pPr>
              <w:spacing w:after="0"/>
              <w:rPr>
                <w:sz w:val="14"/>
                <w:szCs w:val="14"/>
                <w:color w:val="auto"/>
              </w:rPr>
            </w:pPr>
          </w:p>
        </w:tc>
        <w:tc>
          <w:tcPr>
            <w:tcW w:w="40" w:type="dxa"/>
            <w:vAlign w:val="bottom"/>
            <w:shd w:val="clear" w:color="auto" w:fill="CCCCCC"/>
          </w:tcPr>
          <w:p>
            <w:pPr>
              <w:spacing w:after="0"/>
              <w:rPr>
                <w:sz w:val="14"/>
                <w:szCs w:val="14"/>
                <w:color w:val="auto"/>
              </w:rPr>
            </w:pPr>
          </w:p>
        </w:tc>
        <w:tc>
          <w:tcPr>
            <w:tcW w:w="720" w:type="dxa"/>
            <w:vAlign w:val="bottom"/>
            <w:tcBorders>
              <w:right w:val="single" w:sz="8" w:color="3C5896"/>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20" w:type="dxa"/>
            <w:vAlign w:val="bottom"/>
            <w:tcBorders>
              <w:left w:val="single" w:sz="8" w:color="3C5896"/>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Secretary</w:t>
            </w:r>
          </w:p>
        </w:tc>
        <w:tc>
          <w:tcPr>
            <w:tcW w:w="80" w:type="dxa"/>
            <w:vAlign w:val="bottom"/>
            <w:tcBorders>
              <w:bottom w:val="single" w:sz="8" w:color="CCCCCC"/>
            </w:tcBorders>
            <w:shd w:val="clear" w:color="auto" w:fill="CCCCCC"/>
          </w:tcPr>
          <w:p>
            <w:pPr>
              <w:spacing w:after="0"/>
              <w:rPr>
                <w:sz w:val="15"/>
                <w:szCs w:val="15"/>
                <w:color w:val="auto"/>
              </w:rPr>
            </w:pPr>
          </w:p>
        </w:tc>
        <w:tc>
          <w:tcPr>
            <w:tcW w:w="420" w:type="dxa"/>
            <w:vAlign w:val="bottom"/>
            <w:tcBorders>
              <w:bottom w:val="single" w:sz="8" w:color="CCCCCC"/>
              <w:right w:val="single" w:sz="8" w:color="9EACCA"/>
            </w:tcBorders>
            <w:shd w:val="clear" w:color="auto" w:fill="CCCCCC"/>
          </w:tcPr>
          <w:p>
            <w:pPr>
              <w:spacing w:after="0"/>
              <w:rPr>
                <w:sz w:val="15"/>
                <w:szCs w:val="15"/>
                <w:color w:val="auto"/>
              </w:rPr>
            </w:pPr>
          </w:p>
        </w:tc>
        <w:tc>
          <w:tcPr>
            <w:tcW w:w="80" w:type="dxa"/>
            <w:vAlign w:val="bottom"/>
            <w:tcBorders>
              <w:bottom w:val="single" w:sz="8" w:color="CCCCCC"/>
            </w:tcBorders>
            <w:shd w:val="clear" w:color="auto" w:fill="CCCCCC"/>
          </w:tcPr>
          <w:p>
            <w:pPr>
              <w:spacing w:after="0"/>
              <w:rPr>
                <w:sz w:val="15"/>
                <w:szCs w:val="15"/>
                <w:color w:val="auto"/>
              </w:rPr>
            </w:pPr>
          </w:p>
        </w:tc>
        <w:tc>
          <w:tcPr>
            <w:tcW w:w="620" w:type="dxa"/>
            <w:vAlign w:val="bottom"/>
            <w:tcBorders>
              <w:bottom w:val="single" w:sz="8" w:color="CCCCCC"/>
              <w:right w:val="single" w:sz="8" w:color="9EACCA"/>
            </w:tcBorders>
            <w:shd w:val="clear" w:color="auto" w:fill="CCCCCC"/>
          </w:tcPr>
          <w:p>
            <w:pPr>
              <w:spacing w:after="0"/>
              <w:rPr>
                <w:sz w:val="15"/>
                <w:szCs w:val="15"/>
                <w:color w:val="auto"/>
              </w:rPr>
            </w:pPr>
          </w:p>
        </w:tc>
        <w:tc>
          <w:tcPr>
            <w:tcW w:w="120" w:type="dxa"/>
            <w:vAlign w:val="bottom"/>
            <w:tcBorders>
              <w:bottom w:val="single" w:sz="8" w:color="CCCCCC"/>
            </w:tcBorders>
            <w:shd w:val="clear" w:color="auto" w:fill="CCCCCC"/>
          </w:tcPr>
          <w:p>
            <w:pPr>
              <w:spacing w:after="0"/>
              <w:rPr>
                <w:sz w:val="15"/>
                <w:szCs w:val="15"/>
                <w:color w:val="auto"/>
              </w:rPr>
            </w:pPr>
          </w:p>
        </w:tc>
        <w:tc>
          <w:tcPr>
            <w:tcW w:w="580" w:type="dxa"/>
            <w:vAlign w:val="bottom"/>
            <w:tcBorders>
              <w:bottom w:val="single" w:sz="8" w:color="CCCCCC"/>
              <w:right w:val="single" w:sz="8" w:color="9EACCA"/>
            </w:tcBorders>
            <w:shd w:val="clear" w:color="auto" w:fill="CCCCCC"/>
          </w:tcPr>
          <w:p>
            <w:pPr>
              <w:spacing w:after="0"/>
              <w:rPr>
                <w:sz w:val="15"/>
                <w:szCs w:val="15"/>
                <w:color w:val="auto"/>
              </w:rPr>
            </w:pPr>
          </w:p>
        </w:tc>
        <w:tc>
          <w:tcPr>
            <w:tcW w:w="740" w:type="dxa"/>
            <w:vAlign w:val="bottom"/>
            <w:tcBorders>
              <w:bottom w:val="single" w:sz="8" w:color="CCCCCC"/>
              <w:right w:val="single" w:sz="8" w:color="9EACCA"/>
            </w:tcBorders>
            <w:shd w:val="clear" w:color="auto" w:fill="CCCCCC"/>
          </w:tcPr>
          <w:p>
            <w:pPr>
              <w:spacing w:after="0"/>
              <w:rPr>
                <w:sz w:val="15"/>
                <w:szCs w:val="15"/>
                <w:color w:val="auto"/>
              </w:rPr>
            </w:pPr>
          </w:p>
        </w:tc>
        <w:tc>
          <w:tcPr>
            <w:tcW w:w="60" w:type="dxa"/>
            <w:vAlign w:val="bottom"/>
            <w:tcBorders>
              <w:bottom w:val="single" w:sz="8" w:color="CCCCCC"/>
            </w:tcBorders>
            <w:shd w:val="clear" w:color="auto" w:fill="CCCCCC"/>
          </w:tcPr>
          <w:p>
            <w:pPr>
              <w:spacing w:after="0"/>
              <w:rPr>
                <w:sz w:val="15"/>
                <w:szCs w:val="15"/>
                <w:color w:val="auto"/>
              </w:rPr>
            </w:pPr>
          </w:p>
        </w:tc>
        <w:tc>
          <w:tcPr>
            <w:tcW w:w="720" w:type="dxa"/>
            <w:vAlign w:val="bottom"/>
            <w:tcBorders>
              <w:bottom w:val="single" w:sz="8" w:color="CCCCCC"/>
              <w:right w:val="single" w:sz="8" w:color="9EACCA"/>
            </w:tcBorders>
            <w:shd w:val="clear" w:color="auto" w:fill="CCCCCC"/>
          </w:tcPr>
          <w:p>
            <w:pPr>
              <w:spacing w:after="0"/>
              <w:rPr>
                <w:sz w:val="15"/>
                <w:szCs w:val="15"/>
                <w:color w:val="auto"/>
              </w:rPr>
            </w:pPr>
          </w:p>
        </w:tc>
        <w:tc>
          <w:tcPr>
            <w:tcW w:w="260" w:type="dxa"/>
            <w:vAlign w:val="bottom"/>
            <w:tcBorders>
              <w:bottom w:val="single" w:sz="8" w:color="CCCCCC"/>
            </w:tcBorders>
            <w:shd w:val="clear" w:color="auto" w:fill="CCCCCC"/>
          </w:tcPr>
          <w:p>
            <w:pPr>
              <w:spacing w:after="0"/>
              <w:rPr>
                <w:sz w:val="15"/>
                <w:szCs w:val="15"/>
                <w:color w:val="auto"/>
              </w:rPr>
            </w:pPr>
          </w:p>
        </w:tc>
        <w:tc>
          <w:tcPr>
            <w:tcW w:w="920" w:type="dxa"/>
            <w:vAlign w:val="bottom"/>
            <w:tcBorders>
              <w:bottom w:val="single" w:sz="8" w:color="CCCCCC"/>
              <w:right w:val="single" w:sz="8" w:color="9EACCA"/>
            </w:tcBorders>
            <w:shd w:val="clear" w:color="auto" w:fill="CCCCCC"/>
          </w:tcPr>
          <w:p>
            <w:pPr>
              <w:spacing w:after="0"/>
              <w:rPr>
                <w:sz w:val="15"/>
                <w:szCs w:val="15"/>
                <w:color w:val="auto"/>
              </w:rPr>
            </w:pPr>
          </w:p>
        </w:tc>
        <w:tc>
          <w:tcPr>
            <w:tcW w:w="500" w:type="dxa"/>
            <w:vAlign w:val="bottom"/>
            <w:tcBorders>
              <w:bottom w:val="single" w:sz="8" w:color="CCCCCC"/>
            </w:tcBorders>
            <w:shd w:val="clear" w:color="auto" w:fill="CCCCCC"/>
          </w:tcPr>
          <w:p>
            <w:pPr>
              <w:spacing w:after="0"/>
              <w:rPr>
                <w:sz w:val="15"/>
                <w:szCs w:val="15"/>
                <w:color w:val="auto"/>
              </w:rPr>
            </w:pPr>
          </w:p>
        </w:tc>
        <w:tc>
          <w:tcPr>
            <w:tcW w:w="660" w:type="dxa"/>
            <w:vAlign w:val="bottom"/>
            <w:tcBorders>
              <w:bottom w:val="single" w:sz="8" w:color="CCCCCC"/>
              <w:right w:val="single" w:sz="8" w:color="9EACCA"/>
            </w:tcBorders>
            <w:shd w:val="clear" w:color="auto" w:fill="CCCCCC"/>
          </w:tcPr>
          <w:p>
            <w:pPr>
              <w:spacing w:after="0"/>
              <w:rPr>
                <w:sz w:val="15"/>
                <w:szCs w:val="15"/>
                <w:color w:val="auto"/>
              </w:rPr>
            </w:pPr>
          </w:p>
        </w:tc>
        <w:tc>
          <w:tcPr>
            <w:tcW w:w="300" w:type="dxa"/>
            <w:vAlign w:val="bottom"/>
            <w:tcBorders>
              <w:bottom w:val="single" w:sz="8" w:color="CCCCCC"/>
            </w:tcBorders>
            <w:shd w:val="clear" w:color="auto" w:fill="CCCCCC"/>
          </w:tcPr>
          <w:p>
            <w:pPr>
              <w:spacing w:after="0"/>
              <w:rPr>
                <w:sz w:val="15"/>
                <w:szCs w:val="15"/>
                <w:color w:val="auto"/>
              </w:rPr>
            </w:pPr>
          </w:p>
        </w:tc>
        <w:tc>
          <w:tcPr>
            <w:tcW w:w="860" w:type="dxa"/>
            <w:vAlign w:val="bottom"/>
            <w:tcBorders>
              <w:bottom w:val="single" w:sz="8" w:color="CCCCCC"/>
              <w:right w:val="single" w:sz="8" w:color="9EACCA"/>
            </w:tcBorders>
            <w:shd w:val="clear" w:color="auto" w:fill="CCCCCC"/>
          </w:tcPr>
          <w:p>
            <w:pPr>
              <w:spacing w:after="0"/>
              <w:rPr>
                <w:sz w:val="15"/>
                <w:szCs w:val="15"/>
                <w:color w:val="auto"/>
              </w:rPr>
            </w:pPr>
          </w:p>
        </w:tc>
        <w:tc>
          <w:tcPr>
            <w:tcW w:w="40" w:type="dxa"/>
            <w:vAlign w:val="bottom"/>
            <w:tcBorders>
              <w:bottom w:val="single" w:sz="8" w:color="CCCCCC"/>
            </w:tcBorders>
            <w:shd w:val="clear" w:color="auto" w:fill="CCCCCC"/>
          </w:tcPr>
          <w:p>
            <w:pPr>
              <w:spacing w:after="0"/>
              <w:rPr>
                <w:sz w:val="15"/>
                <w:szCs w:val="15"/>
                <w:color w:val="auto"/>
              </w:rPr>
            </w:pPr>
          </w:p>
        </w:tc>
        <w:tc>
          <w:tcPr>
            <w:tcW w:w="720" w:type="dxa"/>
            <w:vAlign w:val="bottom"/>
            <w:tcBorders>
              <w:bottom w:val="single" w:sz="8" w:color="CCCCCC"/>
              <w:right w:val="single" w:sz="8" w:color="3C5896"/>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20" w:type="dxa"/>
            <w:vAlign w:val="bottom"/>
            <w:tcBorders>
              <w:left w:val="single" w:sz="8" w:color="3C5896"/>
              <w:right w:val="single" w:sz="8" w:color="9EACCA"/>
            </w:tcBorders>
          </w:tcPr>
          <w:p>
            <w:pPr>
              <w:ind w:left="20"/>
              <w:spacing w:after="0" w:line="234" w:lineRule="exact"/>
              <w:rPr>
                <w:sz w:val="20"/>
                <w:szCs w:val="20"/>
                <w:color w:val="auto"/>
              </w:rPr>
            </w:pPr>
            <w:r>
              <w:rPr>
                <w:rFonts w:ascii="Arial" w:cs="Arial" w:eastAsia="Arial" w:hAnsi="Arial"/>
                <w:sz w:val="14"/>
                <w:szCs w:val="14"/>
                <w:color w:val="auto"/>
              </w:rPr>
              <w:t>Joan Blackwood</w:t>
            </w:r>
            <w:r>
              <w:rPr>
                <w:rFonts w:ascii="Arial" w:cs="Arial" w:eastAsia="Arial" w:hAnsi="Arial"/>
                <w:sz w:val="21"/>
                <w:szCs w:val="21"/>
                <w:color w:val="auto"/>
                <w:vertAlign w:val="superscript"/>
              </w:rPr>
              <w:t>(1)</w:t>
            </w:r>
          </w:p>
        </w:tc>
        <w:tc>
          <w:tcPr>
            <w:tcW w:w="5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2020</w:t>
            </w:r>
          </w:p>
        </w:tc>
        <w:tc>
          <w:tcPr>
            <w:tcW w:w="700" w:type="dxa"/>
            <w:vAlign w:val="bottom"/>
            <w:tcBorders>
              <w:right w:val="single" w:sz="8" w:color="9EACCA"/>
            </w:tcBorders>
            <w:gridSpan w:val="2"/>
          </w:tcPr>
          <w:p>
            <w:pPr>
              <w:jc w:val="center"/>
              <w:spacing w:after="0"/>
              <w:rPr>
                <w:sz w:val="20"/>
                <w:szCs w:val="20"/>
                <w:color w:val="auto"/>
              </w:rPr>
            </w:pPr>
            <w:r>
              <w:rPr>
                <w:rFonts w:ascii="Arial" w:cs="Arial" w:eastAsia="Arial" w:hAnsi="Arial"/>
                <w:sz w:val="14"/>
                <w:szCs w:val="14"/>
                <w:color w:val="auto"/>
              </w:rPr>
              <w:t>302,769</w:t>
            </w:r>
          </w:p>
        </w:tc>
        <w:tc>
          <w:tcPr>
            <w:tcW w:w="700" w:type="dxa"/>
            <w:vAlign w:val="bottom"/>
            <w:tcBorders>
              <w:right w:val="single" w:sz="8" w:color="9EACCA"/>
            </w:tcBorders>
            <w:gridSpan w:val="2"/>
          </w:tcPr>
          <w:p>
            <w:pPr>
              <w:jc w:val="right"/>
              <w:ind w:right="70"/>
              <w:spacing w:after="0"/>
              <w:rPr>
                <w:sz w:val="20"/>
                <w:szCs w:val="20"/>
                <w:color w:val="auto"/>
              </w:rPr>
            </w:pPr>
            <w:r>
              <w:rPr>
                <w:rFonts w:ascii="Arial" w:cs="Arial" w:eastAsia="Arial" w:hAnsi="Arial"/>
                <w:sz w:val="14"/>
                <w:szCs w:val="14"/>
                <w:color w:val="auto"/>
              </w:rPr>
              <w:t>14,048</w:t>
            </w:r>
          </w:p>
        </w:tc>
        <w:tc>
          <w:tcPr>
            <w:tcW w:w="74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187,506</w:t>
            </w:r>
          </w:p>
        </w:tc>
        <w:tc>
          <w:tcPr>
            <w:tcW w:w="780" w:type="dxa"/>
            <w:vAlign w:val="bottom"/>
            <w:tcBorders>
              <w:right w:val="single" w:sz="8" w:color="9EACCA"/>
            </w:tcBorders>
            <w:gridSpan w:val="2"/>
          </w:tcPr>
          <w:p>
            <w:pPr>
              <w:jc w:val="right"/>
              <w:ind w:right="11"/>
              <w:spacing w:after="0"/>
              <w:rPr>
                <w:sz w:val="20"/>
                <w:szCs w:val="20"/>
                <w:color w:val="auto"/>
              </w:rPr>
            </w:pPr>
            <w:r>
              <w:rPr>
                <w:rFonts w:ascii="Arial" w:cs="Arial" w:eastAsia="Arial" w:hAnsi="Arial"/>
                <w:sz w:val="14"/>
                <w:szCs w:val="14"/>
                <w:color w:val="auto"/>
              </w:rPr>
              <w:t>62,509</w:t>
            </w:r>
          </w:p>
        </w:tc>
        <w:tc>
          <w:tcPr>
            <w:tcW w:w="1180" w:type="dxa"/>
            <w:vAlign w:val="bottom"/>
            <w:tcBorders>
              <w:right w:val="single" w:sz="8" w:color="9EACCA"/>
            </w:tcBorders>
            <w:gridSpan w:val="2"/>
          </w:tcPr>
          <w:p>
            <w:pPr>
              <w:jc w:val="right"/>
              <w:ind w:right="208"/>
              <w:spacing w:after="0"/>
              <w:rPr>
                <w:sz w:val="20"/>
                <w:szCs w:val="20"/>
                <w:color w:val="auto"/>
              </w:rPr>
            </w:pPr>
            <w:r>
              <w:rPr>
                <w:rFonts w:ascii="Arial" w:cs="Arial" w:eastAsia="Arial" w:hAnsi="Arial"/>
                <w:sz w:val="14"/>
                <w:szCs w:val="14"/>
                <w:color w:val="auto"/>
              </w:rPr>
              <w:t>145,952</w:t>
            </w:r>
          </w:p>
        </w:tc>
        <w:tc>
          <w:tcPr>
            <w:tcW w:w="500" w:type="dxa"/>
            <w:vAlign w:val="bottom"/>
          </w:tcPr>
          <w:p>
            <w:pPr>
              <w:spacing w:after="0"/>
              <w:rPr>
                <w:sz w:val="20"/>
                <w:szCs w:val="20"/>
                <w:color w:val="auto"/>
              </w:rPr>
            </w:pPr>
          </w:p>
        </w:tc>
        <w:tc>
          <w:tcPr>
            <w:tcW w:w="660" w:type="dxa"/>
            <w:vAlign w:val="bottom"/>
            <w:tcBorders>
              <w:right w:val="single" w:sz="8" w:color="9EACCA"/>
            </w:tcBorders>
          </w:tcPr>
          <w:p>
            <w:pPr>
              <w:jc w:val="center"/>
              <w:ind w:right="448"/>
              <w:spacing w:after="0"/>
              <w:rPr>
                <w:sz w:val="20"/>
                <w:szCs w:val="20"/>
                <w:color w:val="auto"/>
              </w:rPr>
            </w:pPr>
            <w:r>
              <w:rPr>
                <w:rFonts w:ascii="Arial" w:cs="Arial" w:eastAsia="Arial" w:hAnsi="Arial"/>
                <w:sz w:val="14"/>
                <w:szCs w:val="14"/>
                <w:color w:val="auto"/>
                <w:w w:val="99"/>
              </w:rPr>
              <w:t>—</w:t>
            </w:r>
          </w:p>
        </w:tc>
        <w:tc>
          <w:tcPr>
            <w:tcW w:w="1160" w:type="dxa"/>
            <w:vAlign w:val="bottom"/>
            <w:tcBorders>
              <w:right w:val="single" w:sz="8" w:color="9EACCA"/>
            </w:tcBorders>
            <w:gridSpan w:val="2"/>
          </w:tcPr>
          <w:p>
            <w:pPr>
              <w:jc w:val="right"/>
              <w:ind w:right="248"/>
              <w:spacing w:after="0"/>
              <w:rPr>
                <w:sz w:val="20"/>
                <w:szCs w:val="20"/>
                <w:color w:val="auto"/>
              </w:rPr>
            </w:pPr>
            <w:r>
              <w:rPr>
                <w:rFonts w:ascii="Arial" w:cs="Arial" w:eastAsia="Arial" w:hAnsi="Arial"/>
                <w:sz w:val="14"/>
                <w:szCs w:val="14"/>
                <w:color w:val="auto"/>
              </w:rPr>
              <w:t>35,074</w:t>
            </w:r>
          </w:p>
        </w:tc>
        <w:tc>
          <w:tcPr>
            <w:tcW w:w="760" w:type="dxa"/>
            <w:vAlign w:val="bottom"/>
            <w:tcBorders>
              <w:right w:val="single" w:sz="8" w:color="3C5896"/>
            </w:tcBorders>
            <w:gridSpan w:val="2"/>
          </w:tcPr>
          <w:p>
            <w:pPr>
              <w:jc w:val="right"/>
              <w:ind w:right="10"/>
              <w:spacing w:after="0"/>
              <w:rPr>
                <w:sz w:val="20"/>
                <w:szCs w:val="20"/>
                <w:color w:val="auto"/>
              </w:rPr>
            </w:pPr>
            <w:r>
              <w:rPr>
                <w:rFonts w:ascii="Arial" w:cs="Arial" w:eastAsia="Arial" w:hAnsi="Arial"/>
                <w:sz w:val="14"/>
                <w:szCs w:val="14"/>
                <w:color w:val="auto"/>
              </w:rPr>
              <w:t>747,858</w:t>
            </w:r>
          </w:p>
        </w:tc>
        <w:tc>
          <w:tcPr>
            <w:tcW w:w="0" w:type="dxa"/>
            <w:vAlign w:val="bottom"/>
          </w:tcPr>
          <w:p>
            <w:pPr>
              <w:spacing w:after="0"/>
              <w:rPr>
                <w:sz w:val="1"/>
                <w:szCs w:val="1"/>
                <w:color w:val="auto"/>
              </w:rPr>
            </w:pPr>
          </w:p>
        </w:tc>
      </w:tr>
      <w:tr>
        <w:trPr>
          <w:trHeight w:val="16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Chief Marketing</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9EACCA"/>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9EACCA"/>
            </w:tcBorders>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9EACCA"/>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20" w:type="dxa"/>
            <w:vAlign w:val="bottom"/>
            <w:tcBorders>
              <w:left w:val="single" w:sz="8" w:color="3C5896"/>
              <w:right w:val="single" w:sz="8" w:color="9EACCA"/>
            </w:tcBorders>
          </w:tcPr>
          <w:p>
            <w:pPr>
              <w:ind w:left="180"/>
              <w:spacing w:after="0"/>
              <w:rPr>
                <w:sz w:val="20"/>
                <w:szCs w:val="20"/>
                <w:color w:val="auto"/>
              </w:rPr>
            </w:pPr>
            <w:r>
              <w:rPr>
                <w:rFonts w:ascii="Arial" w:cs="Arial" w:eastAsia="Arial" w:hAnsi="Arial"/>
                <w:sz w:val="14"/>
                <w:szCs w:val="14"/>
                <w:color w:val="auto"/>
              </w:rPr>
              <w:t>Officer</w:t>
            </w:r>
          </w:p>
        </w:tc>
        <w:tc>
          <w:tcPr>
            <w:tcW w:w="80" w:type="dxa"/>
            <w:vAlign w:val="bottom"/>
          </w:tcPr>
          <w:p>
            <w:pPr>
              <w:spacing w:after="0"/>
              <w:rPr>
                <w:sz w:val="14"/>
                <w:szCs w:val="14"/>
                <w:color w:val="auto"/>
              </w:rPr>
            </w:pPr>
          </w:p>
        </w:tc>
        <w:tc>
          <w:tcPr>
            <w:tcW w:w="420" w:type="dxa"/>
            <w:vAlign w:val="bottom"/>
            <w:tcBorders>
              <w:right w:val="single" w:sz="8" w:color="9EACCA"/>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right w:val="single" w:sz="8" w:color="9EACCA"/>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right w:val="single" w:sz="8" w:color="9EACCA"/>
            </w:tcBorders>
          </w:tcPr>
          <w:p>
            <w:pPr>
              <w:spacing w:after="0"/>
              <w:rPr>
                <w:sz w:val="14"/>
                <w:szCs w:val="14"/>
                <w:color w:val="auto"/>
              </w:rPr>
            </w:pPr>
          </w:p>
        </w:tc>
        <w:tc>
          <w:tcPr>
            <w:tcW w:w="740" w:type="dxa"/>
            <w:vAlign w:val="bottom"/>
            <w:tcBorders>
              <w:right w:val="single" w:sz="8" w:color="9EACCA"/>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9EACCA"/>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right w:val="single" w:sz="8" w:color="9EACCA"/>
            </w:tcBorders>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right w:val="single" w:sz="8" w:color="9EACCA"/>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right w:val="single" w:sz="8" w:color="9EACCA"/>
            </w:tcBorders>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20" w:type="dxa"/>
            <w:vAlign w:val="bottom"/>
            <w:tcBorders>
              <w:left w:val="single" w:sz="8" w:color="3C5896"/>
              <w:bottom w:val="single" w:sz="8" w:color="3C5896"/>
              <w:right w:val="single" w:sz="8" w:color="9EACCA"/>
            </w:tcBorders>
          </w:tcPr>
          <w:p>
            <w:pPr>
              <w:spacing w:after="0"/>
              <w:rPr>
                <w:sz w:val="9"/>
                <w:szCs w:val="9"/>
                <w:color w:val="auto"/>
              </w:rPr>
            </w:pPr>
          </w:p>
        </w:tc>
        <w:tc>
          <w:tcPr>
            <w:tcW w:w="80" w:type="dxa"/>
            <w:vAlign w:val="bottom"/>
            <w:tcBorders>
              <w:bottom w:val="single" w:sz="8" w:color="3C5896"/>
            </w:tcBorders>
          </w:tcPr>
          <w:p>
            <w:pPr>
              <w:spacing w:after="0"/>
              <w:rPr>
                <w:sz w:val="9"/>
                <w:szCs w:val="9"/>
                <w:color w:val="auto"/>
              </w:rPr>
            </w:pPr>
          </w:p>
        </w:tc>
        <w:tc>
          <w:tcPr>
            <w:tcW w:w="420" w:type="dxa"/>
            <w:vAlign w:val="bottom"/>
            <w:tcBorders>
              <w:bottom w:val="single" w:sz="8" w:color="3C5896"/>
              <w:right w:val="single" w:sz="8" w:color="9EACCA"/>
            </w:tcBorders>
          </w:tcPr>
          <w:p>
            <w:pPr>
              <w:spacing w:after="0"/>
              <w:rPr>
                <w:sz w:val="9"/>
                <w:szCs w:val="9"/>
                <w:color w:val="auto"/>
              </w:rPr>
            </w:pPr>
          </w:p>
        </w:tc>
        <w:tc>
          <w:tcPr>
            <w:tcW w:w="80" w:type="dxa"/>
            <w:vAlign w:val="bottom"/>
            <w:tcBorders>
              <w:bottom w:val="single" w:sz="8" w:color="3C5896"/>
            </w:tcBorders>
          </w:tcPr>
          <w:p>
            <w:pPr>
              <w:spacing w:after="0"/>
              <w:rPr>
                <w:sz w:val="9"/>
                <w:szCs w:val="9"/>
                <w:color w:val="auto"/>
              </w:rPr>
            </w:pPr>
          </w:p>
        </w:tc>
        <w:tc>
          <w:tcPr>
            <w:tcW w:w="620" w:type="dxa"/>
            <w:vAlign w:val="bottom"/>
            <w:tcBorders>
              <w:bottom w:val="single" w:sz="8" w:color="3C5896"/>
              <w:right w:val="single" w:sz="8" w:color="9EACCA"/>
            </w:tcBorders>
          </w:tcPr>
          <w:p>
            <w:pPr>
              <w:spacing w:after="0"/>
              <w:rPr>
                <w:sz w:val="9"/>
                <w:szCs w:val="9"/>
                <w:color w:val="auto"/>
              </w:rPr>
            </w:pPr>
          </w:p>
        </w:tc>
        <w:tc>
          <w:tcPr>
            <w:tcW w:w="120" w:type="dxa"/>
            <w:vAlign w:val="bottom"/>
            <w:tcBorders>
              <w:bottom w:val="single" w:sz="8" w:color="3C5896"/>
            </w:tcBorders>
          </w:tcPr>
          <w:p>
            <w:pPr>
              <w:spacing w:after="0"/>
              <w:rPr>
                <w:sz w:val="9"/>
                <w:szCs w:val="9"/>
                <w:color w:val="auto"/>
              </w:rPr>
            </w:pPr>
          </w:p>
        </w:tc>
        <w:tc>
          <w:tcPr>
            <w:tcW w:w="580" w:type="dxa"/>
            <w:vAlign w:val="bottom"/>
            <w:tcBorders>
              <w:bottom w:val="single" w:sz="8" w:color="3C5896"/>
              <w:right w:val="single" w:sz="8" w:color="9EACCA"/>
            </w:tcBorders>
          </w:tcPr>
          <w:p>
            <w:pPr>
              <w:spacing w:after="0"/>
              <w:rPr>
                <w:sz w:val="9"/>
                <w:szCs w:val="9"/>
                <w:color w:val="auto"/>
              </w:rPr>
            </w:pPr>
          </w:p>
        </w:tc>
        <w:tc>
          <w:tcPr>
            <w:tcW w:w="740" w:type="dxa"/>
            <w:vAlign w:val="bottom"/>
            <w:tcBorders>
              <w:bottom w:val="single" w:sz="8" w:color="3C5896"/>
              <w:right w:val="single" w:sz="8" w:color="9EACCA"/>
            </w:tcBorders>
          </w:tcPr>
          <w:p>
            <w:pPr>
              <w:spacing w:after="0"/>
              <w:rPr>
                <w:sz w:val="9"/>
                <w:szCs w:val="9"/>
                <w:color w:val="auto"/>
              </w:rPr>
            </w:pPr>
          </w:p>
        </w:tc>
        <w:tc>
          <w:tcPr>
            <w:tcW w:w="60" w:type="dxa"/>
            <w:vAlign w:val="bottom"/>
            <w:tcBorders>
              <w:bottom w:val="single" w:sz="8" w:color="3C5896"/>
            </w:tcBorders>
          </w:tcPr>
          <w:p>
            <w:pPr>
              <w:spacing w:after="0"/>
              <w:rPr>
                <w:sz w:val="9"/>
                <w:szCs w:val="9"/>
                <w:color w:val="auto"/>
              </w:rPr>
            </w:pPr>
          </w:p>
        </w:tc>
        <w:tc>
          <w:tcPr>
            <w:tcW w:w="720" w:type="dxa"/>
            <w:vAlign w:val="bottom"/>
            <w:tcBorders>
              <w:bottom w:val="single" w:sz="8" w:color="3C5896"/>
              <w:right w:val="single" w:sz="8" w:color="9EACCA"/>
            </w:tcBorders>
          </w:tcPr>
          <w:p>
            <w:pPr>
              <w:spacing w:after="0"/>
              <w:rPr>
                <w:sz w:val="9"/>
                <w:szCs w:val="9"/>
                <w:color w:val="auto"/>
              </w:rPr>
            </w:pPr>
          </w:p>
        </w:tc>
        <w:tc>
          <w:tcPr>
            <w:tcW w:w="260" w:type="dxa"/>
            <w:vAlign w:val="bottom"/>
            <w:tcBorders>
              <w:bottom w:val="single" w:sz="8" w:color="3C5896"/>
            </w:tcBorders>
          </w:tcPr>
          <w:p>
            <w:pPr>
              <w:spacing w:after="0"/>
              <w:rPr>
                <w:sz w:val="9"/>
                <w:szCs w:val="9"/>
                <w:color w:val="auto"/>
              </w:rPr>
            </w:pPr>
          </w:p>
        </w:tc>
        <w:tc>
          <w:tcPr>
            <w:tcW w:w="920" w:type="dxa"/>
            <w:vAlign w:val="bottom"/>
            <w:tcBorders>
              <w:bottom w:val="single" w:sz="8" w:color="3C5896"/>
              <w:right w:val="single" w:sz="8" w:color="9EACCA"/>
            </w:tcBorders>
          </w:tcPr>
          <w:p>
            <w:pPr>
              <w:spacing w:after="0"/>
              <w:rPr>
                <w:sz w:val="9"/>
                <w:szCs w:val="9"/>
                <w:color w:val="auto"/>
              </w:rPr>
            </w:pPr>
          </w:p>
        </w:tc>
        <w:tc>
          <w:tcPr>
            <w:tcW w:w="500" w:type="dxa"/>
            <w:vAlign w:val="bottom"/>
            <w:tcBorders>
              <w:bottom w:val="single" w:sz="8" w:color="3C5896"/>
            </w:tcBorders>
          </w:tcPr>
          <w:p>
            <w:pPr>
              <w:spacing w:after="0"/>
              <w:rPr>
                <w:sz w:val="9"/>
                <w:szCs w:val="9"/>
                <w:color w:val="auto"/>
              </w:rPr>
            </w:pPr>
          </w:p>
        </w:tc>
        <w:tc>
          <w:tcPr>
            <w:tcW w:w="660" w:type="dxa"/>
            <w:vAlign w:val="bottom"/>
            <w:tcBorders>
              <w:bottom w:val="single" w:sz="8" w:color="3C5896"/>
              <w:right w:val="single" w:sz="8" w:color="9EACCA"/>
            </w:tcBorders>
          </w:tcPr>
          <w:p>
            <w:pPr>
              <w:spacing w:after="0"/>
              <w:rPr>
                <w:sz w:val="9"/>
                <w:szCs w:val="9"/>
                <w:color w:val="auto"/>
              </w:rPr>
            </w:pPr>
          </w:p>
        </w:tc>
        <w:tc>
          <w:tcPr>
            <w:tcW w:w="300" w:type="dxa"/>
            <w:vAlign w:val="bottom"/>
            <w:tcBorders>
              <w:bottom w:val="single" w:sz="8" w:color="3C5896"/>
            </w:tcBorders>
          </w:tcPr>
          <w:p>
            <w:pPr>
              <w:spacing w:after="0"/>
              <w:rPr>
                <w:sz w:val="9"/>
                <w:szCs w:val="9"/>
                <w:color w:val="auto"/>
              </w:rPr>
            </w:pPr>
          </w:p>
        </w:tc>
        <w:tc>
          <w:tcPr>
            <w:tcW w:w="860" w:type="dxa"/>
            <w:vAlign w:val="bottom"/>
            <w:tcBorders>
              <w:bottom w:val="single" w:sz="8" w:color="3C5896"/>
              <w:right w:val="single" w:sz="8" w:color="9EACCA"/>
            </w:tcBorders>
          </w:tcPr>
          <w:p>
            <w:pPr>
              <w:spacing w:after="0"/>
              <w:rPr>
                <w:sz w:val="9"/>
                <w:szCs w:val="9"/>
                <w:color w:val="auto"/>
              </w:rPr>
            </w:pPr>
          </w:p>
        </w:tc>
        <w:tc>
          <w:tcPr>
            <w:tcW w:w="40" w:type="dxa"/>
            <w:vAlign w:val="bottom"/>
            <w:tcBorders>
              <w:bottom w:val="single" w:sz="8" w:color="3C5896"/>
            </w:tcBorders>
          </w:tcPr>
          <w:p>
            <w:pPr>
              <w:spacing w:after="0"/>
              <w:rPr>
                <w:sz w:val="9"/>
                <w:szCs w:val="9"/>
                <w:color w:val="auto"/>
              </w:rPr>
            </w:pPr>
          </w:p>
        </w:tc>
        <w:tc>
          <w:tcPr>
            <w:tcW w:w="720" w:type="dxa"/>
            <w:vAlign w:val="bottom"/>
            <w:tcBorders>
              <w:bottom w:val="single" w:sz="8" w:color="3C5896"/>
              <w:right w:val="single" w:sz="8" w:color="3C5896"/>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120" w:hanging="358"/>
        <w:spacing w:after="0" w:line="260"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Mr. Clark joined the Company in June 2019, Mr. Brandman was appointed as an executive officer at the Company effective February 2019, and Ms. Blackwood joined the Company in December 2019.</w:t>
      </w:r>
    </w:p>
    <w:p>
      <w:pPr>
        <w:spacing w:after="0" w:line="31"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Salary column reflects salaries paid in the years indicated to each of the NEOs. In 2020, each of our NEOs, other than the CEO, reduced their base salaries by 30% from March 29, 2020 until June 7, 2020 due to the pandemic-related temporary store closures. Our CEO reduced his base salary by nearly 100% cutting it to $1 from March 29, 2020 until June 14, 2020. Salary increases, if any, for each year are generally approved in February and effective in April of that year or in connection with a NEO’s promotion. In 2020, all salary increases approved in February were delayed until July 5, 2020.</w:t>
      </w:r>
    </w:p>
    <w:p>
      <w:pPr>
        <w:spacing w:after="0" w:line="40" w:lineRule="exact"/>
        <w:rPr>
          <w:rFonts w:ascii="Arial" w:cs="Arial" w:eastAsia="Arial" w:hAnsi="Arial"/>
          <w:sz w:val="15"/>
          <w:szCs w:val="15"/>
          <w:color w:val="auto"/>
        </w:rPr>
      </w:pPr>
    </w:p>
    <w:p>
      <w:pPr>
        <w:jc w:val="both"/>
        <w:ind w:left="1120" w:hanging="358"/>
        <w:spacing w:after="0" w:line="249"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Bonus column reflects the discretionary bonus amount approved by the compensation committee in connection with its approval of the 2020 STIP Award that brought the total annual bonus amount for each NEO to be paid out at the 2020 Target STIP amount. See the “Annual Cash Incentive Program” in the Compensation Discussion and Analysis section above for further information. The 2019 amount for Mr. Clark represents his cash sign-on bonuses.</w:t>
      </w:r>
    </w:p>
    <w:p>
      <w:pPr>
        <w:spacing w:after="0" w:line="40" w:lineRule="exact"/>
        <w:rPr>
          <w:rFonts w:ascii="Arial" w:cs="Arial" w:eastAsia="Arial" w:hAnsi="Arial"/>
          <w:sz w:val="15"/>
          <w:szCs w:val="15"/>
          <w:color w:val="auto"/>
        </w:rPr>
      </w:pPr>
    </w:p>
    <w:p>
      <w:pPr>
        <w:jc w:val="both"/>
        <w:ind w:left="1120" w:hanging="358"/>
        <w:spacing w:after="0" w:line="246"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values in the Stock Awards column represent the aggregate grant date fair value for the stock awards granted in the applicable year, computed in accordance with FASB ASC Topic 718. These awards include PSUs, RSUs, one-time 2019 special retention RSU awards and 2019 sign-on awards of PSUs and RSUs. Awards with performance conditions are computed based on the probable outcome of the performance condition as of the grant date for the award. Information about the assumptions used to value these awards can be found in Note 5 “Stock Incentive Plans” in our 2020 Form 10-K. The amounts reported for these awards may not represent the amounts that the individuals will actually receive. The amounts received, if any, ultimately will depend on Company performance and the change in our stock price over time.</w:t>
      </w:r>
    </w:p>
    <w:p>
      <w:pPr>
        <w:spacing w:after="0" w:line="71" w:lineRule="exact"/>
        <w:rPr>
          <w:rFonts w:ascii="Arial" w:cs="Arial" w:eastAsia="Arial" w:hAnsi="Arial"/>
          <w:sz w:val="15"/>
          <w:szCs w:val="15"/>
          <w:color w:val="auto"/>
        </w:rPr>
      </w:pPr>
    </w:p>
    <w:p>
      <w:pPr>
        <w:jc w:val="both"/>
        <w:ind w:left="1120"/>
        <w:spacing w:after="0" w:line="235" w:lineRule="auto"/>
        <w:rPr>
          <w:rFonts w:ascii="Arial" w:cs="Arial" w:eastAsia="Arial" w:hAnsi="Arial"/>
          <w:sz w:val="15"/>
          <w:szCs w:val="15"/>
          <w:color w:val="auto"/>
        </w:rPr>
      </w:pPr>
      <w:r>
        <w:rPr>
          <w:rFonts w:ascii="Arial" w:cs="Arial" w:eastAsia="Arial" w:hAnsi="Arial"/>
          <w:sz w:val="15"/>
          <w:szCs w:val="15"/>
          <w:color w:val="auto"/>
        </w:rPr>
        <w:t>For PSU awards granted in February 2020 to Messrs. Fahs, Moore, Clark, Brandman and Ms. Blackwood, the maximum shares payable and the grant date value assuming maximum performance are 64,620 or $2,250,068; 28,720 or $1,000,030; 9,192 or $320,065; 7,180 or $250,008; and 7,180 or $250,008, respectively.</w:t>
      </w:r>
    </w:p>
    <w:p>
      <w:pPr>
        <w:spacing w:after="0" w:line="33" w:lineRule="exact"/>
        <w:rPr>
          <w:rFonts w:ascii="Arial" w:cs="Arial" w:eastAsia="Arial" w:hAnsi="Arial"/>
          <w:sz w:val="15"/>
          <w:szCs w:val="15"/>
          <w:color w:val="auto"/>
        </w:rPr>
      </w:pPr>
    </w:p>
    <w:p>
      <w:pPr>
        <w:jc w:val="both"/>
        <w:ind w:left="1120" w:hanging="358"/>
        <w:spacing w:after="0" w:line="249"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values in the Option Awards column represent the aggregate grant date fair value for the option awards granted in the applicable year, computed in accordance with FASB ASC Topic 718. The assumptions used to value these awards can be found in Note 5 “Stock Incentive Plans” in our 2020 Form 10-K. The amounts reported for these awards may not represent the amounts that the individuals will actually receive. The amounts received, if any, ultimately will depend on the change in our stock price over time.</w:t>
      </w:r>
    </w:p>
    <w:p>
      <w:pPr>
        <w:spacing w:after="0" w:line="40"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Non-Equity Incentive Plan Compensation column reflects the cash bonus awarded under the STIP for the applicable year. The Company pays these amounts, if any, in the month of March following the year in which they are earned. The cash bonuses under the 2020 STIP were earned at 91.22% of target. Additional explanation of the non-equity incentive plan compensation for each NEO appears in “Annual Cash Incentive Program” in the Compensation Discussion and Analysis section above and below in the footnotes to the 2020 Grants of Plan-Based Awards table.</w:t>
      </w:r>
    </w:p>
    <w:p>
      <w:pPr>
        <w:spacing w:after="0" w:line="320"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sz w:val="1"/>
          <w:szCs w:val="1"/>
          <w:color w:val="auto"/>
        </w:rPr>
        <w:drawing>
          <wp:inline distT="0" distB="0" distL="0" distR="0">
            <wp:extent cx="299720" cy="24003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4" w:lineRule="exact"/>
        <w:rPr>
          <w:sz w:val="20"/>
          <w:szCs w:val="20"/>
          <w:color w:val="auto"/>
        </w:rPr>
      </w:pPr>
    </w:p>
    <w:p>
      <w:pPr>
        <w:ind w:left="1120" w:hanging="358"/>
        <w:spacing w:after="0"/>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All Other Compensation for 2020 included:</w:t>
      </w:r>
    </w:p>
    <w:p>
      <w:pPr>
        <w:spacing w:after="0" w:line="121" w:lineRule="exact"/>
        <w:rPr>
          <w:sz w:val="20"/>
          <w:szCs w:val="20"/>
          <w:color w:val="auto"/>
        </w:rPr>
      </w:pPr>
    </w:p>
    <w:tbl>
      <w:tblPr>
        <w:tblLayout w:type="fixed"/>
        <w:tblInd w:w="1130" w:type="dxa"/>
        <w:tblCellMar>
          <w:top w:w="0" w:type="dxa"/>
          <w:left w:w="0" w:type="dxa"/>
          <w:bottom w:w="0" w:type="dxa"/>
          <w:right w:w="0" w:type="dxa"/>
        </w:tblCellMar>
      </w:tblPr>
      <w:tr>
        <w:trPr>
          <w:trHeight w:val="175"/>
        </w:trPr>
        <w:tc>
          <w:tcPr>
            <w:tcW w:w="3000" w:type="dxa"/>
            <w:vAlign w:val="bottom"/>
            <w:tcBorders>
              <w:top w:val="single" w:sz="8" w:color="3C5896"/>
              <w:left w:val="single" w:sz="8" w:color="3C5896"/>
              <w:right w:val="single" w:sz="8" w:color="9EACCA"/>
            </w:tcBorders>
            <w:shd w:val="clear" w:color="auto" w:fill="3C5896"/>
          </w:tcPr>
          <w:p>
            <w:pPr>
              <w:spacing w:after="0"/>
              <w:rPr>
                <w:sz w:val="15"/>
                <w:szCs w:val="15"/>
                <w:color w:val="auto"/>
              </w:rPr>
            </w:pPr>
          </w:p>
        </w:tc>
        <w:tc>
          <w:tcPr>
            <w:tcW w:w="1160" w:type="dxa"/>
            <w:vAlign w:val="bottom"/>
            <w:tcBorders>
              <w:top w:val="single" w:sz="8" w:color="3C5896"/>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rPr>
              <w:t>Employer</w:t>
            </w:r>
          </w:p>
        </w:tc>
        <w:tc>
          <w:tcPr>
            <w:tcW w:w="1180" w:type="dxa"/>
            <w:vAlign w:val="bottom"/>
            <w:tcBorders>
              <w:top w:val="single" w:sz="8" w:color="3C5896"/>
              <w:right w:val="single" w:sz="8" w:color="9EACCA"/>
            </w:tcBorders>
            <w:vMerge w:val="restart"/>
            <w:shd w:val="clear" w:color="auto" w:fill="3C5896"/>
          </w:tcPr>
          <w:p>
            <w:pPr>
              <w:ind w:left="440"/>
              <w:spacing w:after="0"/>
              <w:rPr>
                <w:sz w:val="20"/>
                <w:szCs w:val="20"/>
                <w:color w:val="auto"/>
              </w:rPr>
            </w:pPr>
            <w:r>
              <w:rPr>
                <w:rFonts w:ascii="Arial" w:cs="Arial" w:eastAsia="Arial" w:hAnsi="Arial"/>
                <w:sz w:val="13"/>
                <w:szCs w:val="13"/>
                <w:b w:val="1"/>
                <w:bCs w:val="1"/>
                <w:color w:val="FFFFFF"/>
              </w:rPr>
              <w:t>Life</w:t>
            </w:r>
          </w:p>
        </w:tc>
        <w:tc>
          <w:tcPr>
            <w:tcW w:w="1160" w:type="dxa"/>
            <w:vAlign w:val="bottom"/>
            <w:tcBorders>
              <w:top w:val="single" w:sz="8" w:color="3C5896"/>
              <w:right w:val="single" w:sz="8" w:color="9EACCA"/>
            </w:tcBorders>
            <w:shd w:val="clear" w:color="auto" w:fill="3C5896"/>
          </w:tcPr>
          <w:p>
            <w:pPr>
              <w:jc w:val="center"/>
              <w:ind w:right="10"/>
              <w:spacing w:after="0"/>
              <w:rPr>
                <w:sz w:val="20"/>
                <w:szCs w:val="20"/>
                <w:color w:val="auto"/>
              </w:rPr>
            </w:pPr>
            <w:r>
              <w:rPr>
                <w:rFonts w:ascii="Arial" w:cs="Arial" w:eastAsia="Arial" w:hAnsi="Arial"/>
                <w:sz w:val="13"/>
                <w:szCs w:val="13"/>
                <w:b w:val="1"/>
                <w:bCs w:val="1"/>
                <w:color w:val="FFFFFF"/>
              </w:rPr>
              <w:t>Disability</w:t>
            </w:r>
          </w:p>
        </w:tc>
        <w:tc>
          <w:tcPr>
            <w:tcW w:w="1160" w:type="dxa"/>
            <w:vAlign w:val="bottom"/>
            <w:tcBorders>
              <w:top w:val="single" w:sz="8" w:color="3C5896"/>
              <w:right w:val="single" w:sz="8" w:color="9EACCA"/>
            </w:tcBorders>
            <w:shd w:val="clear" w:color="auto" w:fill="3C5896"/>
          </w:tcPr>
          <w:p>
            <w:pPr>
              <w:spacing w:after="0"/>
              <w:rPr>
                <w:sz w:val="15"/>
                <w:szCs w:val="15"/>
                <w:color w:val="auto"/>
              </w:rPr>
            </w:pPr>
          </w:p>
        </w:tc>
        <w:tc>
          <w:tcPr>
            <w:tcW w:w="1180" w:type="dxa"/>
            <w:vAlign w:val="bottom"/>
            <w:tcBorders>
              <w:top w:val="single" w:sz="8" w:color="3C5896"/>
              <w:right w:val="single" w:sz="8" w:color="3C5896"/>
            </w:tcBorders>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3C5896"/>
              <w:right w:val="single" w:sz="8" w:color="9EACCA"/>
            </w:tcBorders>
            <w:shd w:val="clear" w:color="auto" w:fill="3C5896"/>
          </w:tcPr>
          <w:p>
            <w:pPr>
              <w:spacing w:after="0"/>
              <w:rPr>
                <w:sz w:val="11"/>
                <w:szCs w:val="11"/>
                <w:color w:val="auto"/>
              </w:rPr>
            </w:pPr>
          </w:p>
        </w:tc>
        <w:tc>
          <w:tcPr>
            <w:tcW w:w="1160" w:type="dxa"/>
            <w:vAlign w:val="bottom"/>
            <w:tcBorders>
              <w:right w:val="single" w:sz="8" w:color="9EACCA"/>
            </w:tcBorders>
            <w:vMerge w:val="continue"/>
            <w:shd w:val="clear" w:color="auto" w:fill="3C5896"/>
          </w:tcPr>
          <w:p>
            <w:pPr>
              <w:spacing w:after="0"/>
              <w:rPr>
                <w:sz w:val="11"/>
                <w:szCs w:val="11"/>
                <w:color w:val="auto"/>
              </w:rPr>
            </w:pPr>
          </w:p>
        </w:tc>
        <w:tc>
          <w:tcPr>
            <w:tcW w:w="1180" w:type="dxa"/>
            <w:vAlign w:val="bottom"/>
            <w:tcBorders>
              <w:right w:val="single" w:sz="8" w:color="9EACCA"/>
            </w:tcBorders>
            <w:vMerge w:val="continue"/>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ind w:right="30"/>
              <w:spacing w:after="0" w:line="135" w:lineRule="exact"/>
              <w:rPr>
                <w:sz w:val="20"/>
                <w:szCs w:val="20"/>
                <w:color w:val="auto"/>
              </w:rPr>
            </w:pPr>
            <w:r>
              <w:rPr>
                <w:rFonts w:ascii="Arial" w:cs="Arial" w:eastAsia="Arial" w:hAnsi="Arial"/>
                <w:sz w:val="13"/>
                <w:szCs w:val="13"/>
                <w:b w:val="1"/>
                <w:bCs w:val="1"/>
                <w:color w:val="FFFFFF"/>
              </w:rPr>
              <w:t>and AD&amp;D</w:t>
            </w:r>
          </w:p>
        </w:tc>
        <w:tc>
          <w:tcPr>
            <w:tcW w:w="1160" w:type="dxa"/>
            <w:vAlign w:val="bottom"/>
            <w:tcBorders>
              <w:right w:val="single" w:sz="8" w:color="9EACCA"/>
            </w:tcBorders>
            <w:shd w:val="clear" w:color="auto" w:fill="3C5896"/>
          </w:tcPr>
          <w:p>
            <w:pPr>
              <w:spacing w:after="0"/>
              <w:rPr>
                <w:sz w:val="11"/>
                <w:szCs w:val="11"/>
                <w:color w:val="auto"/>
              </w:rPr>
            </w:pPr>
          </w:p>
        </w:tc>
        <w:tc>
          <w:tcPr>
            <w:tcW w:w="1180" w:type="dxa"/>
            <w:vAlign w:val="bottom"/>
            <w:tcBorders>
              <w:right w:val="single" w:sz="8" w:color="3C5896"/>
            </w:tcBorders>
            <w:shd w:val="clear" w:color="auto" w:fill="3C589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3C5896"/>
              <w:right w:val="single" w:sz="8" w:color="9EACCA"/>
            </w:tcBorders>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401(k) Matching</w:t>
            </w:r>
          </w:p>
        </w:tc>
        <w:tc>
          <w:tcPr>
            <w:tcW w:w="118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Insurance</w:t>
            </w: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Insurance</w:t>
            </w:r>
          </w:p>
        </w:tc>
        <w:tc>
          <w:tcPr>
            <w:tcW w:w="1160" w:type="dxa"/>
            <w:vAlign w:val="bottom"/>
            <w:tcBorders>
              <w:right w:val="single" w:sz="8" w:color="9EACCA"/>
            </w:tcBorders>
            <w:vMerge w:val="restart"/>
            <w:shd w:val="clear" w:color="auto" w:fill="3C5896"/>
          </w:tcPr>
          <w:p>
            <w:pPr>
              <w:jc w:val="right"/>
              <w:ind w:right="369"/>
              <w:spacing w:after="0"/>
              <w:rPr>
                <w:sz w:val="20"/>
                <w:szCs w:val="20"/>
                <w:color w:val="auto"/>
              </w:rPr>
            </w:pPr>
            <w:r>
              <w:rPr>
                <w:rFonts w:ascii="Arial" w:cs="Arial" w:eastAsia="Arial" w:hAnsi="Arial"/>
                <w:sz w:val="13"/>
                <w:szCs w:val="13"/>
                <w:b w:val="1"/>
                <w:bCs w:val="1"/>
                <w:color w:val="FFFFFF"/>
              </w:rPr>
              <w:t>Other</w:t>
            </w:r>
          </w:p>
        </w:tc>
        <w:tc>
          <w:tcPr>
            <w:tcW w:w="1180" w:type="dxa"/>
            <w:vAlign w:val="bottom"/>
            <w:tcBorders>
              <w:right w:val="single" w:sz="8" w:color="3C5896"/>
            </w:tcBorders>
            <w:vMerge w:val="restart"/>
            <w:shd w:val="clear" w:color="auto" w:fill="3C5896"/>
          </w:tcPr>
          <w:p>
            <w:pPr>
              <w:jc w:val="right"/>
              <w:ind w:right="409"/>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3000" w:type="dxa"/>
            <w:vAlign w:val="bottom"/>
            <w:tcBorders>
              <w:left w:val="single" w:sz="8" w:color="3C5896"/>
              <w:right w:val="single" w:sz="8" w:color="9EACCA"/>
            </w:tcBorders>
            <w:shd w:val="clear" w:color="auto" w:fill="3C5896"/>
          </w:tcPr>
          <w:p>
            <w:pPr>
              <w:spacing w:after="0"/>
              <w:rPr>
                <w:sz w:val="11"/>
                <w:szCs w:val="11"/>
                <w:color w:val="auto"/>
              </w:rPr>
            </w:pP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Contributions</w:t>
            </w:r>
          </w:p>
        </w:tc>
        <w:tc>
          <w:tcPr>
            <w:tcW w:w="118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Premiums</w:t>
            </w:r>
          </w:p>
        </w:tc>
        <w:tc>
          <w:tcPr>
            <w:tcW w:w="1160" w:type="dxa"/>
            <w:vAlign w:val="bottom"/>
            <w:tcBorders>
              <w:right w:val="single" w:sz="8" w:color="9EACCA"/>
            </w:tcBorders>
            <w:shd w:val="clear" w:color="auto" w:fill="3C5896"/>
          </w:tcPr>
          <w:p>
            <w:pPr>
              <w:jc w:val="center"/>
              <w:ind w:right="10"/>
              <w:spacing w:after="0" w:line="135" w:lineRule="exact"/>
              <w:rPr>
                <w:sz w:val="20"/>
                <w:szCs w:val="20"/>
                <w:color w:val="auto"/>
              </w:rPr>
            </w:pPr>
            <w:r>
              <w:rPr>
                <w:rFonts w:ascii="Arial" w:cs="Arial" w:eastAsia="Arial" w:hAnsi="Arial"/>
                <w:sz w:val="13"/>
                <w:szCs w:val="13"/>
                <w:b w:val="1"/>
                <w:bCs w:val="1"/>
                <w:color w:val="FFFFFF"/>
              </w:rPr>
              <w:t>Premiums</w:t>
            </w:r>
          </w:p>
        </w:tc>
        <w:tc>
          <w:tcPr>
            <w:tcW w:w="1160" w:type="dxa"/>
            <w:vAlign w:val="bottom"/>
            <w:tcBorders>
              <w:right w:val="single" w:sz="8" w:color="9EACCA"/>
            </w:tcBorders>
            <w:vMerge w:val="continue"/>
            <w:shd w:val="clear" w:color="auto" w:fill="3C5896"/>
          </w:tcPr>
          <w:p>
            <w:pPr>
              <w:spacing w:after="0"/>
              <w:rPr>
                <w:sz w:val="11"/>
                <w:szCs w:val="11"/>
                <w:color w:val="auto"/>
              </w:rPr>
            </w:pPr>
          </w:p>
        </w:tc>
        <w:tc>
          <w:tcPr>
            <w:tcW w:w="1180" w:type="dxa"/>
            <w:vAlign w:val="bottom"/>
            <w:tcBorders>
              <w:right w:val="single" w:sz="8" w:color="3C5896"/>
            </w:tcBorders>
            <w:vMerge w:val="continue"/>
            <w:shd w:val="clear" w:color="auto" w:fill="3C5896"/>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3C5896"/>
              <w:right w:val="single" w:sz="8" w:color="9EACCA"/>
            </w:tcBorders>
            <w:shd w:val="clear" w:color="auto" w:fill="3C5896"/>
          </w:tcPr>
          <w:p>
            <w:pPr>
              <w:ind w:left="1360"/>
              <w:spacing w:after="0"/>
              <w:rPr>
                <w:sz w:val="20"/>
                <w:szCs w:val="20"/>
                <w:color w:val="auto"/>
              </w:rPr>
            </w:pPr>
            <w:r>
              <w:rPr>
                <w:rFonts w:ascii="Arial" w:cs="Arial" w:eastAsia="Arial" w:hAnsi="Arial"/>
                <w:sz w:val="13"/>
                <w:szCs w:val="13"/>
                <w:b w:val="1"/>
                <w:bCs w:val="1"/>
                <w:color w:val="FFFFFF"/>
              </w:rPr>
              <w:t>NEO</w:t>
            </w:r>
          </w:p>
        </w:tc>
        <w:tc>
          <w:tcPr>
            <w:tcW w:w="11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(a)</w:t>
            </w:r>
          </w:p>
        </w:tc>
        <w:tc>
          <w:tcPr>
            <w:tcW w:w="118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93"/>
              </w:rPr>
              <w:t>($)</w:t>
            </w:r>
            <w:r>
              <w:rPr>
                <w:rFonts w:ascii="Arial" w:cs="Arial" w:eastAsia="Arial" w:hAnsi="Arial"/>
                <w:sz w:val="19"/>
                <w:szCs w:val="19"/>
                <w:b w:val="1"/>
                <w:bCs w:val="1"/>
                <w:color w:val="FFFFFF"/>
                <w:w w:val="93"/>
                <w:vertAlign w:val="superscript"/>
              </w:rPr>
              <w:t>(b)</w:t>
            </w:r>
          </w:p>
        </w:tc>
        <w:tc>
          <w:tcPr>
            <w:tcW w:w="11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9"/>
                <w:szCs w:val="19"/>
                <w:b w:val="1"/>
                <w:bCs w:val="1"/>
                <w:color w:val="FFFFFF"/>
                <w:w w:val="89"/>
                <w:vertAlign w:val="superscript"/>
              </w:rPr>
              <w:t>(c)</w:t>
            </w:r>
          </w:p>
        </w:tc>
        <w:tc>
          <w:tcPr>
            <w:tcW w:w="1160" w:type="dxa"/>
            <w:vAlign w:val="bottom"/>
            <w:tcBorders>
              <w:right w:val="single" w:sz="8" w:color="9EACCA"/>
            </w:tcBorders>
            <w:shd w:val="clear" w:color="auto" w:fill="3C5896"/>
          </w:tcPr>
          <w:p>
            <w:pPr>
              <w:jc w:val="right"/>
              <w:ind w:right="389"/>
              <w:spacing w:after="0" w:line="216"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9"/>
                <w:szCs w:val="19"/>
                <w:b w:val="1"/>
                <w:bCs w:val="1"/>
                <w:color w:val="FFFFFF"/>
                <w:vertAlign w:val="superscript"/>
              </w:rPr>
              <w:t>(d)</w:t>
            </w:r>
          </w:p>
        </w:tc>
        <w:tc>
          <w:tcPr>
            <w:tcW w:w="1180" w:type="dxa"/>
            <w:vAlign w:val="bottom"/>
            <w:tcBorders>
              <w:right w:val="single" w:sz="8" w:color="3C5896"/>
            </w:tcBorders>
            <w:shd w:val="clear" w:color="auto" w:fill="3C5896"/>
          </w:tcPr>
          <w:p>
            <w:pPr>
              <w:jc w:val="right"/>
              <w:ind w:right="46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10"/>
        </w:trPr>
        <w:tc>
          <w:tcPr>
            <w:tcW w:w="300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L. Reade Fahs</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11,157</w:t>
            </w:r>
          </w:p>
        </w:tc>
        <w:tc>
          <w:tcPr>
            <w:tcW w:w="11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648</w:t>
            </w:r>
          </w:p>
        </w:tc>
        <w:tc>
          <w:tcPr>
            <w:tcW w:w="1160" w:type="dxa"/>
            <w:vAlign w:val="bottom"/>
            <w:tcBorders>
              <w:right w:val="single" w:sz="8" w:color="9EACCA"/>
            </w:tcBorders>
          </w:tcPr>
          <w:p>
            <w:pPr>
              <w:jc w:val="right"/>
              <w:ind w:right="350"/>
              <w:spacing w:after="0"/>
              <w:rPr>
                <w:sz w:val="20"/>
                <w:szCs w:val="20"/>
                <w:color w:val="auto"/>
              </w:rPr>
            </w:pPr>
            <w:r>
              <w:rPr>
                <w:rFonts w:ascii="Arial" w:cs="Arial" w:eastAsia="Arial" w:hAnsi="Arial"/>
                <w:sz w:val="14"/>
                <w:szCs w:val="14"/>
                <w:color w:val="auto"/>
              </w:rPr>
              <w:t>3,237</w:t>
            </w:r>
          </w:p>
        </w:tc>
        <w:tc>
          <w:tcPr>
            <w:tcW w:w="1160" w:type="dxa"/>
            <w:vAlign w:val="bottom"/>
            <w:tcBorders>
              <w:right w:val="single" w:sz="8" w:color="9EACCA"/>
            </w:tcBorders>
          </w:tcPr>
          <w:p>
            <w:pPr>
              <w:jc w:val="right"/>
              <w:ind w:right="309"/>
              <w:spacing w:after="0"/>
              <w:rPr>
                <w:sz w:val="20"/>
                <w:szCs w:val="20"/>
                <w:color w:val="auto"/>
              </w:rPr>
            </w:pPr>
            <w:r>
              <w:rPr>
                <w:rFonts w:ascii="Arial" w:cs="Arial" w:eastAsia="Arial" w:hAnsi="Arial"/>
                <w:sz w:val="14"/>
                <w:szCs w:val="14"/>
                <w:color w:val="auto"/>
              </w:rPr>
              <w:t>12,400</w:t>
            </w:r>
          </w:p>
        </w:tc>
        <w:tc>
          <w:tcPr>
            <w:tcW w:w="1180" w:type="dxa"/>
            <w:vAlign w:val="bottom"/>
            <w:tcBorders>
              <w:right w:val="single" w:sz="8" w:color="3C5896"/>
            </w:tcBorders>
          </w:tcPr>
          <w:p>
            <w:pPr>
              <w:jc w:val="right"/>
              <w:ind w:right="329"/>
              <w:spacing w:after="0"/>
              <w:rPr>
                <w:sz w:val="20"/>
                <w:szCs w:val="20"/>
                <w:color w:val="auto"/>
              </w:rPr>
            </w:pPr>
            <w:r>
              <w:rPr>
                <w:rFonts w:ascii="Arial" w:cs="Arial" w:eastAsia="Arial" w:hAnsi="Arial"/>
                <w:sz w:val="14"/>
                <w:szCs w:val="14"/>
                <w:color w:val="auto"/>
              </w:rPr>
              <w:t>27,442</w:t>
            </w:r>
          </w:p>
        </w:tc>
        <w:tc>
          <w:tcPr>
            <w:tcW w:w="0" w:type="dxa"/>
            <w:vAlign w:val="bottom"/>
          </w:tcPr>
          <w:p>
            <w:pPr>
              <w:spacing w:after="0"/>
              <w:rPr>
                <w:sz w:val="1"/>
                <w:szCs w:val="1"/>
                <w:color w:val="auto"/>
              </w:rPr>
            </w:pPr>
          </w:p>
        </w:tc>
      </w:tr>
      <w:tr>
        <w:trPr>
          <w:trHeight w:val="222"/>
        </w:trPr>
        <w:tc>
          <w:tcPr>
            <w:tcW w:w="300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Patrick R. Moore</w:t>
            </w:r>
          </w:p>
        </w:tc>
        <w:tc>
          <w:tcPr>
            <w:tcW w:w="1160" w:type="dxa"/>
            <w:vAlign w:val="bottom"/>
            <w:tcBorders>
              <w:right w:val="single" w:sz="8" w:color="9EACCA"/>
            </w:tcBorders>
            <w:shd w:val="clear" w:color="auto" w:fill="CCCCCC"/>
          </w:tcPr>
          <w:p>
            <w:pPr>
              <w:jc w:val="right"/>
              <w:ind w:right="310"/>
              <w:spacing w:after="0"/>
              <w:rPr>
                <w:sz w:val="20"/>
                <w:szCs w:val="20"/>
                <w:color w:val="auto"/>
              </w:rPr>
            </w:pPr>
            <w:r>
              <w:rPr>
                <w:rFonts w:ascii="Arial" w:cs="Arial" w:eastAsia="Arial" w:hAnsi="Arial"/>
                <w:sz w:val="14"/>
                <w:szCs w:val="14"/>
                <w:color w:val="auto"/>
              </w:rPr>
              <w:t>5,798</w:t>
            </w:r>
          </w:p>
        </w:tc>
        <w:tc>
          <w:tcPr>
            <w:tcW w:w="11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648</w:t>
            </w:r>
          </w:p>
        </w:tc>
        <w:tc>
          <w:tcPr>
            <w:tcW w:w="1160" w:type="dxa"/>
            <w:vAlign w:val="bottom"/>
            <w:tcBorders>
              <w:right w:val="single" w:sz="8" w:color="9EACCA"/>
            </w:tcBorders>
            <w:shd w:val="clear" w:color="auto" w:fill="CCCCCC"/>
          </w:tcPr>
          <w:p>
            <w:pPr>
              <w:jc w:val="right"/>
              <w:ind w:right="350"/>
              <w:spacing w:after="0"/>
              <w:rPr>
                <w:sz w:val="20"/>
                <w:szCs w:val="20"/>
                <w:color w:val="auto"/>
              </w:rPr>
            </w:pPr>
            <w:r>
              <w:rPr>
                <w:rFonts w:ascii="Arial" w:cs="Arial" w:eastAsia="Arial" w:hAnsi="Arial"/>
                <w:sz w:val="14"/>
                <w:szCs w:val="14"/>
                <w:color w:val="auto"/>
              </w:rPr>
              <w:t>841</w:t>
            </w:r>
          </w:p>
        </w:tc>
        <w:tc>
          <w:tcPr>
            <w:tcW w:w="1160" w:type="dxa"/>
            <w:vAlign w:val="bottom"/>
            <w:tcBorders>
              <w:right w:val="single" w:sz="8" w:color="9EACCA"/>
            </w:tcBorders>
            <w:shd w:val="clear" w:color="auto" w:fill="CCCCCC"/>
          </w:tcPr>
          <w:p>
            <w:pPr>
              <w:jc w:val="right"/>
              <w:ind w:right="30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shd w:val="clear" w:color="auto" w:fill="CCCCCC"/>
          </w:tcPr>
          <w:p>
            <w:pPr>
              <w:jc w:val="right"/>
              <w:ind w:right="329"/>
              <w:spacing w:after="0"/>
              <w:rPr>
                <w:sz w:val="20"/>
                <w:szCs w:val="20"/>
                <w:color w:val="auto"/>
              </w:rPr>
            </w:pPr>
            <w:r>
              <w:rPr>
                <w:rFonts w:ascii="Arial" w:cs="Arial" w:eastAsia="Arial" w:hAnsi="Arial"/>
                <w:sz w:val="14"/>
                <w:szCs w:val="14"/>
                <w:color w:val="auto"/>
              </w:rPr>
              <w:t>7,287</w:t>
            </w:r>
          </w:p>
        </w:tc>
        <w:tc>
          <w:tcPr>
            <w:tcW w:w="0" w:type="dxa"/>
            <w:vAlign w:val="bottom"/>
          </w:tcPr>
          <w:p>
            <w:pPr>
              <w:spacing w:after="0"/>
              <w:rPr>
                <w:sz w:val="1"/>
                <w:szCs w:val="1"/>
                <w:color w:val="auto"/>
              </w:rPr>
            </w:pPr>
          </w:p>
        </w:tc>
      </w:tr>
      <w:tr>
        <w:trPr>
          <w:trHeight w:val="210"/>
        </w:trPr>
        <w:tc>
          <w:tcPr>
            <w:tcW w:w="300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Bill Clark</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5,874</w:t>
            </w:r>
          </w:p>
        </w:tc>
        <w:tc>
          <w:tcPr>
            <w:tcW w:w="11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659</w:t>
            </w:r>
          </w:p>
        </w:tc>
        <w:tc>
          <w:tcPr>
            <w:tcW w:w="1160" w:type="dxa"/>
            <w:vAlign w:val="bottom"/>
            <w:tcBorders>
              <w:right w:val="single" w:sz="8" w:color="9EACCA"/>
            </w:tcBorders>
          </w:tcPr>
          <w:p>
            <w:pPr>
              <w:jc w:val="right"/>
              <w:ind w:right="350"/>
              <w:spacing w:after="0"/>
              <w:rPr>
                <w:sz w:val="20"/>
                <w:szCs w:val="20"/>
                <w:color w:val="auto"/>
              </w:rPr>
            </w:pPr>
            <w:r>
              <w:rPr>
                <w:rFonts w:ascii="Arial" w:cs="Arial" w:eastAsia="Arial" w:hAnsi="Arial"/>
                <w:sz w:val="14"/>
                <w:szCs w:val="14"/>
                <w:color w:val="auto"/>
              </w:rPr>
              <w:t>841</w:t>
            </w:r>
          </w:p>
        </w:tc>
        <w:tc>
          <w:tcPr>
            <w:tcW w:w="1160" w:type="dxa"/>
            <w:vAlign w:val="bottom"/>
            <w:tcBorders>
              <w:right w:val="single" w:sz="8" w:color="9EACCA"/>
            </w:tcBorders>
          </w:tcPr>
          <w:p>
            <w:pPr>
              <w:jc w:val="right"/>
              <w:ind w:right="30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tcPr>
          <w:p>
            <w:pPr>
              <w:jc w:val="right"/>
              <w:ind w:right="329"/>
              <w:spacing w:after="0"/>
              <w:rPr>
                <w:sz w:val="20"/>
                <w:szCs w:val="20"/>
                <w:color w:val="auto"/>
              </w:rPr>
            </w:pPr>
            <w:r>
              <w:rPr>
                <w:rFonts w:ascii="Arial" w:cs="Arial" w:eastAsia="Arial" w:hAnsi="Arial"/>
                <w:sz w:val="14"/>
                <w:szCs w:val="14"/>
                <w:color w:val="auto"/>
              </w:rPr>
              <w:t>7,375</w:t>
            </w:r>
          </w:p>
        </w:tc>
        <w:tc>
          <w:tcPr>
            <w:tcW w:w="0" w:type="dxa"/>
            <w:vAlign w:val="bottom"/>
          </w:tcPr>
          <w:p>
            <w:pPr>
              <w:spacing w:after="0"/>
              <w:rPr>
                <w:sz w:val="1"/>
                <w:szCs w:val="1"/>
                <w:color w:val="auto"/>
              </w:rPr>
            </w:pPr>
          </w:p>
        </w:tc>
      </w:tr>
      <w:tr>
        <w:trPr>
          <w:trHeight w:val="222"/>
        </w:trPr>
        <w:tc>
          <w:tcPr>
            <w:tcW w:w="300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4"/>
                <w:szCs w:val="14"/>
                <w:color w:val="auto"/>
              </w:rPr>
              <w:t>Jared Brandman</w:t>
            </w:r>
          </w:p>
        </w:tc>
        <w:tc>
          <w:tcPr>
            <w:tcW w:w="1160" w:type="dxa"/>
            <w:vAlign w:val="bottom"/>
            <w:tcBorders>
              <w:right w:val="single" w:sz="8" w:color="9EACCA"/>
            </w:tcBorders>
            <w:shd w:val="clear" w:color="auto" w:fill="CCCCCC"/>
          </w:tcPr>
          <w:p>
            <w:pPr>
              <w:jc w:val="right"/>
              <w:ind w:right="310"/>
              <w:spacing w:after="0"/>
              <w:rPr>
                <w:sz w:val="20"/>
                <w:szCs w:val="20"/>
                <w:color w:val="auto"/>
              </w:rPr>
            </w:pPr>
            <w:r>
              <w:rPr>
                <w:rFonts w:ascii="Arial" w:cs="Arial" w:eastAsia="Arial" w:hAnsi="Arial"/>
                <w:sz w:val="14"/>
                <w:szCs w:val="14"/>
                <w:color w:val="auto"/>
              </w:rPr>
              <w:t>4,116</w:t>
            </w:r>
          </w:p>
        </w:tc>
        <w:tc>
          <w:tcPr>
            <w:tcW w:w="118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rPr>
              <w:t>659</w:t>
            </w:r>
          </w:p>
        </w:tc>
        <w:tc>
          <w:tcPr>
            <w:tcW w:w="1160" w:type="dxa"/>
            <w:vAlign w:val="bottom"/>
            <w:tcBorders>
              <w:right w:val="single" w:sz="8" w:color="9EACCA"/>
            </w:tcBorders>
            <w:shd w:val="clear" w:color="auto" w:fill="CCCCCC"/>
          </w:tcPr>
          <w:p>
            <w:pPr>
              <w:jc w:val="right"/>
              <w:ind w:right="350"/>
              <w:spacing w:after="0"/>
              <w:rPr>
                <w:sz w:val="20"/>
                <w:szCs w:val="20"/>
                <w:color w:val="auto"/>
              </w:rPr>
            </w:pPr>
            <w:r>
              <w:rPr>
                <w:rFonts w:ascii="Arial" w:cs="Arial" w:eastAsia="Arial" w:hAnsi="Arial"/>
                <w:sz w:val="14"/>
                <w:szCs w:val="14"/>
                <w:color w:val="auto"/>
              </w:rPr>
              <w:t>2,035</w:t>
            </w:r>
          </w:p>
        </w:tc>
        <w:tc>
          <w:tcPr>
            <w:tcW w:w="1160" w:type="dxa"/>
            <w:vAlign w:val="bottom"/>
            <w:tcBorders>
              <w:right w:val="single" w:sz="8" w:color="9EACCA"/>
            </w:tcBorders>
            <w:shd w:val="clear" w:color="auto" w:fill="CCCCCC"/>
          </w:tcPr>
          <w:p>
            <w:pPr>
              <w:jc w:val="right"/>
              <w:ind w:right="309"/>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3C5896"/>
            </w:tcBorders>
            <w:shd w:val="clear" w:color="auto" w:fill="CCCCCC"/>
          </w:tcPr>
          <w:p>
            <w:pPr>
              <w:jc w:val="right"/>
              <w:ind w:right="329"/>
              <w:spacing w:after="0"/>
              <w:rPr>
                <w:sz w:val="20"/>
                <w:szCs w:val="20"/>
                <w:color w:val="auto"/>
              </w:rPr>
            </w:pPr>
            <w:r>
              <w:rPr>
                <w:rFonts w:ascii="Arial" w:cs="Arial" w:eastAsia="Arial" w:hAnsi="Arial"/>
                <w:sz w:val="14"/>
                <w:szCs w:val="14"/>
                <w:color w:val="auto"/>
              </w:rPr>
              <w:t>6,809</w:t>
            </w:r>
          </w:p>
        </w:tc>
        <w:tc>
          <w:tcPr>
            <w:tcW w:w="0" w:type="dxa"/>
            <w:vAlign w:val="bottom"/>
          </w:tcPr>
          <w:p>
            <w:pPr>
              <w:spacing w:after="0"/>
              <w:rPr>
                <w:sz w:val="1"/>
                <w:szCs w:val="1"/>
                <w:color w:val="auto"/>
              </w:rPr>
            </w:pPr>
          </w:p>
        </w:tc>
      </w:tr>
      <w:tr>
        <w:trPr>
          <w:trHeight w:val="243"/>
        </w:trPr>
        <w:tc>
          <w:tcPr>
            <w:tcW w:w="300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4"/>
                <w:szCs w:val="14"/>
                <w:color w:val="auto"/>
              </w:rPr>
              <w:t>Joan Blackwood</w:t>
            </w:r>
          </w:p>
        </w:tc>
        <w:tc>
          <w:tcPr>
            <w:tcW w:w="1160" w:type="dxa"/>
            <w:vAlign w:val="bottom"/>
            <w:tcBorders>
              <w:right w:val="single" w:sz="8" w:color="9EACCA"/>
            </w:tcBorders>
          </w:tcPr>
          <w:p>
            <w:pPr>
              <w:jc w:val="right"/>
              <w:ind w:right="310"/>
              <w:spacing w:after="0"/>
              <w:rPr>
                <w:sz w:val="20"/>
                <w:szCs w:val="20"/>
                <w:color w:val="auto"/>
              </w:rPr>
            </w:pPr>
            <w:r>
              <w:rPr>
                <w:rFonts w:ascii="Arial" w:cs="Arial" w:eastAsia="Arial" w:hAnsi="Arial"/>
                <w:sz w:val="14"/>
                <w:szCs w:val="14"/>
                <w:color w:val="auto"/>
              </w:rPr>
              <w:t>2,585</w:t>
            </w:r>
          </w:p>
        </w:tc>
        <w:tc>
          <w:tcPr>
            <w:tcW w:w="118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548</w:t>
            </w:r>
          </w:p>
        </w:tc>
        <w:tc>
          <w:tcPr>
            <w:tcW w:w="1160" w:type="dxa"/>
            <w:vAlign w:val="bottom"/>
            <w:tcBorders>
              <w:right w:val="single" w:sz="8" w:color="9EACCA"/>
            </w:tcBorders>
          </w:tcPr>
          <w:p>
            <w:pPr>
              <w:jc w:val="right"/>
              <w:ind w:right="350"/>
              <w:spacing w:after="0"/>
              <w:rPr>
                <w:sz w:val="20"/>
                <w:szCs w:val="20"/>
                <w:color w:val="auto"/>
              </w:rPr>
            </w:pPr>
            <w:r>
              <w:rPr>
                <w:rFonts w:ascii="Arial" w:cs="Arial" w:eastAsia="Arial" w:hAnsi="Arial"/>
                <w:sz w:val="14"/>
                <w:szCs w:val="14"/>
                <w:color w:val="auto"/>
              </w:rPr>
              <w:t>2,299</w:t>
            </w:r>
          </w:p>
        </w:tc>
        <w:tc>
          <w:tcPr>
            <w:tcW w:w="1160" w:type="dxa"/>
            <w:vAlign w:val="bottom"/>
            <w:tcBorders>
              <w:right w:val="single" w:sz="8" w:color="9EACCA"/>
            </w:tcBorders>
          </w:tcPr>
          <w:p>
            <w:pPr>
              <w:jc w:val="right"/>
              <w:ind w:right="309"/>
              <w:spacing w:after="0"/>
              <w:rPr>
                <w:sz w:val="20"/>
                <w:szCs w:val="20"/>
                <w:color w:val="auto"/>
              </w:rPr>
            </w:pPr>
            <w:r>
              <w:rPr>
                <w:rFonts w:ascii="Arial" w:cs="Arial" w:eastAsia="Arial" w:hAnsi="Arial"/>
                <w:sz w:val="14"/>
                <w:szCs w:val="14"/>
                <w:color w:val="auto"/>
              </w:rPr>
              <w:t>29,642</w:t>
            </w:r>
          </w:p>
        </w:tc>
        <w:tc>
          <w:tcPr>
            <w:tcW w:w="1180" w:type="dxa"/>
            <w:vAlign w:val="bottom"/>
            <w:tcBorders>
              <w:right w:val="single" w:sz="8" w:color="3C5896"/>
            </w:tcBorders>
          </w:tcPr>
          <w:p>
            <w:pPr>
              <w:jc w:val="right"/>
              <w:ind w:right="329"/>
              <w:spacing w:after="0"/>
              <w:rPr>
                <w:sz w:val="20"/>
                <w:szCs w:val="20"/>
                <w:color w:val="auto"/>
              </w:rPr>
            </w:pPr>
            <w:r>
              <w:rPr>
                <w:rFonts w:ascii="Arial" w:cs="Arial" w:eastAsia="Arial" w:hAnsi="Arial"/>
                <w:sz w:val="14"/>
                <w:szCs w:val="14"/>
                <w:color w:val="auto"/>
              </w:rPr>
              <w:t>35,074</w:t>
            </w:r>
          </w:p>
        </w:tc>
        <w:tc>
          <w:tcPr>
            <w:tcW w:w="0" w:type="dxa"/>
            <w:vAlign w:val="bottom"/>
          </w:tcPr>
          <w:p>
            <w:pPr>
              <w:spacing w:after="0"/>
              <w:rPr>
                <w:sz w:val="1"/>
                <w:szCs w:val="1"/>
                <w:color w:val="auto"/>
              </w:rPr>
            </w:pPr>
          </w:p>
        </w:tc>
      </w:tr>
      <w:tr>
        <w:trPr>
          <w:trHeight w:val="20"/>
        </w:trPr>
        <w:tc>
          <w:tcPr>
            <w:tcW w:w="300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1180" w:type="dxa"/>
            <w:vAlign w:val="bottom"/>
            <w:tcBorders>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1160" w:type="dxa"/>
            <w:vAlign w:val="bottom"/>
            <w:tcBorders>
              <w:right w:val="single" w:sz="8" w:color="3C5896"/>
            </w:tcBorders>
            <w:shd w:val="clear" w:color="auto" w:fill="3C5896"/>
          </w:tcPr>
          <w:p>
            <w:pPr>
              <w:spacing w:after="0" w:line="20" w:lineRule="exact"/>
              <w:rPr>
                <w:sz w:val="1"/>
                <w:szCs w:val="1"/>
                <w:color w:val="auto"/>
              </w:rPr>
            </w:pPr>
          </w:p>
        </w:tc>
        <w:tc>
          <w:tcPr>
            <w:tcW w:w="118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-710565</wp:posOffset>
            </wp:positionV>
            <wp:extent cx="55892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71" w:lineRule="exact"/>
        <w:rPr>
          <w:sz w:val="20"/>
          <w:szCs w:val="20"/>
          <w:color w:val="auto"/>
        </w:rPr>
      </w:pPr>
    </w:p>
    <w:p>
      <w:pPr>
        <w:ind w:left="1480" w:hanging="358"/>
        <w:spacing w:after="0"/>
        <w:tabs>
          <w:tab w:leader="none" w:pos="1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401(k) Plan provides for a 50% matching contribution on the first 3% of participants’ pre-tax contributions up to IRS limits.</w:t>
      </w:r>
    </w:p>
    <w:p>
      <w:pPr>
        <w:spacing w:after="0" w:line="70" w:lineRule="exact"/>
        <w:rPr>
          <w:rFonts w:ascii="Arial" w:cs="Arial" w:eastAsia="Arial" w:hAnsi="Arial"/>
          <w:sz w:val="15"/>
          <w:szCs w:val="15"/>
          <w:color w:val="auto"/>
        </w:rPr>
      </w:pPr>
    </w:p>
    <w:p>
      <w:pPr>
        <w:ind w:left="1480" w:hanging="358"/>
        <w:spacing w:after="0"/>
        <w:tabs>
          <w:tab w:leader="none" w:pos="1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Each of our NEOs is entitled to basic life insurance coverage of up to two times base salary up to $500,000.</w:t>
      </w:r>
    </w:p>
    <w:p>
      <w:pPr>
        <w:spacing w:after="0" w:line="70" w:lineRule="exact"/>
        <w:rPr>
          <w:rFonts w:ascii="Arial" w:cs="Arial" w:eastAsia="Arial" w:hAnsi="Arial"/>
          <w:sz w:val="15"/>
          <w:szCs w:val="15"/>
          <w:color w:val="auto"/>
        </w:rPr>
      </w:pPr>
    </w:p>
    <w:p>
      <w:pPr>
        <w:jc w:val="both"/>
        <w:ind w:left="1480" w:right="760" w:hanging="358"/>
        <w:spacing w:after="0" w:line="252" w:lineRule="auto"/>
        <w:tabs>
          <w:tab w:leader="none" w:pos="1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Each of our NEOs is entitled to supplemental long-term disability and accidental death insurance coverage. The total benefit maximum of both the basic and supplemental disability insurance coverage is $10,000 per month, and the maximum accidental death benefit is up to the lesser of two times base salary or $500,000.</w:t>
      </w:r>
    </w:p>
    <w:p>
      <w:pPr>
        <w:spacing w:after="0" w:line="50" w:lineRule="exact"/>
        <w:rPr>
          <w:rFonts w:ascii="Arial" w:cs="Arial" w:eastAsia="Arial" w:hAnsi="Arial"/>
          <w:sz w:val="15"/>
          <w:szCs w:val="15"/>
          <w:color w:val="auto"/>
        </w:rPr>
      </w:pPr>
    </w:p>
    <w:p>
      <w:pPr>
        <w:ind w:left="1480" w:right="760" w:hanging="358"/>
        <w:spacing w:after="0" w:line="260" w:lineRule="auto"/>
        <w:tabs>
          <w:tab w:leader="none" w:pos="14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This column reflects $4,000 for YPO membership and $8,400 for reasonable cost of tax accounting services for Mr. Fahs, and fees paid for Ms. Blackwood’s taxable relocation expenses.</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2020 Grants of Plan-Based Awards</w:t>
      </w:r>
    </w:p>
    <w:p>
      <w:pPr>
        <w:spacing w:after="0" w:line="139" w:lineRule="exact"/>
        <w:rPr>
          <w:sz w:val="20"/>
          <w:szCs w:val="20"/>
          <w:color w:val="auto"/>
        </w:rPr>
      </w:pPr>
    </w:p>
    <w:p>
      <w:pPr>
        <w:ind w:left="760" w:right="760"/>
        <w:spacing w:after="0" w:line="246" w:lineRule="auto"/>
        <w:rPr>
          <w:sz w:val="20"/>
          <w:szCs w:val="20"/>
          <w:color w:val="auto"/>
        </w:rPr>
      </w:pPr>
      <w:r>
        <w:rPr>
          <w:rFonts w:ascii="Arial" w:cs="Arial" w:eastAsia="Arial" w:hAnsi="Arial"/>
          <w:sz w:val="18"/>
          <w:szCs w:val="18"/>
          <w:color w:val="auto"/>
        </w:rPr>
        <w:t>The following table sets forth information concerning NEO grants of plan-based awards during the fiscal year ended January 2, 2021.</w:t>
      </w:r>
    </w:p>
    <w:p>
      <w:pPr>
        <w:spacing w:after="0" w:line="110" w:lineRule="exact"/>
        <w:rPr>
          <w:sz w:val="20"/>
          <w:szCs w:val="20"/>
          <w:color w:val="auto"/>
        </w:rPr>
      </w:pPr>
    </w:p>
    <w:tbl>
      <w:tblPr>
        <w:tblLayout w:type="fixed"/>
        <w:tblInd w:w="770" w:type="dxa"/>
        <w:tblCellMar>
          <w:top w:w="0" w:type="dxa"/>
          <w:left w:w="0" w:type="dxa"/>
          <w:bottom w:w="0" w:type="dxa"/>
          <w:right w:w="0" w:type="dxa"/>
        </w:tblCellMar>
      </w:tblPr>
      <w:tr>
        <w:trPr>
          <w:trHeight w:val="162"/>
        </w:trPr>
        <w:tc>
          <w:tcPr>
            <w:tcW w:w="1400" w:type="dxa"/>
            <w:vAlign w:val="bottom"/>
            <w:tcBorders>
              <w:top w:val="single" w:sz="8" w:color="3C5896"/>
              <w:left w:val="single" w:sz="8" w:color="3C5896"/>
              <w:right w:val="single" w:sz="8" w:color="9EACCA"/>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700" w:type="dxa"/>
            <w:vAlign w:val="bottom"/>
            <w:tcBorders>
              <w:top w:val="single" w:sz="8" w:color="3C5896"/>
              <w:right w:val="single" w:sz="8" w:color="9EACCA"/>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640" w:type="dxa"/>
            <w:vAlign w:val="bottom"/>
            <w:tcBorders>
              <w:top w:val="single" w:sz="8" w:color="3C5896"/>
              <w:right w:val="single" w:sz="8" w:color="3C5896"/>
            </w:tcBorders>
            <w:shd w:val="clear" w:color="auto" w:fill="3C5896"/>
          </w:tcPr>
          <w:p>
            <w:pPr>
              <w:spacing w:after="0"/>
              <w:rPr>
                <w:sz w:val="14"/>
                <w:szCs w:val="14"/>
                <w:color w:val="auto"/>
              </w:rPr>
            </w:pPr>
          </w:p>
        </w:tc>
        <w:tc>
          <w:tcPr>
            <w:tcW w:w="600" w:type="dxa"/>
            <w:vAlign w:val="bottom"/>
            <w:tcBorders>
              <w:top w:val="single" w:sz="8" w:color="3C5896"/>
              <w:right w:val="single" w:sz="8" w:color="3C5896"/>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700" w:type="dxa"/>
            <w:vAlign w:val="bottom"/>
            <w:tcBorders>
              <w:top w:val="single" w:sz="8" w:color="3C5896"/>
              <w:right w:val="single" w:sz="8" w:color="9EACCA"/>
            </w:tcBorders>
            <w:shd w:val="clear" w:color="auto" w:fill="3C5896"/>
          </w:tcPr>
          <w:p>
            <w:pPr>
              <w:spacing w:after="0"/>
              <w:rPr>
                <w:sz w:val="14"/>
                <w:szCs w:val="14"/>
                <w:color w:val="auto"/>
              </w:rPr>
            </w:pPr>
          </w:p>
        </w:tc>
        <w:tc>
          <w:tcPr>
            <w:tcW w:w="100" w:type="dxa"/>
            <w:vAlign w:val="bottom"/>
            <w:tcBorders>
              <w:top w:val="single" w:sz="8" w:color="3C5896"/>
            </w:tcBorders>
            <w:shd w:val="clear" w:color="auto" w:fill="3C5896"/>
          </w:tcPr>
          <w:p>
            <w:pPr>
              <w:spacing w:after="0"/>
              <w:rPr>
                <w:sz w:val="14"/>
                <w:szCs w:val="14"/>
                <w:color w:val="auto"/>
              </w:rPr>
            </w:pPr>
          </w:p>
        </w:tc>
        <w:tc>
          <w:tcPr>
            <w:tcW w:w="600" w:type="dxa"/>
            <w:vAlign w:val="bottom"/>
            <w:tcBorders>
              <w:top w:val="single" w:sz="8" w:color="3C5896"/>
              <w:right w:val="single" w:sz="8" w:color="3C5896"/>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500" w:type="dxa"/>
            <w:vAlign w:val="bottom"/>
            <w:tcBorders>
              <w:top w:val="single" w:sz="8" w:color="3C5896"/>
              <w:right w:val="single" w:sz="8" w:color="3C5896"/>
            </w:tcBorders>
            <w:shd w:val="clear" w:color="auto" w:fill="3C5896"/>
          </w:tcPr>
          <w:p>
            <w:pPr>
              <w:spacing w:after="0"/>
              <w:rPr>
                <w:sz w:val="14"/>
                <w:szCs w:val="14"/>
                <w:color w:val="auto"/>
              </w:rPr>
            </w:pPr>
          </w:p>
        </w:tc>
        <w:tc>
          <w:tcPr>
            <w:tcW w:w="680" w:type="dxa"/>
            <w:vAlign w:val="bottom"/>
            <w:tcBorders>
              <w:top w:val="single" w:sz="8" w:color="3C5896"/>
              <w:right w:val="single" w:sz="8" w:color="9EACCA"/>
            </w:tcBorders>
            <w:shd w:val="clear" w:color="auto" w:fill="3C5896"/>
          </w:tcPr>
          <w:p>
            <w:pPr>
              <w:spacing w:after="0"/>
              <w:rPr>
                <w:sz w:val="14"/>
                <w:szCs w:val="14"/>
                <w:color w:val="auto"/>
              </w:rPr>
            </w:pPr>
          </w:p>
        </w:tc>
        <w:tc>
          <w:tcPr>
            <w:tcW w:w="74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760" w:type="dxa"/>
            <w:vAlign w:val="bottom"/>
            <w:tcBorders>
              <w:top w:val="single" w:sz="8" w:color="3C5896"/>
              <w:right w:val="single" w:sz="8" w:color="9EACCA"/>
            </w:tcBorders>
            <w:shd w:val="clear" w:color="auto" w:fill="3C5896"/>
          </w:tcPr>
          <w:p>
            <w:pPr>
              <w:jc w:val="center"/>
              <w:ind w:right="17"/>
              <w:spacing w:after="0"/>
              <w:rPr>
                <w:sz w:val="20"/>
                <w:szCs w:val="20"/>
                <w:color w:val="auto"/>
              </w:rPr>
            </w:pPr>
            <w:r>
              <w:rPr>
                <w:rFonts w:ascii="Arial" w:cs="Arial" w:eastAsia="Arial" w:hAnsi="Arial"/>
                <w:sz w:val="13"/>
                <w:szCs w:val="13"/>
                <w:b w:val="1"/>
                <w:bCs w:val="1"/>
                <w:color w:val="FFFFFF"/>
                <w:w w:val="94"/>
              </w:rPr>
              <w:t>All Other</w:t>
            </w:r>
          </w:p>
        </w:tc>
        <w:tc>
          <w:tcPr>
            <w:tcW w:w="40" w:type="dxa"/>
            <w:vAlign w:val="bottom"/>
            <w:tcBorders>
              <w:top w:val="single" w:sz="8" w:color="3C5896"/>
            </w:tcBorders>
            <w:shd w:val="clear" w:color="auto" w:fill="3C5896"/>
          </w:tcPr>
          <w:p>
            <w:pPr>
              <w:spacing w:after="0"/>
              <w:rPr>
                <w:sz w:val="14"/>
                <w:szCs w:val="14"/>
                <w:color w:val="auto"/>
              </w:rPr>
            </w:pPr>
          </w:p>
        </w:tc>
        <w:tc>
          <w:tcPr>
            <w:tcW w:w="780" w:type="dxa"/>
            <w:vAlign w:val="bottom"/>
            <w:tcBorders>
              <w:top w:val="single" w:sz="8" w:color="3C5896"/>
              <w:right w:val="single" w:sz="8" w:color="9EACCA"/>
            </w:tcBorders>
            <w:shd w:val="clear" w:color="auto" w:fill="3C5896"/>
          </w:tcPr>
          <w:p>
            <w:pPr>
              <w:spacing w:after="0"/>
              <w:rPr>
                <w:sz w:val="14"/>
                <w:szCs w:val="14"/>
                <w:color w:val="auto"/>
              </w:rPr>
            </w:pPr>
          </w:p>
        </w:tc>
        <w:tc>
          <w:tcPr>
            <w:tcW w:w="760" w:type="dxa"/>
            <w:vAlign w:val="bottom"/>
            <w:tcBorders>
              <w:top w:val="single" w:sz="8" w:color="3C5896"/>
              <w:right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3C5896"/>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80" w:type="dxa"/>
            <w:vAlign w:val="bottom"/>
            <w:tcBorders>
              <w:right w:val="single" w:sz="8" w:color="9EACCA"/>
            </w:tcBorders>
            <w:gridSpan w:val="4"/>
            <w:vMerge w:val="restart"/>
            <w:shd w:val="clear" w:color="auto" w:fill="3C5896"/>
          </w:tcPr>
          <w:p>
            <w:pPr>
              <w:jc w:val="center"/>
              <w:ind w:right="97"/>
              <w:spacing w:after="0"/>
              <w:rPr>
                <w:sz w:val="20"/>
                <w:szCs w:val="20"/>
                <w:color w:val="auto"/>
              </w:rPr>
            </w:pPr>
            <w:r>
              <w:rPr>
                <w:rFonts w:ascii="Arial" w:cs="Arial" w:eastAsia="Arial" w:hAnsi="Arial"/>
                <w:sz w:val="13"/>
                <w:szCs w:val="13"/>
                <w:b w:val="1"/>
                <w:bCs w:val="1"/>
                <w:color w:val="FFFFFF"/>
                <w:w w:val="95"/>
              </w:rPr>
              <w:t>Estimated Possible</w:t>
            </w:r>
          </w:p>
        </w:tc>
        <w:tc>
          <w:tcPr>
            <w:tcW w:w="100" w:type="dxa"/>
            <w:vAlign w:val="bottom"/>
            <w:shd w:val="clear" w:color="auto" w:fill="3C5896"/>
          </w:tcPr>
          <w:p>
            <w:pPr>
              <w:spacing w:after="0"/>
              <w:rPr>
                <w:sz w:val="10"/>
                <w:szCs w:val="10"/>
                <w:color w:val="auto"/>
              </w:rPr>
            </w:pPr>
          </w:p>
        </w:tc>
        <w:tc>
          <w:tcPr>
            <w:tcW w:w="1820" w:type="dxa"/>
            <w:vAlign w:val="bottom"/>
            <w:tcBorders>
              <w:right w:val="single" w:sz="8" w:color="9EACCA"/>
            </w:tcBorders>
            <w:gridSpan w:val="4"/>
            <w:vMerge w:val="restart"/>
            <w:shd w:val="clear" w:color="auto" w:fill="3C5896"/>
          </w:tcPr>
          <w:p>
            <w:pPr>
              <w:jc w:val="center"/>
              <w:ind w:right="91"/>
              <w:spacing w:after="0"/>
              <w:rPr>
                <w:sz w:val="20"/>
                <w:szCs w:val="20"/>
                <w:color w:val="auto"/>
              </w:rPr>
            </w:pPr>
            <w:r>
              <w:rPr>
                <w:rFonts w:ascii="Arial" w:cs="Arial" w:eastAsia="Arial" w:hAnsi="Arial"/>
                <w:sz w:val="13"/>
                <w:szCs w:val="13"/>
                <w:b w:val="1"/>
                <w:bCs w:val="1"/>
                <w:color w:val="FFFFFF"/>
                <w:w w:val="95"/>
              </w:rPr>
              <w:t>Estimated Possible</w:t>
            </w:r>
          </w:p>
        </w:tc>
        <w:tc>
          <w:tcPr>
            <w:tcW w:w="740" w:type="dxa"/>
            <w:vAlign w:val="bottom"/>
            <w:tcBorders>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5"/>
              </w:rPr>
              <w:t>Stock</w:t>
            </w:r>
          </w:p>
        </w:tc>
        <w:tc>
          <w:tcPr>
            <w:tcW w:w="760" w:type="dxa"/>
            <w:vAlign w:val="bottom"/>
            <w:tcBorders>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5"/>
              </w:rPr>
              <w:t>Option</w:t>
            </w:r>
          </w:p>
        </w:tc>
        <w:tc>
          <w:tcPr>
            <w:tcW w:w="40" w:type="dxa"/>
            <w:vAlign w:val="bottom"/>
            <w:shd w:val="clear" w:color="auto" w:fill="3C5896"/>
          </w:tcPr>
          <w:p>
            <w:pPr>
              <w:spacing w:after="0"/>
              <w:rPr>
                <w:sz w:val="10"/>
                <w:szCs w:val="10"/>
                <w:color w:val="auto"/>
              </w:rPr>
            </w:pPr>
          </w:p>
        </w:tc>
        <w:tc>
          <w:tcPr>
            <w:tcW w:w="780" w:type="dxa"/>
            <w:vAlign w:val="bottom"/>
            <w:tcBorders>
              <w:right w:val="single" w:sz="8" w:color="9EACCA"/>
            </w:tcBorders>
            <w:vMerge w:val="restart"/>
            <w:shd w:val="clear" w:color="auto" w:fill="3C5896"/>
          </w:tcPr>
          <w:p>
            <w:pPr>
              <w:jc w:val="center"/>
              <w:ind w:right="38"/>
              <w:spacing w:after="0"/>
              <w:rPr>
                <w:sz w:val="20"/>
                <w:szCs w:val="20"/>
                <w:color w:val="auto"/>
              </w:rPr>
            </w:pPr>
            <w:r>
              <w:rPr>
                <w:rFonts w:ascii="Arial" w:cs="Arial" w:eastAsia="Arial" w:hAnsi="Arial"/>
                <w:sz w:val="13"/>
                <w:szCs w:val="13"/>
                <w:b w:val="1"/>
                <w:bCs w:val="1"/>
                <w:color w:val="FFFFFF"/>
                <w:w w:val="96"/>
              </w:rPr>
              <w:t>Exercise or</w:t>
            </w:r>
          </w:p>
        </w:tc>
        <w:tc>
          <w:tcPr>
            <w:tcW w:w="76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3C5896"/>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80" w:type="dxa"/>
            <w:vAlign w:val="bottom"/>
            <w:tcBorders>
              <w:right w:val="single" w:sz="8" w:color="9EACCA"/>
            </w:tcBorders>
            <w:gridSpan w:val="4"/>
            <w:vMerge w:val="continue"/>
            <w:shd w:val="clear" w:color="auto" w:fill="3C5896"/>
          </w:tcPr>
          <w:p>
            <w:pPr>
              <w:spacing w:after="0"/>
              <w:rPr>
                <w:sz w:val="10"/>
                <w:szCs w:val="10"/>
                <w:color w:val="auto"/>
              </w:rPr>
            </w:pPr>
          </w:p>
        </w:tc>
        <w:tc>
          <w:tcPr>
            <w:tcW w:w="100" w:type="dxa"/>
            <w:vAlign w:val="bottom"/>
            <w:shd w:val="clear" w:color="auto" w:fill="3C5896"/>
          </w:tcPr>
          <w:p>
            <w:pPr>
              <w:spacing w:after="0"/>
              <w:rPr>
                <w:sz w:val="10"/>
                <w:szCs w:val="10"/>
                <w:color w:val="auto"/>
              </w:rPr>
            </w:pPr>
          </w:p>
        </w:tc>
        <w:tc>
          <w:tcPr>
            <w:tcW w:w="1820" w:type="dxa"/>
            <w:vAlign w:val="bottom"/>
            <w:tcBorders>
              <w:right w:val="single" w:sz="8" w:color="9EACCA"/>
            </w:tcBorders>
            <w:gridSpan w:val="4"/>
            <w:vMerge w:val="continue"/>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3"/>
              </w:rPr>
              <w:t>Awards:</w:t>
            </w:r>
          </w:p>
        </w:tc>
        <w:tc>
          <w:tcPr>
            <w:tcW w:w="76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5"/>
              </w:rPr>
              <w:t>Award:</w:t>
            </w:r>
          </w:p>
        </w:tc>
        <w:tc>
          <w:tcPr>
            <w:tcW w:w="40" w:type="dxa"/>
            <w:vAlign w:val="bottom"/>
            <w:shd w:val="clear" w:color="auto" w:fill="3C5896"/>
          </w:tcPr>
          <w:p>
            <w:pPr>
              <w:spacing w:after="0"/>
              <w:rPr>
                <w:sz w:val="10"/>
                <w:szCs w:val="10"/>
                <w:color w:val="auto"/>
              </w:rPr>
            </w:pPr>
          </w:p>
        </w:tc>
        <w:tc>
          <w:tcPr>
            <w:tcW w:w="780" w:type="dxa"/>
            <w:vAlign w:val="bottom"/>
            <w:tcBorders>
              <w:right w:val="single" w:sz="8" w:color="9EACCA"/>
            </w:tcBorders>
            <w:vMerge w:val="continue"/>
            <w:shd w:val="clear" w:color="auto" w:fill="3C5896"/>
          </w:tcPr>
          <w:p>
            <w:pPr>
              <w:spacing w:after="0"/>
              <w:rPr>
                <w:sz w:val="10"/>
                <w:szCs w:val="10"/>
                <w:color w:val="auto"/>
              </w:rPr>
            </w:pPr>
          </w:p>
        </w:tc>
        <w:tc>
          <w:tcPr>
            <w:tcW w:w="760" w:type="dxa"/>
            <w:vAlign w:val="bottom"/>
            <w:tcBorders>
              <w:right w:val="single" w:sz="8" w:color="3C5896"/>
            </w:tcBorders>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3C5896"/>
              <w:right w:val="single" w:sz="8" w:color="9EACCA"/>
            </w:tcBorders>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980" w:type="dxa"/>
            <w:vAlign w:val="bottom"/>
            <w:tcBorders>
              <w:right w:val="single" w:sz="8" w:color="9EACCA"/>
            </w:tcBorders>
            <w:gridSpan w:val="4"/>
            <w:shd w:val="clear" w:color="auto" w:fill="3C5896"/>
          </w:tcPr>
          <w:p>
            <w:pPr>
              <w:jc w:val="center"/>
              <w:ind w:right="97"/>
              <w:spacing w:after="0" w:line="122" w:lineRule="exact"/>
              <w:rPr>
                <w:sz w:val="20"/>
                <w:szCs w:val="20"/>
                <w:color w:val="auto"/>
              </w:rPr>
            </w:pPr>
            <w:r>
              <w:rPr>
                <w:rFonts w:ascii="Arial" w:cs="Arial" w:eastAsia="Arial" w:hAnsi="Arial"/>
                <w:sz w:val="13"/>
                <w:szCs w:val="13"/>
                <w:b w:val="1"/>
                <w:bCs w:val="1"/>
                <w:color w:val="FFFFFF"/>
                <w:w w:val="95"/>
              </w:rPr>
              <w:t>Payouts Under Non-Equity</w:t>
            </w:r>
          </w:p>
        </w:tc>
        <w:tc>
          <w:tcPr>
            <w:tcW w:w="100" w:type="dxa"/>
            <w:vAlign w:val="bottom"/>
            <w:shd w:val="clear" w:color="auto" w:fill="3C5896"/>
          </w:tcPr>
          <w:p>
            <w:pPr>
              <w:spacing w:after="0"/>
              <w:rPr>
                <w:sz w:val="10"/>
                <w:szCs w:val="10"/>
                <w:color w:val="auto"/>
              </w:rPr>
            </w:pPr>
          </w:p>
        </w:tc>
        <w:tc>
          <w:tcPr>
            <w:tcW w:w="1820" w:type="dxa"/>
            <w:vAlign w:val="bottom"/>
            <w:tcBorders>
              <w:right w:val="single" w:sz="8" w:color="9EACCA"/>
            </w:tcBorders>
            <w:gridSpan w:val="4"/>
            <w:shd w:val="clear" w:color="auto" w:fill="3C5896"/>
          </w:tcPr>
          <w:p>
            <w:pPr>
              <w:jc w:val="center"/>
              <w:ind w:right="91"/>
              <w:spacing w:after="0" w:line="122" w:lineRule="exact"/>
              <w:rPr>
                <w:sz w:val="20"/>
                <w:szCs w:val="20"/>
                <w:color w:val="auto"/>
              </w:rPr>
            </w:pPr>
            <w:r>
              <w:rPr>
                <w:rFonts w:ascii="Arial" w:cs="Arial" w:eastAsia="Arial" w:hAnsi="Arial"/>
                <w:sz w:val="13"/>
                <w:szCs w:val="13"/>
                <w:b w:val="1"/>
                <w:bCs w:val="1"/>
                <w:color w:val="FFFFFF"/>
                <w:w w:val="96"/>
              </w:rPr>
              <w:t>Payouts Under Equity</w:t>
            </w: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8"/>
              </w:rPr>
              <w:t>Number of</w:t>
            </w:r>
          </w:p>
        </w:tc>
        <w:tc>
          <w:tcPr>
            <w:tcW w:w="760" w:type="dxa"/>
            <w:vAlign w:val="bottom"/>
            <w:tcBorders>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8"/>
              </w:rPr>
              <w:t>Number of</w:t>
            </w:r>
          </w:p>
        </w:tc>
        <w:tc>
          <w:tcPr>
            <w:tcW w:w="40" w:type="dxa"/>
            <w:vAlign w:val="bottom"/>
            <w:shd w:val="clear" w:color="auto" w:fill="3C5896"/>
          </w:tcPr>
          <w:p>
            <w:pPr>
              <w:spacing w:after="0"/>
              <w:rPr>
                <w:sz w:val="10"/>
                <w:szCs w:val="10"/>
                <w:color w:val="auto"/>
              </w:rPr>
            </w:pPr>
          </w:p>
        </w:tc>
        <w:tc>
          <w:tcPr>
            <w:tcW w:w="780" w:type="dxa"/>
            <w:vAlign w:val="bottom"/>
            <w:tcBorders>
              <w:right w:val="single" w:sz="8" w:color="9EACCA"/>
            </w:tcBorders>
            <w:shd w:val="clear" w:color="auto" w:fill="3C5896"/>
          </w:tcPr>
          <w:p>
            <w:pPr>
              <w:ind w:left="180"/>
              <w:spacing w:after="0" w:line="122" w:lineRule="exact"/>
              <w:rPr>
                <w:sz w:val="20"/>
                <w:szCs w:val="20"/>
                <w:color w:val="auto"/>
              </w:rPr>
            </w:pPr>
            <w:r>
              <w:rPr>
                <w:rFonts w:ascii="Arial" w:cs="Arial" w:eastAsia="Arial" w:hAnsi="Arial"/>
                <w:sz w:val="13"/>
                <w:szCs w:val="13"/>
                <w:b w:val="1"/>
                <w:bCs w:val="1"/>
                <w:color w:val="FFFFFF"/>
              </w:rPr>
              <w:t>Base</w:t>
            </w:r>
          </w:p>
        </w:tc>
        <w:tc>
          <w:tcPr>
            <w:tcW w:w="760" w:type="dxa"/>
            <w:vAlign w:val="bottom"/>
            <w:tcBorders>
              <w:right w:val="single" w:sz="8" w:color="3C5896"/>
            </w:tcBorders>
            <w:vMerge w:val="restart"/>
            <w:shd w:val="clear" w:color="auto" w:fill="3C5896"/>
          </w:tcPr>
          <w:p>
            <w:pPr>
              <w:jc w:val="center"/>
              <w:ind w:right="12"/>
              <w:spacing w:after="0"/>
              <w:rPr>
                <w:sz w:val="20"/>
                <w:szCs w:val="20"/>
                <w:color w:val="auto"/>
              </w:rPr>
            </w:pPr>
            <w:r>
              <w:rPr>
                <w:rFonts w:ascii="Arial" w:cs="Arial" w:eastAsia="Arial" w:hAnsi="Arial"/>
                <w:sz w:val="13"/>
                <w:szCs w:val="13"/>
                <w:b w:val="1"/>
                <w:bCs w:val="1"/>
                <w:color w:val="FFFFFF"/>
                <w:w w:val="96"/>
              </w:rPr>
              <w:t>Grant Date</w:t>
            </w:r>
          </w:p>
        </w:tc>
        <w:tc>
          <w:tcPr>
            <w:tcW w:w="0" w:type="dxa"/>
            <w:vAlign w:val="bottom"/>
          </w:tcPr>
          <w:p>
            <w:pPr>
              <w:spacing w:after="0"/>
              <w:rPr>
                <w:sz w:val="1"/>
                <w:szCs w:val="1"/>
                <w:color w:val="auto"/>
              </w:rPr>
            </w:pPr>
          </w:p>
        </w:tc>
      </w:tr>
      <w:tr>
        <w:trPr>
          <w:trHeight w:val="156"/>
        </w:trPr>
        <w:tc>
          <w:tcPr>
            <w:tcW w:w="1400" w:type="dxa"/>
            <w:vAlign w:val="bottom"/>
            <w:tcBorders>
              <w:left w:val="single" w:sz="8" w:color="3C5896"/>
              <w:bottom w:val="single" w:sz="8" w:color="3C5896"/>
              <w:right w:val="single" w:sz="8" w:color="9EACCA"/>
            </w:tcBorders>
            <w:shd w:val="clear" w:color="auto" w:fill="3C5896"/>
          </w:tcPr>
          <w:p>
            <w:pPr>
              <w:spacing w:after="0"/>
              <w:rPr>
                <w:sz w:val="13"/>
                <w:szCs w:val="13"/>
                <w:color w:val="auto"/>
              </w:rPr>
            </w:pPr>
          </w:p>
        </w:tc>
        <w:tc>
          <w:tcPr>
            <w:tcW w:w="40" w:type="dxa"/>
            <w:vAlign w:val="bottom"/>
            <w:tcBorders>
              <w:bottom w:val="single" w:sz="8" w:color="3C5896"/>
            </w:tcBorders>
            <w:shd w:val="clear" w:color="auto" w:fill="3C5896"/>
          </w:tcPr>
          <w:p>
            <w:pPr>
              <w:spacing w:after="0"/>
              <w:rPr>
                <w:sz w:val="13"/>
                <w:szCs w:val="13"/>
                <w:color w:val="auto"/>
              </w:rPr>
            </w:pPr>
          </w:p>
        </w:tc>
        <w:tc>
          <w:tcPr>
            <w:tcW w:w="700" w:type="dxa"/>
            <w:vAlign w:val="bottom"/>
            <w:tcBorders>
              <w:bottom w:val="single" w:sz="8" w:color="3C5896"/>
              <w:right w:val="single" w:sz="8" w:color="9EACCA"/>
            </w:tcBorders>
            <w:shd w:val="clear" w:color="auto" w:fill="3C5896"/>
          </w:tcPr>
          <w:p>
            <w:pPr>
              <w:spacing w:after="0"/>
              <w:rPr>
                <w:sz w:val="13"/>
                <w:szCs w:val="13"/>
                <w:color w:val="auto"/>
              </w:rPr>
            </w:pPr>
          </w:p>
        </w:tc>
        <w:tc>
          <w:tcPr>
            <w:tcW w:w="80" w:type="dxa"/>
            <w:vAlign w:val="bottom"/>
            <w:tcBorders>
              <w:bottom w:val="single" w:sz="8" w:color="3C5896"/>
            </w:tcBorders>
            <w:shd w:val="clear" w:color="auto" w:fill="3C5896"/>
          </w:tcPr>
          <w:p>
            <w:pPr>
              <w:spacing w:after="0"/>
              <w:rPr>
                <w:sz w:val="13"/>
                <w:szCs w:val="13"/>
                <w:color w:val="auto"/>
              </w:rPr>
            </w:pPr>
          </w:p>
        </w:tc>
        <w:tc>
          <w:tcPr>
            <w:tcW w:w="1980" w:type="dxa"/>
            <w:vAlign w:val="bottom"/>
            <w:tcBorders>
              <w:bottom w:val="single" w:sz="8" w:color="3C5896"/>
              <w:right w:val="single" w:sz="8" w:color="9EACCA"/>
            </w:tcBorders>
            <w:gridSpan w:val="4"/>
            <w:shd w:val="clear" w:color="auto" w:fill="3C5896"/>
          </w:tcPr>
          <w:p>
            <w:pPr>
              <w:jc w:val="center"/>
              <w:ind w:right="37"/>
              <w:spacing w:after="0" w:line="122" w:lineRule="exact"/>
              <w:rPr>
                <w:sz w:val="20"/>
                <w:szCs w:val="20"/>
                <w:color w:val="auto"/>
              </w:rPr>
            </w:pPr>
            <w:r>
              <w:rPr>
                <w:rFonts w:ascii="Arial" w:cs="Arial" w:eastAsia="Arial" w:hAnsi="Arial"/>
                <w:sz w:val="10"/>
                <w:szCs w:val="10"/>
                <w:b w:val="1"/>
                <w:bCs w:val="1"/>
                <w:color w:val="FFFFFF"/>
              </w:rPr>
              <w:t>Incentive Plan Awards</w:t>
            </w:r>
            <w:r>
              <w:rPr>
                <w:rFonts w:ascii="Arial" w:cs="Arial" w:eastAsia="Arial" w:hAnsi="Arial"/>
                <w:sz w:val="14"/>
                <w:szCs w:val="14"/>
                <w:b w:val="1"/>
                <w:bCs w:val="1"/>
                <w:color w:val="FFFFFF"/>
                <w:vertAlign w:val="superscript"/>
              </w:rPr>
              <w:t>(1)</w:t>
            </w:r>
          </w:p>
        </w:tc>
        <w:tc>
          <w:tcPr>
            <w:tcW w:w="100" w:type="dxa"/>
            <w:vAlign w:val="bottom"/>
            <w:tcBorders>
              <w:bottom w:val="single" w:sz="8" w:color="3C5896"/>
            </w:tcBorders>
            <w:shd w:val="clear" w:color="auto" w:fill="3C5896"/>
          </w:tcPr>
          <w:p>
            <w:pPr>
              <w:spacing w:after="0"/>
              <w:rPr>
                <w:sz w:val="13"/>
                <w:szCs w:val="13"/>
                <w:color w:val="auto"/>
              </w:rPr>
            </w:pPr>
          </w:p>
        </w:tc>
        <w:tc>
          <w:tcPr>
            <w:tcW w:w="1820" w:type="dxa"/>
            <w:vAlign w:val="bottom"/>
            <w:tcBorders>
              <w:bottom w:val="single" w:sz="8" w:color="3C5896"/>
              <w:right w:val="single" w:sz="8" w:color="9EACCA"/>
            </w:tcBorders>
            <w:gridSpan w:val="4"/>
            <w:shd w:val="clear" w:color="auto" w:fill="3C5896"/>
          </w:tcPr>
          <w:p>
            <w:pPr>
              <w:jc w:val="center"/>
              <w:ind w:right="71"/>
              <w:spacing w:after="0" w:line="122" w:lineRule="exact"/>
              <w:rPr>
                <w:sz w:val="20"/>
                <w:szCs w:val="20"/>
                <w:color w:val="auto"/>
              </w:rPr>
            </w:pPr>
            <w:r>
              <w:rPr>
                <w:rFonts w:ascii="Arial" w:cs="Arial" w:eastAsia="Arial" w:hAnsi="Arial"/>
                <w:sz w:val="10"/>
                <w:szCs w:val="10"/>
                <w:b w:val="1"/>
                <w:bCs w:val="1"/>
                <w:color w:val="FFFFFF"/>
              </w:rPr>
              <w:t>Incentive Plan Awards</w:t>
            </w:r>
            <w:r>
              <w:rPr>
                <w:rFonts w:ascii="Arial" w:cs="Arial" w:eastAsia="Arial" w:hAnsi="Arial"/>
                <w:sz w:val="14"/>
                <w:szCs w:val="14"/>
                <w:b w:val="1"/>
                <w:bCs w:val="1"/>
                <w:color w:val="FFFFFF"/>
                <w:vertAlign w:val="superscript"/>
              </w:rPr>
              <w:t>(2)</w:t>
            </w:r>
          </w:p>
        </w:tc>
        <w:tc>
          <w:tcPr>
            <w:tcW w:w="740" w:type="dxa"/>
            <w:vAlign w:val="bottom"/>
            <w:tcBorders>
              <w:bottom w:val="single" w:sz="8" w:color="3C5896"/>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3"/>
              </w:rPr>
              <w:t>Shares or</w:t>
            </w:r>
          </w:p>
        </w:tc>
        <w:tc>
          <w:tcPr>
            <w:tcW w:w="760" w:type="dxa"/>
            <w:vAlign w:val="bottom"/>
            <w:tcBorders>
              <w:bottom w:val="single" w:sz="8" w:color="3C5896"/>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6"/>
              </w:rPr>
              <w:t>Securities</w:t>
            </w:r>
          </w:p>
        </w:tc>
        <w:tc>
          <w:tcPr>
            <w:tcW w:w="40" w:type="dxa"/>
            <w:vAlign w:val="bottom"/>
            <w:tcBorders>
              <w:bottom w:val="single" w:sz="8" w:color="3C5896"/>
            </w:tcBorders>
            <w:shd w:val="clear" w:color="auto" w:fill="3C5896"/>
          </w:tcPr>
          <w:p>
            <w:pPr>
              <w:spacing w:after="0"/>
              <w:rPr>
                <w:sz w:val="13"/>
                <w:szCs w:val="13"/>
                <w:color w:val="auto"/>
              </w:rPr>
            </w:pPr>
          </w:p>
        </w:tc>
        <w:tc>
          <w:tcPr>
            <w:tcW w:w="780" w:type="dxa"/>
            <w:vAlign w:val="bottom"/>
            <w:tcBorders>
              <w:bottom w:val="single" w:sz="8" w:color="3C5896"/>
              <w:right w:val="single" w:sz="8" w:color="9EACCA"/>
            </w:tcBorders>
            <w:shd w:val="clear" w:color="auto" w:fill="3C5896"/>
          </w:tcPr>
          <w:p>
            <w:pPr>
              <w:jc w:val="center"/>
              <w:ind w:right="58"/>
              <w:spacing w:after="0" w:line="122" w:lineRule="exact"/>
              <w:rPr>
                <w:sz w:val="20"/>
                <w:szCs w:val="20"/>
                <w:color w:val="auto"/>
              </w:rPr>
            </w:pPr>
            <w:r>
              <w:rPr>
                <w:rFonts w:ascii="Arial" w:cs="Arial" w:eastAsia="Arial" w:hAnsi="Arial"/>
                <w:sz w:val="13"/>
                <w:szCs w:val="13"/>
                <w:b w:val="1"/>
                <w:bCs w:val="1"/>
                <w:color w:val="FFFFFF"/>
                <w:w w:val="96"/>
              </w:rPr>
              <w:t>Price of</w:t>
            </w:r>
          </w:p>
        </w:tc>
        <w:tc>
          <w:tcPr>
            <w:tcW w:w="760" w:type="dxa"/>
            <w:vAlign w:val="bottom"/>
            <w:tcBorders>
              <w:bottom w:val="single" w:sz="8" w:color="3C5896"/>
              <w:right w:val="single" w:sz="8" w:color="3C5896"/>
            </w:tcBorders>
            <w:vMerge w:val="continue"/>
            <w:shd w:val="clear" w:color="auto" w:fill="3C5896"/>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400" w:type="dxa"/>
            <w:vAlign w:val="bottom"/>
            <w:tcBorders>
              <w:left w:val="single" w:sz="8" w:color="3C5896"/>
              <w:right w:val="single" w:sz="8" w:color="9EACCA"/>
            </w:tcBorders>
            <w:shd w:val="clear" w:color="auto" w:fill="3C5896"/>
          </w:tcPr>
          <w:p>
            <w:pPr>
              <w:spacing w:after="0"/>
              <w:rPr>
                <w:sz w:val="5"/>
                <w:szCs w:val="5"/>
                <w:color w:val="auto"/>
              </w:rPr>
            </w:pPr>
          </w:p>
        </w:tc>
        <w:tc>
          <w:tcPr>
            <w:tcW w:w="40" w:type="dxa"/>
            <w:vAlign w:val="bottom"/>
            <w:shd w:val="clear" w:color="auto" w:fill="3C5896"/>
          </w:tcPr>
          <w:p>
            <w:pPr>
              <w:spacing w:after="0"/>
              <w:rPr>
                <w:sz w:val="5"/>
                <w:szCs w:val="5"/>
                <w:color w:val="auto"/>
              </w:rPr>
            </w:pPr>
          </w:p>
        </w:tc>
        <w:tc>
          <w:tcPr>
            <w:tcW w:w="700" w:type="dxa"/>
            <w:vAlign w:val="bottom"/>
            <w:tcBorders>
              <w:right w:val="single" w:sz="8" w:color="9EACCA"/>
            </w:tcBorders>
            <w:shd w:val="clear" w:color="auto" w:fill="3C5896"/>
          </w:tcPr>
          <w:p>
            <w:pPr>
              <w:spacing w:after="0"/>
              <w:rPr>
                <w:sz w:val="5"/>
                <w:szCs w:val="5"/>
                <w:color w:val="auto"/>
              </w:rPr>
            </w:pPr>
          </w:p>
        </w:tc>
        <w:tc>
          <w:tcPr>
            <w:tcW w:w="720" w:type="dxa"/>
            <w:vAlign w:val="bottom"/>
            <w:tcBorders>
              <w:right w:val="single" w:sz="8" w:color="9EACCA"/>
            </w:tcBorders>
            <w:gridSpan w:val="2"/>
            <w:vMerge w:val="restart"/>
            <w:shd w:val="clear" w:color="auto" w:fill="3C5896"/>
          </w:tcPr>
          <w:p>
            <w:pPr>
              <w:jc w:val="right"/>
              <w:ind w:right="22"/>
              <w:spacing w:after="0"/>
              <w:rPr>
                <w:sz w:val="20"/>
                <w:szCs w:val="20"/>
                <w:color w:val="auto"/>
              </w:rPr>
            </w:pPr>
            <w:r>
              <w:rPr>
                <w:rFonts w:ascii="Arial" w:cs="Arial" w:eastAsia="Arial" w:hAnsi="Arial"/>
                <w:sz w:val="13"/>
                <w:szCs w:val="13"/>
                <w:b w:val="1"/>
                <w:bCs w:val="1"/>
                <w:color w:val="FFFFFF"/>
                <w:w w:val="98"/>
              </w:rPr>
              <w:t>Threshold</w:t>
            </w:r>
          </w:p>
        </w:tc>
        <w:tc>
          <w:tcPr>
            <w:tcW w:w="60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40" w:type="dxa"/>
            <w:vAlign w:val="bottom"/>
            <w:shd w:val="clear" w:color="auto" w:fill="3C5896"/>
          </w:tcPr>
          <w:p>
            <w:pPr>
              <w:spacing w:after="0"/>
              <w:rPr>
                <w:sz w:val="5"/>
                <w:szCs w:val="5"/>
                <w:color w:val="auto"/>
              </w:rPr>
            </w:pPr>
          </w:p>
        </w:tc>
        <w:tc>
          <w:tcPr>
            <w:tcW w:w="700" w:type="dxa"/>
            <w:vAlign w:val="bottom"/>
            <w:tcBorders>
              <w:right w:val="single" w:sz="8" w:color="9EACCA"/>
            </w:tcBorders>
            <w:vMerge w:val="restart"/>
            <w:shd w:val="clear" w:color="auto" w:fill="3C5896"/>
          </w:tcPr>
          <w:p>
            <w:pPr>
              <w:jc w:val="right"/>
              <w:ind w:right="57"/>
              <w:spacing w:after="0"/>
              <w:rPr>
                <w:sz w:val="20"/>
                <w:szCs w:val="20"/>
                <w:color w:val="auto"/>
              </w:rPr>
            </w:pPr>
            <w:r>
              <w:rPr>
                <w:rFonts w:ascii="Arial" w:cs="Arial" w:eastAsia="Arial" w:hAnsi="Arial"/>
                <w:sz w:val="13"/>
                <w:szCs w:val="13"/>
                <w:b w:val="1"/>
                <w:bCs w:val="1"/>
                <w:color w:val="FFFFFF"/>
                <w:w w:val="93"/>
              </w:rPr>
              <w:t>Maximum</w:t>
            </w:r>
          </w:p>
        </w:tc>
        <w:tc>
          <w:tcPr>
            <w:tcW w:w="700" w:type="dxa"/>
            <w:vAlign w:val="bottom"/>
            <w:tcBorders>
              <w:right w:val="single" w:sz="8" w:color="9EACCA"/>
            </w:tcBorders>
            <w:gridSpan w:val="2"/>
            <w:vMerge w:val="restart"/>
            <w:shd w:val="clear" w:color="auto" w:fill="3C5896"/>
          </w:tcPr>
          <w:p>
            <w:pPr>
              <w:jc w:val="right"/>
              <w:ind w:right="16"/>
              <w:spacing w:after="0"/>
              <w:rPr>
                <w:sz w:val="20"/>
                <w:szCs w:val="20"/>
                <w:color w:val="auto"/>
              </w:rPr>
            </w:pPr>
            <w:r>
              <w:rPr>
                <w:rFonts w:ascii="Arial" w:cs="Arial" w:eastAsia="Arial" w:hAnsi="Arial"/>
                <w:sz w:val="13"/>
                <w:szCs w:val="13"/>
                <w:b w:val="1"/>
                <w:bCs w:val="1"/>
                <w:color w:val="FFFFFF"/>
                <w:w w:val="95"/>
              </w:rPr>
              <w:t>Threshold</w:t>
            </w:r>
          </w:p>
        </w:tc>
        <w:tc>
          <w:tcPr>
            <w:tcW w:w="40" w:type="dxa"/>
            <w:vAlign w:val="bottom"/>
            <w:shd w:val="clear" w:color="auto" w:fill="3C5896"/>
          </w:tcPr>
          <w:p>
            <w:pPr>
              <w:spacing w:after="0"/>
              <w:rPr>
                <w:sz w:val="5"/>
                <w:szCs w:val="5"/>
                <w:color w:val="auto"/>
              </w:rPr>
            </w:pPr>
          </w:p>
        </w:tc>
        <w:tc>
          <w:tcPr>
            <w:tcW w:w="500" w:type="dxa"/>
            <w:vAlign w:val="bottom"/>
            <w:tcBorders>
              <w:right w:val="single" w:sz="8" w:color="9EACCA"/>
            </w:tcBorders>
            <w:vMerge w:val="restart"/>
            <w:shd w:val="clear" w:color="auto" w:fill="3C5896"/>
          </w:tcPr>
          <w:p>
            <w:pPr>
              <w:jc w:val="center"/>
              <w:ind w:right="31"/>
              <w:spacing w:after="0"/>
              <w:rPr>
                <w:sz w:val="20"/>
                <w:szCs w:val="20"/>
                <w:color w:val="auto"/>
              </w:rPr>
            </w:pPr>
            <w:r>
              <w:rPr>
                <w:rFonts w:ascii="Arial" w:cs="Arial" w:eastAsia="Arial" w:hAnsi="Arial"/>
                <w:sz w:val="13"/>
                <w:szCs w:val="13"/>
                <w:b w:val="1"/>
                <w:bCs w:val="1"/>
                <w:color w:val="FFFFFF"/>
                <w:w w:val="90"/>
              </w:rPr>
              <w:t>Target</w:t>
            </w:r>
          </w:p>
        </w:tc>
        <w:tc>
          <w:tcPr>
            <w:tcW w:w="680" w:type="dxa"/>
            <w:vAlign w:val="bottom"/>
            <w:tcBorders>
              <w:right w:val="single" w:sz="8" w:color="9EACCA"/>
            </w:tcBorders>
            <w:vMerge w:val="restart"/>
            <w:shd w:val="clear" w:color="auto" w:fill="3C5896"/>
          </w:tcPr>
          <w:p>
            <w:pPr>
              <w:jc w:val="right"/>
              <w:ind w:right="11"/>
              <w:spacing w:after="0"/>
              <w:rPr>
                <w:sz w:val="20"/>
                <w:szCs w:val="20"/>
                <w:color w:val="auto"/>
              </w:rPr>
            </w:pPr>
            <w:r>
              <w:rPr>
                <w:rFonts w:ascii="Arial" w:cs="Arial" w:eastAsia="Arial" w:hAnsi="Arial"/>
                <w:sz w:val="13"/>
                <w:szCs w:val="13"/>
                <w:b w:val="1"/>
                <w:bCs w:val="1"/>
                <w:color w:val="FFFFFF"/>
                <w:w w:val="96"/>
              </w:rPr>
              <w:t>Maximum</w:t>
            </w:r>
          </w:p>
        </w:tc>
        <w:tc>
          <w:tcPr>
            <w:tcW w:w="740" w:type="dxa"/>
            <w:vAlign w:val="bottom"/>
            <w:tcBorders>
              <w:right w:val="single" w:sz="8" w:color="9EACCA"/>
            </w:tcBorders>
            <w:shd w:val="clear" w:color="auto" w:fill="3C5896"/>
          </w:tcPr>
          <w:p>
            <w:pPr>
              <w:jc w:val="center"/>
              <w:ind w:right="17"/>
              <w:spacing w:after="0" w:line="68" w:lineRule="exact"/>
              <w:rPr>
                <w:sz w:val="20"/>
                <w:szCs w:val="20"/>
                <w:color w:val="auto"/>
              </w:rPr>
            </w:pPr>
            <w:r>
              <w:rPr>
                <w:rFonts w:ascii="Arial" w:cs="Arial" w:eastAsia="Arial" w:hAnsi="Arial"/>
                <w:sz w:val="7"/>
                <w:szCs w:val="7"/>
                <w:b w:val="1"/>
                <w:bCs w:val="1"/>
                <w:color w:val="FFFFFF"/>
              </w:rPr>
              <w:t>Stock</w:t>
            </w:r>
          </w:p>
        </w:tc>
        <w:tc>
          <w:tcPr>
            <w:tcW w:w="760" w:type="dxa"/>
            <w:vAlign w:val="bottom"/>
            <w:tcBorders>
              <w:right w:val="single" w:sz="8" w:color="9EACCA"/>
            </w:tcBorders>
            <w:shd w:val="clear" w:color="auto" w:fill="3C5896"/>
          </w:tcPr>
          <w:p>
            <w:pPr>
              <w:jc w:val="center"/>
              <w:ind w:right="17"/>
              <w:spacing w:after="0" w:line="68" w:lineRule="exact"/>
              <w:rPr>
                <w:sz w:val="20"/>
                <w:szCs w:val="20"/>
                <w:color w:val="auto"/>
              </w:rPr>
            </w:pPr>
            <w:r>
              <w:rPr>
                <w:rFonts w:ascii="Arial" w:cs="Arial" w:eastAsia="Arial" w:hAnsi="Arial"/>
                <w:sz w:val="7"/>
                <w:szCs w:val="7"/>
                <w:b w:val="1"/>
                <w:bCs w:val="1"/>
                <w:color w:val="FFFFFF"/>
              </w:rPr>
              <w:t>Underlying</w:t>
            </w:r>
          </w:p>
        </w:tc>
        <w:tc>
          <w:tcPr>
            <w:tcW w:w="40" w:type="dxa"/>
            <w:vAlign w:val="bottom"/>
            <w:shd w:val="clear" w:color="auto" w:fill="3C5896"/>
          </w:tcPr>
          <w:p>
            <w:pPr>
              <w:spacing w:after="0"/>
              <w:rPr>
                <w:sz w:val="5"/>
                <w:szCs w:val="5"/>
                <w:color w:val="auto"/>
              </w:rPr>
            </w:pPr>
          </w:p>
        </w:tc>
        <w:tc>
          <w:tcPr>
            <w:tcW w:w="780" w:type="dxa"/>
            <w:vAlign w:val="bottom"/>
            <w:tcBorders>
              <w:right w:val="single" w:sz="8" w:color="9EACCA"/>
            </w:tcBorders>
            <w:shd w:val="clear" w:color="auto" w:fill="3C5896"/>
          </w:tcPr>
          <w:p>
            <w:pPr>
              <w:jc w:val="center"/>
              <w:ind w:right="38"/>
              <w:spacing w:after="0" w:line="68" w:lineRule="exact"/>
              <w:rPr>
                <w:sz w:val="20"/>
                <w:szCs w:val="20"/>
                <w:color w:val="auto"/>
              </w:rPr>
            </w:pPr>
            <w:r>
              <w:rPr>
                <w:rFonts w:ascii="Arial" w:cs="Arial" w:eastAsia="Arial" w:hAnsi="Arial"/>
                <w:sz w:val="7"/>
                <w:szCs w:val="7"/>
                <w:b w:val="1"/>
                <w:bCs w:val="1"/>
                <w:color w:val="FFFFFF"/>
              </w:rPr>
              <w:t>Option</w:t>
            </w:r>
          </w:p>
        </w:tc>
        <w:tc>
          <w:tcPr>
            <w:tcW w:w="760" w:type="dxa"/>
            <w:vAlign w:val="bottom"/>
            <w:tcBorders>
              <w:right w:val="single" w:sz="8" w:color="3C5896"/>
            </w:tcBorders>
            <w:shd w:val="clear" w:color="auto" w:fill="3C5896"/>
          </w:tcPr>
          <w:p>
            <w:pPr>
              <w:jc w:val="center"/>
              <w:spacing w:after="0" w:line="68" w:lineRule="exact"/>
              <w:rPr>
                <w:sz w:val="20"/>
                <w:szCs w:val="20"/>
                <w:color w:val="auto"/>
              </w:rPr>
            </w:pPr>
            <w:r>
              <w:rPr>
                <w:rFonts w:ascii="Arial" w:cs="Arial" w:eastAsia="Arial" w:hAnsi="Arial"/>
                <w:sz w:val="7"/>
                <w:szCs w:val="7"/>
                <w:b w:val="1"/>
                <w:bCs w:val="1"/>
                <w:color w:val="FFFFFF"/>
              </w:rPr>
              <w:t>Fair Value</w:t>
            </w:r>
          </w:p>
        </w:tc>
        <w:tc>
          <w:tcPr>
            <w:tcW w:w="0" w:type="dxa"/>
            <w:vAlign w:val="bottom"/>
          </w:tcPr>
          <w:p>
            <w:pPr>
              <w:spacing w:after="0"/>
              <w:rPr>
                <w:sz w:val="1"/>
                <w:szCs w:val="1"/>
                <w:color w:val="auto"/>
              </w:rPr>
            </w:pPr>
          </w:p>
        </w:tc>
      </w:tr>
      <w:tr>
        <w:trPr>
          <w:trHeight w:val="122"/>
        </w:trPr>
        <w:tc>
          <w:tcPr>
            <w:tcW w:w="1400" w:type="dxa"/>
            <w:vAlign w:val="bottom"/>
            <w:tcBorders>
              <w:left w:val="single" w:sz="8" w:color="3C5896"/>
              <w:right w:val="single" w:sz="8" w:color="9EACCA"/>
            </w:tcBorders>
            <w:vMerge w:val="restart"/>
            <w:shd w:val="clear" w:color="auto" w:fill="3C5896"/>
          </w:tcPr>
          <w:p>
            <w:pPr>
              <w:ind w:left="560"/>
              <w:spacing w:after="0"/>
              <w:rPr>
                <w:sz w:val="20"/>
                <w:szCs w:val="20"/>
                <w:color w:val="auto"/>
              </w:rPr>
            </w:pPr>
            <w:r>
              <w:rPr>
                <w:rFonts w:ascii="Arial" w:cs="Arial" w:eastAsia="Arial" w:hAnsi="Arial"/>
                <w:sz w:val="13"/>
                <w:szCs w:val="13"/>
                <w:b w:val="1"/>
                <w:bCs w:val="1"/>
                <w:color w:val="FFFFFF"/>
              </w:rPr>
              <w:t>NEO</w:t>
            </w: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vMerge w:val="restart"/>
            <w:shd w:val="clear" w:color="auto" w:fill="3C5896"/>
          </w:tcPr>
          <w:p>
            <w:pPr>
              <w:spacing w:after="0"/>
              <w:rPr>
                <w:sz w:val="20"/>
                <w:szCs w:val="20"/>
                <w:color w:val="auto"/>
              </w:rPr>
            </w:pPr>
            <w:r>
              <w:rPr>
                <w:rFonts w:ascii="Arial" w:cs="Arial" w:eastAsia="Arial" w:hAnsi="Arial"/>
                <w:sz w:val="13"/>
                <w:szCs w:val="13"/>
                <w:b w:val="1"/>
                <w:bCs w:val="1"/>
                <w:color w:val="FFFFFF"/>
                <w:w w:val="99"/>
              </w:rPr>
              <w:t>Grant Date</w:t>
            </w:r>
          </w:p>
        </w:tc>
        <w:tc>
          <w:tcPr>
            <w:tcW w:w="720" w:type="dxa"/>
            <w:vAlign w:val="bottom"/>
            <w:tcBorders>
              <w:right w:val="single" w:sz="8" w:color="9EACCA"/>
            </w:tcBorders>
            <w:gridSpan w:val="2"/>
            <w:vMerge w:val="continue"/>
            <w:shd w:val="clear" w:color="auto" w:fill="3C5896"/>
          </w:tcPr>
          <w:p>
            <w:pPr>
              <w:spacing w:after="0"/>
              <w:rPr>
                <w:sz w:val="10"/>
                <w:szCs w:val="10"/>
                <w:color w:val="auto"/>
              </w:rPr>
            </w:pPr>
          </w:p>
        </w:tc>
        <w:tc>
          <w:tcPr>
            <w:tcW w:w="600" w:type="dxa"/>
            <w:vAlign w:val="bottom"/>
            <w:tcBorders>
              <w:right w:val="single" w:sz="8" w:color="9EACCA"/>
            </w:tcBorders>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700" w:type="dxa"/>
            <w:vAlign w:val="bottom"/>
            <w:tcBorders>
              <w:right w:val="single" w:sz="8" w:color="9EACCA"/>
            </w:tcBorders>
            <w:vMerge w:val="continue"/>
            <w:shd w:val="clear" w:color="auto" w:fill="3C5896"/>
          </w:tcPr>
          <w:p>
            <w:pPr>
              <w:spacing w:after="0"/>
              <w:rPr>
                <w:sz w:val="10"/>
                <w:szCs w:val="10"/>
                <w:color w:val="auto"/>
              </w:rPr>
            </w:pPr>
          </w:p>
        </w:tc>
        <w:tc>
          <w:tcPr>
            <w:tcW w:w="700" w:type="dxa"/>
            <w:vAlign w:val="bottom"/>
            <w:tcBorders>
              <w:right w:val="single" w:sz="8" w:color="9EACCA"/>
            </w:tcBorders>
            <w:gridSpan w:val="2"/>
            <w:vMerge w:val="continue"/>
            <w:shd w:val="clear" w:color="auto" w:fill="3C5896"/>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500" w:type="dxa"/>
            <w:vAlign w:val="bottom"/>
            <w:tcBorders>
              <w:right w:val="single" w:sz="8" w:color="9EACCA"/>
            </w:tcBorders>
            <w:vMerge w:val="continue"/>
            <w:shd w:val="clear" w:color="auto" w:fill="3C5896"/>
          </w:tcPr>
          <w:p>
            <w:pPr>
              <w:spacing w:after="0"/>
              <w:rPr>
                <w:sz w:val="10"/>
                <w:szCs w:val="10"/>
                <w:color w:val="auto"/>
              </w:rPr>
            </w:pPr>
          </w:p>
        </w:tc>
        <w:tc>
          <w:tcPr>
            <w:tcW w:w="680" w:type="dxa"/>
            <w:vAlign w:val="bottom"/>
            <w:tcBorders>
              <w:right w:val="single" w:sz="8" w:color="9EACCA"/>
            </w:tcBorders>
            <w:vMerge w:val="continue"/>
            <w:shd w:val="clear" w:color="auto" w:fill="3C5896"/>
          </w:tcPr>
          <w:p>
            <w:pPr>
              <w:spacing w:after="0"/>
              <w:rPr>
                <w:sz w:val="10"/>
                <w:szCs w:val="10"/>
                <w:color w:val="auto"/>
              </w:rPr>
            </w:pPr>
          </w:p>
        </w:tc>
        <w:tc>
          <w:tcPr>
            <w:tcW w:w="740" w:type="dxa"/>
            <w:vAlign w:val="bottom"/>
            <w:tcBorders>
              <w:right w:val="single" w:sz="8" w:color="9EACCA"/>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8"/>
              </w:rPr>
              <w:t>Units</w:t>
            </w:r>
          </w:p>
        </w:tc>
        <w:tc>
          <w:tcPr>
            <w:tcW w:w="760" w:type="dxa"/>
            <w:vAlign w:val="bottom"/>
            <w:tcBorders>
              <w:right w:val="single" w:sz="8" w:color="9EACCA"/>
            </w:tcBorders>
            <w:shd w:val="clear" w:color="auto" w:fill="3C5896"/>
          </w:tcPr>
          <w:p>
            <w:pPr>
              <w:jc w:val="center"/>
              <w:ind w:right="17"/>
              <w:spacing w:after="0" w:line="122" w:lineRule="exact"/>
              <w:rPr>
                <w:sz w:val="20"/>
                <w:szCs w:val="20"/>
                <w:color w:val="auto"/>
              </w:rPr>
            </w:pPr>
            <w:r>
              <w:rPr>
                <w:rFonts w:ascii="Arial" w:cs="Arial" w:eastAsia="Arial" w:hAnsi="Arial"/>
                <w:sz w:val="13"/>
                <w:szCs w:val="13"/>
                <w:b w:val="1"/>
                <w:bCs w:val="1"/>
                <w:color w:val="FFFFFF"/>
                <w:w w:val="97"/>
              </w:rPr>
              <w:t>Options</w:t>
            </w:r>
          </w:p>
        </w:tc>
        <w:tc>
          <w:tcPr>
            <w:tcW w:w="40" w:type="dxa"/>
            <w:vAlign w:val="bottom"/>
            <w:shd w:val="clear" w:color="auto" w:fill="3C5896"/>
          </w:tcPr>
          <w:p>
            <w:pPr>
              <w:spacing w:after="0"/>
              <w:rPr>
                <w:sz w:val="10"/>
                <w:szCs w:val="10"/>
                <w:color w:val="auto"/>
              </w:rPr>
            </w:pPr>
          </w:p>
        </w:tc>
        <w:tc>
          <w:tcPr>
            <w:tcW w:w="780" w:type="dxa"/>
            <w:vAlign w:val="bottom"/>
            <w:tcBorders>
              <w:right w:val="single" w:sz="8" w:color="9EACCA"/>
            </w:tcBorders>
            <w:shd w:val="clear" w:color="auto" w:fill="3C5896"/>
          </w:tcPr>
          <w:p>
            <w:pPr>
              <w:jc w:val="center"/>
              <w:ind w:right="38"/>
              <w:spacing w:after="0" w:line="122" w:lineRule="exact"/>
              <w:rPr>
                <w:sz w:val="20"/>
                <w:szCs w:val="20"/>
                <w:color w:val="auto"/>
              </w:rPr>
            </w:pPr>
            <w:r>
              <w:rPr>
                <w:rFonts w:ascii="Arial" w:cs="Arial" w:eastAsia="Arial" w:hAnsi="Arial"/>
                <w:sz w:val="13"/>
                <w:szCs w:val="13"/>
                <w:b w:val="1"/>
                <w:bCs w:val="1"/>
                <w:color w:val="FFFFFF"/>
                <w:w w:val="93"/>
              </w:rPr>
              <w:t>Awards</w:t>
            </w:r>
          </w:p>
        </w:tc>
        <w:tc>
          <w:tcPr>
            <w:tcW w:w="760" w:type="dxa"/>
            <w:vAlign w:val="bottom"/>
            <w:tcBorders>
              <w:right w:val="single" w:sz="8" w:color="3C5896"/>
            </w:tcBorders>
            <w:shd w:val="clear" w:color="auto" w:fill="3C5896"/>
          </w:tcPr>
          <w:p>
            <w:pPr>
              <w:jc w:val="center"/>
              <w:spacing w:after="0" w:line="122" w:lineRule="exact"/>
              <w:rPr>
                <w:sz w:val="20"/>
                <w:szCs w:val="20"/>
                <w:color w:val="auto"/>
              </w:rPr>
            </w:pPr>
            <w:r>
              <w:rPr>
                <w:rFonts w:ascii="Arial" w:cs="Arial" w:eastAsia="Arial" w:hAnsi="Arial"/>
                <w:sz w:val="13"/>
                <w:szCs w:val="13"/>
                <w:b w:val="1"/>
                <w:bCs w:val="1"/>
                <w:color w:val="FFFFFF"/>
                <w:w w:val="97"/>
              </w:rPr>
              <w:t>of Award</w:t>
            </w:r>
          </w:p>
        </w:tc>
        <w:tc>
          <w:tcPr>
            <w:tcW w:w="0" w:type="dxa"/>
            <w:vAlign w:val="bottom"/>
          </w:tcPr>
          <w:p>
            <w:pPr>
              <w:spacing w:after="0"/>
              <w:rPr>
                <w:sz w:val="1"/>
                <w:szCs w:val="1"/>
                <w:color w:val="auto"/>
              </w:rPr>
            </w:pPr>
          </w:p>
        </w:tc>
      </w:tr>
      <w:tr>
        <w:trPr>
          <w:trHeight w:val="189"/>
        </w:trPr>
        <w:tc>
          <w:tcPr>
            <w:tcW w:w="1400" w:type="dxa"/>
            <w:vAlign w:val="bottom"/>
            <w:tcBorders>
              <w:left w:val="single" w:sz="8" w:color="3C5896"/>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700" w:type="dxa"/>
            <w:vAlign w:val="bottom"/>
            <w:tcBorders>
              <w:right w:val="single" w:sz="8" w:color="9EACCA"/>
            </w:tcBorders>
            <w:vMerge w:val="continue"/>
            <w:shd w:val="clear" w:color="auto" w:fill="3C5896"/>
          </w:tcPr>
          <w:p>
            <w:pPr>
              <w:spacing w:after="0"/>
              <w:rPr>
                <w:sz w:val="16"/>
                <w:szCs w:val="16"/>
                <w:color w:val="auto"/>
              </w:rPr>
            </w:pPr>
          </w:p>
        </w:tc>
        <w:tc>
          <w:tcPr>
            <w:tcW w:w="720" w:type="dxa"/>
            <w:vAlign w:val="bottom"/>
            <w:tcBorders>
              <w:right w:val="single" w:sz="8" w:color="9EACCA"/>
            </w:tcBorders>
            <w:gridSpan w:val="2"/>
            <w:shd w:val="clear" w:color="auto" w:fill="3C5896"/>
          </w:tcPr>
          <w:p>
            <w:pPr>
              <w:jc w:val="right"/>
              <w:ind w:right="242"/>
              <w:spacing w:after="0"/>
              <w:rPr>
                <w:sz w:val="20"/>
                <w:szCs w:val="20"/>
                <w:color w:val="auto"/>
              </w:rPr>
            </w:pPr>
            <w:r>
              <w:rPr>
                <w:rFonts w:ascii="Arial" w:cs="Arial" w:eastAsia="Arial" w:hAnsi="Arial"/>
                <w:sz w:val="13"/>
                <w:szCs w:val="13"/>
                <w:b w:val="1"/>
                <w:bCs w:val="1"/>
                <w:color w:val="FFFFFF"/>
              </w:rPr>
              <w:t>($)</w:t>
            </w:r>
          </w:p>
        </w:tc>
        <w:tc>
          <w:tcPr>
            <w:tcW w:w="6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c>
          <w:tcPr>
            <w:tcW w:w="740" w:type="dxa"/>
            <w:vAlign w:val="bottom"/>
            <w:tcBorders>
              <w:right w:val="single" w:sz="8" w:color="9EACCA"/>
            </w:tcBorders>
            <w:gridSpan w:val="2"/>
            <w:shd w:val="clear" w:color="auto" w:fill="3C5896"/>
          </w:tcPr>
          <w:p>
            <w:pPr>
              <w:jc w:val="right"/>
              <w:ind w:right="237"/>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right w:val="single" w:sz="8" w:color="9EACCA"/>
            </w:tcBorders>
            <w:gridSpan w:val="2"/>
            <w:shd w:val="clear" w:color="auto" w:fill="3C5896"/>
          </w:tcPr>
          <w:p>
            <w:pPr>
              <w:jc w:val="right"/>
              <w:ind w:right="216"/>
              <w:spacing w:after="0"/>
              <w:rPr>
                <w:sz w:val="20"/>
                <w:szCs w:val="20"/>
                <w:color w:val="auto"/>
              </w:rPr>
            </w:pPr>
            <w:r>
              <w:rPr>
                <w:rFonts w:ascii="Arial" w:cs="Arial" w:eastAsia="Arial" w:hAnsi="Arial"/>
                <w:sz w:val="13"/>
                <w:szCs w:val="13"/>
                <w:b w:val="1"/>
                <w:bCs w:val="1"/>
                <w:color w:val="FFFFFF"/>
              </w:rPr>
              <w:t>(#)</w:t>
            </w:r>
          </w:p>
        </w:tc>
        <w:tc>
          <w:tcPr>
            <w:tcW w:w="540" w:type="dxa"/>
            <w:vAlign w:val="bottom"/>
            <w:tcBorders>
              <w:right w:val="single" w:sz="8" w:color="9EACCA"/>
            </w:tcBorders>
            <w:gridSpan w:val="2"/>
            <w:shd w:val="clear" w:color="auto" w:fill="3C5896"/>
          </w:tcPr>
          <w:p>
            <w:pPr>
              <w:jc w:val="right"/>
              <w:ind w:right="131"/>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right w:val="single" w:sz="8" w:color="9EACCA"/>
            </w:tcBorders>
            <w:shd w:val="clear" w:color="auto" w:fill="3C5896"/>
          </w:tcPr>
          <w:p>
            <w:pPr>
              <w:jc w:val="right"/>
              <w:ind w:right="211"/>
              <w:spacing w:after="0"/>
              <w:rPr>
                <w:sz w:val="20"/>
                <w:szCs w:val="20"/>
                <w:color w:val="auto"/>
              </w:rPr>
            </w:pPr>
            <w:r>
              <w:rPr>
                <w:rFonts w:ascii="Arial" w:cs="Arial" w:eastAsia="Arial" w:hAnsi="Arial"/>
                <w:sz w:val="13"/>
                <w:szCs w:val="13"/>
                <w:b w:val="1"/>
                <w:bCs w:val="1"/>
                <w:color w:val="FFFFFF"/>
              </w:rPr>
              <w:t>(#)</w:t>
            </w:r>
          </w:p>
        </w:tc>
        <w:tc>
          <w:tcPr>
            <w:tcW w:w="7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(3)</w:t>
            </w:r>
          </w:p>
        </w:tc>
        <w:tc>
          <w:tcPr>
            <w:tcW w:w="76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(4)</w:t>
            </w:r>
          </w:p>
        </w:tc>
        <w:tc>
          <w:tcPr>
            <w:tcW w:w="40" w:type="dxa"/>
            <w:vAlign w:val="bottom"/>
            <w:shd w:val="clear" w:color="auto" w:fill="3C5896"/>
          </w:tcPr>
          <w:p>
            <w:pPr>
              <w:spacing w:after="0"/>
              <w:rPr>
                <w:sz w:val="16"/>
                <w:szCs w:val="16"/>
                <w:color w:val="auto"/>
              </w:rPr>
            </w:pPr>
          </w:p>
        </w:tc>
        <w:tc>
          <w:tcPr>
            <w:tcW w:w="780" w:type="dxa"/>
            <w:vAlign w:val="bottom"/>
            <w:tcBorders>
              <w:right w:val="single" w:sz="8" w:color="9EACCA"/>
            </w:tcBorders>
            <w:shd w:val="clear" w:color="auto" w:fill="3C5896"/>
          </w:tcPr>
          <w:p>
            <w:pPr>
              <w:ind w:left="180"/>
              <w:spacing w:after="0"/>
              <w:rPr>
                <w:sz w:val="20"/>
                <w:szCs w:val="20"/>
                <w:color w:val="auto"/>
              </w:rPr>
            </w:pPr>
            <w:r>
              <w:rPr>
                <w:rFonts w:ascii="Arial" w:cs="Arial" w:eastAsia="Arial" w:hAnsi="Arial"/>
                <w:sz w:val="13"/>
                <w:szCs w:val="13"/>
                <w:b w:val="1"/>
                <w:bCs w:val="1"/>
                <w:color w:val="FFFFFF"/>
              </w:rPr>
              <w:t>($/Sh)</w:t>
            </w:r>
          </w:p>
        </w:tc>
        <w:tc>
          <w:tcPr>
            <w:tcW w:w="7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21"/>
                <w:szCs w:val="21"/>
                <w:b w:val="1"/>
                <w:bCs w:val="1"/>
                <w:color w:val="FFFFFF"/>
                <w:w w:val="99"/>
                <w:vertAlign w:val="subscript"/>
              </w:rPr>
              <w:t>($)</w:t>
            </w:r>
            <w:r>
              <w:rPr>
                <w:rFonts w:ascii="Arial" w:cs="Arial" w:eastAsia="Arial" w:hAnsi="Arial"/>
                <w:sz w:val="9"/>
                <w:szCs w:val="9"/>
                <w:b w:val="1"/>
                <w:bCs w:val="1"/>
                <w:color w:val="FFFFFF"/>
                <w:w w:val="99"/>
              </w:rPr>
              <w:t>(5)</w:t>
            </w:r>
          </w:p>
        </w:tc>
        <w:tc>
          <w:tcPr>
            <w:tcW w:w="0" w:type="dxa"/>
            <w:vAlign w:val="bottom"/>
          </w:tcPr>
          <w:p>
            <w:pPr>
              <w:spacing w:after="0"/>
              <w:rPr>
                <w:sz w:val="1"/>
                <w:szCs w:val="1"/>
                <w:color w:val="auto"/>
              </w:rPr>
            </w:pPr>
          </w:p>
        </w:tc>
      </w:tr>
      <w:tr>
        <w:trPr>
          <w:trHeight w:val="204"/>
        </w:trPr>
        <w:tc>
          <w:tcPr>
            <w:tcW w:w="140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L. Reade Fahs</w:t>
            </w:r>
          </w:p>
        </w:tc>
        <w:tc>
          <w:tcPr>
            <w:tcW w:w="40" w:type="dxa"/>
            <w:vAlign w:val="bottom"/>
          </w:tcPr>
          <w:p>
            <w:pPr>
              <w:spacing w:after="0"/>
              <w:rPr>
                <w:sz w:val="17"/>
                <w:szCs w:val="17"/>
                <w:color w:val="auto"/>
              </w:rPr>
            </w:pPr>
          </w:p>
        </w:tc>
        <w:tc>
          <w:tcPr>
            <w:tcW w:w="700" w:type="dxa"/>
            <w:vAlign w:val="bottom"/>
            <w:tcBorders>
              <w:right w:val="single" w:sz="8" w:color="9EACCA"/>
            </w:tcBorders>
          </w:tcPr>
          <w:p>
            <w:pPr>
              <w:spacing w:after="0"/>
              <w:rPr>
                <w:sz w:val="17"/>
                <w:szCs w:val="17"/>
                <w:color w:val="auto"/>
              </w:rPr>
            </w:pPr>
          </w:p>
        </w:tc>
        <w:tc>
          <w:tcPr>
            <w:tcW w:w="720" w:type="dxa"/>
            <w:vAlign w:val="bottom"/>
            <w:tcBorders>
              <w:right w:val="single" w:sz="8" w:color="9EACCA"/>
            </w:tcBorders>
            <w:gridSpan w:val="2"/>
          </w:tcPr>
          <w:p>
            <w:pPr>
              <w:jc w:val="right"/>
              <w:ind w:right="62"/>
              <w:spacing w:after="0"/>
              <w:rPr>
                <w:sz w:val="20"/>
                <w:szCs w:val="20"/>
                <w:color w:val="auto"/>
              </w:rPr>
            </w:pPr>
            <w:r>
              <w:rPr>
                <w:rFonts w:ascii="Arial" w:cs="Arial" w:eastAsia="Arial" w:hAnsi="Arial"/>
                <w:sz w:val="14"/>
                <w:szCs w:val="14"/>
                <w:color w:val="auto"/>
              </w:rPr>
              <w:t>477,500</w:t>
            </w:r>
          </w:p>
        </w:tc>
        <w:tc>
          <w:tcPr>
            <w:tcW w:w="60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955,000</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1,910,000</w:t>
            </w:r>
          </w:p>
        </w:tc>
        <w:tc>
          <w:tcPr>
            <w:tcW w:w="100" w:type="dxa"/>
            <w:vAlign w:val="bottom"/>
          </w:tcPr>
          <w:p>
            <w:pPr>
              <w:spacing w:after="0"/>
              <w:rPr>
                <w:sz w:val="17"/>
                <w:szCs w:val="17"/>
                <w:color w:val="auto"/>
              </w:rPr>
            </w:pPr>
          </w:p>
        </w:tc>
        <w:tc>
          <w:tcPr>
            <w:tcW w:w="60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6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tcPr>
          <w:p>
            <w:pPr>
              <w:spacing w:after="0"/>
              <w:rPr>
                <w:sz w:val="18"/>
                <w:szCs w:val="18"/>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8"/>
                <w:szCs w:val="18"/>
                <w:color w:val="auto"/>
              </w:rPr>
            </w:pPr>
          </w:p>
        </w:tc>
        <w:tc>
          <w:tcPr>
            <w:tcW w:w="640" w:type="dxa"/>
            <w:vAlign w:val="bottom"/>
            <w:tcBorders>
              <w:right w:val="single" w:sz="8" w:color="9EACCA"/>
            </w:tcBorders>
          </w:tcPr>
          <w:p>
            <w:pPr>
              <w:spacing w:after="0"/>
              <w:rPr>
                <w:sz w:val="18"/>
                <w:szCs w:val="18"/>
                <w:color w:val="auto"/>
              </w:rPr>
            </w:pPr>
          </w:p>
        </w:tc>
        <w:tc>
          <w:tcPr>
            <w:tcW w:w="60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16,155</w:t>
            </w:r>
          </w:p>
        </w:tc>
        <w:tc>
          <w:tcPr>
            <w:tcW w:w="5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32,310</w:t>
            </w:r>
          </w:p>
        </w:tc>
        <w:tc>
          <w:tcPr>
            <w:tcW w:w="680" w:type="dxa"/>
            <w:vAlign w:val="bottom"/>
            <w:tcBorders>
              <w:right w:val="single" w:sz="8" w:color="9EACCA"/>
            </w:tcBorders>
          </w:tcPr>
          <w:p>
            <w:pPr>
              <w:jc w:val="right"/>
              <w:ind w:right="71"/>
              <w:spacing w:after="0"/>
              <w:rPr>
                <w:sz w:val="20"/>
                <w:szCs w:val="20"/>
                <w:color w:val="auto"/>
              </w:rPr>
            </w:pPr>
            <w:r>
              <w:rPr>
                <w:rFonts w:ascii="Arial" w:cs="Arial" w:eastAsia="Arial" w:hAnsi="Arial"/>
                <w:sz w:val="14"/>
                <w:szCs w:val="14"/>
                <w:color w:val="auto"/>
              </w:rPr>
              <w:t>64,620</w:t>
            </w:r>
          </w:p>
        </w:tc>
        <w:tc>
          <w:tcPr>
            <w:tcW w:w="740" w:type="dxa"/>
            <w:vAlign w:val="bottom"/>
            <w:tcBorders>
              <w:right w:val="single" w:sz="8" w:color="9EACCA"/>
            </w:tcBorders>
          </w:tcPr>
          <w:p>
            <w:pPr>
              <w:spacing w:after="0"/>
              <w:rPr>
                <w:sz w:val="18"/>
                <w:szCs w:val="18"/>
                <w:color w:val="auto"/>
              </w:rPr>
            </w:pPr>
          </w:p>
        </w:tc>
        <w:tc>
          <w:tcPr>
            <w:tcW w:w="7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1,125,034</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jc w:val="right"/>
              <w:ind w:right="97"/>
              <w:spacing w:after="0"/>
              <w:rPr>
                <w:sz w:val="20"/>
                <w:szCs w:val="20"/>
                <w:color w:val="auto"/>
              </w:rPr>
            </w:pPr>
            <w:r>
              <w:rPr>
                <w:rFonts w:ascii="Arial" w:cs="Arial" w:eastAsia="Arial" w:hAnsi="Arial"/>
                <w:sz w:val="14"/>
                <w:szCs w:val="14"/>
                <w:color w:val="auto"/>
              </w:rPr>
              <w:t>16,155</w:t>
            </w:r>
          </w:p>
        </w:tc>
        <w:tc>
          <w:tcPr>
            <w:tcW w:w="7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right w:val="single" w:sz="8" w:color="9EACCA"/>
            </w:tcBorders>
          </w:tcPr>
          <w:p>
            <w:pPr>
              <w:spacing w:after="0"/>
              <w:rPr>
                <w:sz w:val="19"/>
                <w:szCs w:val="19"/>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562,517</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7"/>
              <w:spacing w:after="0"/>
              <w:rPr>
                <w:sz w:val="20"/>
                <w:szCs w:val="20"/>
                <w:color w:val="auto"/>
              </w:rPr>
            </w:pPr>
            <w:r>
              <w:rPr>
                <w:rFonts w:ascii="Arial" w:cs="Arial" w:eastAsia="Arial" w:hAnsi="Arial"/>
                <w:sz w:val="14"/>
                <w:szCs w:val="14"/>
                <w:color w:val="auto"/>
              </w:rPr>
              <w:t>41,089</w:t>
            </w:r>
          </w:p>
        </w:tc>
        <w:tc>
          <w:tcPr>
            <w:tcW w:w="820" w:type="dxa"/>
            <w:vAlign w:val="bottom"/>
            <w:tcBorders>
              <w:right w:val="single" w:sz="8" w:color="9EACCA"/>
            </w:tcBorders>
            <w:gridSpan w:val="2"/>
          </w:tcPr>
          <w:p>
            <w:pPr>
              <w:ind w:left="220"/>
              <w:spacing w:after="0"/>
              <w:rPr>
                <w:sz w:val="20"/>
                <w:szCs w:val="20"/>
                <w:color w:val="auto"/>
              </w:rPr>
            </w:pPr>
            <w:r>
              <w:rPr>
                <w:rFonts w:ascii="Arial" w:cs="Arial" w:eastAsia="Arial" w:hAnsi="Arial"/>
                <w:sz w:val="14"/>
                <w:szCs w:val="14"/>
                <w:color w:val="auto"/>
              </w:rPr>
              <w:t>34.82</w:t>
            </w: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562,508</w:t>
            </w:r>
          </w:p>
        </w:tc>
        <w:tc>
          <w:tcPr>
            <w:tcW w:w="0" w:type="dxa"/>
            <w:vAlign w:val="bottom"/>
          </w:tcPr>
          <w:p>
            <w:pPr>
              <w:spacing w:after="0"/>
              <w:rPr>
                <w:sz w:val="1"/>
                <w:szCs w:val="1"/>
                <w:color w:val="auto"/>
              </w:rPr>
            </w:pPr>
          </w:p>
        </w:tc>
      </w:tr>
      <w:tr>
        <w:trPr>
          <w:trHeight w:val="25"/>
        </w:trPr>
        <w:tc>
          <w:tcPr>
            <w:tcW w:w="1400" w:type="dxa"/>
            <w:vAlign w:val="bottom"/>
            <w:tcBorders>
              <w:left w:val="single" w:sz="8" w:color="3C5896"/>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right w:val="single" w:sz="8" w:color="9EACCA"/>
            </w:tcBorders>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9EACCA"/>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9EACCA"/>
            </w:tcBorders>
          </w:tcPr>
          <w:p>
            <w:pPr>
              <w:spacing w:after="0"/>
              <w:rPr>
                <w:sz w:val="2"/>
                <w:szCs w:val="2"/>
                <w:color w:val="auto"/>
              </w:rPr>
            </w:pPr>
          </w:p>
        </w:tc>
        <w:tc>
          <w:tcPr>
            <w:tcW w:w="68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7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6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Patrick R. Moore</w:t>
            </w:r>
          </w:p>
        </w:tc>
        <w:tc>
          <w:tcPr>
            <w:tcW w:w="40" w:type="dxa"/>
            <w:vAlign w:val="bottom"/>
            <w:shd w:val="clear" w:color="auto" w:fill="CCCCCC"/>
          </w:tcPr>
          <w:p>
            <w:pPr>
              <w:spacing w:after="0"/>
              <w:rPr>
                <w:sz w:val="17"/>
                <w:szCs w:val="17"/>
                <w:color w:val="auto"/>
              </w:rPr>
            </w:pPr>
          </w:p>
        </w:tc>
        <w:tc>
          <w:tcPr>
            <w:tcW w:w="700" w:type="dxa"/>
            <w:vAlign w:val="bottom"/>
            <w:tcBorders>
              <w:right w:val="single" w:sz="8" w:color="9EACCA"/>
            </w:tcBorders>
            <w:shd w:val="clear" w:color="auto" w:fill="CCCCCC"/>
          </w:tcPr>
          <w:p>
            <w:pPr>
              <w:spacing w:after="0"/>
              <w:rPr>
                <w:sz w:val="17"/>
                <w:szCs w:val="17"/>
                <w:color w:val="auto"/>
              </w:rPr>
            </w:pPr>
          </w:p>
        </w:tc>
        <w:tc>
          <w:tcPr>
            <w:tcW w:w="720" w:type="dxa"/>
            <w:vAlign w:val="bottom"/>
            <w:tcBorders>
              <w:right w:val="single" w:sz="8" w:color="9EACCA"/>
            </w:tcBorders>
            <w:gridSpan w:val="2"/>
            <w:shd w:val="clear" w:color="auto" w:fill="CCCCCC"/>
          </w:tcPr>
          <w:p>
            <w:pPr>
              <w:jc w:val="right"/>
              <w:ind w:right="62"/>
              <w:spacing w:after="0"/>
              <w:rPr>
                <w:sz w:val="20"/>
                <w:szCs w:val="20"/>
                <w:color w:val="auto"/>
              </w:rPr>
            </w:pPr>
            <w:r>
              <w:rPr>
                <w:rFonts w:ascii="Arial" w:cs="Arial" w:eastAsia="Arial" w:hAnsi="Arial"/>
                <w:sz w:val="14"/>
                <w:szCs w:val="14"/>
                <w:color w:val="auto"/>
              </w:rPr>
              <w:t>162,500</w:t>
            </w:r>
          </w:p>
        </w:tc>
        <w:tc>
          <w:tcPr>
            <w:tcW w:w="6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highlight w:val="lightGray"/>
              </w:rPr>
              <w:t>325,000</w:t>
            </w:r>
          </w:p>
        </w:tc>
        <w:tc>
          <w:tcPr>
            <w:tcW w:w="74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shd w:val="clear" w:color="auto" w:fill="CCCCCC"/>
          </w:tcPr>
          <w:p>
            <w:pPr>
              <w:spacing w:after="0"/>
              <w:rPr>
                <w:sz w:val="17"/>
                <w:szCs w:val="17"/>
                <w:color w:val="auto"/>
              </w:rPr>
            </w:pPr>
          </w:p>
        </w:tc>
        <w:tc>
          <w:tcPr>
            <w:tcW w:w="60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500" w:type="dxa"/>
            <w:vAlign w:val="bottom"/>
            <w:tcBorders>
              <w:right w:val="single" w:sz="8" w:color="9EACCA"/>
            </w:tcBorders>
            <w:shd w:val="clear" w:color="auto" w:fill="CCCCCC"/>
          </w:tcPr>
          <w:p>
            <w:pPr>
              <w:spacing w:after="0"/>
              <w:rPr>
                <w:sz w:val="17"/>
                <w:szCs w:val="17"/>
                <w:color w:val="auto"/>
              </w:rPr>
            </w:pPr>
          </w:p>
        </w:tc>
        <w:tc>
          <w:tcPr>
            <w:tcW w:w="680" w:type="dxa"/>
            <w:vAlign w:val="bottom"/>
            <w:tcBorders>
              <w:right w:val="single" w:sz="8" w:color="9EACCA"/>
            </w:tcBorders>
            <w:shd w:val="clear" w:color="auto" w:fill="CCCCCC"/>
          </w:tcPr>
          <w:p>
            <w:pPr>
              <w:spacing w:after="0"/>
              <w:rPr>
                <w:sz w:val="17"/>
                <w:szCs w:val="17"/>
                <w:color w:val="auto"/>
              </w:rPr>
            </w:pPr>
          </w:p>
        </w:tc>
        <w:tc>
          <w:tcPr>
            <w:tcW w:w="74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3C5896"/>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highlight w:val="lightGray"/>
              </w:rPr>
              <w:t>2/28/2020</w:t>
            </w:r>
          </w:p>
        </w:tc>
        <w:tc>
          <w:tcPr>
            <w:tcW w:w="80" w:type="dxa"/>
            <w:vAlign w:val="bottom"/>
            <w:shd w:val="clear" w:color="auto" w:fill="CCCCCC"/>
          </w:tcPr>
          <w:p>
            <w:pPr>
              <w:spacing w:after="0"/>
              <w:rPr>
                <w:sz w:val="18"/>
                <w:szCs w:val="18"/>
                <w:color w:val="auto"/>
              </w:rPr>
            </w:pPr>
          </w:p>
        </w:tc>
        <w:tc>
          <w:tcPr>
            <w:tcW w:w="640" w:type="dxa"/>
            <w:vAlign w:val="bottom"/>
            <w:tcBorders>
              <w:right w:val="single" w:sz="8" w:color="9EACCA"/>
            </w:tcBorders>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jc w:val="right"/>
              <w:ind w:right="76"/>
              <w:spacing w:after="0"/>
              <w:rPr>
                <w:sz w:val="20"/>
                <w:szCs w:val="20"/>
                <w:color w:val="auto"/>
              </w:rPr>
            </w:pPr>
            <w:r>
              <w:rPr>
                <w:rFonts w:ascii="Arial" w:cs="Arial" w:eastAsia="Arial" w:hAnsi="Arial"/>
                <w:sz w:val="14"/>
                <w:szCs w:val="14"/>
                <w:color w:val="auto"/>
              </w:rPr>
              <w:t>7,180</w:t>
            </w:r>
          </w:p>
        </w:tc>
        <w:tc>
          <w:tcPr>
            <w:tcW w:w="40" w:type="dxa"/>
            <w:vAlign w:val="bottom"/>
            <w:shd w:val="clear" w:color="auto" w:fill="CCCCCC"/>
          </w:tcPr>
          <w:p>
            <w:pPr>
              <w:spacing w:after="0"/>
              <w:rPr>
                <w:sz w:val="18"/>
                <w:szCs w:val="18"/>
                <w:color w:val="auto"/>
              </w:rPr>
            </w:pPr>
          </w:p>
        </w:tc>
        <w:tc>
          <w:tcPr>
            <w:tcW w:w="5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w w:val="97"/>
              </w:rPr>
              <w:t>14,360</w:t>
            </w:r>
          </w:p>
        </w:tc>
        <w:tc>
          <w:tcPr>
            <w:tcW w:w="680" w:type="dxa"/>
            <w:vAlign w:val="bottom"/>
            <w:tcBorders>
              <w:right w:val="single" w:sz="8" w:color="9EACCA"/>
            </w:tcBorders>
            <w:shd w:val="clear" w:color="auto" w:fill="CCCCCC"/>
          </w:tcPr>
          <w:p>
            <w:pPr>
              <w:jc w:val="right"/>
              <w:ind w:right="71"/>
              <w:spacing w:after="0"/>
              <w:rPr>
                <w:sz w:val="20"/>
                <w:szCs w:val="20"/>
                <w:color w:val="auto"/>
              </w:rPr>
            </w:pPr>
            <w:r>
              <w:rPr>
                <w:rFonts w:ascii="Arial" w:cs="Arial" w:eastAsia="Arial" w:hAnsi="Arial"/>
                <w:sz w:val="14"/>
                <w:szCs w:val="14"/>
                <w:color w:val="auto"/>
              </w:rPr>
              <w:t>28,720</w:t>
            </w:r>
          </w:p>
        </w:tc>
        <w:tc>
          <w:tcPr>
            <w:tcW w:w="74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500,515</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highlight w:val="lightGray"/>
              </w:rPr>
              <w:t>2/28/2020</w:t>
            </w:r>
          </w:p>
        </w:tc>
        <w:tc>
          <w:tcPr>
            <w:tcW w:w="80" w:type="dxa"/>
            <w:vAlign w:val="bottom"/>
            <w:shd w:val="clear" w:color="auto" w:fill="CCCCCC"/>
          </w:tcPr>
          <w:p>
            <w:pPr>
              <w:spacing w:after="0"/>
              <w:rPr>
                <w:sz w:val="19"/>
                <w:szCs w:val="19"/>
                <w:color w:val="auto"/>
              </w:rPr>
            </w:pPr>
          </w:p>
        </w:tc>
        <w:tc>
          <w:tcPr>
            <w:tcW w:w="640" w:type="dxa"/>
            <w:vAlign w:val="bottom"/>
            <w:tcBorders>
              <w:right w:val="single" w:sz="8" w:color="9EACCA"/>
            </w:tcBorders>
            <w:shd w:val="clear" w:color="auto" w:fill="CCCCCC"/>
          </w:tcPr>
          <w:p>
            <w:pPr>
              <w:spacing w:after="0"/>
              <w:rPr>
                <w:sz w:val="19"/>
                <w:szCs w:val="19"/>
                <w:color w:val="auto"/>
              </w:rPr>
            </w:pPr>
          </w:p>
        </w:tc>
        <w:tc>
          <w:tcPr>
            <w:tcW w:w="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500" w:type="dxa"/>
            <w:vAlign w:val="bottom"/>
            <w:tcBorders>
              <w:right w:val="single" w:sz="8" w:color="9EACCA"/>
            </w:tcBorders>
            <w:shd w:val="clear" w:color="auto" w:fill="CCCCCC"/>
          </w:tcPr>
          <w:p>
            <w:pPr>
              <w:spacing w:after="0"/>
              <w:rPr>
                <w:sz w:val="19"/>
                <w:szCs w:val="19"/>
                <w:color w:val="auto"/>
              </w:rPr>
            </w:pPr>
          </w:p>
        </w:tc>
        <w:tc>
          <w:tcPr>
            <w:tcW w:w="680" w:type="dxa"/>
            <w:vAlign w:val="bottom"/>
            <w:tcBorders>
              <w:right w:val="single" w:sz="8" w:color="9EACCA"/>
            </w:tcBorders>
            <w:shd w:val="clear" w:color="auto" w:fill="CCCCCC"/>
          </w:tcPr>
          <w:p>
            <w:pPr>
              <w:spacing w:after="0"/>
              <w:rPr>
                <w:sz w:val="19"/>
                <w:szCs w:val="19"/>
                <w:color w:val="auto"/>
              </w:rPr>
            </w:pPr>
          </w:p>
        </w:tc>
        <w:tc>
          <w:tcPr>
            <w:tcW w:w="740" w:type="dxa"/>
            <w:vAlign w:val="bottom"/>
            <w:tcBorders>
              <w:right w:val="single" w:sz="8" w:color="9EACCA"/>
            </w:tcBorders>
            <w:shd w:val="clear" w:color="auto" w:fill="CCCCCC"/>
          </w:tcPr>
          <w:p>
            <w:pPr>
              <w:jc w:val="right"/>
              <w:ind w:right="97"/>
              <w:spacing w:after="0"/>
              <w:rPr>
                <w:sz w:val="20"/>
                <w:szCs w:val="20"/>
                <w:color w:val="auto"/>
              </w:rPr>
            </w:pPr>
            <w:r>
              <w:rPr>
                <w:rFonts w:ascii="Arial" w:cs="Arial" w:eastAsia="Arial" w:hAnsi="Arial"/>
                <w:sz w:val="14"/>
                <w:szCs w:val="14"/>
                <w:color w:val="auto"/>
              </w:rPr>
              <w:t>7,180</w:t>
            </w:r>
          </w:p>
        </w:tc>
        <w:tc>
          <w:tcPr>
            <w:tcW w:w="7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250,008</w:t>
            </w:r>
          </w:p>
        </w:tc>
        <w:tc>
          <w:tcPr>
            <w:tcW w:w="0" w:type="dxa"/>
            <w:vAlign w:val="bottom"/>
          </w:tcPr>
          <w:p>
            <w:pPr>
              <w:spacing w:after="0"/>
              <w:rPr>
                <w:sz w:val="1"/>
                <w:szCs w:val="1"/>
                <w:color w:val="auto"/>
              </w:rPr>
            </w:pPr>
          </w:p>
        </w:tc>
      </w:tr>
      <w:tr>
        <w:trPr>
          <w:trHeight w:val="235"/>
        </w:trPr>
        <w:tc>
          <w:tcPr>
            <w:tcW w:w="140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2/28/2020</w:t>
            </w:r>
          </w:p>
        </w:tc>
        <w:tc>
          <w:tcPr>
            <w:tcW w:w="80" w:type="dxa"/>
            <w:vAlign w:val="bottom"/>
            <w:tcBorders>
              <w:bottom w:val="single" w:sz="8" w:color="CCCCCC"/>
            </w:tcBorders>
            <w:shd w:val="clear" w:color="auto" w:fill="CCCCCC"/>
          </w:tcPr>
          <w:p>
            <w:pPr>
              <w:spacing w:after="0"/>
              <w:rPr>
                <w:sz w:val="20"/>
                <w:szCs w:val="20"/>
                <w:color w:val="auto"/>
              </w:rPr>
            </w:pPr>
          </w:p>
        </w:tc>
        <w:tc>
          <w:tcPr>
            <w:tcW w:w="640" w:type="dxa"/>
            <w:vAlign w:val="bottom"/>
            <w:tcBorders>
              <w:bottom w:val="single" w:sz="8" w:color="CCCCCC"/>
              <w:right w:val="single" w:sz="8" w:color="9EACCA"/>
            </w:tcBorders>
            <w:shd w:val="clear" w:color="auto" w:fill="CCCCCC"/>
          </w:tcPr>
          <w:p>
            <w:pPr>
              <w:spacing w:after="0"/>
              <w:rPr>
                <w:sz w:val="20"/>
                <w:szCs w:val="20"/>
                <w:color w:val="auto"/>
              </w:rPr>
            </w:pPr>
          </w:p>
        </w:tc>
        <w:tc>
          <w:tcPr>
            <w:tcW w:w="60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p>
        </w:tc>
        <w:tc>
          <w:tcPr>
            <w:tcW w:w="100" w:type="dxa"/>
            <w:vAlign w:val="bottom"/>
            <w:tcBorders>
              <w:bottom w:val="single" w:sz="8" w:color="CCCCCC"/>
            </w:tcBorders>
            <w:shd w:val="clear" w:color="auto" w:fill="CCCCCC"/>
          </w:tcPr>
          <w:p>
            <w:pPr>
              <w:spacing w:after="0"/>
              <w:rPr>
                <w:sz w:val="20"/>
                <w:szCs w:val="20"/>
                <w:color w:val="auto"/>
              </w:rPr>
            </w:pPr>
          </w:p>
        </w:tc>
        <w:tc>
          <w:tcPr>
            <w:tcW w:w="60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500" w:type="dxa"/>
            <w:vAlign w:val="bottom"/>
            <w:tcBorders>
              <w:bottom w:val="single" w:sz="8" w:color="CCCCCC"/>
              <w:right w:val="single" w:sz="8" w:color="9EACCA"/>
            </w:tcBorders>
            <w:shd w:val="clear" w:color="auto" w:fill="CCCCCC"/>
          </w:tcPr>
          <w:p>
            <w:pPr>
              <w:spacing w:after="0"/>
              <w:rPr>
                <w:sz w:val="20"/>
                <w:szCs w:val="20"/>
                <w:color w:val="auto"/>
              </w:rPr>
            </w:pPr>
          </w:p>
        </w:tc>
        <w:tc>
          <w:tcPr>
            <w:tcW w:w="680" w:type="dxa"/>
            <w:vAlign w:val="bottom"/>
            <w:tcBorders>
              <w:bottom w:val="single" w:sz="8" w:color="CCCCCC"/>
              <w:right w:val="single" w:sz="8" w:color="9EACCA"/>
            </w:tcBorders>
            <w:shd w:val="clear" w:color="auto" w:fill="CCCCCC"/>
          </w:tcPr>
          <w:p>
            <w:pPr>
              <w:spacing w:after="0"/>
              <w:rPr>
                <w:sz w:val="20"/>
                <w:szCs w:val="20"/>
                <w:color w:val="auto"/>
              </w:rPr>
            </w:pPr>
          </w:p>
        </w:tc>
        <w:tc>
          <w:tcPr>
            <w:tcW w:w="74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9EACCA"/>
            </w:tcBorders>
            <w:shd w:val="clear" w:color="auto" w:fill="CCCCCC"/>
          </w:tcPr>
          <w:p>
            <w:pPr>
              <w:jc w:val="right"/>
              <w:ind w:right="117"/>
              <w:spacing w:after="0"/>
              <w:rPr>
                <w:sz w:val="20"/>
                <w:szCs w:val="20"/>
                <w:color w:val="auto"/>
              </w:rPr>
            </w:pPr>
            <w:r>
              <w:rPr>
                <w:rFonts w:ascii="Arial" w:cs="Arial" w:eastAsia="Arial" w:hAnsi="Arial"/>
                <w:sz w:val="14"/>
                <w:szCs w:val="14"/>
                <w:color w:val="auto"/>
              </w:rPr>
              <w:t>18,262</w:t>
            </w:r>
          </w:p>
        </w:tc>
        <w:tc>
          <w:tcPr>
            <w:tcW w:w="40" w:type="dxa"/>
            <w:vAlign w:val="bottom"/>
            <w:tcBorders>
              <w:bottom w:val="single" w:sz="8" w:color="CCCCCC"/>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34.82</w:t>
            </w:r>
          </w:p>
        </w:tc>
        <w:tc>
          <w:tcPr>
            <w:tcW w:w="760" w:type="dxa"/>
            <w:vAlign w:val="bottom"/>
            <w:tcBorders>
              <w:bottom w:val="single" w:sz="8" w:color="CCCCCC"/>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250,007</w:t>
            </w:r>
          </w:p>
        </w:tc>
        <w:tc>
          <w:tcPr>
            <w:tcW w:w="0" w:type="dxa"/>
            <w:vAlign w:val="bottom"/>
          </w:tcPr>
          <w:p>
            <w:pPr>
              <w:spacing w:after="0"/>
              <w:rPr>
                <w:sz w:val="1"/>
                <w:szCs w:val="1"/>
                <w:color w:val="auto"/>
              </w:rPr>
            </w:pPr>
          </w:p>
        </w:tc>
      </w:tr>
      <w:tr>
        <w:trPr>
          <w:trHeight w:val="204"/>
        </w:trPr>
        <w:tc>
          <w:tcPr>
            <w:tcW w:w="140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Bill Clark</w:t>
            </w:r>
          </w:p>
        </w:tc>
        <w:tc>
          <w:tcPr>
            <w:tcW w:w="40" w:type="dxa"/>
            <w:vAlign w:val="bottom"/>
          </w:tcPr>
          <w:p>
            <w:pPr>
              <w:spacing w:after="0"/>
              <w:rPr>
                <w:sz w:val="17"/>
                <w:szCs w:val="17"/>
                <w:color w:val="auto"/>
              </w:rPr>
            </w:pPr>
          </w:p>
        </w:tc>
        <w:tc>
          <w:tcPr>
            <w:tcW w:w="700" w:type="dxa"/>
            <w:vAlign w:val="bottom"/>
            <w:tcBorders>
              <w:right w:val="single" w:sz="8" w:color="9EACCA"/>
            </w:tcBorders>
          </w:tcPr>
          <w:p>
            <w:pPr>
              <w:spacing w:after="0"/>
              <w:rPr>
                <w:sz w:val="17"/>
                <w:szCs w:val="17"/>
                <w:color w:val="auto"/>
              </w:rPr>
            </w:pPr>
          </w:p>
        </w:tc>
        <w:tc>
          <w:tcPr>
            <w:tcW w:w="720" w:type="dxa"/>
            <w:vAlign w:val="bottom"/>
            <w:tcBorders>
              <w:right w:val="single" w:sz="8" w:color="9EACCA"/>
            </w:tcBorders>
            <w:gridSpan w:val="2"/>
          </w:tcPr>
          <w:p>
            <w:pPr>
              <w:jc w:val="right"/>
              <w:ind w:right="62"/>
              <w:spacing w:after="0"/>
              <w:rPr>
                <w:sz w:val="20"/>
                <w:szCs w:val="20"/>
                <w:color w:val="auto"/>
              </w:rPr>
            </w:pPr>
            <w:r>
              <w:rPr>
                <w:rFonts w:ascii="Arial" w:cs="Arial" w:eastAsia="Arial" w:hAnsi="Arial"/>
                <w:sz w:val="14"/>
                <w:szCs w:val="14"/>
                <w:color w:val="auto"/>
              </w:rPr>
              <w:t>87,500</w:t>
            </w:r>
          </w:p>
        </w:tc>
        <w:tc>
          <w:tcPr>
            <w:tcW w:w="60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175,000</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7"/>
                <w:szCs w:val="17"/>
                <w:color w:val="auto"/>
              </w:rPr>
            </w:pPr>
          </w:p>
        </w:tc>
        <w:tc>
          <w:tcPr>
            <w:tcW w:w="60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6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tcPr>
          <w:p>
            <w:pPr>
              <w:spacing w:after="0"/>
              <w:rPr>
                <w:sz w:val="18"/>
                <w:szCs w:val="18"/>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8"/>
                <w:szCs w:val="18"/>
                <w:color w:val="auto"/>
              </w:rPr>
            </w:pPr>
          </w:p>
        </w:tc>
        <w:tc>
          <w:tcPr>
            <w:tcW w:w="640" w:type="dxa"/>
            <w:vAlign w:val="bottom"/>
            <w:tcBorders>
              <w:right w:val="single" w:sz="8" w:color="9EACCA"/>
            </w:tcBorders>
          </w:tcPr>
          <w:p>
            <w:pPr>
              <w:spacing w:after="0"/>
              <w:rPr>
                <w:sz w:val="18"/>
                <w:szCs w:val="18"/>
                <w:color w:val="auto"/>
              </w:rPr>
            </w:pPr>
          </w:p>
        </w:tc>
        <w:tc>
          <w:tcPr>
            <w:tcW w:w="60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2,298</w:t>
            </w:r>
          </w:p>
        </w:tc>
        <w:tc>
          <w:tcPr>
            <w:tcW w:w="5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4,596</w:t>
            </w:r>
          </w:p>
        </w:tc>
        <w:tc>
          <w:tcPr>
            <w:tcW w:w="680" w:type="dxa"/>
            <w:vAlign w:val="bottom"/>
            <w:tcBorders>
              <w:right w:val="single" w:sz="8" w:color="9EACCA"/>
            </w:tcBorders>
          </w:tcPr>
          <w:p>
            <w:pPr>
              <w:jc w:val="right"/>
              <w:ind w:right="71"/>
              <w:spacing w:after="0"/>
              <w:rPr>
                <w:sz w:val="20"/>
                <w:szCs w:val="20"/>
                <w:color w:val="auto"/>
              </w:rPr>
            </w:pPr>
            <w:r>
              <w:rPr>
                <w:rFonts w:ascii="Arial" w:cs="Arial" w:eastAsia="Arial" w:hAnsi="Arial"/>
                <w:sz w:val="14"/>
                <w:szCs w:val="14"/>
                <w:color w:val="auto"/>
              </w:rPr>
              <w:t>9,192</w:t>
            </w:r>
          </w:p>
        </w:tc>
        <w:tc>
          <w:tcPr>
            <w:tcW w:w="740" w:type="dxa"/>
            <w:vAlign w:val="bottom"/>
            <w:tcBorders>
              <w:right w:val="single" w:sz="8" w:color="9EACCA"/>
            </w:tcBorders>
          </w:tcPr>
          <w:p>
            <w:pPr>
              <w:spacing w:after="0"/>
              <w:rPr>
                <w:sz w:val="18"/>
                <w:szCs w:val="18"/>
                <w:color w:val="auto"/>
              </w:rPr>
            </w:pPr>
          </w:p>
        </w:tc>
        <w:tc>
          <w:tcPr>
            <w:tcW w:w="7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160,033</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jc w:val="right"/>
              <w:ind w:right="97"/>
              <w:spacing w:after="0"/>
              <w:rPr>
                <w:sz w:val="20"/>
                <w:szCs w:val="20"/>
                <w:color w:val="auto"/>
              </w:rPr>
            </w:pPr>
            <w:r>
              <w:rPr>
                <w:rFonts w:ascii="Arial" w:cs="Arial" w:eastAsia="Arial" w:hAnsi="Arial"/>
                <w:sz w:val="14"/>
                <w:szCs w:val="14"/>
                <w:color w:val="auto"/>
              </w:rPr>
              <w:t>2,298</w:t>
            </w:r>
          </w:p>
        </w:tc>
        <w:tc>
          <w:tcPr>
            <w:tcW w:w="7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right w:val="single" w:sz="8" w:color="9EACCA"/>
            </w:tcBorders>
          </w:tcPr>
          <w:p>
            <w:pPr>
              <w:spacing w:after="0"/>
              <w:rPr>
                <w:sz w:val="19"/>
                <w:szCs w:val="19"/>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80,016</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7"/>
              <w:spacing w:after="0"/>
              <w:rPr>
                <w:sz w:val="20"/>
                <w:szCs w:val="20"/>
                <w:color w:val="auto"/>
              </w:rPr>
            </w:pPr>
            <w:r>
              <w:rPr>
                <w:rFonts w:ascii="Arial" w:cs="Arial" w:eastAsia="Arial" w:hAnsi="Arial"/>
                <w:sz w:val="14"/>
                <w:szCs w:val="14"/>
                <w:color w:val="auto"/>
              </w:rPr>
              <w:t>5,844</w:t>
            </w:r>
          </w:p>
        </w:tc>
        <w:tc>
          <w:tcPr>
            <w:tcW w:w="820" w:type="dxa"/>
            <w:vAlign w:val="bottom"/>
            <w:tcBorders>
              <w:right w:val="single" w:sz="8" w:color="9EACCA"/>
            </w:tcBorders>
            <w:gridSpan w:val="2"/>
          </w:tcPr>
          <w:p>
            <w:pPr>
              <w:ind w:left="220"/>
              <w:spacing w:after="0"/>
              <w:rPr>
                <w:sz w:val="20"/>
                <w:szCs w:val="20"/>
                <w:color w:val="auto"/>
              </w:rPr>
            </w:pPr>
            <w:r>
              <w:rPr>
                <w:rFonts w:ascii="Arial" w:cs="Arial" w:eastAsia="Arial" w:hAnsi="Arial"/>
                <w:sz w:val="14"/>
                <w:szCs w:val="14"/>
                <w:color w:val="auto"/>
              </w:rPr>
              <w:t>34.82</w:t>
            </w: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80,004</w:t>
            </w:r>
          </w:p>
        </w:tc>
        <w:tc>
          <w:tcPr>
            <w:tcW w:w="0" w:type="dxa"/>
            <w:vAlign w:val="bottom"/>
          </w:tcPr>
          <w:p>
            <w:pPr>
              <w:spacing w:after="0"/>
              <w:rPr>
                <w:sz w:val="1"/>
                <w:szCs w:val="1"/>
                <w:color w:val="auto"/>
              </w:rPr>
            </w:pPr>
          </w:p>
        </w:tc>
      </w:tr>
      <w:tr>
        <w:trPr>
          <w:trHeight w:val="25"/>
        </w:trPr>
        <w:tc>
          <w:tcPr>
            <w:tcW w:w="1400" w:type="dxa"/>
            <w:vAlign w:val="bottom"/>
            <w:tcBorders>
              <w:left w:val="single" w:sz="8" w:color="3C5896"/>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gridSpan w:val="2"/>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9EACCA"/>
            </w:tcBorders>
          </w:tcPr>
          <w:p>
            <w:pPr>
              <w:spacing w:after="0"/>
              <w:rPr>
                <w:sz w:val="2"/>
                <w:szCs w:val="2"/>
                <w:color w:val="auto"/>
              </w:rPr>
            </w:pPr>
          </w:p>
        </w:tc>
        <w:tc>
          <w:tcPr>
            <w:tcW w:w="680" w:type="dxa"/>
            <w:vAlign w:val="bottom"/>
            <w:tcBorders>
              <w:right w:val="single" w:sz="8" w:color="9EACCA"/>
            </w:tcBorders>
          </w:tcPr>
          <w:p>
            <w:pPr>
              <w:spacing w:after="0"/>
              <w:rPr>
                <w:sz w:val="2"/>
                <w:szCs w:val="2"/>
                <w:color w:val="auto"/>
              </w:rPr>
            </w:pPr>
          </w:p>
        </w:tc>
        <w:tc>
          <w:tcPr>
            <w:tcW w:w="740" w:type="dxa"/>
            <w:vAlign w:val="bottom"/>
            <w:tcBorders>
              <w:right w:val="single" w:sz="8" w:color="9EACCA"/>
            </w:tcBorders>
          </w:tcPr>
          <w:p>
            <w:pPr>
              <w:spacing w:after="0"/>
              <w:rPr>
                <w:sz w:val="2"/>
                <w:szCs w:val="2"/>
                <w:color w:val="auto"/>
              </w:rPr>
            </w:pPr>
          </w:p>
        </w:tc>
        <w:tc>
          <w:tcPr>
            <w:tcW w:w="7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right w:val="single" w:sz="8" w:color="9EACCA"/>
            </w:tcBorders>
          </w:tcPr>
          <w:p>
            <w:pPr>
              <w:spacing w:after="0"/>
              <w:rPr>
                <w:sz w:val="2"/>
                <w:szCs w:val="2"/>
                <w:color w:val="auto"/>
              </w:rPr>
            </w:pPr>
          </w:p>
        </w:tc>
        <w:tc>
          <w:tcPr>
            <w:tcW w:w="76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Borders>
              <w:left w:val="single" w:sz="8" w:color="3C5896"/>
              <w:right w:val="single" w:sz="8" w:color="9EACCA"/>
            </w:tcBorders>
            <w:shd w:val="clear" w:color="auto" w:fill="CCCCCC"/>
          </w:tcPr>
          <w:p>
            <w:pPr>
              <w:ind w:left="40"/>
              <w:spacing w:after="0"/>
              <w:rPr>
                <w:sz w:val="20"/>
                <w:szCs w:val="20"/>
                <w:color w:val="auto"/>
              </w:rPr>
            </w:pPr>
            <w:r>
              <w:rPr>
                <w:rFonts w:ascii="Arial" w:cs="Arial" w:eastAsia="Arial" w:hAnsi="Arial"/>
                <w:sz w:val="14"/>
                <w:szCs w:val="14"/>
                <w:color w:val="auto"/>
              </w:rPr>
              <w:t>Jared Brandman</w:t>
            </w:r>
          </w:p>
        </w:tc>
        <w:tc>
          <w:tcPr>
            <w:tcW w:w="40" w:type="dxa"/>
            <w:vAlign w:val="bottom"/>
            <w:shd w:val="clear" w:color="auto" w:fill="CCCCCC"/>
          </w:tcPr>
          <w:p>
            <w:pPr>
              <w:spacing w:after="0"/>
              <w:rPr>
                <w:sz w:val="17"/>
                <w:szCs w:val="17"/>
                <w:color w:val="auto"/>
              </w:rPr>
            </w:pPr>
          </w:p>
        </w:tc>
        <w:tc>
          <w:tcPr>
            <w:tcW w:w="700" w:type="dxa"/>
            <w:vAlign w:val="bottom"/>
            <w:tcBorders>
              <w:right w:val="single" w:sz="8" w:color="9EACCA"/>
            </w:tcBorders>
            <w:shd w:val="clear" w:color="auto" w:fill="CCCCCC"/>
          </w:tcPr>
          <w:p>
            <w:pPr>
              <w:spacing w:after="0"/>
              <w:rPr>
                <w:sz w:val="17"/>
                <w:szCs w:val="17"/>
                <w:color w:val="auto"/>
              </w:rPr>
            </w:pPr>
          </w:p>
        </w:tc>
        <w:tc>
          <w:tcPr>
            <w:tcW w:w="720" w:type="dxa"/>
            <w:vAlign w:val="bottom"/>
            <w:tcBorders>
              <w:right w:val="single" w:sz="8" w:color="9EACCA"/>
            </w:tcBorders>
            <w:gridSpan w:val="2"/>
            <w:shd w:val="clear" w:color="auto" w:fill="CCCCCC"/>
          </w:tcPr>
          <w:p>
            <w:pPr>
              <w:jc w:val="right"/>
              <w:ind w:right="62"/>
              <w:spacing w:after="0"/>
              <w:rPr>
                <w:sz w:val="20"/>
                <w:szCs w:val="20"/>
                <w:color w:val="auto"/>
              </w:rPr>
            </w:pPr>
            <w:r>
              <w:rPr>
                <w:rFonts w:ascii="Arial" w:cs="Arial" w:eastAsia="Arial" w:hAnsi="Arial"/>
                <w:sz w:val="14"/>
                <w:szCs w:val="14"/>
                <w:color w:val="auto"/>
              </w:rPr>
              <w:t>87,500</w:t>
            </w:r>
          </w:p>
        </w:tc>
        <w:tc>
          <w:tcPr>
            <w:tcW w:w="600" w:type="dxa"/>
            <w:vAlign w:val="bottom"/>
            <w:tcBorders>
              <w:right w:val="single" w:sz="8" w:color="9EACCA"/>
            </w:tcBorders>
            <w:shd w:val="clear" w:color="auto" w:fill="CCCCCC"/>
          </w:tcPr>
          <w:p>
            <w:pPr>
              <w:jc w:val="center"/>
              <w:spacing w:after="0"/>
              <w:rPr>
                <w:sz w:val="20"/>
                <w:szCs w:val="20"/>
                <w:color w:val="auto"/>
              </w:rPr>
            </w:pPr>
            <w:r>
              <w:rPr>
                <w:rFonts w:ascii="Arial" w:cs="Arial" w:eastAsia="Arial" w:hAnsi="Arial"/>
                <w:sz w:val="14"/>
                <w:szCs w:val="14"/>
                <w:color w:val="auto"/>
                <w:highlight w:val="lightGray"/>
              </w:rPr>
              <w:t>175,000</w:t>
            </w:r>
          </w:p>
        </w:tc>
        <w:tc>
          <w:tcPr>
            <w:tcW w:w="740" w:type="dxa"/>
            <w:vAlign w:val="bottom"/>
            <w:tcBorders>
              <w:right w:val="single" w:sz="8" w:color="9EACCA"/>
            </w:tcBorders>
            <w:gridSpan w:val="2"/>
            <w:shd w:val="clear" w:color="auto" w:fill="CCCCCC"/>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CCCCCC"/>
          </w:tcPr>
          <w:p>
            <w:pPr>
              <w:spacing w:after="0"/>
              <w:rPr>
                <w:sz w:val="17"/>
                <w:szCs w:val="17"/>
                <w:color w:val="auto"/>
              </w:rPr>
            </w:pPr>
          </w:p>
        </w:tc>
        <w:tc>
          <w:tcPr>
            <w:tcW w:w="60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500" w:type="dxa"/>
            <w:vAlign w:val="bottom"/>
            <w:tcBorders>
              <w:right w:val="single" w:sz="8" w:color="9EACCA"/>
            </w:tcBorders>
            <w:shd w:val="clear" w:color="auto" w:fill="CCCCCC"/>
          </w:tcPr>
          <w:p>
            <w:pPr>
              <w:spacing w:after="0"/>
              <w:rPr>
                <w:sz w:val="17"/>
                <w:szCs w:val="17"/>
                <w:color w:val="auto"/>
              </w:rPr>
            </w:pPr>
          </w:p>
        </w:tc>
        <w:tc>
          <w:tcPr>
            <w:tcW w:w="680" w:type="dxa"/>
            <w:vAlign w:val="bottom"/>
            <w:tcBorders>
              <w:right w:val="single" w:sz="8" w:color="9EACCA"/>
            </w:tcBorders>
            <w:shd w:val="clear" w:color="auto" w:fill="CCCCCC"/>
          </w:tcPr>
          <w:p>
            <w:pPr>
              <w:spacing w:after="0"/>
              <w:rPr>
                <w:sz w:val="17"/>
                <w:szCs w:val="17"/>
                <w:color w:val="auto"/>
              </w:rPr>
            </w:pPr>
          </w:p>
        </w:tc>
        <w:tc>
          <w:tcPr>
            <w:tcW w:w="74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9EACCA"/>
            </w:tcBorders>
            <w:shd w:val="clear" w:color="auto" w:fill="CCCCCC"/>
          </w:tcPr>
          <w:p>
            <w:pPr>
              <w:spacing w:after="0"/>
              <w:rPr>
                <w:sz w:val="17"/>
                <w:szCs w:val="17"/>
                <w:color w:val="auto"/>
              </w:rPr>
            </w:pPr>
          </w:p>
        </w:tc>
        <w:tc>
          <w:tcPr>
            <w:tcW w:w="40" w:type="dxa"/>
            <w:vAlign w:val="bottom"/>
            <w:shd w:val="clear" w:color="auto" w:fill="CCCCCC"/>
          </w:tcPr>
          <w:p>
            <w:pPr>
              <w:spacing w:after="0"/>
              <w:rPr>
                <w:sz w:val="17"/>
                <w:szCs w:val="17"/>
                <w:color w:val="auto"/>
              </w:rPr>
            </w:pPr>
          </w:p>
        </w:tc>
        <w:tc>
          <w:tcPr>
            <w:tcW w:w="780" w:type="dxa"/>
            <w:vAlign w:val="bottom"/>
            <w:tcBorders>
              <w:right w:val="single" w:sz="8" w:color="9EACCA"/>
            </w:tcBorders>
            <w:shd w:val="clear" w:color="auto" w:fill="CCCCCC"/>
          </w:tcPr>
          <w:p>
            <w:pPr>
              <w:spacing w:after="0"/>
              <w:rPr>
                <w:sz w:val="17"/>
                <w:szCs w:val="17"/>
                <w:color w:val="auto"/>
              </w:rPr>
            </w:pPr>
          </w:p>
        </w:tc>
        <w:tc>
          <w:tcPr>
            <w:tcW w:w="760" w:type="dxa"/>
            <w:vAlign w:val="bottom"/>
            <w:tcBorders>
              <w:right w:val="single" w:sz="8" w:color="3C5896"/>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highlight w:val="lightGray"/>
              </w:rPr>
              <w:t>2/28/2020</w:t>
            </w:r>
          </w:p>
        </w:tc>
        <w:tc>
          <w:tcPr>
            <w:tcW w:w="80" w:type="dxa"/>
            <w:vAlign w:val="bottom"/>
            <w:shd w:val="clear" w:color="auto" w:fill="CCCCCC"/>
          </w:tcPr>
          <w:p>
            <w:pPr>
              <w:spacing w:after="0"/>
              <w:rPr>
                <w:sz w:val="18"/>
                <w:szCs w:val="18"/>
                <w:color w:val="auto"/>
              </w:rPr>
            </w:pPr>
          </w:p>
        </w:tc>
        <w:tc>
          <w:tcPr>
            <w:tcW w:w="640" w:type="dxa"/>
            <w:vAlign w:val="bottom"/>
            <w:tcBorders>
              <w:right w:val="single" w:sz="8" w:color="9EACCA"/>
            </w:tcBorders>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9EACCA"/>
            </w:tcBorders>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600" w:type="dxa"/>
            <w:vAlign w:val="bottom"/>
            <w:tcBorders>
              <w:right w:val="single" w:sz="8" w:color="9EACCA"/>
            </w:tcBorders>
            <w:shd w:val="clear" w:color="auto" w:fill="CCCCCC"/>
          </w:tcPr>
          <w:p>
            <w:pPr>
              <w:jc w:val="right"/>
              <w:ind w:right="76"/>
              <w:spacing w:after="0"/>
              <w:rPr>
                <w:sz w:val="20"/>
                <w:szCs w:val="20"/>
                <w:color w:val="auto"/>
              </w:rPr>
            </w:pPr>
            <w:r>
              <w:rPr>
                <w:rFonts w:ascii="Arial" w:cs="Arial" w:eastAsia="Arial" w:hAnsi="Arial"/>
                <w:sz w:val="14"/>
                <w:szCs w:val="14"/>
                <w:color w:val="auto"/>
              </w:rPr>
              <w:t>1,795</w:t>
            </w:r>
          </w:p>
        </w:tc>
        <w:tc>
          <w:tcPr>
            <w:tcW w:w="40" w:type="dxa"/>
            <w:vAlign w:val="bottom"/>
            <w:shd w:val="clear" w:color="auto" w:fill="CCCCCC"/>
          </w:tcPr>
          <w:p>
            <w:pPr>
              <w:spacing w:after="0"/>
              <w:rPr>
                <w:sz w:val="18"/>
                <w:szCs w:val="18"/>
                <w:color w:val="auto"/>
              </w:rPr>
            </w:pPr>
          </w:p>
        </w:tc>
        <w:tc>
          <w:tcPr>
            <w:tcW w:w="5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3,590</w:t>
            </w:r>
          </w:p>
        </w:tc>
        <w:tc>
          <w:tcPr>
            <w:tcW w:w="680" w:type="dxa"/>
            <w:vAlign w:val="bottom"/>
            <w:tcBorders>
              <w:right w:val="single" w:sz="8" w:color="9EACCA"/>
            </w:tcBorders>
            <w:shd w:val="clear" w:color="auto" w:fill="CCCCCC"/>
          </w:tcPr>
          <w:p>
            <w:pPr>
              <w:jc w:val="right"/>
              <w:ind w:right="71"/>
              <w:spacing w:after="0"/>
              <w:rPr>
                <w:sz w:val="20"/>
                <w:szCs w:val="20"/>
                <w:color w:val="auto"/>
              </w:rPr>
            </w:pPr>
            <w:r>
              <w:rPr>
                <w:rFonts w:ascii="Arial" w:cs="Arial" w:eastAsia="Arial" w:hAnsi="Arial"/>
                <w:sz w:val="14"/>
                <w:szCs w:val="14"/>
                <w:color w:val="auto"/>
              </w:rPr>
              <w:t>7,180</w:t>
            </w:r>
          </w:p>
        </w:tc>
        <w:tc>
          <w:tcPr>
            <w:tcW w:w="74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80" w:type="dxa"/>
            <w:vAlign w:val="bottom"/>
            <w:tcBorders>
              <w:right w:val="single" w:sz="8" w:color="9EACCA"/>
            </w:tcBorders>
            <w:shd w:val="clear" w:color="auto" w:fill="CCCCCC"/>
          </w:tcPr>
          <w:p>
            <w:pPr>
              <w:spacing w:after="0"/>
              <w:rPr>
                <w:sz w:val="18"/>
                <w:szCs w:val="18"/>
                <w:color w:val="auto"/>
              </w:rPr>
            </w:pPr>
          </w:p>
        </w:tc>
        <w:tc>
          <w:tcPr>
            <w:tcW w:w="760" w:type="dxa"/>
            <w:vAlign w:val="bottom"/>
            <w:tcBorders>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125,004</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highlight w:val="lightGray"/>
              </w:rPr>
              <w:t>2/28/2020</w:t>
            </w:r>
          </w:p>
        </w:tc>
        <w:tc>
          <w:tcPr>
            <w:tcW w:w="80" w:type="dxa"/>
            <w:vAlign w:val="bottom"/>
            <w:shd w:val="clear" w:color="auto" w:fill="CCCCCC"/>
          </w:tcPr>
          <w:p>
            <w:pPr>
              <w:spacing w:after="0"/>
              <w:rPr>
                <w:sz w:val="19"/>
                <w:szCs w:val="19"/>
                <w:color w:val="auto"/>
              </w:rPr>
            </w:pPr>
          </w:p>
        </w:tc>
        <w:tc>
          <w:tcPr>
            <w:tcW w:w="640" w:type="dxa"/>
            <w:vAlign w:val="bottom"/>
            <w:tcBorders>
              <w:right w:val="single" w:sz="8" w:color="9EACCA"/>
            </w:tcBorders>
            <w:shd w:val="clear" w:color="auto" w:fill="CCCCCC"/>
          </w:tcPr>
          <w:p>
            <w:pPr>
              <w:spacing w:after="0"/>
              <w:rPr>
                <w:sz w:val="19"/>
                <w:szCs w:val="19"/>
                <w:color w:val="auto"/>
              </w:rPr>
            </w:pPr>
          </w:p>
        </w:tc>
        <w:tc>
          <w:tcPr>
            <w:tcW w:w="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9EACCA"/>
            </w:tcBorders>
            <w:shd w:val="clear" w:color="auto" w:fill="CCCCCC"/>
          </w:tcPr>
          <w:p>
            <w:pPr>
              <w:spacing w:after="0"/>
              <w:rPr>
                <w:sz w:val="19"/>
                <w:szCs w:val="19"/>
                <w:color w:val="auto"/>
              </w:rPr>
            </w:pPr>
          </w:p>
        </w:tc>
        <w:tc>
          <w:tcPr>
            <w:tcW w:w="100" w:type="dxa"/>
            <w:vAlign w:val="bottom"/>
            <w:shd w:val="clear" w:color="auto" w:fill="CCCCCC"/>
          </w:tcPr>
          <w:p>
            <w:pPr>
              <w:spacing w:after="0"/>
              <w:rPr>
                <w:sz w:val="19"/>
                <w:szCs w:val="19"/>
                <w:color w:val="auto"/>
              </w:rPr>
            </w:pPr>
          </w:p>
        </w:tc>
        <w:tc>
          <w:tcPr>
            <w:tcW w:w="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500" w:type="dxa"/>
            <w:vAlign w:val="bottom"/>
            <w:tcBorders>
              <w:right w:val="single" w:sz="8" w:color="9EACCA"/>
            </w:tcBorders>
            <w:shd w:val="clear" w:color="auto" w:fill="CCCCCC"/>
          </w:tcPr>
          <w:p>
            <w:pPr>
              <w:spacing w:after="0"/>
              <w:rPr>
                <w:sz w:val="19"/>
                <w:szCs w:val="19"/>
                <w:color w:val="auto"/>
              </w:rPr>
            </w:pPr>
          </w:p>
        </w:tc>
        <w:tc>
          <w:tcPr>
            <w:tcW w:w="680" w:type="dxa"/>
            <w:vAlign w:val="bottom"/>
            <w:tcBorders>
              <w:right w:val="single" w:sz="8" w:color="9EACCA"/>
            </w:tcBorders>
            <w:shd w:val="clear" w:color="auto" w:fill="CCCCCC"/>
          </w:tcPr>
          <w:p>
            <w:pPr>
              <w:spacing w:after="0"/>
              <w:rPr>
                <w:sz w:val="19"/>
                <w:szCs w:val="19"/>
                <w:color w:val="auto"/>
              </w:rPr>
            </w:pPr>
          </w:p>
        </w:tc>
        <w:tc>
          <w:tcPr>
            <w:tcW w:w="740" w:type="dxa"/>
            <w:vAlign w:val="bottom"/>
            <w:tcBorders>
              <w:right w:val="single" w:sz="8" w:color="9EACCA"/>
            </w:tcBorders>
            <w:shd w:val="clear" w:color="auto" w:fill="CCCCCC"/>
          </w:tcPr>
          <w:p>
            <w:pPr>
              <w:jc w:val="right"/>
              <w:ind w:right="97"/>
              <w:spacing w:after="0"/>
              <w:rPr>
                <w:sz w:val="20"/>
                <w:szCs w:val="20"/>
                <w:color w:val="auto"/>
              </w:rPr>
            </w:pPr>
            <w:r>
              <w:rPr>
                <w:rFonts w:ascii="Arial" w:cs="Arial" w:eastAsia="Arial" w:hAnsi="Arial"/>
                <w:sz w:val="14"/>
                <w:szCs w:val="14"/>
                <w:color w:val="auto"/>
              </w:rPr>
              <w:t>1,795</w:t>
            </w:r>
          </w:p>
        </w:tc>
        <w:tc>
          <w:tcPr>
            <w:tcW w:w="7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8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62,502</w:t>
            </w:r>
          </w:p>
        </w:tc>
        <w:tc>
          <w:tcPr>
            <w:tcW w:w="0" w:type="dxa"/>
            <w:vAlign w:val="bottom"/>
          </w:tcPr>
          <w:p>
            <w:pPr>
              <w:spacing w:after="0"/>
              <w:rPr>
                <w:sz w:val="1"/>
                <w:szCs w:val="1"/>
                <w:color w:val="auto"/>
              </w:rPr>
            </w:pPr>
          </w:p>
        </w:tc>
      </w:tr>
      <w:tr>
        <w:trPr>
          <w:trHeight w:val="235"/>
        </w:trPr>
        <w:tc>
          <w:tcPr>
            <w:tcW w:w="140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2/28/2020</w:t>
            </w:r>
          </w:p>
        </w:tc>
        <w:tc>
          <w:tcPr>
            <w:tcW w:w="80" w:type="dxa"/>
            <w:vAlign w:val="bottom"/>
            <w:tcBorders>
              <w:bottom w:val="single" w:sz="8" w:color="CCCCCC"/>
            </w:tcBorders>
            <w:shd w:val="clear" w:color="auto" w:fill="CCCCCC"/>
          </w:tcPr>
          <w:p>
            <w:pPr>
              <w:spacing w:after="0"/>
              <w:rPr>
                <w:sz w:val="20"/>
                <w:szCs w:val="20"/>
                <w:color w:val="auto"/>
              </w:rPr>
            </w:pPr>
          </w:p>
        </w:tc>
        <w:tc>
          <w:tcPr>
            <w:tcW w:w="640" w:type="dxa"/>
            <w:vAlign w:val="bottom"/>
            <w:tcBorders>
              <w:bottom w:val="single" w:sz="8" w:color="CCCCCC"/>
              <w:right w:val="single" w:sz="8" w:color="9EACCA"/>
            </w:tcBorders>
            <w:shd w:val="clear" w:color="auto" w:fill="CCCCCC"/>
          </w:tcPr>
          <w:p>
            <w:pPr>
              <w:spacing w:after="0"/>
              <w:rPr>
                <w:sz w:val="20"/>
                <w:szCs w:val="20"/>
                <w:color w:val="auto"/>
              </w:rPr>
            </w:pPr>
          </w:p>
        </w:tc>
        <w:tc>
          <w:tcPr>
            <w:tcW w:w="60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9EACCA"/>
            </w:tcBorders>
            <w:shd w:val="clear" w:color="auto" w:fill="CCCCCC"/>
          </w:tcPr>
          <w:p>
            <w:pPr>
              <w:spacing w:after="0"/>
              <w:rPr>
                <w:sz w:val="20"/>
                <w:szCs w:val="20"/>
                <w:color w:val="auto"/>
              </w:rPr>
            </w:pPr>
          </w:p>
        </w:tc>
        <w:tc>
          <w:tcPr>
            <w:tcW w:w="100" w:type="dxa"/>
            <w:vAlign w:val="bottom"/>
            <w:tcBorders>
              <w:bottom w:val="single" w:sz="8" w:color="CCCCCC"/>
            </w:tcBorders>
            <w:shd w:val="clear" w:color="auto" w:fill="CCCCCC"/>
          </w:tcPr>
          <w:p>
            <w:pPr>
              <w:spacing w:after="0"/>
              <w:rPr>
                <w:sz w:val="20"/>
                <w:szCs w:val="20"/>
                <w:color w:val="auto"/>
              </w:rPr>
            </w:pPr>
          </w:p>
        </w:tc>
        <w:tc>
          <w:tcPr>
            <w:tcW w:w="60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500" w:type="dxa"/>
            <w:vAlign w:val="bottom"/>
            <w:tcBorders>
              <w:bottom w:val="single" w:sz="8" w:color="CCCCCC"/>
              <w:right w:val="single" w:sz="8" w:color="9EACCA"/>
            </w:tcBorders>
            <w:shd w:val="clear" w:color="auto" w:fill="CCCCCC"/>
          </w:tcPr>
          <w:p>
            <w:pPr>
              <w:spacing w:after="0"/>
              <w:rPr>
                <w:sz w:val="20"/>
                <w:szCs w:val="20"/>
                <w:color w:val="auto"/>
              </w:rPr>
            </w:pPr>
          </w:p>
        </w:tc>
        <w:tc>
          <w:tcPr>
            <w:tcW w:w="680" w:type="dxa"/>
            <w:vAlign w:val="bottom"/>
            <w:tcBorders>
              <w:bottom w:val="single" w:sz="8" w:color="CCCCCC"/>
              <w:right w:val="single" w:sz="8" w:color="9EACCA"/>
            </w:tcBorders>
            <w:shd w:val="clear" w:color="auto" w:fill="CCCCCC"/>
          </w:tcPr>
          <w:p>
            <w:pPr>
              <w:spacing w:after="0"/>
              <w:rPr>
                <w:sz w:val="20"/>
                <w:szCs w:val="20"/>
                <w:color w:val="auto"/>
              </w:rPr>
            </w:pPr>
          </w:p>
        </w:tc>
        <w:tc>
          <w:tcPr>
            <w:tcW w:w="74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9EACCA"/>
            </w:tcBorders>
            <w:shd w:val="clear" w:color="auto" w:fill="CCCCCC"/>
          </w:tcPr>
          <w:p>
            <w:pPr>
              <w:jc w:val="right"/>
              <w:ind w:right="117"/>
              <w:spacing w:after="0"/>
              <w:rPr>
                <w:sz w:val="20"/>
                <w:szCs w:val="20"/>
                <w:color w:val="auto"/>
              </w:rPr>
            </w:pPr>
            <w:r>
              <w:rPr>
                <w:rFonts w:ascii="Arial" w:cs="Arial" w:eastAsia="Arial" w:hAnsi="Arial"/>
                <w:sz w:val="14"/>
                <w:szCs w:val="14"/>
                <w:color w:val="auto"/>
              </w:rPr>
              <w:t>4,566</w:t>
            </w:r>
          </w:p>
        </w:tc>
        <w:tc>
          <w:tcPr>
            <w:tcW w:w="40" w:type="dxa"/>
            <w:vAlign w:val="bottom"/>
            <w:tcBorders>
              <w:bottom w:val="single" w:sz="8" w:color="CCCCCC"/>
            </w:tcBorders>
            <w:shd w:val="clear" w:color="auto" w:fill="CCCCCC"/>
          </w:tcPr>
          <w:p>
            <w:pPr>
              <w:spacing w:after="0"/>
              <w:rPr>
                <w:sz w:val="20"/>
                <w:szCs w:val="20"/>
                <w:color w:val="auto"/>
              </w:rPr>
            </w:pPr>
          </w:p>
        </w:tc>
        <w:tc>
          <w:tcPr>
            <w:tcW w:w="780" w:type="dxa"/>
            <w:vAlign w:val="bottom"/>
            <w:tcBorders>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4"/>
                <w:szCs w:val="14"/>
                <w:color w:val="auto"/>
              </w:rPr>
              <w:t>34.82</w:t>
            </w:r>
          </w:p>
        </w:tc>
        <w:tc>
          <w:tcPr>
            <w:tcW w:w="760" w:type="dxa"/>
            <w:vAlign w:val="bottom"/>
            <w:tcBorders>
              <w:bottom w:val="single" w:sz="8" w:color="CCCCCC"/>
              <w:right w:val="single" w:sz="8" w:color="3C5896"/>
            </w:tcBorders>
            <w:shd w:val="clear" w:color="auto" w:fill="CCCCCC"/>
          </w:tcPr>
          <w:p>
            <w:pPr>
              <w:jc w:val="right"/>
              <w:ind w:right="12"/>
              <w:spacing w:after="0"/>
              <w:rPr>
                <w:sz w:val="20"/>
                <w:szCs w:val="20"/>
                <w:color w:val="auto"/>
              </w:rPr>
            </w:pPr>
            <w:r>
              <w:rPr>
                <w:rFonts w:ascii="Arial" w:cs="Arial" w:eastAsia="Arial" w:hAnsi="Arial"/>
                <w:sz w:val="14"/>
                <w:szCs w:val="14"/>
                <w:color w:val="auto"/>
              </w:rPr>
              <w:t>62,509</w:t>
            </w:r>
          </w:p>
        </w:tc>
        <w:tc>
          <w:tcPr>
            <w:tcW w:w="0" w:type="dxa"/>
            <w:vAlign w:val="bottom"/>
          </w:tcPr>
          <w:p>
            <w:pPr>
              <w:spacing w:after="0"/>
              <w:rPr>
                <w:sz w:val="1"/>
                <w:szCs w:val="1"/>
                <w:color w:val="auto"/>
              </w:rPr>
            </w:pPr>
          </w:p>
        </w:tc>
      </w:tr>
      <w:tr>
        <w:trPr>
          <w:trHeight w:val="204"/>
        </w:trPr>
        <w:tc>
          <w:tcPr>
            <w:tcW w:w="1400" w:type="dxa"/>
            <w:vAlign w:val="bottom"/>
            <w:tcBorders>
              <w:left w:val="single" w:sz="8" w:color="3C5896"/>
              <w:right w:val="single" w:sz="8" w:color="9EACCA"/>
            </w:tcBorders>
          </w:tcPr>
          <w:p>
            <w:pPr>
              <w:ind w:left="40"/>
              <w:spacing w:after="0"/>
              <w:rPr>
                <w:sz w:val="20"/>
                <w:szCs w:val="20"/>
                <w:color w:val="auto"/>
              </w:rPr>
            </w:pPr>
            <w:r>
              <w:rPr>
                <w:rFonts w:ascii="Arial" w:cs="Arial" w:eastAsia="Arial" w:hAnsi="Arial"/>
                <w:sz w:val="14"/>
                <w:szCs w:val="14"/>
                <w:color w:val="auto"/>
              </w:rPr>
              <w:t>Joan Blackwood</w:t>
            </w:r>
          </w:p>
        </w:tc>
        <w:tc>
          <w:tcPr>
            <w:tcW w:w="40" w:type="dxa"/>
            <w:vAlign w:val="bottom"/>
          </w:tcPr>
          <w:p>
            <w:pPr>
              <w:spacing w:after="0"/>
              <w:rPr>
                <w:sz w:val="17"/>
                <w:szCs w:val="17"/>
                <w:color w:val="auto"/>
              </w:rPr>
            </w:pPr>
          </w:p>
        </w:tc>
        <w:tc>
          <w:tcPr>
            <w:tcW w:w="700" w:type="dxa"/>
            <w:vAlign w:val="bottom"/>
            <w:tcBorders>
              <w:right w:val="single" w:sz="8" w:color="9EACCA"/>
            </w:tcBorders>
          </w:tcPr>
          <w:p>
            <w:pPr>
              <w:spacing w:after="0"/>
              <w:rPr>
                <w:sz w:val="17"/>
                <w:szCs w:val="17"/>
                <w:color w:val="auto"/>
              </w:rPr>
            </w:pPr>
          </w:p>
        </w:tc>
        <w:tc>
          <w:tcPr>
            <w:tcW w:w="720" w:type="dxa"/>
            <w:vAlign w:val="bottom"/>
            <w:tcBorders>
              <w:right w:val="single" w:sz="8" w:color="9EACCA"/>
            </w:tcBorders>
            <w:gridSpan w:val="2"/>
          </w:tcPr>
          <w:p>
            <w:pPr>
              <w:jc w:val="right"/>
              <w:ind w:right="62"/>
              <w:spacing w:after="0"/>
              <w:rPr>
                <w:sz w:val="20"/>
                <w:szCs w:val="20"/>
                <w:color w:val="auto"/>
              </w:rPr>
            </w:pPr>
            <w:r>
              <w:rPr>
                <w:rFonts w:ascii="Arial" w:cs="Arial" w:eastAsia="Arial" w:hAnsi="Arial"/>
                <w:sz w:val="14"/>
                <w:szCs w:val="14"/>
                <w:color w:val="auto"/>
              </w:rPr>
              <w:t>80,000</w:t>
            </w:r>
          </w:p>
        </w:tc>
        <w:tc>
          <w:tcPr>
            <w:tcW w:w="600" w:type="dxa"/>
            <w:vAlign w:val="bottom"/>
            <w:tcBorders>
              <w:right w:val="single" w:sz="8" w:color="9EACCA"/>
            </w:tcBorders>
          </w:tcPr>
          <w:p>
            <w:pPr>
              <w:jc w:val="center"/>
              <w:spacing w:after="0"/>
              <w:rPr>
                <w:sz w:val="20"/>
                <w:szCs w:val="20"/>
                <w:color w:val="auto"/>
              </w:rPr>
            </w:pPr>
            <w:r>
              <w:rPr>
                <w:rFonts w:ascii="Arial" w:cs="Arial" w:eastAsia="Arial" w:hAnsi="Arial"/>
                <w:sz w:val="14"/>
                <w:szCs w:val="14"/>
                <w:color w:val="auto"/>
              </w:rPr>
              <w:t>160,000</w:t>
            </w:r>
          </w:p>
        </w:tc>
        <w:tc>
          <w:tcPr>
            <w:tcW w:w="7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320,000</w:t>
            </w:r>
          </w:p>
        </w:tc>
        <w:tc>
          <w:tcPr>
            <w:tcW w:w="100" w:type="dxa"/>
            <w:vAlign w:val="bottom"/>
          </w:tcPr>
          <w:p>
            <w:pPr>
              <w:spacing w:after="0"/>
              <w:rPr>
                <w:sz w:val="17"/>
                <w:szCs w:val="17"/>
                <w:color w:val="auto"/>
              </w:rPr>
            </w:pPr>
          </w:p>
        </w:tc>
        <w:tc>
          <w:tcPr>
            <w:tcW w:w="60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right w:val="single" w:sz="8" w:color="9EACCA"/>
            </w:tcBorders>
          </w:tcPr>
          <w:p>
            <w:pPr>
              <w:spacing w:after="0"/>
              <w:rPr>
                <w:sz w:val="17"/>
                <w:szCs w:val="17"/>
                <w:color w:val="auto"/>
              </w:rPr>
            </w:pPr>
          </w:p>
        </w:tc>
        <w:tc>
          <w:tcPr>
            <w:tcW w:w="680" w:type="dxa"/>
            <w:vAlign w:val="bottom"/>
            <w:tcBorders>
              <w:right w:val="single" w:sz="8" w:color="9EACCA"/>
            </w:tcBorders>
          </w:tcPr>
          <w:p>
            <w:pPr>
              <w:spacing w:after="0"/>
              <w:rPr>
                <w:sz w:val="17"/>
                <w:szCs w:val="17"/>
                <w:color w:val="auto"/>
              </w:rPr>
            </w:pPr>
          </w:p>
        </w:tc>
        <w:tc>
          <w:tcPr>
            <w:tcW w:w="740" w:type="dxa"/>
            <w:vAlign w:val="bottom"/>
            <w:tcBorders>
              <w:right w:val="single" w:sz="8" w:color="9EACCA"/>
            </w:tcBorders>
          </w:tcPr>
          <w:p>
            <w:pPr>
              <w:spacing w:after="0"/>
              <w:rPr>
                <w:sz w:val="17"/>
                <w:szCs w:val="17"/>
                <w:color w:val="auto"/>
              </w:rPr>
            </w:pPr>
          </w:p>
        </w:tc>
        <w:tc>
          <w:tcPr>
            <w:tcW w:w="760" w:type="dxa"/>
            <w:vAlign w:val="bottom"/>
            <w:tcBorders>
              <w:right w:val="single" w:sz="8" w:color="9EACCA"/>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9EACCA"/>
            </w:tcBorders>
          </w:tcPr>
          <w:p>
            <w:pPr>
              <w:spacing w:after="0"/>
              <w:rPr>
                <w:sz w:val="17"/>
                <w:szCs w:val="17"/>
                <w:color w:val="auto"/>
              </w:rPr>
            </w:pPr>
          </w:p>
        </w:tc>
        <w:tc>
          <w:tcPr>
            <w:tcW w:w="760" w:type="dxa"/>
            <w:vAlign w:val="bottom"/>
            <w:tcBorders>
              <w:right w:val="single" w:sz="8" w:color="3C5896"/>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3C5896"/>
              <w:right w:val="single" w:sz="8" w:color="9EACCA"/>
            </w:tcBorders>
          </w:tcPr>
          <w:p>
            <w:pPr>
              <w:spacing w:after="0"/>
              <w:rPr>
                <w:sz w:val="18"/>
                <w:szCs w:val="18"/>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8"/>
                <w:szCs w:val="18"/>
                <w:color w:val="auto"/>
              </w:rPr>
            </w:pPr>
          </w:p>
        </w:tc>
        <w:tc>
          <w:tcPr>
            <w:tcW w:w="640" w:type="dxa"/>
            <w:vAlign w:val="bottom"/>
            <w:tcBorders>
              <w:right w:val="single" w:sz="8" w:color="9EACCA"/>
            </w:tcBorders>
          </w:tcPr>
          <w:p>
            <w:pPr>
              <w:spacing w:after="0"/>
              <w:rPr>
                <w:sz w:val="18"/>
                <w:szCs w:val="18"/>
                <w:color w:val="auto"/>
              </w:rPr>
            </w:pPr>
          </w:p>
        </w:tc>
        <w:tc>
          <w:tcPr>
            <w:tcW w:w="60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9EACCA"/>
            </w:tcBorders>
          </w:tcPr>
          <w:p>
            <w:pPr>
              <w:spacing w:after="0"/>
              <w:rPr>
                <w:sz w:val="18"/>
                <w:szCs w:val="18"/>
                <w:color w:val="auto"/>
              </w:rPr>
            </w:pPr>
          </w:p>
        </w:tc>
        <w:tc>
          <w:tcPr>
            <w:tcW w:w="700" w:type="dxa"/>
            <w:vAlign w:val="bottom"/>
            <w:tcBorders>
              <w:right w:val="single" w:sz="8" w:color="9EACCA"/>
            </w:tcBorders>
            <w:gridSpan w:val="2"/>
          </w:tcPr>
          <w:p>
            <w:pPr>
              <w:jc w:val="right"/>
              <w:ind w:right="76"/>
              <w:spacing w:after="0"/>
              <w:rPr>
                <w:sz w:val="20"/>
                <w:szCs w:val="20"/>
                <w:color w:val="auto"/>
              </w:rPr>
            </w:pPr>
            <w:r>
              <w:rPr>
                <w:rFonts w:ascii="Arial" w:cs="Arial" w:eastAsia="Arial" w:hAnsi="Arial"/>
                <w:sz w:val="14"/>
                <w:szCs w:val="14"/>
                <w:color w:val="auto"/>
              </w:rPr>
              <w:t>1,795</w:t>
            </w:r>
          </w:p>
        </w:tc>
        <w:tc>
          <w:tcPr>
            <w:tcW w:w="540" w:type="dxa"/>
            <w:vAlign w:val="bottom"/>
            <w:tcBorders>
              <w:right w:val="single" w:sz="8" w:color="9EACCA"/>
            </w:tcBorders>
            <w:gridSpan w:val="2"/>
          </w:tcPr>
          <w:p>
            <w:pPr>
              <w:jc w:val="right"/>
              <w:spacing w:after="0"/>
              <w:rPr>
                <w:sz w:val="20"/>
                <w:szCs w:val="20"/>
                <w:color w:val="auto"/>
              </w:rPr>
            </w:pPr>
            <w:r>
              <w:rPr>
                <w:rFonts w:ascii="Arial" w:cs="Arial" w:eastAsia="Arial" w:hAnsi="Arial"/>
                <w:sz w:val="14"/>
                <w:szCs w:val="14"/>
                <w:color w:val="auto"/>
              </w:rPr>
              <w:t>3,590</w:t>
            </w:r>
          </w:p>
        </w:tc>
        <w:tc>
          <w:tcPr>
            <w:tcW w:w="680" w:type="dxa"/>
            <w:vAlign w:val="bottom"/>
            <w:tcBorders>
              <w:right w:val="single" w:sz="8" w:color="9EACCA"/>
            </w:tcBorders>
          </w:tcPr>
          <w:p>
            <w:pPr>
              <w:jc w:val="right"/>
              <w:ind w:right="71"/>
              <w:spacing w:after="0"/>
              <w:rPr>
                <w:sz w:val="20"/>
                <w:szCs w:val="20"/>
                <w:color w:val="auto"/>
              </w:rPr>
            </w:pPr>
            <w:r>
              <w:rPr>
                <w:rFonts w:ascii="Arial" w:cs="Arial" w:eastAsia="Arial" w:hAnsi="Arial"/>
                <w:sz w:val="14"/>
                <w:szCs w:val="14"/>
                <w:color w:val="auto"/>
              </w:rPr>
              <w:t>7,180</w:t>
            </w:r>
          </w:p>
        </w:tc>
        <w:tc>
          <w:tcPr>
            <w:tcW w:w="740" w:type="dxa"/>
            <w:vAlign w:val="bottom"/>
            <w:tcBorders>
              <w:right w:val="single" w:sz="8" w:color="9EACCA"/>
            </w:tcBorders>
          </w:tcPr>
          <w:p>
            <w:pPr>
              <w:spacing w:after="0"/>
              <w:rPr>
                <w:sz w:val="18"/>
                <w:szCs w:val="18"/>
                <w:color w:val="auto"/>
              </w:rPr>
            </w:pPr>
          </w:p>
        </w:tc>
        <w:tc>
          <w:tcPr>
            <w:tcW w:w="7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9EACCA"/>
            </w:tcBorders>
          </w:tcPr>
          <w:p>
            <w:pPr>
              <w:spacing w:after="0"/>
              <w:rPr>
                <w:sz w:val="18"/>
                <w:szCs w:val="18"/>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125,004</w:t>
            </w:r>
          </w:p>
        </w:tc>
        <w:tc>
          <w:tcPr>
            <w:tcW w:w="0" w:type="dxa"/>
            <w:vAlign w:val="bottom"/>
          </w:tcPr>
          <w:p>
            <w:pPr>
              <w:spacing w:after="0"/>
              <w:rPr>
                <w:sz w:val="1"/>
                <w:szCs w:val="1"/>
                <w:color w:val="auto"/>
              </w:rPr>
            </w:pPr>
          </w:p>
        </w:tc>
      </w:tr>
      <w:tr>
        <w:trPr>
          <w:trHeight w:val="230"/>
        </w:trPr>
        <w:tc>
          <w:tcPr>
            <w:tcW w:w="1400" w:type="dxa"/>
            <w:vAlign w:val="bottom"/>
            <w:tcBorders>
              <w:left w:val="single" w:sz="8" w:color="3C5896"/>
              <w:right w:val="single" w:sz="8" w:color="9EACCA"/>
            </w:tcBorders>
          </w:tcPr>
          <w:p>
            <w:pPr>
              <w:spacing w:after="0"/>
              <w:rPr>
                <w:sz w:val="19"/>
                <w:szCs w:val="19"/>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19"/>
                <w:szCs w:val="19"/>
                <w:color w:val="auto"/>
              </w:rPr>
            </w:pPr>
          </w:p>
        </w:tc>
        <w:tc>
          <w:tcPr>
            <w:tcW w:w="640" w:type="dxa"/>
            <w:vAlign w:val="bottom"/>
            <w:tcBorders>
              <w:right w:val="single" w:sz="8" w:color="9EACCA"/>
            </w:tcBorders>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9EACCA"/>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right w:val="single" w:sz="8" w:color="9EACCA"/>
            </w:tcBorders>
          </w:tcPr>
          <w:p>
            <w:pPr>
              <w:spacing w:after="0"/>
              <w:rPr>
                <w:sz w:val="19"/>
                <w:szCs w:val="19"/>
                <w:color w:val="auto"/>
              </w:rPr>
            </w:pPr>
          </w:p>
        </w:tc>
        <w:tc>
          <w:tcPr>
            <w:tcW w:w="680" w:type="dxa"/>
            <w:vAlign w:val="bottom"/>
            <w:tcBorders>
              <w:right w:val="single" w:sz="8" w:color="9EACCA"/>
            </w:tcBorders>
          </w:tcPr>
          <w:p>
            <w:pPr>
              <w:spacing w:after="0"/>
              <w:rPr>
                <w:sz w:val="19"/>
                <w:szCs w:val="19"/>
                <w:color w:val="auto"/>
              </w:rPr>
            </w:pPr>
          </w:p>
        </w:tc>
        <w:tc>
          <w:tcPr>
            <w:tcW w:w="740" w:type="dxa"/>
            <w:vAlign w:val="bottom"/>
            <w:tcBorders>
              <w:right w:val="single" w:sz="8" w:color="9EACCA"/>
            </w:tcBorders>
          </w:tcPr>
          <w:p>
            <w:pPr>
              <w:jc w:val="right"/>
              <w:ind w:right="97"/>
              <w:spacing w:after="0"/>
              <w:rPr>
                <w:sz w:val="20"/>
                <w:szCs w:val="20"/>
                <w:color w:val="auto"/>
              </w:rPr>
            </w:pPr>
            <w:r>
              <w:rPr>
                <w:rFonts w:ascii="Arial" w:cs="Arial" w:eastAsia="Arial" w:hAnsi="Arial"/>
                <w:sz w:val="14"/>
                <w:szCs w:val="14"/>
                <w:color w:val="auto"/>
              </w:rPr>
              <w:t>1,795</w:t>
            </w:r>
          </w:p>
        </w:tc>
        <w:tc>
          <w:tcPr>
            <w:tcW w:w="7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right w:val="single" w:sz="8" w:color="9EACCA"/>
            </w:tcBorders>
          </w:tcPr>
          <w:p>
            <w:pPr>
              <w:spacing w:after="0"/>
              <w:rPr>
                <w:sz w:val="19"/>
                <w:szCs w:val="19"/>
                <w:color w:val="auto"/>
              </w:rPr>
            </w:pP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62,502</w:t>
            </w:r>
          </w:p>
        </w:tc>
        <w:tc>
          <w:tcPr>
            <w:tcW w:w="0" w:type="dxa"/>
            <w:vAlign w:val="bottom"/>
          </w:tcPr>
          <w:p>
            <w:pPr>
              <w:spacing w:after="0"/>
              <w:rPr>
                <w:sz w:val="1"/>
                <w:szCs w:val="1"/>
                <w:color w:val="auto"/>
              </w:rPr>
            </w:pPr>
          </w:p>
        </w:tc>
      </w:tr>
      <w:tr>
        <w:trPr>
          <w:trHeight w:val="282"/>
        </w:trPr>
        <w:tc>
          <w:tcPr>
            <w:tcW w:w="1400" w:type="dxa"/>
            <w:vAlign w:val="bottom"/>
            <w:tcBorders>
              <w:left w:val="single" w:sz="8" w:color="3C5896"/>
              <w:right w:val="single" w:sz="8" w:color="9EACCA"/>
            </w:tcBorders>
          </w:tcPr>
          <w:p>
            <w:pPr>
              <w:spacing w:after="0"/>
              <w:rPr>
                <w:sz w:val="24"/>
                <w:szCs w:val="24"/>
                <w:color w:val="auto"/>
              </w:rPr>
            </w:pPr>
          </w:p>
        </w:tc>
        <w:tc>
          <w:tcPr>
            <w:tcW w:w="740" w:type="dxa"/>
            <w:vAlign w:val="bottom"/>
            <w:tcBorders>
              <w:right w:val="single" w:sz="8" w:color="9EACCA"/>
            </w:tcBorders>
            <w:gridSpan w:val="2"/>
          </w:tcPr>
          <w:p>
            <w:pPr>
              <w:ind w:left="40"/>
              <w:spacing w:after="0"/>
              <w:rPr>
                <w:sz w:val="20"/>
                <w:szCs w:val="20"/>
                <w:color w:val="auto"/>
              </w:rPr>
            </w:pPr>
            <w:r>
              <w:rPr>
                <w:rFonts w:ascii="Arial" w:cs="Arial" w:eastAsia="Arial" w:hAnsi="Arial"/>
                <w:sz w:val="14"/>
                <w:szCs w:val="14"/>
                <w:color w:val="auto"/>
              </w:rPr>
              <w:t>2/28/2020</w:t>
            </w:r>
          </w:p>
        </w:tc>
        <w:tc>
          <w:tcPr>
            <w:tcW w:w="80" w:type="dxa"/>
            <w:vAlign w:val="bottom"/>
          </w:tcPr>
          <w:p>
            <w:pPr>
              <w:spacing w:after="0"/>
              <w:rPr>
                <w:sz w:val="24"/>
                <w:szCs w:val="24"/>
                <w:color w:val="auto"/>
              </w:rPr>
            </w:pPr>
          </w:p>
        </w:tc>
        <w:tc>
          <w:tcPr>
            <w:tcW w:w="640" w:type="dxa"/>
            <w:vAlign w:val="bottom"/>
            <w:tcBorders>
              <w:right w:val="single" w:sz="8" w:color="9EACCA"/>
            </w:tcBorders>
          </w:tcPr>
          <w:p>
            <w:pPr>
              <w:spacing w:after="0"/>
              <w:rPr>
                <w:sz w:val="24"/>
                <w:szCs w:val="24"/>
                <w:color w:val="auto"/>
              </w:rPr>
            </w:pPr>
          </w:p>
        </w:tc>
        <w:tc>
          <w:tcPr>
            <w:tcW w:w="60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right w:val="single" w:sz="8" w:color="9EACCA"/>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right w:val="single" w:sz="8" w:color="9EACCA"/>
            </w:tcBorders>
          </w:tcPr>
          <w:p>
            <w:pPr>
              <w:spacing w:after="0"/>
              <w:rPr>
                <w:sz w:val="24"/>
                <w:szCs w:val="24"/>
                <w:color w:val="auto"/>
              </w:rPr>
            </w:pPr>
          </w:p>
        </w:tc>
        <w:tc>
          <w:tcPr>
            <w:tcW w:w="680" w:type="dxa"/>
            <w:vAlign w:val="bottom"/>
            <w:tcBorders>
              <w:right w:val="single" w:sz="8" w:color="9EACCA"/>
            </w:tcBorders>
          </w:tcPr>
          <w:p>
            <w:pPr>
              <w:spacing w:after="0"/>
              <w:rPr>
                <w:sz w:val="24"/>
                <w:szCs w:val="24"/>
                <w:color w:val="auto"/>
              </w:rPr>
            </w:pPr>
          </w:p>
        </w:tc>
        <w:tc>
          <w:tcPr>
            <w:tcW w:w="740" w:type="dxa"/>
            <w:vAlign w:val="bottom"/>
            <w:tcBorders>
              <w:right w:val="single" w:sz="8" w:color="9EACCA"/>
            </w:tcBorders>
          </w:tcPr>
          <w:p>
            <w:pPr>
              <w:spacing w:after="0"/>
              <w:rPr>
                <w:sz w:val="24"/>
                <w:szCs w:val="24"/>
                <w:color w:val="auto"/>
              </w:rPr>
            </w:pPr>
          </w:p>
        </w:tc>
        <w:tc>
          <w:tcPr>
            <w:tcW w:w="760" w:type="dxa"/>
            <w:vAlign w:val="bottom"/>
            <w:tcBorders>
              <w:right w:val="single" w:sz="8" w:color="9EACCA"/>
            </w:tcBorders>
          </w:tcPr>
          <w:p>
            <w:pPr>
              <w:jc w:val="right"/>
              <w:ind w:right="117"/>
              <w:spacing w:after="0"/>
              <w:rPr>
                <w:sz w:val="20"/>
                <w:szCs w:val="20"/>
                <w:color w:val="auto"/>
              </w:rPr>
            </w:pPr>
            <w:r>
              <w:rPr>
                <w:rFonts w:ascii="Arial" w:cs="Arial" w:eastAsia="Arial" w:hAnsi="Arial"/>
                <w:sz w:val="14"/>
                <w:szCs w:val="14"/>
                <w:color w:val="auto"/>
              </w:rPr>
              <w:t>4,566</w:t>
            </w:r>
          </w:p>
        </w:tc>
        <w:tc>
          <w:tcPr>
            <w:tcW w:w="820" w:type="dxa"/>
            <w:vAlign w:val="bottom"/>
            <w:tcBorders>
              <w:right w:val="single" w:sz="8" w:color="9EACCA"/>
            </w:tcBorders>
            <w:gridSpan w:val="2"/>
          </w:tcPr>
          <w:p>
            <w:pPr>
              <w:ind w:left="220"/>
              <w:spacing w:after="0"/>
              <w:rPr>
                <w:sz w:val="20"/>
                <w:szCs w:val="20"/>
                <w:color w:val="auto"/>
              </w:rPr>
            </w:pPr>
            <w:r>
              <w:rPr>
                <w:rFonts w:ascii="Arial" w:cs="Arial" w:eastAsia="Arial" w:hAnsi="Arial"/>
                <w:sz w:val="14"/>
                <w:szCs w:val="14"/>
                <w:color w:val="auto"/>
              </w:rPr>
              <w:t>34.82</w:t>
            </w:r>
          </w:p>
        </w:tc>
        <w:tc>
          <w:tcPr>
            <w:tcW w:w="760" w:type="dxa"/>
            <w:vAlign w:val="bottom"/>
            <w:tcBorders>
              <w:right w:val="single" w:sz="8" w:color="3C5896"/>
            </w:tcBorders>
          </w:tcPr>
          <w:p>
            <w:pPr>
              <w:jc w:val="right"/>
              <w:ind w:right="12"/>
              <w:spacing w:after="0"/>
              <w:rPr>
                <w:sz w:val="20"/>
                <w:szCs w:val="20"/>
                <w:color w:val="auto"/>
              </w:rPr>
            </w:pPr>
            <w:r>
              <w:rPr>
                <w:rFonts w:ascii="Arial" w:cs="Arial" w:eastAsia="Arial" w:hAnsi="Arial"/>
                <w:sz w:val="14"/>
                <w:szCs w:val="14"/>
                <w:color w:val="auto"/>
              </w:rPr>
              <w:t>62,509</w:t>
            </w:r>
          </w:p>
        </w:tc>
        <w:tc>
          <w:tcPr>
            <w:tcW w:w="0" w:type="dxa"/>
            <w:vAlign w:val="bottom"/>
          </w:tcPr>
          <w:p>
            <w:pPr>
              <w:spacing w:after="0"/>
              <w:rPr>
                <w:sz w:val="1"/>
                <w:szCs w:val="1"/>
                <w:color w:val="auto"/>
              </w:rPr>
            </w:pPr>
          </w:p>
        </w:tc>
      </w:tr>
      <w:tr>
        <w:trPr>
          <w:trHeight w:val="20"/>
        </w:trPr>
        <w:tc>
          <w:tcPr>
            <w:tcW w:w="140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0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640" w:type="dxa"/>
            <w:vAlign w:val="bottom"/>
            <w:tcBorders>
              <w:right w:val="single" w:sz="8" w:color="3C5896"/>
            </w:tcBorders>
            <w:shd w:val="clear" w:color="auto" w:fill="3C5896"/>
          </w:tcPr>
          <w:p>
            <w:pPr>
              <w:spacing w:after="0" w:line="20" w:lineRule="exact"/>
              <w:rPr>
                <w:sz w:val="1"/>
                <w:szCs w:val="1"/>
                <w:color w:val="auto"/>
              </w:rPr>
            </w:pPr>
          </w:p>
        </w:tc>
        <w:tc>
          <w:tcPr>
            <w:tcW w:w="60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0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60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500" w:type="dxa"/>
            <w:vAlign w:val="bottom"/>
            <w:tcBorders>
              <w:right w:val="single" w:sz="8" w:color="3C5896"/>
            </w:tcBorders>
            <w:shd w:val="clear" w:color="auto" w:fill="3C5896"/>
          </w:tcPr>
          <w:p>
            <w:pPr>
              <w:spacing w:after="0" w:line="20" w:lineRule="exact"/>
              <w:rPr>
                <w:sz w:val="1"/>
                <w:szCs w:val="1"/>
                <w:color w:val="auto"/>
              </w:rPr>
            </w:pPr>
          </w:p>
        </w:tc>
        <w:tc>
          <w:tcPr>
            <w:tcW w:w="680" w:type="dxa"/>
            <w:vAlign w:val="bottom"/>
            <w:tcBorders>
              <w:right w:val="single" w:sz="8" w:color="3C5896"/>
            </w:tcBorders>
            <w:shd w:val="clear" w:color="auto" w:fill="3C5896"/>
          </w:tcPr>
          <w:p>
            <w:pPr>
              <w:spacing w:after="0" w:line="20" w:lineRule="exact"/>
              <w:rPr>
                <w:sz w:val="1"/>
                <w:szCs w:val="1"/>
                <w:color w:val="auto"/>
              </w:rPr>
            </w:pPr>
          </w:p>
        </w:tc>
        <w:tc>
          <w:tcPr>
            <w:tcW w:w="740" w:type="dxa"/>
            <w:vAlign w:val="bottom"/>
            <w:tcBorders>
              <w:right w:val="single" w:sz="8" w:color="3C5896"/>
            </w:tcBorders>
            <w:shd w:val="clear" w:color="auto" w:fill="3C5896"/>
          </w:tcPr>
          <w:p>
            <w:pPr>
              <w:spacing w:after="0" w:line="20" w:lineRule="exact"/>
              <w:rPr>
                <w:sz w:val="1"/>
                <w:szCs w:val="1"/>
                <w:color w:val="auto"/>
              </w:rPr>
            </w:pPr>
          </w:p>
        </w:tc>
        <w:tc>
          <w:tcPr>
            <w:tcW w:w="7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80" w:type="dxa"/>
            <w:vAlign w:val="bottom"/>
            <w:tcBorders>
              <w:right w:val="single" w:sz="8" w:color="3C5896"/>
            </w:tcBorders>
            <w:shd w:val="clear" w:color="auto" w:fill="3C5896"/>
          </w:tcPr>
          <w:p>
            <w:pPr>
              <w:spacing w:after="0" w:line="20" w:lineRule="exact"/>
              <w:rPr>
                <w:sz w:val="1"/>
                <w:szCs w:val="1"/>
                <w:color w:val="auto"/>
              </w:rPr>
            </w:pPr>
          </w:p>
        </w:tc>
        <w:tc>
          <w:tcPr>
            <w:tcW w:w="7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-2896870</wp:posOffset>
            </wp:positionV>
            <wp:extent cx="29832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-3136900</wp:posOffset>
            </wp:positionV>
            <wp:extent cx="25203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1" w:lineRule="exact"/>
        <w:rPr>
          <w:sz w:val="20"/>
          <w:szCs w:val="20"/>
          <w:color w:val="auto"/>
        </w:rPr>
      </w:pPr>
    </w:p>
    <w:p>
      <w:pPr>
        <w:jc w:val="both"/>
        <w:ind w:left="1120" w:right="760" w:hanging="358"/>
        <w:spacing w:after="0" w:line="249" w:lineRule="auto"/>
        <w:tabs>
          <w:tab w:leader="none" w:pos="11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Reflects the possible payouts of cash incentive compensation under the STIP. See “Annual Cash Incentive Program” in the Compensation Discussion and Analysis section above for a description of the STIP. Potential payouts under the STIP were based on performance in 2020 and resulted in a payout percentage of 91.22%. The actual amounts paid are described in the “Non-Equity Incentive Plan Compensation” column of the “Summary Compensation Table.”</w:t>
      </w:r>
    </w:p>
    <w:p>
      <w:pPr>
        <w:spacing w:after="0" w:line="53" w:lineRule="exact"/>
        <w:rPr>
          <w:rFonts w:ascii="Arial" w:cs="Arial" w:eastAsia="Arial" w:hAnsi="Arial"/>
          <w:sz w:val="15"/>
          <w:szCs w:val="15"/>
          <w:color w:val="auto"/>
        </w:rPr>
      </w:pPr>
    </w:p>
    <w:p>
      <w:pPr>
        <w:ind w:left="1120" w:right="760" w:hanging="358"/>
        <w:spacing w:after="0" w:line="260" w:lineRule="auto"/>
        <w:tabs>
          <w:tab w:leader="none" w:pos="11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Reflects the number of PSUs granted in 2020 to the NEOs under the LTIP. The target number of shares in the table for the PSUs reflects the number of shares that will be awarded if, for the PSUs granted in February 2020, the three-year total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227965</wp:posOffset>
            </wp:positionV>
            <wp:extent cx="300355" cy="2311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0355" cy="23114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43</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58" w:lineRule="exact"/>
        <w:rPr>
          <w:sz w:val="20"/>
          <w:szCs w:val="20"/>
          <w:color w:val="auto"/>
        </w:rPr>
      </w:pPr>
    </w:p>
    <w:p>
      <w:pPr>
        <w:jc w:val="both"/>
        <w:ind w:left="1120"/>
        <w:spacing w:after="0" w:line="266" w:lineRule="auto"/>
        <w:rPr>
          <w:sz w:val="20"/>
          <w:szCs w:val="20"/>
          <w:color w:val="auto"/>
        </w:rPr>
      </w:pPr>
      <w:r>
        <w:rPr>
          <w:rFonts w:ascii="Arial" w:cs="Arial" w:eastAsia="Arial" w:hAnsi="Arial"/>
          <w:sz w:val="15"/>
          <w:szCs w:val="15"/>
          <w:color w:val="auto"/>
        </w:rPr>
        <w:t>conditions are met at the target level. Actual shares, if any, will be awarded in February 2023 and may range from 50% to 200% of the target. See “2020 PSU Awards” in the Compensation Discussion and Analysis section above for additional information on the PSUs. For PSU awards granted in February 2020 to Messrs. Fahs, Moore, Clark, the grant date value of the PSUs assuming minimum, or target, or maximum performance are $562,515 or, $1,125,035, or $2,250,068; $250,008, or $500,015, or $1,000,030; $80,016, or $160,033, or $320,065 respectively. The grant date value of the PSUs assuming minimum, or target, or maximum performance for Mr. Brandman and Ms. Blackwood are $62,502, or $125,004, or $250,008.</w:t>
      </w:r>
    </w:p>
    <w:p>
      <w:pPr>
        <w:spacing w:after="0" w:line="68" w:lineRule="exact"/>
        <w:rPr>
          <w:sz w:val="20"/>
          <w:szCs w:val="20"/>
          <w:color w:val="auto"/>
        </w:rPr>
      </w:pPr>
    </w:p>
    <w:p>
      <w:pPr>
        <w:jc w:val="both"/>
        <w:ind w:left="1120" w:hanging="358"/>
        <w:spacing w:after="0" w:line="252" w:lineRule="auto"/>
        <w:tabs>
          <w:tab w:leader="none" w:pos="11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Reflects the number of time-based RSUs granted to NEOs under the LTIP. The RSUs generally vest over a three-year period, with one-third of the total number of shares underlying the RSUs vesting on each of the first, second and third anniversaries of the February 28, 2020 grant date, subject to the executive’s continued employment through the applicable vesting date.</w:t>
      </w:r>
    </w:p>
    <w:p>
      <w:pPr>
        <w:spacing w:after="0" w:line="77"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Reflects the number of stock options granted in 2020. See “2020 Option Awards” in the Compensation Discussion and Analysis section above for additional information on the 2020 stock option awards.</w:t>
      </w:r>
    </w:p>
    <w:p>
      <w:pPr>
        <w:spacing w:after="0" w:line="71"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Reflects the grant date fair value of awards of PSUs, RSUs, and stock options granted to each of the NEOs in 2020 under FASB ASC Topic 18. The grant date fair values are calculated, using the NASDAQ closing price of our common stock on the date of grant for PSUs and RSUs and the Black-Scholes option pricing model for stock options. The grant date fair value of the PSUs, which have performance conditions, are computed based on the probable outcome of the performance condition as of the grant date for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sz w:val="1"/>
          <w:szCs w:val="1"/>
          <w:color w:val="auto"/>
        </w:rPr>
        <w:drawing>
          <wp:inline distT="0" distB="0" distL="0" distR="0">
            <wp:extent cx="299720" cy="24003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39" w:lineRule="exact"/>
        <w:rPr>
          <w:sz w:val="20"/>
          <w:szCs w:val="20"/>
          <w:color w:val="auto"/>
        </w:rPr>
      </w:pPr>
    </w:p>
    <w:p>
      <w:pPr>
        <w:ind w:left="760" w:right="760"/>
        <w:spacing w:after="0" w:line="246" w:lineRule="auto"/>
        <w:rPr>
          <w:sz w:val="20"/>
          <w:szCs w:val="20"/>
          <w:color w:val="auto"/>
        </w:rPr>
      </w:pPr>
      <w:r>
        <w:rPr>
          <w:rFonts w:ascii="Arial" w:cs="Arial" w:eastAsia="Arial" w:hAnsi="Arial"/>
          <w:sz w:val="18"/>
          <w:szCs w:val="18"/>
          <w:color w:val="auto"/>
        </w:rPr>
        <w:t>The following table sets forth information regarding outstanding equity awards held by our NEOs as of January 2, 2021.</w:t>
      </w:r>
    </w:p>
    <w:p>
      <w:pPr>
        <w:spacing w:after="0" w:line="110" w:lineRule="exact"/>
        <w:rPr>
          <w:sz w:val="20"/>
          <w:szCs w:val="20"/>
          <w:color w:val="auto"/>
        </w:rPr>
      </w:pPr>
    </w:p>
    <w:tbl>
      <w:tblPr>
        <w:tblLayout w:type="fixed"/>
        <w:tblInd w:w="770" w:type="dxa"/>
        <w:tblCellMar>
          <w:top w:w="0" w:type="dxa"/>
          <w:left w:w="0" w:type="dxa"/>
          <w:bottom w:w="0" w:type="dxa"/>
          <w:right w:w="0" w:type="dxa"/>
        </w:tblCellMar>
      </w:tblPr>
      <w:tr>
        <w:trPr>
          <w:trHeight w:val="210"/>
        </w:trPr>
        <w:tc>
          <w:tcPr>
            <w:tcW w:w="1280" w:type="dxa"/>
            <w:vAlign w:val="bottom"/>
            <w:tcBorders>
              <w:top w:val="single" w:sz="8" w:color="3C5896"/>
              <w:left w:val="single" w:sz="8" w:color="3C5896"/>
              <w:bottom w:val="single" w:sz="8" w:color="3C5896"/>
              <w:right w:val="single" w:sz="8" w:color="9EACCA"/>
            </w:tcBorders>
            <w:shd w:val="clear" w:color="auto" w:fill="3C5896"/>
          </w:tcPr>
          <w:p>
            <w:pPr>
              <w:spacing w:after="0"/>
              <w:rPr>
                <w:sz w:val="18"/>
                <w:szCs w:val="18"/>
                <w:color w:val="auto"/>
              </w:rPr>
            </w:pPr>
          </w:p>
        </w:tc>
        <w:tc>
          <w:tcPr>
            <w:tcW w:w="800" w:type="dxa"/>
            <w:vAlign w:val="bottom"/>
            <w:tcBorders>
              <w:top w:val="single" w:sz="8" w:color="3C5896"/>
              <w:bottom w:val="single" w:sz="8" w:color="3C5896"/>
              <w:right w:val="single" w:sz="8" w:color="9EACCA"/>
            </w:tcBorders>
            <w:shd w:val="clear" w:color="auto" w:fill="3C5896"/>
          </w:tcPr>
          <w:p>
            <w:pPr>
              <w:spacing w:after="0"/>
              <w:rPr>
                <w:sz w:val="18"/>
                <w:szCs w:val="18"/>
                <w:color w:val="auto"/>
              </w:rPr>
            </w:pPr>
          </w:p>
        </w:tc>
        <w:tc>
          <w:tcPr>
            <w:tcW w:w="82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660" w:type="dxa"/>
            <w:vAlign w:val="bottom"/>
            <w:tcBorders>
              <w:top w:val="single" w:sz="8" w:color="3C5896"/>
              <w:bottom w:val="single" w:sz="8" w:color="3C5896"/>
            </w:tcBorders>
            <w:shd w:val="clear" w:color="auto" w:fill="3C5896"/>
          </w:tcPr>
          <w:p>
            <w:pPr>
              <w:spacing w:after="0"/>
              <w:rPr>
                <w:sz w:val="18"/>
                <w:szCs w:val="18"/>
                <w:color w:val="auto"/>
              </w:rPr>
            </w:pPr>
          </w:p>
        </w:tc>
        <w:tc>
          <w:tcPr>
            <w:tcW w:w="1120" w:type="dxa"/>
            <w:vAlign w:val="bottom"/>
            <w:tcBorders>
              <w:top w:val="single" w:sz="8" w:color="3C5896"/>
              <w:bottom w:val="single" w:sz="8" w:color="3C5896"/>
              <w:right w:val="single" w:sz="8" w:color="3C5896"/>
            </w:tcBorders>
            <w:gridSpan w:val="2"/>
            <w:shd w:val="clear" w:color="auto" w:fill="3C5896"/>
          </w:tcPr>
          <w:p>
            <w:pPr>
              <w:ind w:left="80"/>
              <w:spacing w:after="0"/>
              <w:rPr>
                <w:sz w:val="20"/>
                <w:szCs w:val="20"/>
                <w:color w:val="auto"/>
              </w:rPr>
            </w:pPr>
            <w:r>
              <w:rPr>
                <w:rFonts w:ascii="Arial" w:cs="Arial" w:eastAsia="Arial" w:hAnsi="Arial"/>
                <w:sz w:val="13"/>
                <w:szCs w:val="13"/>
                <w:b w:val="1"/>
                <w:bCs w:val="1"/>
                <w:color w:val="FFFFFF"/>
              </w:rPr>
              <w:t>Option Awards</w:t>
            </w:r>
          </w:p>
        </w:tc>
        <w:tc>
          <w:tcPr>
            <w:tcW w:w="62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800" w:type="dxa"/>
            <w:vAlign w:val="bottom"/>
            <w:tcBorders>
              <w:top w:val="single" w:sz="8" w:color="3C5896"/>
              <w:bottom w:val="single" w:sz="8" w:color="3C5896"/>
              <w:right w:val="single" w:sz="8" w:color="9EACCA"/>
            </w:tcBorders>
            <w:shd w:val="clear" w:color="auto" w:fill="3C5896"/>
          </w:tcPr>
          <w:p>
            <w:pPr>
              <w:spacing w:after="0"/>
              <w:rPr>
                <w:sz w:val="18"/>
                <w:szCs w:val="18"/>
                <w:color w:val="auto"/>
              </w:rPr>
            </w:pPr>
          </w:p>
        </w:tc>
        <w:tc>
          <w:tcPr>
            <w:tcW w:w="76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c>
          <w:tcPr>
            <w:tcW w:w="80" w:type="dxa"/>
            <w:vAlign w:val="bottom"/>
            <w:tcBorders>
              <w:top w:val="single" w:sz="8" w:color="3C5896"/>
              <w:bottom w:val="single" w:sz="8" w:color="3C5896"/>
            </w:tcBorders>
            <w:shd w:val="clear" w:color="auto" w:fill="3C5896"/>
          </w:tcPr>
          <w:p>
            <w:pPr>
              <w:spacing w:after="0"/>
              <w:rPr>
                <w:sz w:val="18"/>
                <w:szCs w:val="18"/>
                <w:color w:val="auto"/>
              </w:rPr>
            </w:pPr>
          </w:p>
        </w:tc>
        <w:tc>
          <w:tcPr>
            <w:tcW w:w="1520" w:type="dxa"/>
            <w:vAlign w:val="bottom"/>
            <w:tcBorders>
              <w:top w:val="single" w:sz="8" w:color="3C5896"/>
              <w:bottom w:val="single" w:sz="8" w:color="3C5896"/>
              <w:right w:val="single" w:sz="8" w:color="3C5896"/>
            </w:tcBorders>
            <w:gridSpan w:val="2"/>
            <w:shd w:val="clear" w:color="auto" w:fill="3C5896"/>
          </w:tcPr>
          <w:p>
            <w:pPr>
              <w:jc w:val="right"/>
              <w:ind w:right="354"/>
              <w:spacing w:after="0"/>
              <w:rPr>
                <w:sz w:val="20"/>
                <w:szCs w:val="20"/>
                <w:color w:val="auto"/>
              </w:rPr>
            </w:pPr>
            <w:r>
              <w:rPr>
                <w:rFonts w:ascii="Arial" w:cs="Arial" w:eastAsia="Arial" w:hAnsi="Arial"/>
                <w:sz w:val="13"/>
                <w:szCs w:val="13"/>
                <w:b w:val="1"/>
                <w:bCs w:val="1"/>
                <w:color w:val="FFFFFF"/>
              </w:rPr>
              <w:t>Stock Awards</w:t>
            </w:r>
          </w:p>
        </w:tc>
        <w:tc>
          <w:tcPr>
            <w:tcW w:w="40" w:type="dxa"/>
            <w:vAlign w:val="bottom"/>
            <w:tcBorders>
              <w:top w:val="single" w:sz="8" w:color="3C5896"/>
              <w:bottom w:val="single" w:sz="8" w:color="3C5896"/>
            </w:tcBorders>
            <w:shd w:val="clear" w:color="auto" w:fill="3C5896"/>
          </w:tcPr>
          <w:p>
            <w:pPr>
              <w:spacing w:after="0"/>
              <w:rPr>
                <w:sz w:val="18"/>
                <w:szCs w:val="18"/>
                <w:color w:val="auto"/>
              </w:rPr>
            </w:pPr>
          </w:p>
        </w:tc>
        <w:tc>
          <w:tcPr>
            <w:tcW w:w="700" w:type="dxa"/>
            <w:vAlign w:val="bottom"/>
            <w:tcBorders>
              <w:top w:val="single" w:sz="8" w:color="3C5896"/>
              <w:bottom w:val="single" w:sz="8" w:color="3C5896"/>
              <w:right w:val="single" w:sz="8" w:color="3C5896"/>
            </w:tcBorders>
            <w:shd w:val="clear" w:color="auto" w:fill="3C5896"/>
          </w:tcPr>
          <w:p>
            <w:pPr>
              <w:spacing w:after="0"/>
              <w:rPr>
                <w:sz w:val="18"/>
                <w:szCs w:val="18"/>
                <w:color w:val="auto"/>
              </w:rPr>
            </w:pPr>
          </w:p>
        </w:tc>
      </w:tr>
      <w:tr>
        <w:trPr>
          <w:trHeight w:val="140"/>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line="140" w:lineRule="exact"/>
              <w:rPr>
                <w:sz w:val="20"/>
                <w:szCs w:val="20"/>
                <w:color w:val="auto"/>
              </w:rPr>
            </w:pPr>
            <w:r>
              <w:rPr>
                <w:rFonts w:ascii="Arial" w:cs="Arial" w:eastAsia="Arial" w:hAnsi="Arial"/>
                <w:sz w:val="13"/>
                <w:szCs w:val="13"/>
                <w:b w:val="1"/>
                <w:bCs w:val="1"/>
                <w:color w:val="FFFFFF"/>
                <w:w w:val="95"/>
              </w:rPr>
              <w:t>Equity</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5"/>
              </w:rPr>
              <w:t>Incentive</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4"/>
              </w:rPr>
              <w:t>Plan</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7"/>
              </w:rPr>
              <w:t>Awards:</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spacing w:after="0"/>
              <w:rPr>
                <w:sz w:val="12"/>
                <w:szCs w:val="12"/>
                <w:color w:val="auto"/>
              </w:rPr>
            </w:pP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5"/>
              </w:rPr>
              <w:t>Equity</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35"/>
              <w:spacing w:after="0"/>
              <w:rPr>
                <w:sz w:val="20"/>
                <w:szCs w:val="20"/>
                <w:color w:val="auto"/>
              </w:rPr>
            </w:pPr>
            <w:r>
              <w:rPr>
                <w:rFonts w:ascii="Arial" w:cs="Arial" w:eastAsia="Arial" w:hAnsi="Arial"/>
                <w:sz w:val="13"/>
                <w:szCs w:val="13"/>
                <w:b w:val="1"/>
                <w:bCs w:val="1"/>
                <w:color w:val="FFFFFF"/>
                <w:w w:val="95"/>
              </w:rPr>
              <w:t>Market or</w:t>
            </w:r>
          </w:p>
        </w:tc>
      </w:tr>
      <w:tr>
        <w:trPr>
          <w:trHeight w:val="149"/>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5"/>
              </w:rPr>
              <w:t>Incentive</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6"/>
              </w:rPr>
              <w:t>Payout</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4"/>
              </w:rPr>
              <w:t>Plan</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35"/>
              <w:spacing w:after="0"/>
              <w:rPr>
                <w:sz w:val="20"/>
                <w:szCs w:val="20"/>
                <w:color w:val="auto"/>
              </w:rPr>
            </w:pPr>
            <w:r>
              <w:rPr>
                <w:rFonts w:ascii="Arial" w:cs="Arial" w:eastAsia="Arial" w:hAnsi="Arial"/>
                <w:sz w:val="13"/>
                <w:szCs w:val="13"/>
                <w:b w:val="1"/>
                <w:bCs w:val="1"/>
                <w:color w:val="FFFFFF"/>
                <w:w w:val="94"/>
              </w:rPr>
              <w:t>Value of</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Plan</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6"/>
              </w:rPr>
              <w:t>Unearned</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spacing w:after="0"/>
              <w:rPr>
                <w:sz w:val="12"/>
                <w:szCs w:val="12"/>
                <w:color w:val="auto"/>
              </w:rPr>
            </w:pPr>
          </w:p>
        </w:tc>
        <w:tc>
          <w:tcPr>
            <w:tcW w:w="660" w:type="dxa"/>
            <w:vAlign w:val="bottom"/>
            <w:shd w:val="clear" w:color="auto" w:fill="3C5896"/>
          </w:tcPr>
          <w:p>
            <w:pPr>
              <w:spacing w:after="0"/>
              <w:rPr>
                <w:sz w:val="12"/>
                <w:szCs w:val="12"/>
                <w:color w:val="auto"/>
              </w:rPr>
            </w:pPr>
          </w:p>
        </w:tc>
        <w:tc>
          <w:tcPr>
            <w:tcW w:w="260" w:type="dxa"/>
            <w:vAlign w:val="bottom"/>
            <w:tcBorders>
              <w:right w:val="single" w:sz="8" w:color="9EACCA"/>
            </w:tcBorders>
            <w:shd w:val="clear" w:color="auto" w:fill="3C5896"/>
          </w:tcPr>
          <w:p>
            <w:pPr>
              <w:spacing w:after="0"/>
              <w:rPr>
                <w:sz w:val="12"/>
                <w:szCs w:val="12"/>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spacing w:after="0"/>
              <w:rPr>
                <w:sz w:val="12"/>
                <w:szCs w:val="12"/>
                <w:color w:val="auto"/>
              </w:rPr>
            </w:pP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jc w:val="center"/>
              <w:ind w:right="73"/>
              <w:spacing w:after="0"/>
              <w:rPr>
                <w:sz w:val="20"/>
                <w:szCs w:val="20"/>
                <w:color w:val="auto"/>
              </w:rPr>
            </w:pPr>
            <w:r>
              <w:rPr>
                <w:rFonts w:ascii="Arial" w:cs="Arial" w:eastAsia="Arial" w:hAnsi="Arial"/>
                <w:sz w:val="13"/>
                <w:szCs w:val="13"/>
                <w:b w:val="1"/>
                <w:bCs w:val="1"/>
                <w:color w:val="FFFFFF"/>
                <w:w w:val="95"/>
              </w:rPr>
              <w:t>Market</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7"/>
              </w:rPr>
              <w:t>Shares,</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ind w:right="11"/>
              <w:spacing w:after="0"/>
              <w:rPr>
                <w:sz w:val="20"/>
                <w:szCs w:val="20"/>
                <w:color w:val="auto"/>
              </w:rPr>
            </w:pPr>
            <w:r>
              <w:rPr>
                <w:rFonts w:ascii="Arial" w:cs="Arial" w:eastAsia="Arial" w:hAnsi="Arial"/>
                <w:sz w:val="13"/>
                <w:szCs w:val="13"/>
                <w:b w:val="1"/>
                <w:bCs w:val="1"/>
                <w:color w:val="FFFFFF"/>
                <w:w w:val="95"/>
              </w:rPr>
              <w:t>Number of</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jc w:val="center"/>
              <w:ind w:right="73"/>
              <w:spacing w:after="0"/>
              <w:rPr>
                <w:sz w:val="20"/>
                <w:szCs w:val="20"/>
                <w:color w:val="auto"/>
              </w:rPr>
            </w:pPr>
            <w:r>
              <w:rPr>
                <w:rFonts w:ascii="Arial" w:cs="Arial" w:eastAsia="Arial" w:hAnsi="Arial"/>
                <w:sz w:val="13"/>
                <w:szCs w:val="13"/>
                <w:b w:val="1"/>
                <w:bCs w:val="1"/>
                <w:color w:val="FFFFFF"/>
                <w:w w:val="94"/>
              </w:rPr>
              <w:t>Value of</w:t>
            </w:r>
          </w:p>
        </w:tc>
        <w:tc>
          <w:tcPr>
            <w:tcW w:w="860" w:type="dxa"/>
            <w:vAlign w:val="bottom"/>
            <w:tcBorders>
              <w:right w:val="single" w:sz="8" w:color="9EACCA"/>
            </w:tcBorders>
            <w:shd w:val="clear" w:color="auto" w:fill="3C5896"/>
          </w:tcPr>
          <w:p>
            <w:pPr>
              <w:jc w:val="center"/>
              <w:ind w:right="14"/>
              <w:spacing w:after="0"/>
              <w:rPr>
                <w:sz w:val="20"/>
                <w:szCs w:val="20"/>
                <w:color w:val="auto"/>
              </w:rPr>
            </w:pPr>
            <w:r>
              <w:rPr>
                <w:rFonts w:ascii="Arial" w:cs="Arial" w:eastAsia="Arial" w:hAnsi="Arial"/>
                <w:sz w:val="13"/>
                <w:szCs w:val="13"/>
                <w:b w:val="1"/>
                <w:bCs w:val="1"/>
                <w:color w:val="FFFFFF"/>
                <w:w w:val="96"/>
              </w:rPr>
              <w:t>Unearned</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35"/>
              <w:spacing w:after="0"/>
              <w:rPr>
                <w:sz w:val="20"/>
                <w:szCs w:val="20"/>
                <w:color w:val="auto"/>
              </w:rPr>
            </w:pPr>
            <w:r>
              <w:rPr>
                <w:rFonts w:ascii="Arial" w:cs="Arial" w:eastAsia="Arial" w:hAnsi="Arial"/>
                <w:sz w:val="13"/>
                <w:szCs w:val="13"/>
                <w:b w:val="1"/>
                <w:bCs w:val="1"/>
                <w:color w:val="FFFFFF"/>
                <w:w w:val="97"/>
              </w:rPr>
              <w:t>Units or</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740" w:type="dxa"/>
            <w:vAlign w:val="bottom"/>
            <w:tcBorders>
              <w:right w:val="single" w:sz="8" w:color="9EACCA"/>
            </w:tcBorders>
            <w:gridSpan w:val="2"/>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6"/>
              </w:rPr>
              <w:t>Shares or</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shares,</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7"/>
              </w:rPr>
              <w:t>Other</w:t>
            </w:r>
          </w:p>
        </w:tc>
      </w:tr>
      <w:tr>
        <w:trPr>
          <w:trHeight w:val="149"/>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Underlying</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620" w:type="dxa"/>
            <w:vAlign w:val="bottom"/>
            <w:tcBorders>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4"/>
              </w:rPr>
              <w:t>Units of</w:t>
            </w:r>
          </w:p>
        </w:tc>
        <w:tc>
          <w:tcPr>
            <w:tcW w:w="80" w:type="dxa"/>
            <w:vAlign w:val="bottom"/>
            <w:shd w:val="clear" w:color="auto" w:fill="3C5896"/>
          </w:tcPr>
          <w:p>
            <w:pPr>
              <w:spacing w:after="0"/>
              <w:rPr>
                <w:sz w:val="12"/>
                <w:szCs w:val="12"/>
                <w:color w:val="auto"/>
              </w:rPr>
            </w:pPr>
          </w:p>
        </w:tc>
        <w:tc>
          <w:tcPr>
            <w:tcW w:w="660" w:type="dxa"/>
            <w:vAlign w:val="bottom"/>
            <w:tcBorders>
              <w:right w:val="single" w:sz="8" w:color="9EACCA"/>
            </w:tcBorders>
            <w:shd w:val="clear" w:color="auto" w:fill="3C5896"/>
          </w:tcPr>
          <w:p>
            <w:pPr>
              <w:jc w:val="center"/>
              <w:ind w:right="93"/>
              <w:spacing w:after="0"/>
              <w:rPr>
                <w:sz w:val="20"/>
                <w:szCs w:val="20"/>
                <w:color w:val="auto"/>
              </w:rPr>
            </w:pPr>
            <w:r>
              <w:rPr>
                <w:rFonts w:ascii="Arial" w:cs="Arial" w:eastAsia="Arial" w:hAnsi="Arial"/>
                <w:sz w:val="13"/>
                <w:szCs w:val="13"/>
                <w:b w:val="1"/>
                <w:bCs w:val="1"/>
                <w:color w:val="FFFFFF"/>
                <w:w w:val="94"/>
              </w:rPr>
              <w:t>Units of</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Units or</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3"/>
              </w:rPr>
              <w:t>Rights</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ind w:right="11"/>
              <w:spacing w:after="0"/>
              <w:rPr>
                <w:sz w:val="20"/>
                <w:szCs w:val="20"/>
                <w:color w:val="auto"/>
              </w:rPr>
            </w:pPr>
            <w:r>
              <w:rPr>
                <w:rFonts w:ascii="Arial" w:cs="Arial" w:eastAsia="Arial" w:hAnsi="Arial"/>
                <w:sz w:val="13"/>
                <w:szCs w:val="13"/>
                <w:b w:val="1"/>
                <w:bCs w:val="1"/>
                <w:color w:val="FFFFFF"/>
                <w:w w:val="95"/>
              </w:rPr>
              <w:t>Unexercised</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00" w:type="dxa"/>
            <w:vAlign w:val="bottom"/>
            <w:tcBorders>
              <w:right w:val="single" w:sz="8" w:color="9EACCA"/>
            </w:tcBorders>
            <w:shd w:val="clear" w:color="auto" w:fill="3C5896"/>
          </w:tcPr>
          <w:p>
            <w:pPr>
              <w:spacing w:after="0"/>
              <w:rPr>
                <w:sz w:val="12"/>
                <w:szCs w:val="12"/>
                <w:color w:val="auto"/>
              </w:rPr>
            </w:pP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Stock That</w:t>
            </w:r>
          </w:p>
        </w:tc>
        <w:tc>
          <w:tcPr>
            <w:tcW w:w="74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Stock That</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Other Rights</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4"/>
              </w:rPr>
              <w:t>That</w:t>
            </w:r>
          </w:p>
        </w:tc>
      </w:tr>
      <w:tr>
        <w:trPr>
          <w:trHeight w:val="148"/>
        </w:trPr>
        <w:tc>
          <w:tcPr>
            <w:tcW w:w="1280" w:type="dxa"/>
            <w:vAlign w:val="bottom"/>
            <w:tcBorders>
              <w:left w:val="single" w:sz="8" w:color="3C5896"/>
              <w:right w:val="single" w:sz="8" w:color="9EACCA"/>
            </w:tcBorders>
            <w:shd w:val="clear" w:color="auto" w:fill="3C5896"/>
          </w:tcPr>
          <w:p>
            <w:pPr>
              <w:spacing w:after="0"/>
              <w:rPr>
                <w:sz w:val="12"/>
                <w:szCs w:val="12"/>
                <w:color w:val="auto"/>
              </w:rPr>
            </w:pPr>
          </w:p>
        </w:tc>
        <w:tc>
          <w:tcPr>
            <w:tcW w:w="800" w:type="dxa"/>
            <w:vAlign w:val="bottom"/>
            <w:tcBorders>
              <w:right w:val="single" w:sz="8" w:color="9EACCA"/>
            </w:tcBorders>
            <w:shd w:val="clear" w:color="auto" w:fill="3C5896"/>
          </w:tcPr>
          <w:p>
            <w:pPr>
              <w:spacing w:after="0"/>
              <w:rPr>
                <w:sz w:val="12"/>
                <w:szCs w:val="12"/>
                <w:color w:val="auto"/>
              </w:rPr>
            </w:pPr>
          </w:p>
        </w:tc>
        <w:tc>
          <w:tcPr>
            <w:tcW w:w="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920" w:type="dxa"/>
            <w:vAlign w:val="bottom"/>
            <w:tcBorders>
              <w:right w:val="single" w:sz="8" w:color="9EACCA"/>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8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7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740" w:type="dxa"/>
            <w:vAlign w:val="bottom"/>
            <w:tcBorders>
              <w:right w:val="single" w:sz="8" w:color="9EACCA"/>
            </w:tcBorders>
            <w:gridSpan w:val="2"/>
            <w:shd w:val="clear" w:color="auto" w:fill="3C5896"/>
          </w:tcPr>
          <w:p>
            <w:pPr>
              <w:jc w:val="center"/>
              <w:ind w:right="13"/>
              <w:spacing w:after="0"/>
              <w:rPr>
                <w:sz w:val="20"/>
                <w:szCs w:val="20"/>
                <w:color w:val="auto"/>
              </w:rPr>
            </w:pPr>
            <w:r>
              <w:rPr>
                <w:rFonts w:ascii="Arial" w:cs="Arial" w:eastAsia="Arial" w:hAnsi="Arial"/>
                <w:sz w:val="13"/>
                <w:szCs w:val="13"/>
                <w:b w:val="1"/>
                <w:bCs w:val="1"/>
                <w:color w:val="FFFFFF"/>
                <w:w w:val="95"/>
              </w:rPr>
              <w:t>Have Not</w:t>
            </w: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96"/>
              </w:rPr>
              <w:t>That Have</w:t>
            </w:r>
          </w:p>
        </w:tc>
        <w:tc>
          <w:tcPr>
            <w:tcW w:w="40" w:type="dxa"/>
            <w:vAlign w:val="bottom"/>
            <w:shd w:val="clear" w:color="auto" w:fill="3C5896"/>
          </w:tcPr>
          <w:p>
            <w:pPr>
              <w:spacing w:after="0"/>
              <w:rPr>
                <w:sz w:val="12"/>
                <w:szCs w:val="12"/>
                <w:color w:val="auto"/>
              </w:rPr>
            </w:pPr>
          </w:p>
        </w:tc>
        <w:tc>
          <w:tcPr>
            <w:tcW w:w="700" w:type="dxa"/>
            <w:vAlign w:val="bottom"/>
            <w:tcBorders>
              <w:right w:val="single" w:sz="8" w:color="3C5896"/>
            </w:tcBorders>
            <w:shd w:val="clear" w:color="auto" w:fill="3C5896"/>
          </w:tcPr>
          <w:p>
            <w:pPr>
              <w:jc w:val="center"/>
              <w:ind w:right="55"/>
              <w:spacing w:after="0"/>
              <w:rPr>
                <w:sz w:val="20"/>
                <w:szCs w:val="20"/>
                <w:color w:val="auto"/>
              </w:rPr>
            </w:pPr>
            <w:r>
              <w:rPr>
                <w:rFonts w:ascii="Arial" w:cs="Arial" w:eastAsia="Arial" w:hAnsi="Arial"/>
                <w:sz w:val="13"/>
                <w:szCs w:val="13"/>
                <w:b w:val="1"/>
                <w:bCs w:val="1"/>
                <w:color w:val="FFFFFF"/>
                <w:w w:val="95"/>
              </w:rPr>
              <w:t>Have Not</w:t>
            </w:r>
          </w:p>
        </w:tc>
      </w:tr>
      <w:tr>
        <w:trPr>
          <w:trHeight w:val="130"/>
        </w:trPr>
        <w:tc>
          <w:tcPr>
            <w:tcW w:w="1280" w:type="dxa"/>
            <w:vAlign w:val="bottom"/>
            <w:tcBorders>
              <w:left w:val="single" w:sz="8" w:color="3C5896"/>
              <w:right w:val="single" w:sz="8" w:color="9EACCA"/>
            </w:tcBorders>
            <w:shd w:val="clear" w:color="auto" w:fill="3C5896"/>
          </w:tcPr>
          <w:p>
            <w:pPr>
              <w:spacing w:after="0"/>
              <w:rPr>
                <w:sz w:val="11"/>
                <w:szCs w:val="11"/>
                <w:color w:val="auto"/>
              </w:rPr>
            </w:pPr>
          </w:p>
        </w:tc>
        <w:tc>
          <w:tcPr>
            <w:tcW w:w="800" w:type="dxa"/>
            <w:vAlign w:val="bottom"/>
            <w:tcBorders>
              <w:right w:val="single" w:sz="8" w:color="9EACCA"/>
            </w:tcBorders>
            <w:shd w:val="clear" w:color="auto" w:fill="3C5896"/>
          </w:tcPr>
          <w:p>
            <w:pPr>
              <w:jc w:val="right"/>
              <w:ind w:right="189"/>
              <w:spacing w:after="0" w:line="130" w:lineRule="exact"/>
              <w:rPr>
                <w:sz w:val="20"/>
                <w:szCs w:val="20"/>
                <w:color w:val="auto"/>
              </w:rPr>
            </w:pPr>
            <w:r>
              <w:rPr>
                <w:rFonts w:ascii="Arial" w:cs="Arial" w:eastAsia="Arial" w:hAnsi="Arial"/>
                <w:sz w:val="13"/>
                <w:szCs w:val="13"/>
                <w:b w:val="1"/>
                <w:bCs w:val="1"/>
                <w:color w:val="FFFFFF"/>
              </w:rPr>
              <w:t>Grant</w:t>
            </w:r>
          </w:p>
        </w:tc>
        <w:tc>
          <w:tcPr>
            <w:tcW w:w="820" w:type="dxa"/>
            <w:vAlign w:val="bottom"/>
            <w:tcBorders>
              <w:right w:val="single" w:sz="8" w:color="9EACCA"/>
            </w:tcBorders>
            <w:shd w:val="clear" w:color="auto" w:fill="3C5896"/>
          </w:tcPr>
          <w:p>
            <w:pPr>
              <w:jc w:val="center"/>
              <w:ind w:right="11"/>
              <w:spacing w:after="0" w:line="130" w:lineRule="exact"/>
              <w:rPr>
                <w:sz w:val="20"/>
                <w:szCs w:val="20"/>
                <w:color w:val="auto"/>
              </w:rPr>
            </w:pPr>
            <w:r>
              <w:rPr>
                <w:rFonts w:ascii="Arial" w:cs="Arial" w:eastAsia="Arial" w:hAnsi="Arial"/>
                <w:sz w:val="13"/>
                <w:szCs w:val="13"/>
                <w:b w:val="1"/>
                <w:bCs w:val="1"/>
                <w:color w:val="FFFFFF"/>
                <w:w w:val="96"/>
              </w:rPr>
              <w:t>Exercisable</w:t>
            </w:r>
          </w:p>
        </w:tc>
        <w:tc>
          <w:tcPr>
            <w:tcW w:w="920" w:type="dxa"/>
            <w:vAlign w:val="bottom"/>
            <w:tcBorders>
              <w:right w:val="single" w:sz="8" w:color="9EACCA"/>
            </w:tcBorders>
            <w:gridSpan w:val="2"/>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5"/>
              </w:rPr>
              <w:t>Unexercisable</w:t>
            </w:r>
          </w:p>
        </w:tc>
        <w:tc>
          <w:tcPr>
            <w:tcW w:w="86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7"/>
              </w:rPr>
              <w:t>Options</w:t>
            </w:r>
          </w:p>
        </w:tc>
        <w:tc>
          <w:tcPr>
            <w:tcW w:w="62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rPr>
              <w:t>Price</w:t>
            </w:r>
          </w:p>
        </w:tc>
        <w:tc>
          <w:tcPr>
            <w:tcW w:w="80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4"/>
              </w:rPr>
              <w:t>Expiration</w:t>
            </w:r>
          </w:p>
        </w:tc>
        <w:tc>
          <w:tcPr>
            <w:tcW w:w="76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3"/>
              </w:rPr>
              <w:t>Vested</w:t>
            </w:r>
          </w:p>
        </w:tc>
        <w:tc>
          <w:tcPr>
            <w:tcW w:w="80" w:type="dxa"/>
            <w:vAlign w:val="bottom"/>
            <w:shd w:val="clear" w:color="auto" w:fill="3C5896"/>
          </w:tcPr>
          <w:p>
            <w:pPr>
              <w:spacing w:after="0"/>
              <w:rPr>
                <w:sz w:val="11"/>
                <w:szCs w:val="11"/>
                <w:color w:val="auto"/>
              </w:rPr>
            </w:pPr>
          </w:p>
        </w:tc>
        <w:tc>
          <w:tcPr>
            <w:tcW w:w="660" w:type="dxa"/>
            <w:vAlign w:val="bottom"/>
            <w:tcBorders>
              <w:right w:val="single" w:sz="8" w:color="9EACCA"/>
            </w:tcBorders>
            <w:shd w:val="clear" w:color="auto" w:fill="3C5896"/>
          </w:tcPr>
          <w:p>
            <w:pPr>
              <w:jc w:val="center"/>
              <w:ind w:right="73"/>
              <w:spacing w:after="0" w:line="130" w:lineRule="exact"/>
              <w:rPr>
                <w:sz w:val="20"/>
                <w:szCs w:val="20"/>
                <w:color w:val="auto"/>
              </w:rPr>
            </w:pPr>
            <w:r>
              <w:rPr>
                <w:rFonts w:ascii="Arial" w:cs="Arial" w:eastAsia="Arial" w:hAnsi="Arial"/>
                <w:sz w:val="13"/>
                <w:szCs w:val="13"/>
                <w:b w:val="1"/>
                <w:bCs w:val="1"/>
                <w:color w:val="FFFFFF"/>
                <w:w w:val="93"/>
              </w:rPr>
              <w:t>Vested</w:t>
            </w:r>
          </w:p>
        </w:tc>
        <w:tc>
          <w:tcPr>
            <w:tcW w:w="860" w:type="dxa"/>
            <w:vAlign w:val="bottom"/>
            <w:tcBorders>
              <w:right w:val="single" w:sz="8" w:color="9EACCA"/>
            </w:tcBorders>
            <w:shd w:val="clear" w:color="auto" w:fill="3C5896"/>
          </w:tcPr>
          <w:p>
            <w:pPr>
              <w:jc w:val="center"/>
              <w:spacing w:after="0" w:line="130" w:lineRule="exact"/>
              <w:rPr>
                <w:sz w:val="20"/>
                <w:szCs w:val="20"/>
                <w:color w:val="auto"/>
              </w:rPr>
            </w:pPr>
            <w:r>
              <w:rPr>
                <w:rFonts w:ascii="Arial" w:cs="Arial" w:eastAsia="Arial" w:hAnsi="Arial"/>
                <w:sz w:val="13"/>
                <w:szCs w:val="13"/>
                <w:b w:val="1"/>
                <w:bCs w:val="1"/>
                <w:color w:val="FFFFFF"/>
                <w:w w:val="94"/>
              </w:rPr>
              <w:t>Not Vested</w:t>
            </w:r>
          </w:p>
        </w:tc>
        <w:tc>
          <w:tcPr>
            <w:tcW w:w="40" w:type="dxa"/>
            <w:vAlign w:val="bottom"/>
            <w:shd w:val="clear" w:color="auto" w:fill="3C5896"/>
          </w:tcPr>
          <w:p>
            <w:pPr>
              <w:spacing w:after="0"/>
              <w:rPr>
                <w:sz w:val="11"/>
                <w:szCs w:val="11"/>
                <w:color w:val="auto"/>
              </w:rPr>
            </w:pPr>
          </w:p>
        </w:tc>
        <w:tc>
          <w:tcPr>
            <w:tcW w:w="700" w:type="dxa"/>
            <w:vAlign w:val="bottom"/>
            <w:tcBorders>
              <w:right w:val="single" w:sz="8" w:color="3C5896"/>
            </w:tcBorders>
            <w:shd w:val="clear" w:color="auto" w:fill="3C5896"/>
          </w:tcPr>
          <w:p>
            <w:pPr>
              <w:jc w:val="center"/>
              <w:ind w:right="35"/>
              <w:spacing w:after="0" w:line="130" w:lineRule="exact"/>
              <w:rPr>
                <w:sz w:val="20"/>
                <w:szCs w:val="20"/>
                <w:color w:val="auto"/>
              </w:rPr>
            </w:pPr>
            <w:r>
              <w:rPr>
                <w:rFonts w:ascii="Arial" w:cs="Arial" w:eastAsia="Arial" w:hAnsi="Arial"/>
                <w:sz w:val="13"/>
                <w:szCs w:val="13"/>
                <w:b w:val="1"/>
                <w:bCs w:val="1"/>
                <w:color w:val="FFFFFF"/>
                <w:w w:val="93"/>
              </w:rPr>
              <w:t>Vested</w:t>
            </w:r>
          </w:p>
        </w:tc>
      </w:tr>
      <w:tr>
        <w:trPr>
          <w:trHeight w:val="216"/>
        </w:trPr>
        <w:tc>
          <w:tcPr>
            <w:tcW w:w="1280" w:type="dxa"/>
            <w:vAlign w:val="bottom"/>
            <w:tcBorders>
              <w:left w:val="single" w:sz="8" w:color="3C5896"/>
              <w:right w:val="single" w:sz="8" w:color="9EACCA"/>
            </w:tcBorders>
            <w:shd w:val="clear" w:color="auto" w:fill="3C5896"/>
          </w:tcPr>
          <w:p>
            <w:pPr>
              <w:ind w:left="480"/>
              <w:spacing w:after="0"/>
              <w:rPr>
                <w:sz w:val="20"/>
                <w:szCs w:val="20"/>
                <w:color w:val="auto"/>
              </w:rPr>
            </w:pPr>
            <w:r>
              <w:rPr>
                <w:rFonts w:ascii="Arial" w:cs="Arial" w:eastAsia="Arial" w:hAnsi="Arial"/>
                <w:sz w:val="13"/>
                <w:szCs w:val="13"/>
                <w:b w:val="1"/>
                <w:bCs w:val="1"/>
                <w:color w:val="FFFFFF"/>
              </w:rPr>
              <w:t>Name</w:t>
            </w:r>
          </w:p>
        </w:tc>
        <w:tc>
          <w:tcPr>
            <w:tcW w:w="800" w:type="dxa"/>
            <w:vAlign w:val="bottom"/>
            <w:tcBorders>
              <w:right w:val="single" w:sz="8" w:color="9EACCA"/>
            </w:tcBorders>
            <w:shd w:val="clear" w:color="auto" w:fill="3C5896"/>
          </w:tcPr>
          <w:p>
            <w:pPr>
              <w:jc w:val="right"/>
              <w:ind w:right="209"/>
              <w:spacing w:after="0"/>
              <w:rPr>
                <w:sz w:val="20"/>
                <w:szCs w:val="20"/>
                <w:color w:val="auto"/>
              </w:rPr>
            </w:pPr>
            <w:r>
              <w:rPr>
                <w:rFonts w:ascii="Arial" w:cs="Arial" w:eastAsia="Arial" w:hAnsi="Arial"/>
                <w:sz w:val="13"/>
                <w:szCs w:val="13"/>
                <w:b w:val="1"/>
                <w:bCs w:val="1"/>
                <w:color w:val="FFFFFF"/>
              </w:rPr>
              <w:t>Date</w:t>
            </w:r>
          </w:p>
        </w:tc>
        <w:tc>
          <w:tcPr>
            <w:tcW w:w="8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c>
          <w:tcPr>
            <w:tcW w:w="660" w:type="dxa"/>
            <w:vAlign w:val="bottom"/>
            <w:shd w:val="clear" w:color="auto" w:fill="3C5896"/>
          </w:tcPr>
          <w:p>
            <w:pPr>
              <w:jc w:val="center"/>
              <w:ind w:left="173"/>
              <w:spacing w:after="0" w:line="216" w:lineRule="exact"/>
              <w:rPr>
                <w:sz w:val="20"/>
                <w:szCs w:val="20"/>
                <w:color w:val="auto"/>
              </w:rPr>
            </w:pPr>
            <w:r>
              <w:rPr>
                <w:rFonts w:ascii="Arial" w:cs="Arial" w:eastAsia="Arial" w:hAnsi="Arial"/>
                <w:sz w:val="25"/>
                <w:szCs w:val="25"/>
                <w:b w:val="1"/>
                <w:bCs w:val="1"/>
                <w:color w:val="FFFFFF"/>
                <w:w w:val="79"/>
                <w:vertAlign w:val="subscript"/>
              </w:rPr>
              <w:t>(#)</w:t>
            </w:r>
            <w:r>
              <w:rPr>
                <w:rFonts w:ascii="Arial" w:cs="Arial" w:eastAsia="Arial" w:hAnsi="Arial"/>
                <w:sz w:val="10"/>
                <w:szCs w:val="10"/>
                <w:b w:val="1"/>
                <w:bCs w:val="1"/>
                <w:color w:val="FFFFFF"/>
                <w:w w:val="79"/>
              </w:rPr>
              <w:t>(1)</w:t>
            </w:r>
          </w:p>
        </w:tc>
        <w:tc>
          <w:tcPr>
            <w:tcW w:w="260" w:type="dxa"/>
            <w:vAlign w:val="bottom"/>
            <w:tcBorders>
              <w:right w:val="single" w:sz="8" w:color="9EACCA"/>
            </w:tcBorders>
            <w:shd w:val="clear" w:color="auto" w:fill="3C5896"/>
          </w:tcPr>
          <w:p>
            <w:pPr>
              <w:spacing w:after="0"/>
              <w:rPr>
                <w:sz w:val="18"/>
                <w:szCs w:val="18"/>
                <w:color w:val="auto"/>
              </w:rPr>
            </w:pPr>
          </w:p>
        </w:tc>
        <w:tc>
          <w:tcPr>
            <w:tcW w:w="86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rPr>
              <w:t>(#)</w:t>
            </w:r>
          </w:p>
        </w:tc>
        <w:tc>
          <w:tcPr>
            <w:tcW w:w="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13"/>
                <w:szCs w:val="13"/>
                <w:b w:val="1"/>
                <w:bCs w:val="1"/>
                <w:color w:val="FFFFFF"/>
                <w:w w:val="86"/>
              </w:rPr>
              <w:t>Date</w:t>
            </w:r>
            <w:r>
              <w:rPr>
                <w:rFonts w:ascii="Arial" w:cs="Arial" w:eastAsia="Arial" w:hAnsi="Arial"/>
                <w:sz w:val="19"/>
                <w:szCs w:val="19"/>
                <w:b w:val="1"/>
                <w:bCs w:val="1"/>
                <w:color w:val="FFFFFF"/>
                <w:w w:val="86"/>
                <w:vertAlign w:val="superscript"/>
              </w:rPr>
              <w:t>(2)</w:t>
            </w:r>
          </w:p>
        </w:tc>
        <w:tc>
          <w:tcPr>
            <w:tcW w:w="7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25"/>
                <w:szCs w:val="25"/>
                <w:b w:val="1"/>
                <w:bCs w:val="1"/>
                <w:color w:val="FFFFFF"/>
                <w:w w:val="79"/>
                <w:vertAlign w:val="subscript"/>
              </w:rPr>
              <w:t>(#)</w:t>
            </w:r>
            <w:r>
              <w:rPr>
                <w:rFonts w:ascii="Arial" w:cs="Arial" w:eastAsia="Arial" w:hAnsi="Arial"/>
                <w:sz w:val="10"/>
                <w:szCs w:val="10"/>
                <w:b w:val="1"/>
                <w:bCs w:val="1"/>
                <w:color w:val="FFFFFF"/>
                <w:w w:val="79"/>
              </w:rPr>
              <w:t>(3)</w:t>
            </w:r>
          </w:p>
        </w:tc>
        <w:tc>
          <w:tcPr>
            <w:tcW w:w="740" w:type="dxa"/>
            <w:vAlign w:val="bottom"/>
            <w:tcBorders>
              <w:right w:val="single" w:sz="8" w:color="9EACCA"/>
            </w:tcBorders>
            <w:gridSpan w:val="2"/>
            <w:shd w:val="clear" w:color="auto" w:fill="3C5896"/>
          </w:tcPr>
          <w:p>
            <w:pPr>
              <w:jc w:val="center"/>
              <w:spacing w:after="0" w:line="216" w:lineRule="exact"/>
              <w:rPr>
                <w:sz w:val="20"/>
                <w:szCs w:val="20"/>
                <w:color w:val="auto"/>
              </w:rPr>
            </w:pPr>
            <w:r>
              <w:rPr>
                <w:rFonts w:ascii="Arial" w:cs="Arial" w:eastAsia="Arial" w:hAnsi="Arial"/>
                <w:sz w:val="25"/>
                <w:szCs w:val="25"/>
                <w:b w:val="1"/>
                <w:bCs w:val="1"/>
                <w:color w:val="FFFFFF"/>
                <w:w w:val="79"/>
                <w:vertAlign w:val="subscript"/>
              </w:rPr>
              <w:t>($)</w:t>
            </w:r>
            <w:r>
              <w:rPr>
                <w:rFonts w:ascii="Arial" w:cs="Arial" w:eastAsia="Arial" w:hAnsi="Arial"/>
                <w:sz w:val="10"/>
                <w:szCs w:val="10"/>
                <w:b w:val="1"/>
                <w:bCs w:val="1"/>
                <w:color w:val="FFFFFF"/>
                <w:w w:val="79"/>
              </w:rPr>
              <w:t>(4)</w:t>
            </w:r>
          </w:p>
        </w:tc>
        <w:tc>
          <w:tcPr>
            <w:tcW w:w="860" w:type="dxa"/>
            <w:vAlign w:val="bottom"/>
            <w:tcBorders>
              <w:right w:val="single" w:sz="8" w:color="9EACCA"/>
            </w:tcBorders>
            <w:shd w:val="clear" w:color="auto" w:fill="3C5896"/>
          </w:tcPr>
          <w:p>
            <w:pPr>
              <w:jc w:val="center"/>
              <w:spacing w:after="0" w:line="216"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(5)</w:t>
            </w:r>
          </w:p>
        </w:tc>
        <w:tc>
          <w:tcPr>
            <w:tcW w:w="740" w:type="dxa"/>
            <w:vAlign w:val="bottom"/>
            <w:tcBorders>
              <w:right w:val="single" w:sz="8" w:color="3C5896"/>
            </w:tcBorders>
            <w:gridSpan w:val="2"/>
            <w:shd w:val="clear" w:color="auto" w:fill="3C5896"/>
          </w:tcPr>
          <w:p>
            <w:pPr>
              <w:jc w:val="center"/>
              <w:spacing w:after="0"/>
              <w:rPr>
                <w:sz w:val="20"/>
                <w:szCs w:val="20"/>
                <w:color w:val="auto"/>
              </w:rPr>
            </w:pPr>
            <w:r>
              <w:rPr>
                <w:rFonts w:ascii="Arial" w:cs="Arial" w:eastAsia="Arial" w:hAnsi="Arial"/>
                <w:sz w:val="13"/>
                <w:szCs w:val="13"/>
                <w:b w:val="1"/>
                <w:bCs w:val="1"/>
                <w:color w:val="FFFFFF"/>
                <w:w w:val="87"/>
              </w:rPr>
              <w:t>($)</w:t>
            </w:r>
          </w:p>
        </w:tc>
      </w:tr>
      <w:tr>
        <w:trPr>
          <w:trHeight w:val="218"/>
        </w:trPr>
        <w:tc>
          <w:tcPr>
            <w:tcW w:w="1280" w:type="dxa"/>
            <w:vAlign w:val="bottom"/>
            <w:tcBorders>
              <w:left w:val="single" w:sz="8" w:color="3C5896"/>
              <w:right w:val="single" w:sz="8" w:color="9EACCA"/>
            </w:tcBorders>
          </w:tcPr>
          <w:p>
            <w:pPr>
              <w:ind w:left="20"/>
              <w:spacing w:after="0"/>
              <w:rPr>
                <w:sz w:val="20"/>
                <w:szCs w:val="20"/>
                <w:color w:val="auto"/>
              </w:rPr>
            </w:pPr>
            <w:r>
              <w:rPr>
                <w:rFonts w:ascii="Arial" w:cs="Arial" w:eastAsia="Arial" w:hAnsi="Arial"/>
                <w:sz w:val="14"/>
                <w:szCs w:val="14"/>
                <w:color w:val="auto"/>
              </w:rPr>
              <w:t>L. Reade Fahs</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3/13/2014</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976,470</w:t>
            </w:r>
          </w:p>
        </w:tc>
        <w:tc>
          <w:tcPr>
            <w:tcW w:w="660" w:type="dxa"/>
            <w:vAlign w:val="bottom"/>
          </w:tcPr>
          <w:p>
            <w:pPr>
              <w:spacing w:after="0"/>
              <w:rPr>
                <w:sz w:val="18"/>
                <w:szCs w:val="18"/>
                <w:color w:val="auto"/>
              </w:rPr>
            </w:pPr>
          </w:p>
        </w:tc>
        <w:tc>
          <w:tcPr>
            <w:tcW w:w="260" w:type="dxa"/>
            <w:vAlign w:val="bottom"/>
            <w:tcBorders>
              <w:right w:val="single" w:sz="8" w:color="9EACCA"/>
            </w:tcBorders>
          </w:tcPr>
          <w:p>
            <w:pPr>
              <w:spacing w:after="0"/>
              <w:rPr>
                <w:sz w:val="18"/>
                <w:szCs w:val="18"/>
                <w:color w:val="auto"/>
              </w:rPr>
            </w:pPr>
          </w:p>
        </w:tc>
        <w:tc>
          <w:tcPr>
            <w:tcW w:w="860" w:type="dxa"/>
            <w:vAlign w:val="bottom"/>
            <w:tcBorders>
              <w:right w:val="single" w:sz="8" w:color="9EACCA"/>
            </w:tcBorders>
          </w:tcPr>
          <w:p>
            <w:pPr>
              <w:spacing w:after="0"/>
              <w:rPr>
                <w:sz w:val="18"/>
                <w:szCs w:val="18"/>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4.27</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9/16/2024</w:t>
            </w:r>
          </w:p>
        </w:tc>
        <w:tc>
          <w:tcPr>
            <w:tcW w:w="76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9EACCA"/>
            </w:tcBorders>
          </w:tcPr>
          <w:p>
            <w:pPr>
              <w:spacing w:after="0"/>
              <w:rPr>
                <w:sz w:val="18"/>
                <w:szCs w:val="18"/>
                <w:color w:val="auto"/>
              </w:rPr>
            </w:pPr>
          </w:p>
        </w:tc>
        <w:tc>
          <w:tcPr>
            <w:tcW w:w="8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r>
      <w:tr>
        <w:trPr>
          <w:trHeight w:val="243"/>
        </w:trPr>
        <w:tc>
          <w:tcPr>
            <w:tcW w:w="1280" w:type="dxa"/>
            <w:vAlign w:val="bottom"/>
            <w:tcBorders>
              <w:left w:val="single" w:sz="8" w:color="3C5896"/>
              <w:right w:val="single" w:sz="8" w:color="9EACCA"/>
            </w:tcBorders>
          </w:tcPr>
          <w:p>
            <w:pPr>
              <w:spacing w:after="0"/>
              <w:rPr>
                <w:sz w:val="21"/>
                <w:szCs w:val="21"/>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26,371</w:t>
            </w: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52,743</w:t>
            </w:r>
          </w:p>
        </w:tc>
        <w:tc>
          <w:tcPr>
            <w:tcW w:w="860" w:type="dxa"/>
            <w:vAlign w:val="bottom"/>
            <w:tcBorders>
              <w:right w:val="single" w:sz="8" w:color="9EACCA"/>
            </w:tcBorders>
          </w:tcPr>
          <w:p>
            <w:pPr>
              <w:spacing w:after="0"/>
              <w:rPr>
                <w:sz w:val="21"/>
                <w:szCs w:val="21"/>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3/1/2029</w:t>
            </w:r>
          </w:p>
        </w:tc>
        <w:tc>
          <w:tcPr>
            <w:tcW w:w="760" w:type="dxa"/>
            <w:vAlign w:val="bottom"/>
            <w:tcBorders>
              <w:right w:val="single" w:sz="8" w:color="9EACCA"/>
            </w:tcBorders>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right w:val="single" w:sz="8" w:color="9EACCA"/>
            </w:tcBorders>
          </w:tcPr>
          <w:p>
            <w:pPr>
              <w:spacing w:after="0"/>
              <w:rPr>
                <w:sz w:val="21"/>
                <w:szCs w:val="21"/>
                <w:color w:val="auto"/>
              </w:rPr>
            </w:pPr>
          </w:p>
        </w:tc>
        <w:tc>
          <w:tcPr>
            <w:tcW w:w="86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Borders>
              <w:right w:val="single" w:sz="8" w:color="3C5896"/>
            </w:tcBorders>
          </w:tcPr>
          <w:p>
            <w:pPr>
              <w:spacing w:after="0"/>
              <w:rPr>
                <w:sz w:val="21"/>
                <w:szCs w:val="21"/>
                <w:color w:val="auto"/>
              </w:rPr>
            </w:pPr>
          </w:p>
        </w:tc>
      </w:tr>
      <w:tr>
        <w:trPr>
          <w:trHeight w:val="230"/>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31,970</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1,447,921</w:t>
            </w:r>
          </w:p>
        </w:tc>
      </w:tr>
      <w:tr>
        <w:trPr>
          <w:trHeight w:val="229"/>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41,089</w:t>
            </w: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r>
      <w:tr>
        <w:trPr>
          <w:trHeight w:val="230"/>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32,310</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1,463,320</w:t>
            </w:r>
          </w:p>
        </w:tc>
      </w:tr>
      <w:tr>
        <w:trPr>
          <w:trHeight w:val="229"/>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16,155</w:t>
            </w:r>
          </w:p>
        </w:tc>
        <w:tc>
          <w:tcPr>
            <w:tcW w:w="740" w:type="dxa"/>
            <w:vAlign w:val="bottom"/>
            <w:tcBorders>
              <w:right w:val="single" w:sz="8" w:color="9EACCA"/>
            </w:tcBorders>
            <w:gridSpan w:val="2"/>
          </w:tcPr>
          <w:p>
            <w:pPr>
              <w:ind w:left="80"/>
              <w:spacing w:after="0"/>
              <w:rPr>
                <w:sz w:val="20"/>
                <w:szCs w:val="20"/>
                <w:color w:val="auto"/>
              </w:rPr>
            </w:pPr>
            <w:r>
              <w:rPr>
                <w:rFonts w:ascii="Arial" w:cs="Arial" w:eastAsia="Arial" w:hAnsi="Arial"/>
                <w:sz w:val="14"/>
                <w:szCs w:val="14"/>
                <w:color w:val="auto"/>
              </w:rPr>
              <w:t>731,660</w:t>
            </w:r>
          </w:p>
        </w:tc>
        <w:tc>
          <w:tcPr>
            <w:tcW w:w="8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r>
      <w:tr>
        <w:trPr>
          <w:trHeight w:val="26"/>
        </w:trPr>
        <w:tc>
          <w:tcPr>
            <w:tcW w:w="1280" w:type="dxa"/>
            <w:vAlign w:val="bottom"/>
            <w:tcBorders>
              <w:left w:val="single" w:sz="8" w:color="3C5896"/>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820" w:type="dxa"/>
            <w:vAlign w:val="bottom"/>
            <w:tcBorders>
              <w:right w:val="single" w:sz="8" w:color="9EACCA"/>
            </w:tcBorders>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Borders>
              <w:right w:val="single" w:sz="8" w:color="9EACCA"/>
            </w:tcBorders>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76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9EACCA"/>
            </w:tcBorders>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3C5896"/>
            </w:tcBorders>
          </w:tcPr>
          <w:p>
            <w:pPr>
              <w:spacing w:after="0"/>
              <w:rPr>
                <w:sz w:val="2"/>
                <w:szCs w:val="2"/>
                <w:color w:val="auto"/>
              </w:rPr>
            </w:pPr>
          </w:p>
        </w:tc>
      </w:tr>
      <w:tr>
        <w:trPr>
          <w:trHeight w:val="217"/>
        </w:trPr>
        <w:tc>
          <w:tcPr>
            <w:tcW w:w="1280" w:type="dxa"/>
            <w:vAlign w:val="bottom"/>
            <w:tcBorders>
              <w:left w:val="single" w:sz="8" w:color="3C5896"/>
              <w:right w:val="single" w:sz="8" w:color="9EACCA"/>
            </w:tcBorders>
            <w:shd w:val="clear" w:color="auto" w:fill="CCCCCC"/>
          </w:tcPr>
          <w:p>
            <w:pPr>
              <w:ind w:left="20"/>
              <w:spacing w:after="0"/>
              <w:rPr>
                <w:sz w:val="20"/>
                <w:szCs w:val="20"/>
                <w:color w:val="auto"/>
              </w:rPr>
            </w:pPr>
            <w:r>
              <w:rPr>
                <w:rFonts w:ascii="Arial" w:cs="Arial" w:eastAsia="Arial" w:hAnsi="Arial"/>
                <w:sz w:val="14"/>
                <w:szCs w:val="14"/>
                <w:color w:val="auto"/>
              </w:rPr>
              <w:t>Patrick R. Moore</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9/16/2014</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21,360</w:t>
            </w:r>
          </w:p>
        </w:tc>
        <w:tc>
          <w:tcPr>
            <w:tcW w:w="660" w:type="dxa"/>
            <w:vAlign w:val="bottom"/>
            <w:shd w:val="clear" w:color="auto" w:fill="CCCCCC"/>
          </w:tcPr>
          <w:p>
            <w:pPr>
              <w:spacing w:after="0"/>
              <w:rPr>
                <w:sz w:val="18"/>
                <w:szCs w:val="18"/>
                <w:color w:val="auto"/>
              </w:rPr>
            </w:pPr>
          </w:p>
        </w:tc>
        <w:tc>
          <w:tcPr>
            <w:tcW w:w="260" w:type="dxa"/>
            <w:vAlign w:val="bottom"/>
            <w:tcBorders>
              <w:right w:val="single" w:sz="8" w:color="9EACCA"/>
            </w:tcBorders>
            <w:shd w:val="clear" w:color="auto" w:fill="CCCCCC"/>
          </w:tcPr>
          <w:p>
            <w:pPr>
              <w:spacing w:after="0"/>
              <w:rPr>
                <w:sz w:val="18"/>
                <w:szCs w:val="18"/>
                <w:color w:val="auto"/>
              </w:rPr>
            </w:pPr>
          </w:p>
        </w:tc>
        <w:tc>
          <w:tcPr>
            <w:tcW w:w="860" w:type="dxa"/>
            <w:vAlign w:val="bottom"/>
            <w:tcBorders>
              <w:right w:val="single" w:sz="8" w:color="9EACCA"/>
            </w:tcBorders>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7.25</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9/16/2024</w:t>
            </w:r>
          </w:p>
        </w:tc>
        <w:tc>
          <w:tcPr>
            <w:tcW w:w="76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60" w:type="dxa"/>
            <w:vAlign w:val="bottom"/>
            <w:tcBorders>
              <w:right w:val="single" w:sz="8" w:color="9EACCA"/>
            </w:tcBorders>
            <w:shd w:val="clear" w:color="auto" w:fill="CCCCCC"/>
          </w:tcPr>
          <w:p>
            <w:pPr>
              <w:spacing w:after="0"/>
              <w:rPr>
                <w:sz w:val="18"/>
                <w:szCs w:val="18"/>
                <w:color w:val="auto"/>
              </w:rPr>
            </w:pPr>
          </w:p>
        </w:tc>
        <w:tc>
          <w:tcPr>
            <w:tcW w:w="8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3C5896"/>
            </w:tcBorders>
            <w:shd w:val="clear" w:color="auto" w:fill="CCCCCC"/>
          </w:tcPr>
          <w:p>
            <w:pPr>
              <w:spacing w:after="0"/>
              <w:rPr>
                <w:sz w:val="18"/>
                <w:szCs w:val="18"/>
                <w:color w:val="auto"/>
              </w:rPr>
            </w:pPr>
          </w:p>
        </w:tc>
      </w:tr>
      <w:tr>
        <w:trPr>
          <w:trHeight w:val="243"/>
        </w:trPr>
        <w:tc>
          <w:tcPr>
            <w:tcW w:w="1280" w:type="dxa"/>
            <w:vAlign w:val="bottom"/>
            <w:tcBorders>
              <w:left w:val="single" w:sz="8" w:color="3C5896"/>
              <w:right w:val="single" w:sz="8" w:color="9EACCA"/>
            </w:tcBorders>
            <w:shd w:val="clear" w:color="auto" w:fill="CCCCCC"/>
          </w:tcPr>
          <w:p>
            <w:pPr>
              <w:spacing w:after="0"/>
              <w:rPr>
                <w:sz w:val="21"/>
                <w:szCs w:val="21"/>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9/16/2014</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64,080</w:t>
            </w:r>
          </w:p>
        </w:tc>
        <w:tc>
          <w:tcPr>
            <w:tcW w:w="660" w:type="dxa"/>
            <w:vAlign w:val="bottom"/>
            <w:shd w:val="clear" w:color="auto" w:fill="CCCCCC"/>
          </w:tcPr>
          <w:p>
            <w:pPr>
              <w:spacing w:after="0"/>
              <w:rPr>
                <w:sz w:val="21"/>
                <w:szCs w:val="21"/>
                <w:color w:val="auto"/>
              </w:rPr>
            </w:pPr>
          </w:p>
        </w:tc>
        <w:tc>
          <w:tcPr>
            <w:tcW w:w="260" w:type="dxa"/>
            <w:vAlign w:val="bottom"/>
            <w:tcBorders>
              <w:right w:val="single" w:sz="8" w:color="9EACCA"/>
            </w:tcBorders>
            <w:shd w:val="clear" w:color="auto" w:fill="CCCCCC"/>
          </w:tcPr>
          <w:p>
            <w:pPr>
              <w:spacing w:after="0"/>
              <w:rPr>
                <w:sz w:val="21"/>
                <w:szCs w:val="21"/>
                <w:color w:val="auto"/>
              </w:rPr>
            </w:pPr>
          </w:p>
        </w:tc>
        <w:tc>
          <w:tcPr>
            <w:tcW w:w="860" w:type="dxa"/>
            <w:vAlign w:val="bottom"/>
            <w:tcBorders>
              <w:right w:val="single" w:sz="8" w:color="9EACCA"/>
            </w:tcBorders>
            <w:shd w:val="clear" w:color="auto" w:fill="CCCCCC"/>
          </w:tcPr>
          <w:p>
            <w:pPr>
              <w:spacing w:after="0"/>
              <w:rPr>
                <w:sz w:val="21"/>
                <w:szCs w:val="21"/>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4.27</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9/16/2024</w:t>
            </w:r>
          </w:p>
        </w:tc>
        <w:tc>
          <w:tcPr>
            <w:tcW w:w="760" w:type="dxa"/>
            <w:vAlign w:val="bottom"/>
            <w:tcBorders>
              <w:right w:val="single" w:sz="8" w:color="9EACCA"/>
            </w:tcBorders>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660" w:type="dxa"/>
            <w:vAlign w:val="bottom"/>
            <w:tcBorders>
              <w:right w:val="single" w:sz="8" w:color="9EACCA"/>
            </w:tcBorders>
            <w:shd w:val="clear" w:color="auto" w:fill="CCCCCC"/>
          </w:tcPr>
          <w:p>
            <w:pPr>
              <w:spacing w:after="0"/>
              <w:rPr>
                <w:sz w:val="21"/>
                <w:szCs w:val="21"/>
                <w:color w:val="auto"/>
              </w:rPr>
            </w:pPr>
          </w:p>
        </w:tc>
        <w:tc>
          <w:tcPr>
            <w:tcW w:w="860" w:type="dxa"/>
            <w:vAlign w:val="bottom"/>
            <w:tcBorders>
              <w:right w:val="single" w:sz="8" w:color="9EACCA"/>
            </w:tcBorders>
            <w:shd w:val="clear" w:color="auto" w:fill="CCCCCC"/>
          </w:tcPr>
          <w:p>
            <w:pPr>
              <w:spacing w:after="0"/>
              <w:rPr>
                <w:sz w:val="21"/>
                <w:szCs w:val="21"/>
                <w:color w:val="auto"/>
              </w:rPr>
            </w:pPr>
          </w:p>
        </w:tc>
        <w:tc>
          <w:tcPr>
            <w:tcW w:w="40" w:type="dxa"/>
            <w:vAlign w:val="bottom"/>
            <w:shd w:val="clear" w:color="auto" w:fill="CCCCCC"/>
          </w:tcPr>
          <w:p>
            <w:pPr>
              <w:spacing w:after="0"/>
              <w:rPr>
                <w:sz w:val="21"/>
                <w:szCs w:val="21"/>
                <w:color w:val="auto"/>
              </w:rPr>
            </w:pPr>
          </w:p>
        </w:tc>
        <w:tc>
          <w:tcPr>
            <w:tcW w:w="700" w:type="dxa"/>
            <w:vAlign w:val="bottom"/>
            <w:tcBorders>
              <w:right w:val="single" w:sz="8" w:color="3C5896"/>
            </w:tcBorders>
            <w:shd w:val="clear" w:color="auto" w:fill="CCCCCC"/>
          </w:tcPr>
          <w:p>
            <w:pPr>
              <w:spacing w:after="0"/>
              <w:rPr>
                <w:sz w:val="21"/>
                <w:szCs w:val="21"/>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10/25/2017</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92,443</w:t>
            </w: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22.00</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10/25/2027</w:t>
            </w: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7,032</w:t>
            </w: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14,066</w:t>
            </w: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3/1/2029</w:t>
            </w: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29"/>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8,526</w:t>
            </w: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386,143</w:t>
            </w: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11/18/2019</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10,977</w:t>
            </w: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497,148</w:t>
            </w: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18,262</w:t>
            </w: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14,360</w:t>
            </w: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650,364</w:t>
            </w:r>
          </w:p>
        </w:tc>
      </w:tr>
      <w:tr>
        <w:trPr>
          <w:trHeight w:val="235"/>
        </w:trPr>
        <w:tc>
          <w:tcPr>
            <w:tcW w:w="128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bottom w:val="single" w:sz="8" w:color="CCCCCC"/>
              <w:right w:val="single" w:sz="8" w:color="9EACCA"/>
            </w:tcBorders>
            <w:shd w:val="clear" w:color="auto" w:fill="CCCCCC"/>
          </w:tcPr>
          <w:p>
            <w:pPr>
              <w:spacing w:after="0"/>
              <w:rPr>
                <w:sz w:val="20"/>
                <w:szCs w:val="20"/>
                <w:color w:val="auto"/>
              </w:rPr>
            </w:pPr>
          </w:p>
        </w:tc>
        <w:tc>
          <w:tcPr>
            <w:tcW w:w="660" w:type="dxa"/>
            <w:vAlign w:val="bottom"/>
            <w:tcBorders>
              <w:bottom w:val="single" w:sz="8" w:color="CCCCCC"/>
            </w:tcBorders>
            <w:shd w:val="clear" w:color="auto" w:fill="CCCCCC"/>
          </w:tcPr>
          <w:p>
            <w:pPr>
              <w:spacing w:after="0"/>
              <w:rPr>
                <w:sz w:val="20"/>
                <w:szCs w:val="20"/>
                <w:color w:val="auto"/>
              </w:rPr>
            </w:pPr>
          </w:p>
        </w:tc>
        <w:tc>
          <w:tcPr>
            <w:tcW w:w="260" w:type="dxa"/>
            <w:vAlign w:val="bottom"/>
            <w:tcBorders>
              <w:bottom w:val="single" w:sz="8" w:color="CCCCCC"/>
              <w:right w:val="single" w:sz="8" w:color="9EACCA"/>
            </w:tcBorders>
            <w:shd w:val="clear" w:color="auto" w:fill="CCCCCC"/>
          </w:tcPr>
          <w:p>
            <w:pPr>
              <w:spacing w:after="0"/>
              <w:rPr>
                <w:sz w:val="20"/>
                <w:szCs w:val="20"/>
                <w:color w:val="auto"/>
              </w:rPr>
            </w:pPr>
          </w:p>
        </w:tc>
        <w:tc>
          <w:tcPr>
            <w:tcW w:w="860" w:type="dxa"/>
            <w:vAlign w:val="bottom"/>
            <w:tcBorders>
              <w:bottom w:val="single" w:sz="8" w:color="CCCCCC"/>
              <w:right w:val="single" w:sz="8" w:color="9EACCA"/>
            </w:tcBorders>
            <w:shd w:val="clear" w:color="auto" w:fill="CCCCCC"/>
          </w:tcPr>
          <w:p>
            <w:pPr>
              <w:spacing w:after="0"/>
              <w:rPr>
                <w:sz w:val="20"/>
                <w:szCs w:val="20"/>
                <w:color w:val="auto"/>
              </w:rPr>
            </w:pPr>
          </w:p>
        </w:tc>
        <w:tc>
          <w:tcPr>
            <w:tcW w:w="620" w:type="dxa"/>
            <w:vAlign w:val="bottom"/>
            <w:tcBorders>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7,180</w:t>
            </w:r>
          </w:p>
        </w:tc>
        <w:tc>
          <w:tcPr>
            <w:tcW w:w="80" w:type="dxa"/>
            <w:vAlign w:val="bottom"/>
            <w:tcBorders>
              <w:bottom w:val="single" w:sz="8" w:color="CCCCCC"/>
            </w:tcBorders>
            <w:shd w:val="clear" w:color="auto" w:fill="CCCCCC"/>
          </w:tcPr>
          <w:p>
            <w:pPr>
              <w:spacing w:after="0"/>
              <w:rPr>
                <w:sz w:val="20"/>
                <w:szCs w:val="20"/>
                <w:color w:val="auto"/>
              </w:rPr>
            </w:pPr>
          </w:p>
        </w:tc>
        <w:tc>
          <w:tcPr>
            <w:tcW w:w="66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325,182</w:t>
            </w:r>
          </w:p>
        </w:tc>
        <w:tc>
          <w:tcPr>
            <w:tcW w:w="860" w:type="dxa"/>
            <w:vAlign w:val="bottom"/>
            <w:tcBorders>
              <w:bottom w:val="single" w:sz="8" w:color="CCCCCC"/>
              <w:right w:val="single" w:sz="8" w:color="9EACCA"/>
            </w:tcBorders>
            <w:shd w:val="clear" w:color="auto" w:fill="CCCCCC"/>
          </w:tcPr>
          <w:p>
            <w:pPr>
              <w:spacing w:after="0"/>
              <w:rPr>
                <w:sz w:val="20"/>
                <w:szCs w:val="20"/>
                <w:color w:val="auto"/>
              </w:rPr>
            </w:pP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3C5896"/>
            </w:tcBorders>
            <w:shd w:val="clear" w:color="auto" w:fill="CCCCCC"/>
          </w:tcPr>
          <w:p>
            <w:pPr>
              <w:spacing w:after="0"/>
              <w:rPr>
                <w:sz w:val="20"/>
                <w:szCs w:val="20"/>
                <w:color w:val="auto"/>
              </w:rPr>
            </w:pPr>
          </w:p>
        </w:tc>
      </w:tr>
      <w:tr>
        <w:trPr>
          <w:trHeight w:val="218"/>
        </w:trPr>
        <w:tc>
          <w:tcPr>
            <w:tcW w:w="1280" w:type="dxa"/>
            <w:vAlign w:val="bottom"/>
            <w:tcBorders>
              <w:left w:val="single" w:sz="8" w:color="3C5896"/>
              <w:right w:val="single" w:sz="8" w:color="9EACCA"/>
            </w:tcBorders>
          </w:tcPr>
          <w:p>
            <w:pPr>
              <w:ind w:left="20"/>
              <w:spacing w:after="0"/>
              <w:rPr>
                <w:sz w:val="20"/>
                <w:szCs w:val="20"/>
                <w:color w:val="auto"/>
              </w:rPr>
            </w:pPr>
            <w:r>
              <w:rPr>
                <w:rFonts w:ascii="Arial" w:cs="Arial" w:eastAsia="Arial" w:hAnsi="Arial"/>
                <w:sz w:val="14"/>
                <w:szCs w:val="14"/>
                <w:color w:val="auto"/>
              </w:rPr>
              <w:t>Bill Clark</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6/11/2019</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7,876</w:t>
            </w: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15,754</w:t>
            </w:r>
          </w:p>
        </w:tc>
        <w:tc>
          <w:tcPr>
            <w:tcW w:w="860" w:type="dxa"/>
            <w:vAlign w:val="bottom"/>
            <w:tcBorders>
              <w:right w:val="single" w:sz="8" w:color="9EACCA"/>
            </w:tcBorders>
          </w:tcPr>
          <w:p>
            <w:pPr>
              <w:spacing w:after="0"/>
              <w:rPr>
                <w:sz w:val="18"/>
                <w:szCs w:val="18"/>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28.48</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6/11/2029</w:t>
            </w:r>
          </w:p>
        </w:tc>
        <w:tc>
          <w:tcPr>
            <w:tcW w:w="76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9EACCA"/>
            </w:tcBorders>
          </w:tcPr>
          <w:p>
            <w:pPr>
              <w:spacing w:after="0"/>
              <w:rPr>
                <w:sz w:val="18"/>
                <w:szCs w:val="18"/>
                <w:color w:val="auto"/>
              </w:rPr>
            </w:pPr>
          </w:p>
        </w:tc>
        <w:tc>
          <w:tcPr>
            <w:tcW w:w="8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r>
      <w:tr>
        <w:trPr>
          <w:trHeight w:val="243"/>
        </w:trPr>
        <w:tc>
          <w:tcPr>
            <w:tcW w:w="1280" w:type="dxa"/>
            <w:vAlign w:val="bottom"/>
            <w:tcBorders>
              <w:left w:val="single" w:sz="8" w:color="3C5896"/>
              <w:right w:val="single" w:sz="8" w:color="9EACCA"/>
            </w:tcBorders>
          </w:tcPr>
          <w:p>
            <w:pPr>
              <w:spacing w:after="0"/>
              <w:rPr>
                <w:sz w:val="21"/>
                <w:szCs w:val="21"/>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6/11/2019</w:t>
            </w:r>
          </w:p>
        </w:tc>
        <w:tc>
          <w:tcPr>
            <w:tcW w:w="820" w:type="dxa"/>
            <w:vAlign w:val="bottom"/>
            <w:tcBorders>
              <w:right w:val="single" w:sz="8" w:color="9EACCA"/>
            </w:tcBorders>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Borders>
              <w:right w:val="single" w:sz="8" w:color="9EACCA"/>
            </w:tcBorders>
          </w:tcPr>
          <w:p>
            <w:pPr>
              <w:spacing w:after="0"/>
              <w:rPr>
                <w:sz w:val="21"/>
                <w:szCs w:val="21"/>
                <w:color w:val="auto"/>
              </w:rPr>
            </w:pPr>
          </w:p>
        </w:tc>
        <w:tc>
          <w:tcPr>
            <w:tcW w:w="860" w:type="dxa"/>
            <w:vAlign w:val="bottom"/>
            <w:tcBorders>
              <w:right w:val="single" w:sz="8" w:color="9EACCA"/>
            </w:tcBorders>
          </w:tcPr>
          <w:p>
            <w:pPr>
              <w:spacing w:after="0"/>
              <w:rPr>
                <w:sz w:val="21"/>
                <w:szCs w:val="21"/>
                <w:color w:val="auto"/>
              </w:rPr>
            </w:pPr>
          </w:p>
        </w:tc>
        <w:tc>
          <w:tcPr>
            <w:tcW w:w="620" w:type="dxa"/>
            <w:vAlign w:val="bottom"/>
            <w:tcBorders>
              <w:right w:val="single" w:sz="8" w:color="9EACCA"/>
            </w:tcBorders>
          </w:tcPr>
          <w:p>
            <w:pPr>
              <w:spacing w:after="0"/>
              <w:rPr>
                <w:sz w:val="21"/>
                <w:szCs w:val="21"/>
                <w:color w:val="auto"/>
              </w:rPr>
            </w:pPr>
          </w:p>
        </w:tc>
        <w:tc>
          <w:tcPr>
            <w:tcW w:w="800" w:type="dxa"/>
            <w:vAlign w:val="bottom"/>
            <w:tcBorders>
              <w:right w:val="single" w:sz="8" w:color="9EACCA"/>
            </w:tcBorders>
          </w:tcPr>
          <w:p>
            <w:pPr>
              <w:spacing w:after="0"/>
              <w:rPr>
                <w:sz w:val="21"/>
                <w:szCs w:val="21"/>
                <w:color w:val="auto"/>
              </w:rPr>
            </w:pPr>
          </w:p>
        </w:tc>
        <w:tc>
          <w:tcPr>
            <w:tcW w:w="760" w:type="dxa"/>
            <w:vAlign w:val="bottom"/>
            <w:tcBorders>
              <w:right w:val="single" w:sz="8" w:color="9EACCA"/>
            </w:tcBorders>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right w:val="single" w:sz="8" w:color="9EACCA"/>
            </w:tcBorders>
          </w:tcPr>
          <w:p>
            <w:pPr>
              <w:spacing w:after="0"/>
              <w:rPr>
                <w:sz w:val="21"/>
                <w:szCs w:val="21"/>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8,779</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397,601</w:t>
            </w:r>
          </w:p>
        </w:tc>
      </w:tr>
      <w:tr>
        <w:trPr>
          <w:trHeight w:val="229"/>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11/18/2019</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10,977</w:t>
            </w:r>
          </w:p>
        </w:tc>
        <w:tc>
          <w:tcPr>
            <w:tcW w:w="740" w:type="dxa"/>
            <w:vAlign w:val="bottom"/>
            <w:tcBorders>
              <w:right w:val="single" w:sz="8" w:color="9EACCA"/>
            </w:tcBorders>
            <w:gridSpan w:val="2"/>
          </w:tcPr>
          <w:p>
            <w:pPr>
              <w:ind w:left="80"/>
              <w:spacing w:after="0"/>
              <w:rPr>
                <w:sz w:val="20"/>
                <w:szCs w:val="20"/>
                <w:color w:val="auto"/>
              </w:rPr>
            </w:pPr>
            <w:r>
              <w:rPr>
                <w:rFonts w:ascii="Arial" w:cs="Arial" w:eastAsia="Arial" w:hAnsi="Arial"/>
                <w:sz w:val="14"/>
                <w:szCs w:val="14"/>
                <w:color w:val="auto"/>
              </w:rPr>
              <w:t>497,148</w:t>
            </w:r>
          </w:p>
        </w:tc>
        <w:tc>
          <w:tcPr>
            <w:tcW w:w="8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r>
      <w:tr>
        <w:trPr>
          <w:trHeight w:val="230"/>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5,844</w:t>
            </w: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4,596</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208,153</w:t>
            </w:r>
          </w:p>
        </w:tc>
      </w:tr>
      <w:tr>
        <w:trPr>
          <w:trHeight w:val="230"/>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2,298</w:t>
            </w:r>
          </w:p>
        </w:tc>
        <w:tc>
          <w:tcPr>
            <w:tcW w:w="740" w:type="dxa"/>
            <w:vAlign w:val="bottom"/>
            <w:tcBorders>
              <w:right w:val="single" w:sz="8" w:color="9EACCA"/>
            </w:tcBorders>
            <w:gridSpan w:val="2"/>
          </w:tcPr>
          <w:p>
            <w:pPr>
              <w:ind w:left="80"/>
              <w:spacing w:after="0"/>
              <w:rPr>
                <w:sz w:val="20"/>
                <w:szCs w:val="20"/>
                <w:color w:val="auto"/>
              </w:rPr>
            </w:pPr>
            <w:r>
              <w:rPr>
                <w:rFonts w:ascii="Arial" w:cs="Arial" w:eastAsia="Arial" w:hAnsi="Arial"/>
                <w:sz w:val="14"/>
                <w:szCs w:val="14"/>
                <w:color w:val="auto"/>
              </w:rPr>
              <w:t>104,076</w:t>
            </w:r>
          </w:p>
        </w:tc>
        <w:tc>
          <w:tcPr>
            <w:tcW w:w="860" w:type="dxa"/>
            <w:vAlign w:val="bottom"/>
            <w:tcBorders>
              <w:right w:val="single" w:sz="8" w:color="9EACCA"/>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right w:val="single" w:sz="8" w:color="3C5896"/>
            </w:tcBorders>
          </w:tcPr>
          <w:p>
            <w:pPr>
              <w:spacing w:after="0"/>
              <w:rPr>
                <w:sz w:val="19"/>
                <w:szCs w:val="19"/>
                <w:color w:val="auto"/>
              </w:rPr>
            </w:pPr>
          </w:p>
        </w:tc>
      </w:tr>
      <w:tr>
        <w:trPr>
          <w:trHeight w:val="25"/>
        </w:trPr>
        <w:tc>
          <w:tcPr>
            <w:tcW w:w="1280" w:type="dxa"/>
            <w:vAlign w:val="bottom"/>
            <w:tcBorders>
              <w:left w:val="single" w:sz="8" w:color="3C5896"/>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820" w:type="dxa"/>
            <w:vAlign w:val="bottom"/>
            <w:tcBorders>
              <w:right w:val="single" w:sz="8" w:color="9EACCA"/>
            </w:tcBorders>
          </w:tcPr>
          <w:p>
            <w:pPr>
              <w:spacing w:after="0"/>
              <w:rPr>
                <w:sz w:val="2"/>
                <w:szCs w:val="2"/>
                <w:color w:val="auto"/>
              </w:rPr>
            </w:pPr>
          </w:p>
        </w:tc>
        <w:tc>
          <w:tcPr>
            <w:tcW w:w="920" w:type="dxa"/>
            <w:vAlign w:val="bottom"/>
            <w:tcBorders>
              <w:right w:val="single" w:sz="8" w:color="9EACCA"/>
            </w:tcBorders>
            <w:gridSpan w:val="2"/>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620" w:type="dxa"/>
            <w:vAlign w:val="bottom"/>
            <w:tcBorders>
              <w:right w:val="single" w:sz="8" w:color="9EACCA"/>
            </w:tcBorders>
          </w:tcPr>
          <w:p>
            <w:pPr>
              <w:spacing w:after="0"/>
              <w:rPr>
                <w:sz w:val="2"/>
                <w:szCs w:val="2"/>
                <w:color w:val="auto"/>
              </w:rPr>
            </w:pPr>
          </w:p>
        </w:tc>
        <w:tc>
          <w:tcPr>
            <w:tcW w:w="800" w:type="dxa"/>
            <w:vAlign w:val="bottom"/>
            <w:tcBorders>
              <w:right w:val="single" w:sz="8" w:color="9EACCA"/>
            </w:tcBorders>
          </w:tcPr>
          <w:p>
            <w:pPr>
              <w:spacing w:after="0"/>
              <w:rPr>
                <w:sz w:val="2"/>
                <w:szCs w:val="2"/>
                <w:color w:val="auto"/>
              </w:rPr>
            </w:pPr>
          </w:p>
        </w:tc>
        <w:tc>
          <w:tcPr>
            <w:tcW w:w="76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9EACCA"/>
            </w:tcBorders>
          </w:tcPr>
          <w:p>
            <w:pPr>
              <w:spacing w:after="0"/>
              <w:rPr>
                <w:sz w:val="2"/>
                <w:szCs w:val="2"/>
                <w:color w:val="auto"/>
              </w:rPr>
            </w:pPr>
          </w:p>
        </w:tc>
        <w:tc>
          <w:tcPr>
            <w:tcW w:w="860" w:type="dxa"/>
            <w:vAlign w:val="bottom"/>
            <w:tcBorders>
              <w:right w:val="single" w:sz="8" w:color="9EACCA"/>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right w:val="single" w:sz="8" w:color="3C5896"/>
            </w:tcBorders>
          </w:tcPr>
          <w:p>
            <w:pPr>
              <w:spacing w:after="0"/>
              <w:rPr>
                <w:sz w:val="2"/>
                <w:szCs w:val="2"/>
                <w:color w:val="auto"/>
              </w:rPr>
            </w:pPr>
          </w:p>
        </w:tc>
      </w:tr>
      <w:tr>
        <w:trPr>
          <w:trHeight w:val="218"/>
        </w:trPr>
        <w:tc>
          <w:tcPr>
            <w:tcW w:w="1280" w:type="dxa"/>
            <w:vAlign w:val="bottom"/>
            <w:tcBorders>
              <w:left w:val="single" w:sz="8" w:color="3C5896"/>
              <w:right w:val="single" w:sz="8" w:color="9EACCA"/>
            </w:tcBorders>
            <w:shd w:val="clear" w:color="auto" w:fill="CCCCCC"/>
          </w:tcPr>
          <w:p>
            <w:pPr>
              <w:ind w:left="20"/>
              <w:spacing w:after="0"/>
              <w:rPr>
                <w:sz w:val="20"/>
                <w:szCs w:val="20"/>
                <w:color w:val="auto"/>
              </w:rPr>
            </w:pPr>
            <w:r>
              <w:rPr>
                <w:rFonts w:ascii="Arial" w:cs="Arial" w:eastAsia="Arial" w:hAnsi="Arial"/>
                <w:sz w:val="14"/>
                <w:szCs w:val="14"/>
                <w:color w:val="auto"/>
              </w:rPr>
              <w:t>Jared Brandman</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8/14/2017</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53,236</w:t>
            </w:r>
          </w:p>
        </w:tc>
        <w:tc>
          <w:tcPr>
            <w:tcW w:w="920" w:type="dxa"/>
            <w:vAlign w:val="bottom"/>
            <w:tcBorders>
              <w:right w:val="single" w:sz="8" w:color="9EACCA"/>
            </w:tcBorders>
            <w:gridSpan w:val="2"/>
            <w:shd w:val="clear" w:color="auto" w:fill="CCCCCC"/>
          </w:tcPr>
          <w:p>
            <w:pPr>
              <w:jc w:val="right"/>
              <w:ind w:right="197"/>
              <w:spacing w:after="0"/>
              <w:rPr>
                <w:sz w:val="20"/>
                <w:szCs w:val="20"/>
                <w:color w:val="auto"/>
              </w:rPr>
            </w:pPr>
            <w:r>
              <w:rPr>
                <w:rFonts w:ascii="Arial" w:cs="Arial" w:eastAsia="Arial" w:hAnsi="Arial"/>
                <w:sz w:val="14"/>
                <w:szCs w:val="14"/>
                <w:color w:val="auto"/>
              </w:rPr>
              <w:t>16,274</w:t>
            </w:r>
          </w:p>
        </w:tc>
        <w:tc>
          <w:tcPr>
            <w:tcW w:w="860" w:type="dxa"/>
            <w:vAlign w:val="bottom"/>
            <w:tcBorders>
              <w:right w:val="single" w:sz="8" w:color="9EACCA"/>
            </w:tcBorders>
            <w:shd w:val="clear" w:color="auto" w:fill="CCCCCC"/>
          </w:tcPr>
          <w:p>
            <w:pPr>
              <w:spacing w:after="0"/>
              <w:rPr>
                <w:sz w:val="18"/>
                <w:szCs w:val="18"/>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15.74</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8/14/2027</w:t>
            </w:r>
          </w:p>
        </w:tc>
        <w:tc>
          <w:tcPr>
            <w:tcW w:w="76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60" w:type="dxa"/>
            <w:vAlign w:val="bottom"/>
            <w:tcBorders>
              <w:right w:val="single" w:sz="8" w:color="9EACCA"/>
            </w:tcBorders>
            <w:shd w:val="clear" w:color="auto" w:fill="CCCCCC"/>
          </w:tcPr>
          <w:p>
            <w:pPr>
              <w:spacing w:after="0"/>
              <w:rPr>
                <w:sz w:val="18"/>
                <w:szCs w:val="18"/>
                <w:color w:val="auto"/>
              </w:rPr>
            </w:pPr>
          </w:p>
        </w:tc>
        <w:tc>
          <w:tcPr>
            <w:tcW w:w="860" w:type="dxa"/>
            <w:vAlign w:val="bottom"/>
            <w:tcBorders>
              <w:right w:val="single" w:sz="8" w:color="9EACCA"/>
            </w:tcBorders>
            <w:shd w:val="clear" w:color="auto" w:fill="CCCCCC"/>
          </w:tcPr>
          <w:p>
            <w:pPr>
              <w:spacing w:after="0"/>
              <w:rPr>
                <w:sz w:val="18"/>
                <w:szCs w:val="18"/>
                <w:color w:val="auto"/>
              </w:rPr>
            </w:pPr>
          </w:p>
        </w:tc>
        <w:tc>
          <w:tcPr>
            <w:tcW w:w="40" w:type="dxa"/>
            <w:vAlign w:val="bottom"/>
            <w:shd w:val="clear" w:color="auto" w:fill="CCCCCC"/>
          </w:tcPr>
          <w:p>
            <w:pPr>
              <w:spacing w:after="0"/>
              <w:rPr>
                <w:sz w:val="18"/>
                <w:szCs w:val="18"/>
                <w:color w:val="auto"/>
              </w:rPr>
            </w:pPr>
          </w:p>
        </w:tc>
        <w:tc>
          <w:tcPr>
            <w:tcW w:w="700" w:type="dxa"/>
            <w:vAlign w:val="bottom"/>
            <w:tcBorders>
              <w:right w:val="single" w:sz="8" w:color="3C5896"/>
            </w:tcBorders>
            <w:shd w:val="clear" w:color="auto" w:fill="CCCCCC"/>
          </w:tcPr>
          <w:p>
            <w:pPr>
              <w:spacing w:after="0"/>
              <w:rPr>
                <w:sz w:val="18"/>
                <w:szCs w:val="18"/>
                <w:color w:val="auto"/>
              </w:rPr>
            </w:pPr>
          </w:p>
        </w:tc>
      </w:tr>
      <w:tr>
        <w:trPr>
          <w:trHeight w:val="243"/>
        </w:trPr>
        <w:tc>
          <w:tcPr>
            <w:tcW w:w="1280" w:type="dxa"/>
            <w:vAlign w:val="bottom"/>
            <w:tcBorders>
              <w:left w:val="single" w:sz="8" w:color="3C5896"/>
              <w:right w:val="single" w:sz="8" w:color="9EACCA"/>
            </w:tcBorders>
            <w:shd w:val="clear" w:color="auto" w:fill="CCCCCC"/>
          </w:tcPr>
          <w:p>
            <w:pPr>
              <w:spacing w:after="0"/>
              <w:rPr>
                <w:sz w:val="21"/>
                <w:szCs w:val="21"/>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2,930</w:t>
            </w:r>
          </w:p>
        </w:tc>
        <w:tc>
          <w:tcPr>
            <w:tcW w:w="920" w:type="dxa"/>
            <w:vAlign w:val="bottom"/>
            <w:tcBorders>
              <w:right w:val="single" w:sz="8" w:color="9EACCA"/>
            </w:tcBorders>
            <w:gridSpan w:val="2"/>
            <w:shd w:val="clear" w:color="auto" w:fill="CCCCCC"/>
          </w:tcPr>
          <w:p>
            <w:pPr>
              <w:jc w:val="right"/>
              <w:ind w:right="197"/>
              <w:spacing w:after="0"/>
              <w:rPr>
                <w:sz w:val="20"/>
                <w:szCs w:val="20"/>
                <w:color w:val="auto"/>
              </w:rPr>
            </w:pPr>
            <w:r>
              <w:rPr>
                <w:rFonts w:ascii="Arial" w:cs="Arial" w:eastAsia="Arial" w:hAnsi="Arial"/>
                <w:sz w:val="14"/>
                <w:szCs w:val="14"/>
                <w:color w:val="auto"/>
              </w:rPr>
              <w:t>5,861</w:t>
            </w:r>
          </w:p>
        </w:tc>
        <w:tc>
          <w:tcPr>
            <w:tcW w:w="860" w:type="dxa"/>
            <w:vAlign w:val="bottom"/>
            <w:tcBorders>
              <w:right w:val="single" w:sz="8" w:color="9EACCA"/>
            </w:tcBorders>
            <w:shd w:val="clear" w:color="auto" w:fill="CCCCCC"/>
          </w:tcPr>
          <w:p>
            <w:pPr>
              <w:spacing w:after="0"/>
              <w:rPr>
                <w:sz w:val="21"/>
                <w:szCs w:val="21"/>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35.19</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3/1/2029</w:t>
            </w:r>
          </w:p>
        </w:tc>
        <w:tc>
          <w:tcPr>
            <w:tcW w:w="760" w:type="dxa"/>
            <w:vAlign w:val="bottom"/>
            <w:tcBorders>
              <w:right w:val="single" w:sz="8" w:color="9EACCA"/>
            </w:tcBorders>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660" w:type="dxa"/>
            <w:vAlign w:val="bottom"/>
            <w:tcBorders>
              <w:right w:val="single" w:sz="8" w:color="9EACCA"/>
            </w:tcBorders>
            <w:shd w:val="clear" w:color="auto" w:fill="CCCCCC"/>
          </w:tcPr>
          <w:p>
            <w:pPr>
              <w:spacing w:after="0"/>
              <w:rPr>
                <w:sz w:val="21"/>
                <w:szCs w:val="21"/>
                <w:color w:val="auto"/>
              </w:rPr>
            </w:pPr>
          </w:p>
        </w:tc>
        <w:tc>
          <w:tcPr>
            <w:tcW w:w="860" w:type="dxa"/>
            <w:vAlign w:val="bottom"/>
            <w:tcBorders>
              <w:right w:val="single" w:sz="8" w:color="9EACCA"/>
            </w:tcBorders>
            <w:shd w:val="clear" w:color="auto" w:fill="CCCCCC"/>
          </w:tcPr>
          <w:p>
            <w:pPr>
              <w:spacing w:after="0"/>
              <w:rPr>
                <w:sz w:val="21"/>
                <w:szCs w:val="21"/>
                <w:color w:val="auto"/>
              </w:rPr>
            </w:pPr>
          </w:p>
        </w:tc>
        <w:tc>
          <w:tcPr>
            <w:tcW w:w="40" w:type="dxa"/>
            <w:vAlign w:val="bottom"/>
            <w:shd w:val="clear" w:color="auto" w:fill="CCCCCC"/>
          </w:tcPr>
          <w:p>
            <w:pPr>
              <w:spacing w:after="0"/>
              <w:rPr>
                <w:sz w:val="21"/>
                <w:szCs w:val="21"/>
                <w:color w:val="auto"/>
              </w:rPr>
            </w:pPr>
          </w:p>
        </w:tc>
        <w:tc>
          <w:tcPr>
            <w:tcW w:w="700" w:type="dxa"/>
            <w:vAlign w:val="bottom"/>
            <w:tcBorders>
              <w:right w:val="single" w:sz="8" w:color="3C5896"/>
            </w:tcBorders>
            <w:shd w:val="clear" w:color="auto" w:fill="CCCCCC"/>
          </w:tcPr>
          <w:p>
            <w:pPr>
              <w:spacing w:after="0"/>
              <w:rPr>
                <w:sz w:val="21"/>
                <w:szCs w:val="21"/>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spacing w:after="0"/>
              <w:rPr>
                <w:sz w:val="19"/>
                <w:szCs w:val="19"/>
                <w:color w:val="auto"/>
              </w:rPr>
            </w:pP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3,553</w:t>
            </w: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160,915</w:t>
            </w: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11/18/2019</w:t>
            </w:r>
          </w:p>
        </w:tc>
        <w:tc>
          <w:tcPr>
            <w:tcW w:w="820" w:type="dxa"/>
            <w:vAlign w:val="bottom"/>
            <w:tcBorders>
              <w:right w:val="single" w:sz="8" w:color="9EACCA"/>
            </w:tcBorders>
            <w:shd w:val="clear" w:color="auto" w:fill="CCCCCC"/>
          </w:tcPr>
          <w:p>
            <w:pPr>
              <w:spacing w:after="0"/>
              <w:rPr>
                <w:sz w:val="19"/>
                <w:szCs w:val="19"/>
                <w:color w:val="auto"/>
              </w:rPr>
            </w:pPr>
          </w:p>
        </w:tc>
        <w:tc>
          <w:tcPr>
            <w:tcW w:w="660" w:type="dxa"/>
            <w:vAlign w:val="bottom"/>
            <w:shd w:val="clear" w:color="auto" w:fill="CCCCCC"/>
          </w:tcPr>
          <w:p>
            <w:pPr>
              <w:spacing w:after="0"/>
              <w:rPr>
                <w:sz w:val="19"/>
                <w:szCs w:val="19"/>
                <w:color w:val="auto"/>
              </w:rPr>
            </w:pP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spacing w:after="0"/>
              <w:rPr>
                <w:sz w:val="19"/>
                <w:szCs w:val="19"/>
                <w:color w:val="auto"/>
              </w:rPr>
            </w:pPr>
          </w:p>
        </w:tc>
        <w:tc>
          <w:tcPr>
            <w:tcW w:w="76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10,977</w:t>
            </w: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4"/>
                <w:szCs w:val="14"/>
                <w:color w:val="auto"/>
              </w:rPr>
              <w:t>497,148</w:t>
            </w: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0"/>
        </w:trPr>
        <w:tc>
          <w:tcPr>
            <w:tcW w:w="1280" w:type="dxa"/>
            <w:vAlign w:val="bottom"/>
            <w:tcBorders>
              <w:left w:val="single" w:sz="8" w:color="3C5896"/>
              <w:right w:val="single" w:sz="8" w:color="9EACCA"/>
            </w:tcBorders>
            <w:shd w:val="clear" w:color="auto" w:fill="CCCCCC"/>
          </w:tcPr>
          <w:p>
            <w:pPr>
              <w:spacing w:after="0"/>
              <w:rPr>
                <w:sz w:val="19"/>
                <w:szCs w:val="19"/>
                <w:color w:val="auto"/>
              </w:rPr>
            </w:pP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shd w:val="clear" w:color="auto" w:fill="CCCCCC"/>
          </w:tcPr>
          <w:p>
            <w:pPr>
              <w:jc w:val="right"/>
              <w:ind w:right="111"/>
              <w:spacing w:after="0"/>
              <w:rPr>
                <w:sz w:val="20"/>
                <w:szCs w:val="20"/>
                <w:color w:val="auto"/>
              </w:rPr>
            </w:pPr>
            <w:r>
              <w:rPr>
                <w:rFonts w:ascii="Arial" w:cs="Arial" w:eastAsia="Arial" w:hAnsi="Arial"/>
                <w:sz w:val="14"/>
                <w:szCs w:val="14"/>
                <w:color w:val="auto"/>
              </w:rPr>
              <w:t>0</w:t>
            </w: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4,566</w:t>
            </w:r>
          </w:p>
        </w:tc>
        <w:tc>
          <w:tcPr>
            <w:tcW w:w="260" w:type="dxa"/>
            <w:vAlign w:val="bottom"/>
            <w:tcBorders>
              <w:right w:val="single" w:sz="8" w:color="9EACCA"/>
            </w:tcBorders>
            <w:shd w:val="clear" w:color="auto" w:fill="CCCCCC"/>
          </w:tcPr>
          <w:p>
            <w:pPr>
              <w:spacing w:after="0"/>
              <w:rPr>
                <w:sz w:val="19"/>
                <w:szCs w:val="19"/>
                <w:color w:val="auto"/>
              </w:rPr>
            </w:pPr>
          </w:p>
        </w:tc>
        <w:tc>
          <w:tcPr>
            <w:tcW w:w="860" w:type="dxa"/>
            <w:vAlign w:val="bottom"/>
            <w:tcBorders>
              <w:right w:val="single" w:sz="8" w:color="9EACCA"/>
            </w:tcBorders>
            <w:shd w:val="clear" w:color="auto" w:fill="CCCCCC"/>
          </w:tcPr>
          <w:p>
            <w:pPr>
              <w:spacing w:after="0"/>
              <w:rPr>
                <w:sz w:val="19"/>
                <w:szCs w:val="19"/>
                <w:color w:val="auto"/>
              </w:rPr>
            </w:pPr>
          </w:p>
        </w:tc>
        <w:tc>
          <w:tcPr>
            <w:tcW w:w="620" w:type="dxa"/>
            <w:vAlign w:val="bottom"/>
            <w:tcBorders>
              <w:right w:val="single" w:sz="8" w:color="9EACCA"/>
            </w:tcBorders>
            <w:shd w:val="clear" w:color="auto" w:fill="CCCCCC"/>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shd w:val="clear" w:color="auto" w:fill="CCCCCC"/>
          </w:tcPr>
          <w:p>
            <w:pPr>
              <w:jc w:val="right"/>
              <w:ind w:right="113"/>
              <w:spacing w:after="0"/>
              <w:rPr>
                <w:sz w:val="20"/>
                <w:szCs w:val="20"/>
                <w:color w:val="auto"/>
              </w:rPr>
            </w:pPr>
            <w:r>
              <w:rPr>
                <w:rFonts w:ascii="Arial" w:cs="Arial" w:eastAsia="Arial" w:hAnsi="Arial"/>
                <w:sz w:val="14"/>
                <w:szCs w:val="14"/>
                <w:color w:val="auto"/>
              </w:rPr>
              <w:t>1,795</w:t>
            </w:r>
          </w:p>
        </w:tc>
        <w:tc>
          <w:tcPr>
            <w:tcW w:w="80" w:type="dxa"/>
            <w:vAlign w:val="bottom"/>
            <w:shd w:val="clear" w:color="auto" w:fill="CCCCCC"/>
          </w:tcPr>
          <w:p>
            <w:pPr>
              <w:spacing w:after="0"/>
              <w:rPr>
                <w:sz w:val="19"/>
                <w:szCs w:val="19"/>
                <w:color w:val="auto"/>
              </w:rPr>
            </w:pPr>
          </w:p>
        </w:tc>
        <w:tc>
          <w:tcPr>
            <w:tcW w:w="660" w:type="dxa"/>
            <w:vAlign w:val="bottom"/>
            <w:tcBorders>
              <w:right w:val="single" w:sz="8" w:color="9EACCA"/>
            </w:tcBorders>
            <w:shd w:val="clear" w:color="auto" w:fill="CCCCCC"/>
          </w:tcPr>
          <w:p>
            <w:pPr>
              <w:ind w:left="80"/>
              <w:spacing w:after="0"/>
              <w:rPr>
                <w:sz w:val="20"/>
                <w:szCs w:val="20"/>
                <w:color w:val="auto"/>
              </w:rPr>
            </w:pPr>
            <w:r>
              <w:rPr>
                <w:rFonts w:ascii="Arial" w:cs="Arial" w:eastAsia="Arial" w:hAnsi="Arial"/>
                <w:sz w:val="14"/>
                <w:szCs w:val="14"/>
                <w:color w:val="auto"/>
              </w:rPr>
              <w:t>81,296</w:t>
            </w:r>
          </w:p>
        </w:tc>
        <w:tc>
          <w:tcPr>
            <w:tcW w:w="86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700" w:type="dxa"/>
            <w:vAlign w:val="bottom"/>
            <w:tcBorders>
              <w:right w:val="single" w:sz="8" w:color="3C5896"/>
            </w:tcBorders>
            <w:shd w:val="clear" w:color="auto" w:fill="CCCCCC"/>
          </w:tcPr>
          <w:p>
            <w:pPr>
              <w:spacing w:after="0"/>
              <w:rPr>
                <w:sz w:val="19"/>
                <w:szCs w:val="19"/>
                <w:color w:val="auto"/>
              </w:rPr>
            </w:pPr>
          </w:p>
        </w:tc>
      </w:tr>
      <w:tr>
        <w:trPr>
          <w:trHeight w:val="235"/>
        </w:trPr>
        <w:tc>
          <w:tcPr>
            <w:tcW w:w="1280" w:type="dxa"/>
            <w:vAlign w:val="bottom"/>
            <w:tcBorders>
              <w:left w:val="single" w:sz="8" w:color="3C5896"/>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bottom w:val="single" w:sz="8" w:color="CCCCCC"/>
              <w:right w:val="single" w:sz="8" w:color="9EACCA"/>
            </w:tcBorders>
            <w:shd w:val="clear" w:color="auto" w:fill="CCCCCC"/>
          </w:tcPr>
          <w:p>
            <w:pPr>
              <w:spacing w:after="0"/>
              <w:rPr>
                <w:sz w:val="20"/>
                <w:szCs w:val="20"/>
                <w:color w:val="auto"/>
              </w:rPr>
            </w:pPr>
          </w:p>
        </w:tc>
        <w:tc>
          <w:tcPr>
            <w:tcW w:w="660" w:type="dxa"/>
            <w:vAlign w:val="bottom"/>
            <w:tcBorders>
              <w:bottom w:val="single" w:sz="8" w:color="CCCCCC"/>
            </w:tcBorders>
            <w:shd w:val="clear" w:color="auto" w:fill="CCCCCC"/>
          </w:tcPr>
          <w:p>
            <w:pPr>
              <w:spacing w:after="0"/>
              <w:rPr>
                <w:sz w:val="20"/>
                <w:szCs w:val="20"/>
                <w:color w:val="auto"/>
              </w:rPr>
            </w:pPr>
          </w:p>
        </w:tc>
        <w:tc>
          <w:tcPr>
            <w:tcW w:w="260" w:type="dxa"/>
            <w:vAlign w:val="bottom"/>
            <w:tcBorders>
              <w:bottom w:val="single" w:sz="8" w:color="CCCCCC"/>
              <w:right w:val="single" w:sz="8" w:color="9EACCA"/>
            </w:tcBorders>
            <w:shd w:val="clear" w:color="auto" w:fill="CCCCCC"/>
          </w:tcPr>
          <w:p>
            <w:pPr>
              <w:spacing w:after="0"/>
              <w:rPr>
                <w:sz w:val="20"/>
                <w:szCs w:val="20"/>
                <w:color w:val="auto"/>
              </w:rPr>
            </w:pPr>
          </w:p>
        </w:tc>
        <w:tc>
          <w:tcPr>
            <w:tcW w:w="860" w:type="dxa"/>
            <w:vAlign w:val="bottom"/>
            <w:tcBorders>
              <w:bottom w:val="single" w:sz="8" w:color="CCCCCC"/>
              <w:right w:val="single" w:sz="8" w:color="9EACCA"/>
            </w:tcBorders>
            <w:shd w:val="clear" w:color="auto" w:fill="CCCCCC"/>
          </w:tcPr>
          <w:p>
            <w:pPr>
              <w:spacing w:after="0"/>
              <w:rPr>
                <w:sz w:val="20"/>
                <w:szCs w:val="20"/>
                <w:color w:val="auto"/>
              </w:rPr>
            </w:pPr>
          </w:p>
        </w:tc>
        <w:tc>
          <w:tcPr>
            <w:tcW w:w="620" w:type="dxa"/>
            <w:vAlign w:val="bottom"/>
            <w:tcBorders>
              <w:bottom w:val="single" w:sz="8" w:color="CCCCCC"/>
              <w:right w:val="single" w:sz="8" w:color="9EACCA"/>
            </w:tcBorders>
            <w:shd w:val="clear" w:color="auto" w:fill="CCCCCC"/>
          </w:tcPr>
          <w:p>
            <w:pPr>
              <w:spacing w:after="0"/>
              <w:rPr>
                <w:sz w:val="20"/>
                <w:szCs w:val="20"/>
                <w:color w:val="auto"/>
              </w:rPr>
            </w:pPr>
          </w:p>
        </w:tc>
        <w:tc>
          <w:tcPr>
            <w:tcW w:w="800" w:type="dxa"/>
            <w:vAlign w:val="bottom"/>
            <w:tcBorders>
              <w:bottom w:val="single" w:sz="8" w:color="CCCCCC"/>
              <w:right w:val="single" w:sz="8" w:color="9EACCA"/>
            </w:tcBorders>
            <w:shd w:val="clear" w:color="auto" w:fill="CCCCCC"/>
          </w:tcPr>
          <w:p>
            <w:pPr>
              <w:spacing w:after="0"/>
              <w:rPr>
                <w:sz w:val="20"/>
                <w:szCs w:val="20"/>
                <w:color w:val="auto"/>
              </w:rPr>
            </w:pPr>
          </w:p>
        </w:tc>
        <w:tc>
          <w:tcPr>
            <w:tcW w:w="760" w:type="dxa"/>
            <w:vAlign w:val="bottom"/>
            <w:tcBorders>
              <w:bottom w:val="single" w:sz="8" w:color="CCCCCC"/>
              <w:right w:val="single" w:sz="8" w:color="9EACCA"/>
            </w:tcBorders>
            <w:shd w:val="clear" w:color="auto" w:fill="CCCCCC"/>
          </w:tcPr>
          <w:p>
            <w:pPr>
              <w:spacing w:after="0"/>
              <w:rPr>
                <w:sz w:val="20"/>
                <w:szCs w:val="20"/>
                <w:color w:val="auto"/>
              </w:rPr>
            </w:pPr>
          </w:p>
        </w:tc>
        <w:tc>
          <w:tcPr>
            <w:tcW w:w="80" w:type="dxa"/>
            <w:vAlign w:val="bottom"/>
            <w:tcBorders>
              <w:bottom w:val="single" w:sz="8" w:color="CCCCCC"/>
            </w:tcBorders>
            <w:shd w:val="clear" w:color="auto" w:fill="CCCCCC"/>
          </w:tcPr>
          <w:p>
            <w:pPr>
              <w:spacing w:after="0"/>
              <w:rPr>
                <w:sz w:val="20"/>
                <w:szCs w:val="20"/>
                <w:color w:val="auto"/>
              </w:rPr>
            </w:pPr>
          </w:p>
        </w:tc>
        <w:tc>
          <w:tcPr>
            <w:tcW w:w="660" w:type="dxa"/>
            <w:vAlign w:val="bottom"/>
            <w:tcBorders>
              <w:bottom w:val="single" w:sz="8" w:color="CCCCCC"/>
              <w:right w:val="single" w:sz="8" w:color="9EACCA"/>
            </w:tcBorders>
            <w:shd w:val="clear" w:color="auto" w:fill="CCCCCC"/>
          </w:tcPr>
          <w:p>
            <w:pPr>
              <w:spacing w:after="0"/>
              <w:rPr>
                <w:sz w:val="20"/>
                <w:szCs w:val="20"/>
                <w:color w:val="auto"/>
              </w:rPr>
            </w:pPr>
          </w:p>
        </w:tc>
        <w:tc>
          <w:tcPr>
            <w:tcW w:w="860" w:type="dxa"/>
            <w:vAlign w:val="bottom"/>
            <w:tcBorders>
              <w:bottom w:val="single" w:sz="8" w:color="CCCCCC"/>
              <w:right w:val="single" w:sz="8" w:color="9EACCA"/>
            </w:tcBorders>
            <w:shd w:val="clear" w:color="auto" w:fill="CCCCCC"/>
          </w:tcPr>
          <w:p>
            <w:pPr>
              <w:jc w:val="right"/>
              <w:ind w:right="154"/>
              <w:spacing w:after="0"/>
              <w:rPr>
                <w:sz w:val="20"/>
                <w:szCs w:val="20"/>
                <w:color w:val="auto"/>
              </w:rPr>
            </w:pPr>
            <w:r>
              <w:rPr>
                <w:rFonts w:ascii="Arial" w:cs="Arial" w:eastAsia="Arial" w:hAnsi="Arial"/>
                <w:sz w:val="14"/>
                <w:szCs w:val="14"/>
                <w:color w:val="auto"/>
              </w:rPr>
              <w:t>3,590</w:t>
            </w:r>
          </w:p>
        </w:tc>
        <w:tc>
          <w:tcPr>
            <w:tcW w:w="40" w:type="dxa"/>
            <w:vAlign w:val="bottom"/>
            <w:tcBorders>
              <w:bottom w:val="single" w:sz="8" w:color="CCCCCC"/>
            </w:tcBorders>
            <w:shd w:val="clear" w:color="auto" w:fill="CCCCCC"/>
          </w:tcPr>
          <w:p>
            <w:pPr>
              <w:spacing w:after="0"/>
              <w:rPr>
                <w:sz w:val="20"/>
                <w:szCs w:val="20"/>
                <w:color w:val="auto"/>
              </w:rPr>
            </w:pPr>
          </w:p>
        </w:tc>
        <w:tc>
          <w:tcPr>
            <w:tcW w:w="700" w:type="dxa"/>
            <w:vAlign w:val="bottom"/>
            <w:tcBorders>
              <w:bottom w:val="single" w:sz="8" w:color="CCCCCC"/>
              <w:right w:val="single" w:sz="8" w:color="3C5896"/>
            </w:tcBorders>
            <w:shd w:val="clear" w:color="auto" w:fill="CCCCCC"/>
          </w:tcPr>
          <w:p>
            <w:pPr>
              <w:jc w:val="right"/>
              <w:spacing w:after="0"/>
              <w:rPr>
                <w:sz w:val="20"/>
                <w:szCs w:val="20"/>
                <w:color w:val="auto"/>
              </w:rPr>
            </w:pPr>
            <w:r>
              <w:rPr>
                <w:rFonts w:ascii="Arial" w:cs="Arial" w:eastAsia="Arial" w:hAnsi="Arial"/>
                <w:sz w:val="14"/>
                <w:szCs w:val="14"/>
                <w:color w:val="auto"/>
              </w:rPr>
              <w:t>162,591</w:t>
            </w:r>
          </w:p>
        </w:tc>
      </w:tr>
      <w:tr>
        <w:trPr>
          <w:trHeight w:val="218"/>
        </w:trPr>
        <w:tc>
          <w:tcPr>
            <w:tcW w:w="1280" w:type="dxa"/>
            <w:vAlign w:val="bottom"/>
            <w:tcBorders>
              <w:left w:val="single" w:sz="8" w:color="3C5896"/>
              <w:right w:val="single" w:sz="8" w:color="9EACCA"/>
            </w:tcBorders>
          </w:tcPr>
          <w:p>
            <w:pPr>
              <w:ind w:left="20"/>
              <w:spacing w:after="0"/>
              <w:rPr>
                <w:sz w:val="20"/>
                <w:szCs w:val="20"/>
                <w:color w:val="auto"/>
              </w:rPr>
            </w:pPr>
            <w:r>
              <w:rPr>
                <w:rFonts w:ascii="Arial" w:cs="Arial" w:eastAsia="Arial" w:hAnsi="Arial"/>
                <w:sz w:val="14"/>
                <w:szCs w:val="14"/>
                <w:color w:val="auto"/>
              </w:rPr>
              <w:t>Joan Blackwood</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12/9/2019</w:t>
            </w:r>
          </w:p>
        </w:tc>
        <w:tc>
          <w:tcPr>
            <w:tcW w:w="820" w:type="dxa"/>
            <w:vAlign w:val="bottom"/>
            <w:tcBorders>
              <w:right w:val="single" w:sz="8" w:color="9EACCA"/>
            </w:tcBorders>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right w:val="single" w:sz="8" w:color="9EACCA"/>
            </w:tcBorders>
          </w:tcPr>
          <w:p>
            <w:pPr>
              <w:spacing w:after="0"/>
              <w:rPr>
                <w:sz w:val="18"/>
                <w:szCs w:val="18"/>
                <w:color w:val="auto"/>
              </w:rPr>
            </w:pPr>
          </w:p>
        </w:tc>
        <w:tc>
          <w:tcPr>
            <w:tcW w:w="860" w:type="dxa"/>
            <w:vAlign w:val="bottom"/>
            <w:tcBorders>
              <w:right w:val="single" w:sz="8" w:color="9EACCA"/>
            </w:tcBorders>
          </w:tcPr>
          <w:p>
            <w:pPr>
              <w:spacing w:after="0"/>
              <w:rPr>
                <w:sz w:val="18"/>
                <w:szCs w:val="18"/>
                <w:color w:val="auto"/>
              </w:rPr>
            </w:pPr>
          </w:p>
        </w:tc>
        <w:tc>
          <w:tcPr>
            <w:tcW w:w="620" w:type="dxa"/>
            <w:vAlign w:val="bottom"/>
            <w:tcBorders>
              <w:right w:val="single" w:sz="8" w:color="9EACCA"/>
            </w:tcBorders>
          </w:tcPr>
          <w:p>
            <w:pPr>
              <w:spacing w:after="0"/>
              <w:rPr>
                <w:sz w:val="18"/>
                <w:szCs w:val="18"/>
                <w:color w:val="auto"/>
              </w:rPr>
            </w:pPr>
          </w:p>
        </w:tc>
        <w:tc>
          <w:tcPr>
            <w:tcW w:w="800" w:type="dxa"/>
            <w:vAlign w:val="bottom"/>
            <w:tcBorders>
              <w:right w:val="single" w:sz="8" w:color="9EACCA"/>
            </w:tcBorders>
          </w:tcPr>
          <w:p>
            <w:pPr>
              <w:spacing w:after="0"/>
              <w:rPr>
                <w:sz w:val="18"/>
                <w:szCs w:val="18"/>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5,487</w:t>
            </w:r>
          </w:p>
        </w:tc>
        <w:tc>
          <w:tcPr>
            <w:tcW w:w="740" w:type="dxa"/>
            <w:vAlign w:val="bottom"/>
            <w:tcBorders>
              <w:right w:val="single" w:sz="8" w:color="9EACCA"/>
            </w:tcBorders>
            <w:gridSpan w:val="2"/>
          </w:tcPr>
          <w:p>
            <w:pPr>
              <w:ind w:left="80"/>
              <w:spacing w:after="0"/>
              <w:rPr>
                <w:sz w:val="20"/>
                <w:szCs w:val="20"/>
                <w:color w:val="auto"/>
              </w:rPr>
            </w:pPr>
            <w:r>
              <w:rPr>
                <w:rFonts w:ascii="Arial" w:cs="Arial" w:eastAsia="Arial" w:hAnsi="Arial"/>
                <w:sz w:val="14"/>
                <w:szCs w:val="14"/>
                <w:color w:val="auto"/>
              </w:rPr>
              <w:t>248,506</w:t>
            </w:r>
          </w:p>
        </w:tc>
        <w:tc>
          <w:tcPr>
            <w:tcW w:w="860" w:type="dxa"/>
            <w:vAlign w:val="bottom"/>
            <w:tcBorders>
              <w:right w:val="single" w:sz="8" w:color="9EACCA"/>
            </w:tcBorders>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right w:val="single" w:sz="8" w:color="3C5896"/>
            </w:tcBorders>
          </w:tcPr>
          <w:p>
            <w:pPr>
              <w:spacing w:after="0"/>
              <w:rPr>
                <w:sz w:val="18"/>
                <w:szCs w:val="18"/>
                <w:color w:val="auto"/>
              </w:rPr>
            </w:pPr>
          </w:p>
        </w:tc>
      </w:tr>
      <w:tr>
        <w:trPr>
          <w:trHeight w:val="243"/>
        </w:trPr>
        <w:tc>
          <w:tcPr>
            <w:tcW w:w="1280" w:type="dxa"/>
            <w:vAlign w:val="bottom"/>
            <w:tcBorders>
              <w:left w:val="single" w:sz="8" w:color="3C5896"/>
              <w:right w:val="single" w:sz="8" w:color="9EACCA"/>
            </w:tcBorders>
          </w:tcPr>
          <w:p>
            <w:pPr>
              <w:spacing w:after="0"/>
              <w:rPr>
                <w:sz w:val="21"/>
                <w:szCs w:val="21"/>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Borders>
              <w:right w:val="single" w:sz="8" w:color="9EACCA"/>
            </w:tcBorders>
          </w:tcPr>
          <w:p>
            <w:pPr>
              <w:spacing w:after="0"/>
              <w:rPr>
                <w:sz w:val="21"/>
                <w:szCs w:val="21"/>
                <w:color w:val="auto"/>
              </w:rPr>
            </w:pPr>
          </w:p>
        </w:tc>
        <w:tc>
          <w:tcPr>
            <w:tcW w:w="860" w:type="dxa"/>
            <w:vAlign w:val="bottom"/>
            <w:tcBorders>
              <w:right w:val="single" w:sz="8" w:color="9EACCA"/>
            </w:tcBorders>
          </w:tcPr>
          <w:p>
            <w:pPr>
              <w:spacing w:after="0"/>
              <w:rPr>
                <w:sz w:val="21"/>
                <w:szCs w:val="21"/>
                <w:color w:val="auto"/>
              </w:rPr>
            </w:pPr>
          </w:p>
        </w:tc>
        <w:tc>
          <w:tcPr>
            <w:tcW w:w="620" w:type="dxa"/>
            <w:vAlign w:val="bottom"/>
            <w:tcBorders>
              <w:right w:val="single" w:sz="8" w:color="9EACCA"/>
            </w:tcBorders>
          </w:tcPr>
          <w:p>
            <w:pPr>
              <w:spacing w:after="0"/>
              <w:rPr>
                <w:sz w:val="21"/>
                <w:szCs w:val="21"/>
                <w:color w:val="auto"/>
              </w:rPr>
            </w:pPr>
          </w:p>
        </w:tc>
        <w:tc>
          <w:tcPr>
            <w:tcW w:w="800" w:type="dxa"/>
            <w:vAlign w:val="bottom"/>
            <w:tcBorders>
              <w:right w:val="single" w:sz="8" w:color="9EACCA"/>
            </w:tcBorders>
          </w:tcPr>
          <w:p>
            <w:pPr>
              <w:spacing w:after="0"/>
              <w:rPr>
                <w:sz w:val="21"/>
                <w:szCs w:val="21"/>
                <w:color w:val="auto"/>
              </w:rPr>
            </w:pPr>
          </w:p>
        </w:tc>
        <w:tc>
          <w:tcPr>
            <w:tcW w:w="760" w:type="dxa"/>
            <w:vAlign w:val="bottom"/>
            <w:tcBorders>
              <w:right w:val="single" w:sz="8" w:color="9EACCA"/>
            </w:tcBorders>
          </w:tcPr>
          <w:p>
            <w:pPr>
              <w:jc w:val="right"/>
              <w:ind w:right="113"/>
              <w:spacing w:after="0"/>
              <w:rPr>
                <w:sz w:val="20"/>
                <w:szCs w:val="20"/>
                <w:color w:val="auto"/>
              </w:rPr>
            </w:pPr>
            <w:r>
              <w:rPr>
                <w:rFonts w:ascii="Arial" w:cs="Arial" w:eastAsia="Arial" w:hAnsi="Arial"/>
                <w:sz w:val="14"/>
                <w:szCs w:val="14"/>
                <w:color w:val="auto"/>
              </w:rPr>
              <w:t>1,795</w:t>
            </w:r>
          </w:p>
        </w:tc>
        <w:tc>
          <w:tcPr>
            <w:tcW w:w="740" w:type="dxa"/>
            <w:vAlign w:val="bottom"/>
            <w:tcBorders>
              <w:right w:val="single" w:sz="8" w:color="9EACCA"/>
            </w:tcBorders>
            <w:gridSpan w:val="2"/>
          </w:tcPr>
          <w:p>
            <w:pPr>
              <w:ind w:left="160"/>
              <w:spacing w:after="0"/>
              <w:rPr>
                <w:sz w:val="20"/>
                <w:szCs w:val="20"/>
                <w:color w:val="auto"/>
              </w:rPr>
            </w:pPr>
            <w:r>
              <w:rPr>
                <w:rFonts w:ascii="Arial" w:cs="Arial" w:eastAsia="Arial" w:hAnsi="Arial"/>
                <w:sz w:val="14"/>
                <w:szCs w:val="14"/>
                <w:color w:val="auto"/>
              </w:rPr>
              <w:t>81,296</w:t>
            </w:r>
          </w:p>
        </w:tc>
        <w:tc>
          <w:tcPr>
            <w:tcW w:w="86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Borders>
              <w:right w:val="single" w:sz="8" w:color="3C5896"/>
            </w:tcBorders>
          </w:tcPr>
          <w:p>
            <w:pPr>
              <w:spacing w:after="0"/>
              <w:rPr>
                <w:sz w:val="21"/>
                <w:szCs w:val="21"/>
                <w:color w:val="auto"/>
              </w:rPr>
            </w:pPr>
          </w:p>
        </w:tc>
      </w:tr>
      <w:tr>
        <w:trPr>
          <w:trHeight w:val="229"/>
        </w:trPr>
        <w:tc>
          <w:tcPr>
            <w:tcW w:w="1280" w:type="dxa"/>
            <w:vAlign w:val="bottom"/>
            <w:tcBorders>
              <w:left w:val="single" w:sz="8" w:color="3C5896"/>
              <w:right w:val="single" w:sz="8" w:color="9EACCA"/>
            </w:tcBorders>
          </w:tcPr>
          <w:p>
            <w:pPr>
              <w:spacing w:after="0"/>
              <w:rPr>
                <w:sz w:val="19"/>
                <w:szCs w:val="19"/>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spacing w:after="0"/>
              <w:rPr>
                <w:sz w:val="19"/>
                <w:szCs w:val="19"/>
                <w:color w:val="auto"/>
              </w:rPr>
            </w:pPr>
          </w:p>
        </w:tc>
        <w:tc>
          <w:tcPr>
            <w:tcW w:w="620" w:type="dxa"/>
            <w:vAlign w:val="bottom"/>
            <w:tcBorders>
              <w:right w:val="single" w:sz="8" w:color="9EACCA"/>
            </w:tcBorders>
          </w:tcPr>
          <w:p>
            <w:pPr>
              <w:spacing w:after="0"/>
              <w:rPr>
                <w:sz w:val="19"/>
                <w:szCs w:val="19"/>
                <w:color w:val="auto"/>
              </w:rPr>
            </w:pPr>
          </w:p>
        </w:tc>
        <w:tc>
          <w:tcPr>
            <w:tcW w:w="800" w:type="dxa"/>
            <w:vAlign w:val="bottom"/>
            <w:tcBorders>
              <w:right w:val="single" w:sz="8" w:color="9EACCA"/>
            </w:tcBorders>
          </w:tcPr>
          <w:p>
            <w:pPr>
              <w:spacing w:after="0"/>
              <w:rPr>
                <w:sz w:val="19"/>
                <w:szCs w:val="19"/>
                <w:color w:val="auto"/>
              </w:rPr>
            </w:pPr>
          </w:p>
        </w:tc>
        <w:tc>
          <w:tcPr>
            <w:tcW w:w="76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9EACCA"/>
            </w:tcBorders>
          </w:tcPr>
          <w:p>
            <w:pPr>
              <w:spacing w:after="0"/>
              <w:rPr>
                <w:sz w:val="19"/>
                <w:szCs w:val="19"/>
                <w:color w:val="auto"/>
              </w:rPr>
            </w:pPr>
          </w:p>
        </w:tc>
        <w:tc>
          <w:tcPr>
            <w:tcW w:w="860" w:type="dxa"/>
            <w:vAlign w:val="bottom"/>
            <w:tcBorders>
              <w:right w:val="single" w:sz="8" w:color="9EACCA"/>
            </w:tcBorders>
          </w:tcPr>
          <w:p>
            <w:pPr>
              <w:jc w:val="right"/>
              <w:ind w:right="154"/>
              <w:spacing w:after="0"/>
              <w:rPr>
                <w:sz w:val="20"/>
                <w:szCs w:val="20"/>
                <w:color w:val="auto"/>
              </w:rPr>
            </w:pPr>
            <w:r>
              <w:rPr>
                <w:rFonts w:ascii="Arial" w:cs="Arial" w:eastAsia="Arial" w:hAnsi="Arial"/>
                <w:sz w:val="14"/>
                <w:szCs w:val="14"/>
                <w:color w:val="auto"/>
              </w:rPr>
              <w:t>3,590</w:t>
            </w:r>
          </w:p>
        </w:tc>
        <w:tc>
          <w:tcPr>
            <w:tcW w:w="740" w:type="dxa"/>
            <w:vAlign w:val="bottom"/>
            <w:tcBorders>
              <w:right w:val="single" w:sz="8" w:color="3C5896"/>
            </w:tcBorders>
            <w:gridSpan w:val="2"/>
          </w:tcPr>
          <w:p>
            <w:pPr>
              <w:jc w:val="right"/>
              <w:spacing w:after="0"/>
              <w:rPr>
                <w:sz w:val="20"/>
                <w:szCs w:val="20"/>
                <w:color w:val="auto"/>
              </w:rPr>
            </w:pPr>
            <w:r>
              <w:rPr>
                <w:rFonts w:ascii="Arial" w:cs="Arial" w:eastAsia="Arial" w:hAnsi="Arial"/>
                <w:sz w:val="14"/>
                <w:szCs w:val="14"/>
                <w:color w:val="auto"/>
              </w:rPr>
              <w:t>162,591</w:t>
            </w:r>
          </w:p>
        </w:tc>
      </w:tr>
      <w:tr>
        <w:trPr>
          <w:trHeight w:val="282"/>
        </w:trPr>
        <w:tc>
          <w:tcPr>
            <w:tcW w:w="1280" w:type="dxa"/>
            <w:vAlign w:val="bottom"/>
            <w:tcBorders>
              <w:left w:val="single" w:sz="8" w:color="3C5896"/>
              <w:right w:val="single" w:sz="8" w:color="9EACCA"/>
            </w:tcBorders>
          </w:tcPr>
          <w:p>
            <w:pPr>
              <w:spacing w:after="0"/>
              <w:rPr>
                <w:sz w:val="24"/>
                <w:szCs w:val="24"/>
                <w:color w:val="auto"/>
              </w:rPr>
            </w:pP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2/28/2020</w:t>
            </w:r>
          </w:p>
        </w:tc>
        <w:tc>
          <w:tcPr>
            <w:tcW w:w="820" w:type="dxa"/>
            <w:vAlign w:val="bottom"/>
            <w:tcBorders>
              <w:right w:val="single" w:sz="8" w:color="9EACCA"/>
            </w:tcBorders>
          </w:tcPr>
          <w:p>
            <w:pPr>
              <w:jc w:val="right"/>
              <w:ind w:right="111"/>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9EACCA"/>
            </w:tcBorders>
            <w:gridSpan w:val="2"/>
          </w:tcPr>
          <w:p>
            <w:pPr>
              <w:jc w:val="right"/>
              <w:ind w:right="197"/>
              <w:spacing w:after="0"/>
              <w:rPr>
                <w:sz w:val="20"/>
                <w:szCs w:val="20"/>
                <w:color w:val="auto"/>
              </w:rPr>
            </w:pPr>
            <w:r>
              <w:rPr>
                <w:rFonts w:ascii="Arial" w:cs="Arial" w:eastAsia="Arial" w:hAnsi="Arial"/>
                <w:sz w:val="14"/>
                <w:szCs w:val="14"/>
                <w:color w:val="auto"/>
              </w:rPr>
              <w:t>4,566</w:t>
            </w:r>
          </w:p>
        </w:tc>
        <w:tc>
          <w:tcPr>
            <w:tcW w:w="860" w:type="dxa"/>
            <w:vAlign w:val="bottom"/>
            <w:tcBorders>
              <w:right w:val="single" w:sz="8" w:color="9EACCA"/>
            </w:tcBorders>
          </w:tcPr>
          <w:p>
            <w:pPr>
              <w:spacing w:after="0"/>
              <w:rPr>
                <w:sz w:val="24"/>
                <w:szCs w:val="24"/>
                <w:color w:val="auto"/>
              </w:rPr>
            </w:pPr>
          </w:p>
        </w:tc>
        <w:tc>
          <w:tcPr>
            <w:tcW w:w="620" w:type="dxa"/>
            <w:vAlign w:val="bottom"/>
            <w:tcBorders>
              <w:right w:val="single" w:sz="8" w:color="9EACCA"/>
            </w:tcBorders>
          </w:tcPr>
          <w:p>
            <w:pPr>
              <w:jc w:val="right"/>
              <w:ind w:right="70"/>
              <w:spacing w:after="0"/>
              <w:rPr>
                <w:sz w:val="20"/>
                <w:szCs w:val="20"/>
                <w:color w:val="auto"/>
              </w:rPr>
            </w:pPr>
            <w:r>
              <w:rPr>
                <w:rFonts w:ascii="Arial" w:cs="Arial" w:eastAsia="Arial" w:hAnsi="Arial"/>
                <w:sz w:val="14"/>
                <w:szCs w:val="14"/>
                <w:color w:val="auto"/>
              </w:rPr>
              <w:t>34.82</w:t>
            </w:r>
          </w:p>
        </w:tc>
        <w:tc>
          <w:tcPr>
            <w:tcW w:w="800" w:type="dxa"/>
            <w:vAlign w:val="bottom"/>
            <w:tcBorders>
              <w:right w:val="single" w:sz="8" w:color="9EACCA"/>
            </w:tcBorders>
          </w:tcPr>
          <w:p>
            <w:pPr>
              <w:jc w:val="right"/>
              <w:spacing w:after="0"/>
              <w:rPr>
                <w:sz w:val="20"/>
                <w:szCs w:val="20"/>
                <w:color w:val="auto"/>
              </w:rPr>
            </w:pPr>
            <w:r>
              <w:rPr>
                <w:rFonts w:ascii="Arial" w:cs="Arial" w:eastAsia="Arial" w:hAnsi="Arial"/>
                <w:sz w:val="14"/>
                <w:szCs w:val="14"/>
                <w:color w:val="auto"/>
              </w:rPr>
              <w:t>2/28/2030</w:t>
            </w:r>
          </w:p>
        </w:tc>
        <w:tc>
          <w:tcPr>
            <w:tcW w:w="760" w:type="dxa"/>
            <w:vAlign w:val="bottom"/>
            <w:tcBorders>
              <w:right w:val="single" w:sz="8" w:color="9EACCA"/>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right w:val="single" w:sz="8" w:color="9EACCA"/>
            </w:tcBorders>
          </w:tcPr>
          <w:p>
            <w:pPr>
              <w:spacing w:after="0"/>
              <w:rPr>
                <w:sz w:val="24"/>
                <w:szCs w:val="24"/>
                <w:color w:val="auto"/>
              </w:rPr>
            </w:pPr>
          </w:p>
        </w:tc>
        <w:tc>
          <w:tcPr>
            <w:tcW w:w="860" w:type="dxa"/>
            <w:vAlign w:val="bottom"/>
            <w:tcBorders>
              <w:right w:val="single" w:sz="8" w:color="9EACCA"/>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right w:val="single" w:sz="8" w:color="3C5896"/>
            </w:tcBorders>
          </w:tcPr>
          <w:p>
            <w:pPr>
              <w:spacing w:after="0"/>
              <w:rPr>
                <w:sz w:val="24"/>
                <w:szCs w:val="24"/>
                <w:color w:val="auto"/>
              </w:rPr>
            </w:pPr>
          </w:p>
        </w:tc>
      </w:tr>
      <w:tr>
        <w:trPr>
          <w:trHeight w:val="20"/>
        </w:trPr>
        <w:tc>
          <w:tcPr>
            <w:tcW w:w="128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800" w:type="dxa"/>
            <w:vAlign w:val="bottom"/>
            <w:tcBorders>
              <w:right w:val="single" w:sz="8" w:color="3C5896"/>
            </w:tcBorders>
            <w:shd w:val="clear" w:color="auto" w:fill="3C5896"/>
          </w:tcPr>
          <w:p>
            <w:pPr>
              <w:spacing w:after="0" w:line="20" w:lineRule="exact"/>
              <w:rPr>
                <w:sz w:val="1"/>
                <w:szCs w:val="1"/>
                <w:color w:val="auto"/>
              </w:rPr>
            </w:pPr>
          </w:p>
        </w:tc>
        <w:tc>
          <w:tcPr>
            <w:tcW w:w="820" w:type="dxa"/>
            <w:vAlign w:val="bottom"/>
            <w:tcBorders>
              <w:right w:val="single" w:sz="8" w:color="3C5896"/>
            </w:tcBorders>
            <w:shd w:val="clear" w:color="auto" w:fill="3C5896"/>
          </w:tcPr>
          <w:p>
            <w:pPr>
              <w:spacing w:after="0" w:line="20" w:lineRule="exact"/>
              <w:rPr>
                <w:sz w:val="1"/>
                <w:szCs w:val="1"/>
                <w:color w:val="auto"/>
              </w:rPr>
            </w:pPr>
          </w:p>
        </w:tc>
        <w:tc>
          <w:tcPr>
            <w:tcW w:w="660" w:type="dxa"/>
            <w:vAlign w:val="bottom"/>
            <w:shd w:val="clear" w:color="auto" w:fill="3C5896"/>
          </w:tcPr>
          <w:p>
            <w:pPr>
              <w:spacing w:after="0" w:line="20" w:lineRule="exact"/>
              <w:rPr>
                <w:sz w:val="1"/>
                <w:szCs w:val="1"/>
                <w:color w:val="auto"/>
              </w:rPr>
            </w:pPr>
          </w:p>
        </w:tc>
        <w:tc>
          <w:tcPr>
            <w:tcW w:w="260" w:type="dxa"/>
            <w:vAlign w:val="bottom"/>
            <w:tcBorders>
              <w:right w:val="single" w:sz="8" w:color="3C5896"/>
            </w:tcBorders>
            <w:shd w:val="clear" w:color="auto" w:fill="3C5896"/>
          </w:tcPr>
          <w:p>
            <w:pPr>
              <w:spacing w:after="0" w:line="20" w:lineRule="exact"/>
              <w:rPr>
                <w:sz w:val="1"/>
                <w:szCs w:val="1"/>
                <w:color w:val="auto"/>
              </w:rPr>
            </w:pPr>
          </w:p>
        </w:tc>
        <w:tc>
          <w:tcPr>
            <w:tcW w:w="860" w:type="dxa"/>
            <w:vAlign w:val="bottom"/>
            <w:tcBorders>
              <w:right w:val="single" w:sz="8" w:color="3C5896"/>
            </w:tcBorders>
            <w:shd w:val="clear" w:color="auto" w:fill="3C5896"/>
          </w:tcPr>
          <w:p>
            <w:pPr>
              <w:spacing w:after="0" w:line="20" w:lineRule="exact"/>
              <w:rPr>
                <w:sz w:val="1"/>
                <w:szCs w:val="1"/>
                <w:color w:val="auto"/>
              </w:rPr>
            </w:pPr>
          </w:p>
        </w:tc>
        <w:tc>
          <w:tcPr>
            <w:tcW w:w="620" w:type="dxa"/>
            <w:vAlign w:val="bottom"/>
            <w:tcBorders>
              <w:right w:val="single" w:sz="8" w:color="3C5896"/>
            </w:tcBorders>
            <w:shd w:val="clear" w:color="auto" w:fill="3C5896"/>
          </w:tcPr>
          <w:p>
            <w:pPr>
              <w:spacing w:after="0" w:line="20" w:lineRule="exact"/>
              <w:rPr>
                <w:sz w:val="1"/>
                <w:szCs w:val="1"/>
                <w:color w:val="auto"/>
              </w:rPr>
            </w:pPr>
          </w:p>
        </w:tc>
        <w:tc>
          <w:tcPr>
            <w:tcW w:w="800" w:type="dxa"/>
            <w:vAlign w:val="bottom"/>
            <w:tcBorders>
              <w:right w:val="single" w:sz="8" w:color="3C5896"/>
            </w:tcBorders>
            <w:shd w:val="clear" w:color="auto" w:fill="3C5896"/>
          </w:tcPr>
          <w:p>
            <w:pPr>
              <w:spacing w:after="0" w:line="20" w:lineRule="exact"/>
              <w:rPr>
                <w:sz w:val="1"/>
                <w:szCs w:val="1"/>
                <w:color w:val="auto"/>
              </w:rPr>
            </w:pPr>
          </w:p>
        </w:tc>
        <w:tc>
          <w:tcPr>
            <w:tcW w:w="760" w:type="dxa"/>
            <w:vAlign w:val="bottom"/>
            <w:tcBorders>
              <w:right w:val="single" w:sz="8" w:color="3C5896"/>
            </w:tcBorders>
            <w:shd w:val="clear" w:color="auto" w:fill="3C5896"/>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660" w:type="dxa"/>
            <w:vAlign w:val="bottom"/>
            <w:tcBorders>
              <w:right w:val="single" w:sz="8" w:color="3C5896"/>
            </w:tcBorders>
            <w:shd w:val="clear" w:color="auto" w:fill="3C5896"/>
          </w:tcPr>
          <w:p>
            <w:pPr>
              <w:spacing w:after="0" w:line="20" w:lineRule="exact"/>
              <w:rPr>
                <w:sz w:val="1"/>
                <w:szCs w:val="1"/>
                <w:color w:val="auto"/>
              </w:rPr>
            </w:pPr>
          </w:p>
        </w:tc>
        <w:tc>
          <w:tcPr>
            <w:tcW w:w="86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700" w:type="dxa"/>
            <w:vAlign w:val="bottom"/>
            <w:tcBorders>
              <w:right w:val="single" w:sz="8" w:color="3C5896"/>
            </w:tcBorders>
            <w:shd w:val="clear" w:color="auto" w:fill="3C589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-4482465</wp:posOffset>
            </wp:positionV>
            <wp:extent cx="58204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-6017260</wp:posOffset>
            </wp:positionV>
            <wp:extent cx="50317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31" w:lineRule="exact"/>
        <w:rPr>
          <w:sz w:val="20"/>
          <w:szCs w:val="20"/>
          <w:color w:val="auto"/>
        </w:rPr>
      </w:pPr>
    </w:p>
    <w:p>
      <w:pPr>
        <w:jc w:val="both"/>
        <w:ind w:left="1120" w:right="760" w:hanging="358"/>
        <w:spacing w:after="0" w:line="247"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options. The pre-IPO options granted to Mr. Brandman vest as to 20% of the shares subject to such option on each anniversary of the grant date, subject to continued employment through the applicable vesting date. The time-based options granted to NEOs in 2019 and 2020 will vest in three substantially equal installments on each of the first, second and third anniversaries of the grant date, subject to continued employment through the applicable vesting date. Vesting of time-based options will be accelerated upon a change in control that occurs while the executive is still employed by us, as described under “Potential Payments upon Termination or Change in Control”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226060</wp:posOffset>
            </wp:positionV>
            <wp:extent cx="300355" cy="2400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45</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4" w:lineRule="exact"/>
        <w:rPr>
          <w:sz w:val="20"/>
          <w:szCs w:val="20"/>
          <w:color w:val="auto"/>
        </w:rPr>
      </w:pPr>
    </w:p>
    <w:p>
      <w:pPr>
        <w:jc w:val="both"/>
        <w:ind w:left="1120" w:hanging="358"/>
        <w:spacing w:after="0" w:line="252"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expiration date shown is the normal expiration date occurring on the tenth anniversary of the grant date. Options may terminate earlier in certain circumstances, such as in connection with a NEO’s termination of employment or in connection with certain corporate transactions, including a change in control of the Company.</w:t>
      </w:r>
    </w:p>
    <w:p>
      <w:pPr>
        <w:spacing w:after="0" w:line="50" w:lineRule="exact"/>
        <w:rPr>
          <w:rFonts w:ascii="Arial" w:cs="Arial" w:eastAsia="Arial" w:hAnsi="Arial"/>
          <w:sz w:val="15"/>
          <w:szCs w:val="15"/>
          <w:color w:val="auto"/>
        </w:rPr>
      </w:pPr>
    </w:p>
    <w:p>
      <w:pPr>
        <w:jc w:val="both"/>
        <w:ind w:left="1120" w:hanging="358"/>
        <w:spacing w:after="0" w:line="248"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RSUs. The RSUs granted in 2019 will vest in three installments over four years, one-half on the second anniversary of the grant date and one-quarter on each of the third and fourth anniversaries of the grant date, subject to continued employment through the applicable vesting date. The RSUs granted in 2020 will vest in three annual installments on the anniversary date of the grant. Ms. Blackwood’s special sign-on 2019 RSUs vest in three annual installments on the anniversary date of the grant.</w:t>
      </w:r>
    </w:p>
    <w:p>
      <w:pPr>
        <w:spacing w:after="0" w:line="53" w:lineRule="exact"/>
        <w:rPr>
          <w:rFonts w:ascii="Arial" w:cs="Arial" w:eastAsia="Arial" w:hAnsi="Arial"/>
          <w:sz w:val="15"/>
          <w:szCs w:val="15"/>
          <w:color w:val="auto"/>
        </w:rPr>
      </w:pPr>
    </w:p>
    <w:p>
      <w:pPr>
        <w:ind w:left="1120" w:hanging="358"/>
        <w:spacing w:after="0"/>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market value is based on the NASDAQ closing price on December 31, 2020.</w:t>
      </w:r>
    </w:p>
    <w:p>
      <w:pPr>
        <w:spacing w:after="0" w:line="70" w:lineRule="exact"/>
        <w:rPr>
          <w:rFonts w:ascii="Arial" w:cs="Arial" w:eastAsia="Arial" w:hAnsi="Arial"/>
          <w:sz w:val="15"/>
          <w:szCs w:val="15"/>
          <w:color w:val="auto"/>
        </w:rPr>
      </w:pPr>
    </w:p>
    <w:p>
      <w:pPr>
        <w:jc w:val="both"/>
        <w:ind w:left="1120" w:hanging="358"/>
        <w:spacing w:after="0" w:line="246"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PSUs. The PSUs granted in 2019 and 2020 will vest on the third anniversary of the grant date based on the Company’s achievement of certain Adjusted EBITDA growth targets, as set forth in each of the 2019 and 2020 PSU award agreement. The actual value of the PSUs that become vested based on the performance measure (Adjusted EBITDA growth) is based on an achievement factor which, in each case, ranges from a 50% payout for threshold performance, to 100% for target performance, to 200% for maximum performance. To the extent that performance falls between the applicable threshold, target or maximum levels, payouts will be determined using linear interpolation. Mr. Clark also received a special sign-on equity award when he joined the Company.</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139"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The following table provides information regarding options exercised by and stock vested for the NEOs during the fiscal year ended January 2, 2021.</w:t>
      </w:r>
    </w:p>
    <w:p>
      <w:pPr>
        <w:spacing w:after="0" w:line="97" w:lineRule="exact"/>
        <w:rPr>
          <w:sz w:val="20"/>
          <w:szCs w:val="20"/>
          <w:color w:val="auto"/>
        </w:rPr>
      </w:pPr>
    </w:p>
    <w:tbl>
      <w:tblPr>
        <w:tblLayout w:type="fixed"/>
        <w:tblInd w:w="770" w:type="dxa"/>
        <w:tblCellMar>
          <w:top w:w="0" w:type="dxa"/>
          <w:left w:w="0" w:type="dxa"/>
          <w:bottom w:w="0" w:type="dxa"/>
          <w:right w:w="0" w:type="dxa"/>
        </w:tblCellMar>
      </w:tblPr>
      <w:tr>
        <w:trPr>
          <w:trHeight w:val="284"/>
        </w:trPr>
        <w:tc>
          <w:tcPr>
            <w:tcW w:w="60" w:type="dxa"/>
            <w:vAlign w:val="bottom"/>
            <w:tcBorders>
              <w:top w:val="single" w:sz="8" w:color="3C5896"/>
              <w:left w:val="single" w:sz="8" w:color="3C5896"/>
            </w:tcBorders>
            <w:shd w:val="clear" w:color="auto" w:fill="3C5896"/>
          </w:tcPr>
          <w:p>
            <w:pPr>
              <w:spacing w:after="0"/>
              <w:rPr>
                <w:sz w:val="24"/>
                <w:szCs w:val="24"/>
                <w:color w:val="auto"/>
              </w:rPr>
            </w:pPr>
          </w:p>
        </w:tc>
        <w:tc>
          <w:tcPr>
            <w:tcW w:w="2620" w:type="dxa"/>
            <w:vAlign w:val="bottom"/>
            <w:tcBorders>
              <w:top w:val="single" w:sz="8" w:color="3C5896"/>
              <w:right w:val="single" w:sz="8" w:color="9EACCA"/>
            </w:tcBorders>
            <w:shd w:val="clear" w:color="auto" w:fill="3C5896"/>
          </w:tcPr>
          <w:p>
            <w:pPr>
              <w:spacing w:after="0"/>
              <w:rPr>
                <w:sz w:val="24"/>
                <w:szCs w:val="24"/>
                <w:color w:val="auto"/>
              </w:rPr>
            </w:pPr>
          </w:p>
        </w:tc>
        <w:tc>
          <w:tcPr>
            <w:tcW w:w="40" w:type="dxa"/>
            <w:vAlign w:val="bottom"/>
            <w:tcBorders>
              <w:top w:val="single" w:sz="8" w:color="3C5896"/>
            </w:tcBorders>
            <w:shd w:val="clear" w:color="auto" w:fill="3C5896"/>
          </w:tcPr>
          <w:p>
            <w:pPr>
              <w:spacing w:after="0"/>
              <w:rPr>
                <w:sz w:val="24"/>
                <w:szCs w:val="24"/>
                <w:color w:val="auto"/>
              </w:rPr>
            </w:pPr>
          </w:p>
        </w:tc>
        <w:tc>
          <w:tcPr>
            <w:tcW w:w="3220" w:type="dxa"/>
            <w:vAlign w:val="bottom"/>
            <w:tcBorders>
              <w:top w:val="single" w:sz="8" w:color="3C5896"/>
              <w:right w:val="single" w:sz="8" w:color="9EACCA"/>
            </w:tcBorders>
            <w:gridSpan w:val="2"/>
            <w:shd w:val="clear" w:color="auto" w:fill="3C5896"/>
          </w:tcPr>
          <w:p>
            <w:pPr>
              <w:jc w:val="right"/>
              <w:ind w:right="930"/>
              <w:spacing w:after="0"/>
              <w:rPr>
                <w:sz w:val="20"/>
                <w:szCs w:val="20"/>
                <w:color w:val="auto"/>
              </w:rPr>
            </w:pPr>
            <w:r>
              <w:rPr>
                <w:rFonts w:ascii="Arial" w:cs="Arial" w:eastAsia="Arial" w:hAnsi="Arial"/>
                <w:sz w:val="18"/>
                <w:szCs w:val="18"/>
                <w:b w:val="1"/>
                <w:bCs w:val="1"/>
                <w:color w:val="FFFFFF"/>
              </w:rPr>
              <w:t>Option Awards</w:t>
            </w:r>
          </w:p>
        </w:tc>
        <w:tc>
          <w:tcPr>
            <w:tcW w:w="3260" w:type="dxa"/>
            <w:vAlign w:val="bottom"/>
            <w:tcBorders>
              <w:top w:val="single" w:sz="8" w:color="3C5896"/>
              <w:right w:val="single" w:sz="8" w:color="3C5896"/>
            </w:tcBorders>
            <w:gridSpan w:val="2"/>
            <w:shd w:val="clear" w:color="auto" w:fill="3C5896"/>
          </w:tcPr>
          <w:p>
            <w:pPr>
              <w:jc w:val="right"/>
              <w:ind w:right="610"/>
              <w:spacing w:after="0"/>
              <w:rPr>
                <w:sz w:val="20"/>
                <w:szCs w:val="20"/>
                <w:color w:val="auto"/>
              </w:rPr>
            </w:pPr>
            <w:r>
              <w:rPr>
                <w:rFonts w:ascii="Arial" w:cs="Arial" w:eastAsia="Arial" w:hAnsi="Arial"/>
                <w:sz w:val="18"/>
                <w:szCs w:val="18"/>
                <w:b w:val="1"/>
                <w:bCs w:val="1"/>
                <w:color w:val="FFFFFF"/>
              </w:rPr>
              <w:t>Restricted Stock Units</w:t>
            </w:r>
          </w:p>
        </w:tc>
        <w:tc>
          <w:tcPr>
            <w:tcW w:w="0" w:type="dxa"/>
            <w:vAlign w:val="bottom"/>
          </w:tcPr>
          <w:p>
            <w:pPr>
              <w:spacing w:after="0"/>
              <w:rPr>
                <w:sz w:val="1"/>
                <w:szCs w:val="1"/>
                <w:color w:val="auto"/>
              </w:rPr>
            </w:pPr>
          </w:p>
        </w:tc>
      </w:tr>
      <w:tr>
        <w:trPr>
          <w:trHeight w:val="234"/>
        </w:trPr>
        <w:tc>
          <w:tcPr>
            <w:tcW w:w="60" w:type="dxa"/>
            <w:vAlign w:val="bottom"/>
            <w:tcBorders>
              <w:left w:val="single" w:sz="8" w:color="3C5896"/>
            </w:tcBorders>
            <w:shd w:val="clear" w:color="auto" w:fill="3C5896"/>
          </w:tcPr>
          <w:p>
            <w:pPr>
              <w:spacing w:after="0"/>
              <w:rPr>
                <w:sz w:val="20"/>
                <w:szCs w:val="20"/>
                <w:color w:val="auto"/>
              </w:rPr>
            </w:pPr>
          </w:p>
        </w:tc>
        <w:tc>
          <w:tcPr>
            <w:tcW w:w="2620" w:type="dxa"/>
            <w:vAlign w:val="bottom"/>
            <w:tcBorders>
              <w:right w:val="single" w:sz="8" w:color="9EACCA"/>
            </w:tcBorders>
            <w:shd w:val="clear" w:color="auto" w:fill="3C5896"/>
          </w:tcPr>
          <w:p>
            <w:pPr>
              <w:spacing w:after="0"/>
              <w:rPr>
                <w:sz w:val="20"/>
                <w:szCs w:val="20"/>
                <w:color w:val="auto"/>
              </w:rPr>
            </w:pPr>
          </w:p>
        </w:tc>
        <w:tc>
          <w:tcPr>
            <w:tcW w:w="40" w:type="dxa"/>
            <w:vAlign w:val="bottom"/>
            <w:shd w:val="clear" w:color="auto" w:fill="3C5896"/>
          </w:tcPr>
          <w:p>
            <w:pPr>
              <w:spacing w:after="0"/>
              <w:rPr>
                <w:sz w:val="20"/>
                <w:szCs w:val="20"/>
                <w:color w:val="auto"/>
              </w:rPr>
            </w:pPr>
          </w:p>
        </w:tc>
        <w:tc>
          <w:tcPr>
            <w:tcW w:w="1580" w:type="dxa"/>
            <w:vAlign w:val="bottom"/>
            <w:tcBorders>
              <w:right w:val="single" w:sz="8" w:color="9EACCA"/>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9"/>
              </w:rPr>
              <w:t>Number of</w:t>
            </w:r>
          </w:p>
        </w:tc>
        <w:tc>
          <w:tcPr>
            <w:tcW w:w="1640" w:type="dxa"/>
            <w:vAlign w:val="bottom"/>
            <w:tcBorders>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Value Realized</w:t>
            </w:r>
          </w:p>
        </w:tc>
        <w:tc>
          <w:tcPr>
            <w:tcW w:w="1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1640" w:type="dxa"/>
            <w:vAlign w:val="bottom"/>
            <w:tcBorders>
              <w:right w:val="single" w:sz="8" w:color="3C5896"/>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Value Realized</w:t>
            </w:r>
          </w:p>
        </w:tc>
        <w:tc>
          <w:tcPr>
            <w:tcW w:w="0" w:type="dxa"/>
            <w:vAlign w:val="bottom"/>
          </w:tcPr>
          <w:p>
            <w:pPr>
              <w:spacing w:after="0"/>
              <w:rPr>
                <w:sz w:val="1"/>
                <w:szCs w:val="1"/>
                <w:color w:val="auto"/>
              </w:rPr>
            </w:pPr>
          </w:p>
        </w:tc>
      </w:tr>
      <w:tr>
        <w:trPr>
          <w:trHeight w:val="185"/>
        </w:trPr>
        <w:tc>
          <w:tcPr>
            <w:tcW w:w="60" w:type="dxa"/>
            <w:vAlign w:val="bottom"/>
            <w:tcBorders>
              <w:left w:val="single" w:sz="8" w:color="3C5896"/>
            </w:tcBorders>
            <w:shd w:val="clear" w:color="auto" w:fill="3C5896"/>
          </w:tcPr>
          <w:p>
            <w:pPr>
              <w:spacing w:after="0"/>
              <w:rPr>
                <w:sz w:val="16"/>
                <w:szCs w:val="16"/>
                <w:color w:val="auto"/>
              </w:rPr>
            </w:pPr>
          </w:p>
        </w:tc>
        <w:tc>
          <w:tcPr>
            <w:tcW w:w="2620" w:type="dxa"/>
            <w:vAlign w:val="bottom"/>
            <w:tcBorders>
              <w:right w:val="single" w:sz="8" w:color="9EACCA"/>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580" w:type="dxa"/>
            <w:vAlign w:val="bottom"/>
            <w:tcBorders>
              <w:right w:val="single" w:sz="8" w:color="9EACCA"/>
            </w:tcBorders>
            <w:shd w:val="clear" w:color="auto" w:fill="3C5896"/>
          </w:tcPr>
          <w:p>
            <w:pPr>
              <w:jc w:val="center"/>
              <w:ind w:right="30"/>
              <w:spacing w:after="0" w:line="185" w:lineRule="exact"/>
              <w:rPr>
                <w:sz w:val="20"/>
                <w:szCs w:val="20"/>
                <w:color w:val="auto"/>
              </w:rPr>
            </w:pPr>
            <w:r>
              <w:rPr>
                <w:rFonts w:ascii="Arial" w:cs="Arial" w:eastAsia="Arial" w:hAnsi="Arial"/>
                <w:sz w:val="18"/>
                <w:szCs w:val="18"/>
                <w:b w:val="1"/>
                <w:bCs w:val="1"/>
                <w:color w:val="FFFFFF"/>
                <w:w w:val="99"/>
              </w:rPr>
              <w:t>Shares Acquired</w:t>
            </w:r>
          </w:p>
        </w:tc>
        <w:tc>
          <w:tcPr>
            <w:tcW w:w="1640" w:type="dxa"/>
            <w:vAlign w:val="bottom"/>
            <w:tcBorders>
              <w:right w:val="single" w:sz="8" w:color="9EACCA"/>
            </w:tcBorders>
            <w:vMerge w:val="continue"/>
            <w:shd w:val="clear" w:color="auto" w:fill="3C5896"/>
          </w:tcPr>
          <w:p>
            <w:pPr>
              <w:spacing w:after="0"/>
              <w:rPr>
                <w:sz w:val="16"/>
                <w:szCs w:val="16"/>
                <w:color w:val="auto"/>
              </w:rPr>
            </w:pPr>
          </w:p>
        </w:tc>
        <w:tc>
          <w:tcPr>
            <w:tcW w:w="1620" w:type="dxa"/>
            <w:vAlign w:val="bottom"/>
            <w:tcBorders>
              <w:right w:val="single" w:sz="8" w:color="9EACCA"/>
            </w:tcBorders>
            <w:shd w:val="clear" w:color="auto" w:fill="3C5896"/>
          </w:tcPr>
          <w:p>
            <w:pPr>
              <w:jc w:val="center"/>
              <w:spacing w:after="0" w:line="185" w:lineRule="exact"/>
              <w:rPr>
                <w:sz w:val="20"/>
                <w:szCs w:val="20"/>
                <w:color w:val="auto"/>
              </w:rPr>
            </w:pPr>
            <w:r>
              <w:rPr>
                <w:rFonts w:ascii="Arial" w:cs="Arial" w:eastAsia="Arial" w:hAnsi="Arial"/>
                <w:sz w:val="18"/>
                <w:szCs w:val="18"/>
                <w:b w:val="1"/>
                <w:bCs w:val="1"/>
                <w:color w:val="FFFFFF"/>
                <w:w w:val="99"/>
              </w:rPr>
              <w:t>Shares Acquired</w:t>
            </w:r>
          </w:p>
        </w:tc>
        <w:tc>
          <w:tcPr>
            <w:tcW w:w="1640" w:type="dxa"/>
            <w:vAlign w:val="bottom"/>
            <w:tcBorders>
              <w:right w:val="single" w:sz="8" w:color="3C5896"/>
            </w:tcBorders>
            <w:vMerge w:val="continue"/>
            <w:shd w:val="clear" w:color="auto" w:fill="3C589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2620" w:type="dxa"/>
            <w:vAlign w:val="bottom"/>
            <w:tcBorders>
              <w:right w:val="single" w:sz="8" w:color="9EACCA"/>
            </w:tcBorders>
            <w:vMerge w:val="restart"/>
            <w:shd w:val="clear" w:color="auto" w:fill="3C5896"/>
          </w:tcPr>
          <w:p>
            <w:pPr>
              <w:ind w:left="1040"/>
              <w:spacing w:after="0"/>
              <w:rPr>
                <w:sz w:val="20"/>
                <w:szCs w:val="20"/>
                <w:color w:val="auto"/>
              </w:rPr>
            </w:pPr>
            <w:r>
              <w:rPr>
                <w:rFonts w:ascii="Arial" w:cs="Arial" w:eastAsia="Arial" w:hAnsi="Arial"/>
                <w:sz w:val="18"/>
                <w:szCs w:val="18"/>
                <w:b w:val="1"/>
                <w:bCs w:val="1"/>
                <w:color w:val="FFFFFF"/>
              </w:rPr>
              <w:t>Name</w:t>
            </w:r>
          </w:p>
        </w:tc>
        <w:tc>
          <w:tcPr>
            <w:tcW w:w="40" w:type="dxa"/>
            <w:vAlign w:val="bottom"/>
            <w:shd w:val="clear" w:color="auto" w:fill="3C5896"/>
          </w:tcPr>
          <w:p>
            <w:pPr>
              <w:spacing w:after="0"/>
              <w:rPr>
                <w:sz w:val="16"/>
                <w:szCs w:val="16"/>
                <w:color w:val="auto"/>
              </w:rPr>
            </w:pPr>
          </w:p>
        </w:tc>
        <w:tc>
          <w:tcPr>
            <w:tcW w:w="158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8"/>
              </w:rPr>
              <w:t>on Exercise</w:t>
            </w:r>
          </w:p>
        </w:tc>
        <w:tc>
          <w:tcPr>
            <w:tcW w:w="164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on Exercise</w:t>
            </w:r>
          </w:p>
        </w:tc>
        <w:tc>
          <w:tcPr>
            <w:tcW w:w="162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on Vesting</w:t>
            </w:r>
          </w:p>
        </w:tc>
        <w:tc>
          <w:tcPr>
            <w:tcW w:w="164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7"/>
              </w:rPr>
              <w:t>on Vesting</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3C5896"/>
          </w:tcPr>
          <w:p>
            <w:pPr>
              <w:spacing w:after="0"/>
              <w:rPr>
                <w:sz w:val="22"/>
                <w:szCs w:val="22"/>
                <w:color w:val="auto"/>
              </w:rPr>
            </w:pPr>
          </w:p>
        </w:tc>
        <w:tc>
          <w:tcPr>
            <w:tcW w:w="2620" w:type="dxa"/>
            <w:vAlign w:val="bottom"/>
            <w:tcBorders>
              <w:right w:val="single" w:sz="8" w:color="9EACCA"/>
            </w:tcBorders>
            <w:vMerge w:val="continue"/>
            <w:shd w:val="clear" w:color="auto" w:fill="3C5896"/>
          </w:tcPr>
          <w:p>
            <w:pPr>
              <w:spacing w:after="0"/>
              <w:rPr>
                <w:sz w:val="22"/>
                <w:szCs w:val="22"/>
                <w:color w:val="auto"/>
              </w:rPr>
            </w:pPr>
          </w:p>
        </w:tc>
        <w:tc>
          <w:tcPr>
            <w:tcW w:w="40" w:type="dxa"/>
            <w:vAlign w:val="bottom"/>
            <w:shd w:val="clear" w:color="auto" w:fill="3C5896"/>
          </w:tcPr>
          <w:p>
            <w:pPr>
              <w:spacing w:after="0"/>
              <w:rPr>
                <w:sz w:val="22"/>
                <w:szCs w:val="22"/>
                <w:color w:val="auto"/>
              </w:rPr>
            </w:pPr>
          </w:p>
        </w:tc>
        <w:tc>
          <w:tcPr>
            <w:tcW w:w="158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0"/>
              </w:rPr>
              <w:t>(#)</w:t>
            </w:r>
          </w:p>
        </w:tc>
        <w:tc>
          <w:tcPr>
            <w:tcW w:w="1640" w:type="dxa"/>
            <w:vAlign w:val="bottom"/>
            <w:tcBorders>
              <w:right w:val="single" w:sz="8" w:color="9EACCA"/>
            </w:tcBorders>
            <w:shd w:val="clear" w:color="auto" w:fill="3C5896"/>
          </w:tcPr>
          <w:p>
            <w:pPr>
              <w:jc w:val="center"/>
              <w:spacing w:after="0" w:line="256" w:lineRule="exact"/>
              <w:rPr>
                <w:sz w:val="20"/>
                <w:szCs w:val="20"/>
                <w:color w:val="auto"/>
              </w:rPr>
            </w:pPr>
            <w:r>
              <w:rPr>
                <w:rFonts w:ascii="Arial" w:cs="Arial" w:eastAsia="Arial" w:hAnsi="Arial"/>
                <w:sz w:val="18"/>
                <w:szCs w:val="18"/>
                <w:b w:val="1"/>
                <w:bCs w:val="1"/>
                <w:color w:val="FFFFFF"/>
                <w:w w:val="87"/>
              </w:rPr>
              <w:t>($)</w:t>
            </w:r>
            <w:r>
              <w:rPr>
                <w:rFonts w:ascii="Arial" w:cs="Arial" w:eastAsia="Arial" w:hAnsi="Arial"/>
                <w:sz w:val="26"/>
                <w:szCs w:val="26"/>
                <w:b w:val="1"/>
                <w:bCs w:val="1"/>
                <w:color w:val="FFFFFF"/>
                <w:w w:val="87"/>
                <w:vertAlign w:val="superscript"/>
              </w:rPr>
              <w:t>(1)</w:t>
            </w:r>
          </w:p>
        </w:tc>
        <w:tc>
          <w:tcPr>
            <w:tcW w:w="16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0"/>
              </w:rPr>
              <w:t>(#)</w:t>
            </w:r>
          </w:p>
        </w:tc>
        <w:tc>
          <w:tcPr>
            <w:tcW w:w="1640" w:type="dxa"/>
            <w:vAlign w:val="bottom"/>
            <w:tcBorders>
              <w:right w:val="single" w:sz="8" w:color="3C5896"/>
            </w:tcBorders>
            <w:shd w:val="clear" w:color="auto" w:fill="3C5896"/>
          </w:tcPr>
          <w:p>
            <w:pPr>
              <w:jc w:val="center"/>
              <w:spacing w:after="0" w:line="256" w:lineRule="exact"/>
              <w:rPr>
                <w:sz w:val="20"/>
                <w:szCs w:val="20"/>
                <w:color w:val="auto"/>
              </w:rPr>
            </w:pPr>
            <w:r>
              <w:rPr>
                <w:rFonts w:ascii="Arial" w:cs="Arial" w:eastAsia="Arial" w:hAnsi="Arial"/>
                <w:sz w:val="18"/>
                <w:szCs w:val="18"/>
                <w:b w:val="1"/>
                <w:bCs w:val="1"/>
                <w:color w:val="FFFFFF"/>
                <w:w w:val="87"/>
              </w:rPr>
              <w:t>($)</w:t>
            </w:r>
            <w:r>
              <w:rPr>
                <w:rFonts w:ascii="Arial" w:cs="Arial" w:eastAsia="Arial" w:hAnsi="Arial"/>
                <w:sz w:val="26"/>
                <w:szCs w:val="26"/>
                <w:b w:val="1"/>
                <w:bCs w:val="1"/>
                <w:color w:val="FFFFFF"/>
                <w:w w:val="87"/>
                <w:vertAlign w:val="superscript"/>
              </w:rPr>
              <w:t>(2)</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26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L. Reade Fahs</w:t>
            </w:r>
          </w:p>
        </w:tc>
        <w:tc>
          <w:tcPr>
            <w:tcW w:w="40" w:type="dxa"/>
            <w:vAlign w:val="bottom"/>
          </w:tcPr>
          <w:p>
            <w:pPr>
              <w:spacing w:after="0"/>
              <w:rPr>
                <w:sz w:val="21"/>
                <w:szCs w:val="21"/>
                <w:color w:val="auto"/>
              </w:rPr>
            </w:pPr>
          </w:p>
        </w:tc>
        <w:tc>
          <w:tcPr>
            <w:tcW w:w="1580" w:type="dxa"/>
            <w:vAlign w:val="bottom"/>
            <w:tcBorders>
              <w:right w:val="single" w:sz="8" w:color="9EACCA"/>
            </w:tcBorders>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262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1620" w:type="dxa"/>
            <w:vAlign w:val="bottom"/>
            <w:tcBorders>
              <w:right w:val="single" w:sz="8" w:color="9EACCA"/>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58,161</w:t>
            </w:r>
          </w:p>
        </w:tc>
        <w:tc>
          <w:tcPr>
            <w:tcW w:w="164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2,495,113</w:t>
            </w:r>
          </w:p>
        </w:tc>
        <w:tc>
          <w:tcPr>
            <w:tcW w:w="1620" w:type="dxa"/>
            <w:vAlign w:val="bottom"/>
            <w:tcBorders>
              <w:right w:val="single" w:sz="8" w:color="9EACCA"/>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shd w:val="clear" w:color="auto" w:fill="CCCCCC"/>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26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Bill Clark</w:t>
            </w:r>
          </w:p>
        </w:tc>
        <w:tc>
          <w:tcPr>
            <w:tcW w:w="40" w:type="dxa"/>
            <w:vAlign w:val="bottom"/>
          </w:tcPr>
          <w:p>
            <w:pPr>
              <w:spacing w:after="0"/>
              <w:rPr>
                <w:sz w:val="21"/>
                <w:szCs w:val="21"/>
                <w:color w:val="auto"/>
              </w:rPr>
            </w:pPr>
          </w:p>
        </w:tc>
        <w:tc>
          <w:tcPr>
            <w:tcW w:w="1580" w:type="dxa"/>
            <w:vAlign w:val="bottom"/>
            <w:tcBorders>
              <w:right w:val="single" w:sz="8" w:color="9EACCA"/>
            </w:tcBorders>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262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Jared Brandman</w:t>
            </w:r>
          </w:p>
        </w:tc>
        <w:tc>
          <w:tcPr>
            <w:tcW w:w="40" w:type="dxa"/>
            <w:vAlign w:val="bottom"/>
            <w:shd w:val="clear" w:color="auto" w:fill="CCCCCC"/>
          </w:tcPr>
          <w:p>
            <w:pPr>
              <w:spacing w:after="0"/>
              <w:rPr>
                <w:sz w:val="22"/>
                <w:szCs w:val="22"/>
                <w:color w:val="auto"/>
              </w:rPr>
            </w:pPr>
          </w:p>
        </w:tc>
        <w:tc>
          <w:tcPr>
            <w:tcW w:w="1580" w:type="dxa"/>
            <w:vAlign w:val="bottom"/>
            <w:tcBorders>
              <w:right w:val="single" w:sz="8" w:color="9EACCA"/>
            </w:tcBorders>
            <w:shd w:val="clear" w:color="auto" w:fill="CCCCCC"/>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shd w:val="clear" w:color="auto" w:fill="CCCCCC"/>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3C5896"/>
            </w:tcBorders>
            <w:shd w:val="clear" w:color="auto" w:fill="CCCCCC"/>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26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40" w:type="dxa"/>
            <w:vAlign w:val="bottom"/>
          </w:tcPr>
          <w:p>
            <w:pPr>
              <w:spacing w:after="0"/>
              <w:rPr>
                <w:sz w:val="24"/>
                <w:szCs w:val="24"/>
                <w:color w:val="auto"/>
              </w:rPr>
            </w:pPr>
          </w:p>
        </w:tc>
        <w:tc>
          <w:tcPr>
            <w:tcW w:w="1580" w:type="dxa"/>
            <w:vAlign w:val="bottom"/>
            <w:tcBorders>
              <w:right w:val="single" w:sz="8" w:color="9EACCA"/>
            </w:tcBorders>
          </w:tcPr>
          <w:p>
            <w:pPr>
              <w:jc w:val="right"/>
              <w:ind w:right="45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9EACCA"/>
            </w:tcBorders>
          </w:tcPr>
          <w:p>
            <w:pPr>
              <w:jc w:val="right"/>
              <w:ind w:right="510"/>
              <w:spacing w:after="0"/>
              <w:rPr>
                <w:sz w:val="20"/>
                <w:szCs w:val="20"/>
                <w:color w:val="auto"/>
              </w:rPr>
            </w:pPr>
            <w:r>
              <w:rPr>
                <w:rFonts w:ascii="Arial" w:cs="Arial" w:eastAsia="Arial" w:hAnsi="Arial"/>
                <w:sz w:val="18"/>
                <w:szCs w:val="18"/>
                <w:color w:val="auto"/>
              </w:rPr>
              <w:t>2,743</w:t>
            </w:r>
          </w:p>
        </w:tc>
        <w:tc>
          <w:tcPr>
            <w:tcW w:w="1640" w:type="dxa"/>
            <w:vAlign w:val="bottom"/>
            <w:tcBorders>
              <w:right w:val="single" w:sz="8" w:color="3C5896"/>
            </w:tcBorders>
          </w:tcPr>
          <w:p>
            <w:pPr>
              <w:jc w:val="right"/>
              <w:ind w:right="410"/>
              <w:spacing w:after="0"/>
              <w:rPr>
                <w:sz w:val="20"/>
                <w:szCs w:val="20"/>
                <w:color w:val="auto"/>
              </w:rPr>
            </w:pPr>
            <w:r>
              <w:rPr>
                <w:rFonts w:ascii="Arial" w:cs="Arial" w:eastAsia="Arial" w:hAnsi="Arial"/>
                <w:sz w:val="18"/>
                <w:szCs w:val="18"/>
                <w:color w:val="auto"/>
              </w:rPr>
              <w:t>127,165</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262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580" w:type="dxa"/>
            <w:vAlign w:val="bottom"/>
            <w:tcBorders>
              <w:right w:val="single" w:sz="8" w:color="3C5896"/>
            </w:tcBorders>
            <w:shd w:val="clear" w:color="auto" w:fill="3C5896"/>
          </w:tcPr>
          <w:p>
            <w:pPr>
              <w:spacing w:after="0" w:line="20" w:lineRule="exact"/>
              <w:rPr>
                <w:sz w:val="1"/>
                <w:szCs w:val="1"/>
                <w:color w:val="auto"/>
              </w:rPr>
            </w:pPr>
          </w:p>
        </w:tc>
        <w:tc>
          <w:tcPr>
            <w:tcW w:w="1640" w:type="dxa"/>
            <w:vAlign w:val="bottom"/>
            <w:tcBorders>
              <w:right w:val="single" w:sz="8" w:color="3C5896"/>
            </w:tcBorders>
            <w:shd w:val="clear" w:color="auto" w:fill="3C5896"/>
          </w:tcPr>
          <w:p>
            <w:pPr>
              <w:spacing w:after="0" w:line="20" w:lineRule="exact"/>
              <w:rPr>
                <w:sz w:val="1"/>
                <w:szCs w:val="1"/>
                <w:color w:val="auto"/>
              </w:rPr>
            </w:pPr>
          </w:p>
        </w:tc>
        <w:tc>
          <w:tcPr>
            <w:tcW w:w="1620" w:type="dxa"/>
            <w:vAlign w:val="bottom"/>
            <w:tcBorders>
              <w:right w:val="single" w:sz="8" w:color="3C5896"/>
            </w:tcBorders>
            <w:shd w:val="clear" w:color="auto" w:fill="3C5896"/>
          </w:tcPr>
          <w:p>
            <w:pPr>
              <w:spacing w:after="0" w:line="20" w:lineRule="exact"/>
              <w:rPr>
                <w:sz w:val="1"/>
                <w:szCs w:val="1"/>
                <w:color w:val="auto"/>
              </w:rPr>
            </w:pPr>
          </w:p>
        </w:tc>
        <w:tc>
          <w:tcPr>
            <w:tcW w:w="164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-839470</wp:posOffset>
            </wp:positionV>
            <wp:extent cx="41319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-1388110</wp:posOffset>
            </wp:positionV>
            <wp:extent cx="41319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44" w:lineRule="exact"/>
        <w:rPr>
          <w:sz w:val="20"/>
          <w:szCs w:val="20"/>
          <w:color w:val="auto"/>
        </w:rPr>
      </w:pPr>
    </w:p>
    <w:p>
      <w:pPr>
        <w:ind w:left="1120" w:hanging="358"/>
        <w:spacing w:after="0" w:line="260" w:lineRule="auto"/>
        <w:tabs>
          <w:tab w:leader="none" w:pos="1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the difference between the fair market value of the shares acquired on the exercise date and the exercise price of the options, multiplied by the number of options exercised.</w:t>
      </w:r>
    </w:p>
    <w:p>
      <w:pPr>
        <w:spacing w:after="0" w:line="44" w:lineRule="exact"/>
        <w:rPr>
          <w:rFonts w:ascii="Arial" w:cs="Arial" w:eastAsia="Arial" w:hAnsi="Arial"/>
          <w:sz w:val="15"/>
          <w:szCs w:val="15"/>
          <w:color w:val="auto"/>
        </w:rPr>
      </w:pPr>
    </w:p>
    <w:p>
      <w:pPr>
        <w:ind w:left="1120" w:hanging="358"/>
        <w:spacing w:after="0"/>
        <w:tabs>
          <w:tab w:leader="none" w:pos="11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the fair market value of the RSUs on the vesting date.</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2020 Pension Benefits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no defined benefit pension plans for our executive officers.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2020 Non-Qualified Deferred Compensation</w:t>
      </w:r>
    </w:p>
    <w:p>
      <w:pPr>
        <w:spacing w:after="0" w:line="139"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We have no non-qualified defined contribution or other non-qualified deferred compensation plans for our executive officers.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9"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following section describes the payments and benefits that may become payable to the NEOs in connection with their termination of employment and/or a change in control. All such payments and benefits will be paid or provided by us or National Vision, Inc.</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39"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The Executive Severance Plan provides for severance payments and benefits to eligible employees, including our NEOs, upon a termination of employment by the Company without cause or by the executive for good reason (each as defined in the Executive Severance Plan, and each of which we refer to as a Qualifying Termination). In the event of a Qualifying Termination of employment, the Executive Severance Plan provides, in addition to certain accrued obligations, for the following payments and benefits:</w:t>
      </w:r>
    </w:p>
    <w:p>
      <w:pPr>
        <w:spacing w:after="0" w:line="94" w:lineRule="exact"/>
        <w:rPr>
          <w:sz w:val="20"/>
          <w:szCs w:val="20"/>
          <w:color w:val="auto"/>
        </w:rPr>
      </w:pPr>
    </w:p>
    <w:p>
      <w:pPr>
        <w:ind w:left="1340" w:hanging="218"/>
        <w:spacing w:after="0"/>
        <w:tabs>
          <w:tab w:leader="none" w:pos="1340" w:val="left"/>
        </w:tabs>
        <w:numPr>
          <w:ilvl w:val="0"/>
          <w:numId w:val="45"/>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actual performance;</w:t>
      </w:r>
    </w:p>
    <w:p>
      <w:pPr>
        <w:spacing w:after="0" w:line="313" w:lineRule="exact"/>
        <w:rPr>
          <w:rFonts w:ascii="Arial" w:cs="Arial" w:eastAsia="Arial" w:hAnsi="Arial"/>
          <w:sz w:val="18"/>
          <w:szCs w:val="18"/>
          <w:color w:val="3C5896"/>
        </w:rPr>
      </w:pPr>
    </w:p>
    <w:p>
      <w:pPr>
        <w:ind w:left="1340"/>
        <w:spacing w:after="0"/>
        <w:rPr>
          <w:rFonts w:ascii="Arial" w:cs="Arial" w:eastAsia="Arial" w:hAnsi="Arial"/>
          <w:sz w:val="18"/>
          <w:szCs w:val="18"/>
          <w:color w:val="3C5896"/>
        </w:rPr>
      </w:pPr>
      <w:r>
        <w:rPr>
          <w:rFonts w:ascii="Arial" w:cs="Arial" w:eastAsia="Arial" w:hAnsi="Arial"/>
          <w:sz w:val="16"/>
          <w:szCs w:val="16"/>
          <w:b w:val="1"/>
          <w:bCs w:val="1"/>
          <w:color w:val="auto"/>
        </w:rPr>
        <w:t xml:space="preserve">46  </w:t>
      </w:r>
      <w:r>
        <w:rPr>
          <w:rFonts w:ascii="Arial" w:cs="Arial" w:eastAsia="Arial" w:hAnsi="Arial"/>
          <w:sz w:val="1"/>
          <w:szCs w:val="1"/>
          <w:color w:val="3C5896"/>
        </w:rPr>
        <w:drawing>
          <wp:inline distT="0" distB="0" distL="0" distR="0">
            <wp:extent cx="300355" cy="24003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1340" w:right="760" w:hanging="218"/>
        <w:spacing w:after="0" w:line="238" w:lineRule="auto"/>
        <w:tabs>
          <w:tab w:leader="none" w:pos="1340" w:val="left"/>
        </w:tabs>
        <w:numPr>
          <w:ilvl w:val="0"/>
          <w:numId w:val="46"/>
        </w:numPr>
        <w:rPr>
          <w:rFonts w:ascii="Arial" w:cs="Arial" w:eastAsia="Arial" w:hAnsi="Arial"/>
          <w:sz w:val="18"/>
          <w:szCs w:val="18"/>
          <w:color w:val="3C5896"/>
        </w:rPr>
      </w:pPr>
      <w:r>
        <w:rPr>
          <w:rFonts w:ascii="Arial" w:cs="Arial" w:eastAsia="Arial" w:hAnsi="Arial"/>
          <w:sz w:val="18"/>
          <w:szCs w:val="18"/>
          <w:color w:val="auto"/>
        </w:rPr>
        <w:t>An amount equal to the sum of the executive’s (x) annual base salary and (y) bonus based on target performance, which we refer to collectively as the cash severance amount, times the multiplier applicable to such executive, which is 2.0 for Mr. Fahs, 1.5 for Messrs. Moore and Brandman, and 1.0 for Mr. Clark and Ms. Blackwood, payable over a period of 24 months for Mr. Fahs, 18 months for Messrs. Moore and Brandman, and 12 months for Mr. Clark and Ms. Blackwood; and</w:t>
      </w:r>
    </w:p>
    <w:p>
      <w:pPr>
        <w:spacing w:after="0" w:line="94" w:lineRule="exact"/>
        <w:rPr>
          <w:rFonts w:ascii="Arial" w:cs="Arial" w:eastAsia="Arial" w:hAnsi="Arial"/>
          <w:sz w:val="18"/>
          <w:szCs w:val="18"/>
          <w:color w:val="3C5896"/>
        </w:rPr>
      </w:pPr>
    </w:p>
    <w:p>
      <w:pPr>
        <w:jc w:val="both"/>
        <w:ind w:left="1340" w:right="760" w:hanging="218"/>
        <w:spacing w:after="0" w:line="238" w:lineRule="auto"/>
        <w:tabs>
          <w:tab w:leader="none" w:pos="1340" w:val="left"/>
        </w:tabs>
        <w:numPr>
          <w:ilvl w:val="0"/>
          <w:numId w:val="46"/>
        </w:numPr>
        <w:rPr>
          <w:rFonts w:ascii="Arial" w:cs="Arial" w:eastAsia="Arial" w:hAnsi="Arial"/>
          <w:sz w:val="18"/>
          <w:szCs w:val="18"/>
          <w:color w:val="3C5896"/>
        </w:rPr>
      </w:pPr>
      <w:r>
        <w:rPr>
          <w:rFonts w:ascii="Arial" w:cs="Arial" w:eastAsia="Arial" w:hAnsi="Arial"/>
          <w:sz w:val="18"/>
          <w:szCs w:val="18"/>
          <w:color w:val="auto"/>
        </w:rPr>
        <w:t>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Fahs, 18 months for Messrs. Moore and Brandman, and 12 months for Mr. Clark and Ms. Blackwood.</w:t>
      </w:r>
    </w:p>
    <w:p>
      <w:pPr>
        <w:spacing w:after="0" w:line="97"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In addition, upon a Qualifying Termination that occurs within the two-year period following a change in control (as defined in the Executive Severance Plan), the Executive Severance Plan provides, in addition to certain accrued obligations, for the following payments and benefits:</w:t>
      </w:r>
    </w:p>
    <w:p>
      <w:pPr>
        <w:spacing w:after="0" w:line="107" w:lineRule="exact"/>
        <w:rPr>
          <w:sz w:val="20"/>
          <w:szCs w:val="20"/>
          <w:color w:val="auto"/>
        </w:rPr>
      </w:pPr>
    </w:p>
    <w:p>
      <w:pPr>
        <w:ind w:left="1340" w:hanging="218"/>
        <w:spacing w:after="0"/>
        <w:tabs>
          <w:tab w:leader="none" w:pos="1340" w:val="left"/>
        </w:tabs>
        <w:numPr>
          <w:ilvl w:val="0"/>
          <w:numId w:val="47"/>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target performance;</w:t>
      </w:r>
    </w:p>
    <w:p>
      <w:pPr>
        <w:spacing w:after="0" w:line="103" w:lineRule="exact"/>
        <w:rPr>
          <w:rFonts w:ascii="Arial" w:cs="Arial" w:eastAsia="Arial" w:hAnsi="Arial"/>
          <w:sz w:val="18"/>
          <w:szCs w:val="18"/>
          <w:color w:val="3C5896"/>
        </w:rPr>
      </w:pPr>
    </w:p>
    <w:p>
      <w:pPr>
        <w:jc w:val="both"/>
        <w:ind w:left="1340" w:right="760" w:hanging="218"/>
        <w:spacing w:after="0"/>
        <w:tabs>
          <w:tab w:leader="none" w:pos="1340" w:val="left"/>
        </w:tabs>
        <w:numPr>
          <w:ilvl w:val="0"/>
          <w:numId w:val="47"/>
        </w:numPr>
        <w:rPr>
          <w:rFonts w:ascii="Arial" w:cs="Arial" w:eastAsia="Arial" w:hAnsi="Arial"/>
          <w:sz w:val="18"/>
          <w:szCs w:val="18"/>
          <w:color w:val="3C5896"/>
        </w:rPr>
      </w:pPr>
      <w:r>
        <w:rPr>
          <w:rFonts w:ascii="Arial" w:cs="Arial" w:eastAsia="Arial" w:hAnsi="Arial"/>
          <w:sz w:val="18"/>
          <w:szCs w:val="18"/>
          <w:color w:val="auto"/>
        </w:rPr>
        <w:t>The cash severance amount, times the multiplier applicable to such executive, which is 2.5 for Mr. Fahs, 2.0 for Messrs. Moore and Brandman, and 1.5 for Mr. Clark and Ms. Blackwood, payable in a lump sum within 60 days following the covered termination;</w:t>
      </w:r>
    </w:p>
    <w:p>
      <w:pPr>
        <w:spacing w:after="0" w:line="94" w:lineRule="exact"/>
        <w:rPr>
          <w:rFonts w:ascii="Arial" w:cs="Arial" w:eastAsia="Arial" w:hAnsi="Arial"/>
          <w:sz w:val="18"/>
          <w:szCs w:val="18"/>
          <w:color w:val="3C5896"/>
        </w:rPr>
      </w:pPr>
    </w:p>
    <w:p>
      <w:pPr>
        <w:ind w:left="1340" w:right="760" w:hanging="218"/>
        <w:spacing w:after="0" w:line="246" w:lineRule="auto"/>
        <w:tabs>
          <w:tab w:leader="none" w:pos="1340" w:val="left"/>
        </w:tabs>
        <w:numPr>
          <w:ilvl w:val="0"/>
          <w:numId w:val="47"/>
        </w:numPr>
        <w:rPr>
          <w:rFonts w:ascii="Arial" w:cs="Arial" w:eastAsia="Arial" w:hAnsi="Arial"/>
          <w:sz w:val="18"/>
          <w:szCs w:val="18"/>
          <w:color w:val="3C5896"/>
        </w:rPr>
      </w:pPr>
      <w:r>
        <w:rPr>
          <w:rFonts w:ascii="Arial" w:cs="Arial" w:eastAsia="Arial" w:hAnsi="Arial"/>
          <w:sz w:val="18"/>
          <w:szCs w:val="18"/>
          <w:color w:val="auto"/>
        </w:rPr>
        <w:t>The welfare benefit for a period of 30 months for Mr. Fahs, 24 months for Messrs. Moore and Brandman, and 18 months for Mr. Clark and Ms. Blackwood; and</w:t>
      </w:r>
    </w:p>
    <w:p>
      <w:pPr>
        <w:spacing w:after="0" w:line="88" w:lineRule="exact"/>
        <w:rPr>
          <w:rFonts w:ascii="Arial" w:cs="Arial" w:eastAsia="Arial" w:hAnsi="Arial"/>
          <w:sz w:val="18"/>
          <w:szCs w:val="18"/>
          <w:color w:val="3C5896"/>
        </w:rPr>
      </w:pPr>
    </w:p>
    <w:p>
      <w:pPr>
        <w:ind w:left="1340" w:right="760" w:hanging="218"/>
        <w:spacing w:after="0" w:line="246" w:lineRule="auto"/>
        <w:tabs>
          <w:tab w:leader="none" w:pos="1340" w:val="left"/>
        </w:tabs>
        <w:numPr>
          <w:ilvl w:val="0"/>
          <w:numId w:val="47"/>
        </w:numPr>
        <w:rPr>
          <w:rFonts w:ascii="Arial" w:cs="Arial" w:eastAsia="Arial" w:hAnsi="Arial"/>
          <w:sz w:val="18"/>
          <w:szCs w:val="18"/>
          <w:color w:val="3C5896"/>
        </w:rPr>
      </w:pPr>
      <w:r>
        <w:rPr>
          <w:rFonts w:ascii="Arial" w:cs="Arial" w:eastAsia="Arial" w:hAnsi="Arial"/>
          <w:sz w:val="18"/>
          <w:szCs w:val="18"/>
          <w:color w:val="auto"/>
        </w:rPr>
        <w:t>Payment of, or reimbursement for, up to $20,000 in outplacement services within the six-month period following termination of employment.</w:t>
      </w:r>
    </w:p>
    <w:p>
      <w:pPr>
        <w:spacing w:after="0" w:line="89"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Any outstanding awards granted to NEOs under the Company’s equity plans will vest in accordance with the terms of the respective Equity Plan and the applicable award agreement, as detailed further below.</w:t>
      </w:r>
    </w:p>
    <w:p>
      <w:pPr>
        <w:spacing w:after="0" w:line="90"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Payments and benefits under the Executive Severance Plan are subject to (i) the executive’s execution and non-revocation of a release of claims in favor of the Company and (ii) continued compliance with the executive’s confidentiality, non-interference and invention assignment obligations to the Company.</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2019 and 2020 Options</w:t>
      </w:r>
    </w:p>
    <w:p>
      <w:pPr>
        <w:spacing w:after="0" w:line="121"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Qualifying Termination within the two-year period following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(as defined in the 2017 Omnibus Plan), unvested time-based options would become immediately vested and exercisable. Vested and exercisable options will remain exercisable until the earlier of 90 days from the termination date or the expiration of the option period, as defined in the grant agreement.</w:t>
      </w:r>
    </w:p>
    <w:p>
      <w:pPr>
        <w:spacing w:after="0" w:line="72"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unvested time-based options will become vested and exercisable. Vested and exercisable options will remain exercisable until the earlier of one year from the termination date or the expiration of the option period, as defined in the grant agreement.</w:t>
      </w:r>
    </w:p>
    <w:p>
      <w:pPr>
        <w:spacing w:after="0" w:line="72" w:lineRule="exact"/>
        <w:rPr>
          <w:sz w:val="20"/>
          <w:szCs w:val="20"/>
          <w:color w:val="auto"/>
        </w:rPr>
      </w:pPr>
    </w:p>
    <w:p>
      <w:pPr>
        <w:jc w:val="both"/>
        <w:ind w:left="760" w:right="760"/>
        <w:spacing w:after="0" w:line="258" w:lineRule="auto"/>
        <w:rPr>
          <w:sz w:val="20"/>
          <w:szCs w:val="20"/>
          <w:color w:val="auto"/>
        </w:rPr>
      </w:pPr>
      <w:r>
        <w:rPr>
          <w:rFonts w:ascii="Arial" w:cs="Arial" w:eastAsia="Arial" w:hAnsi="Arial"/>
          <w:sz w:val="18"/>
          <w:szCs w:val="18"/>
          <w:i w:val="1"/>
          <w:iCs w:val="1"/>
          <w:color w:val="auto"/>
        </w:rPr>
        <w:t xml:space="preserve">Effect of Qualifying Termination or Retirement on Vesting. </w:t>
      </w:r>
      <w:r>
        <w:rPr>
          <w:rFonts w:ascii="Arial" w:cs="Arial" w:eastAsia="Arial" w:hAnsi="Arial"/>
          <w:sz w:val="18"/>
          <w:szCs w:val="18"/>
          <w:color w:val="auto"/>
        </w:rPr>
        <w:t>Upon a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Plan), a pro rata portion of the options that would have vested on the next vesting date following the termination date would become immediately vested and exercisable. Vested and exercisable options will remain exercisable until the earlier of 90 days from the termination date or the expiration of the option period, as defined in the grant agreement.</w:t>
      </w:r>
    </w:p>
    <w:p>
      <w:pPr>
        <w:spacing w:after="0" w:line="75"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or a Qualifying Termination on vesting of time-based options, unvested options will not become vested and exercisable following termination of employment with us for any reason and any option that is unvested as of the date of termination of employment will immediately expire. Vested and exercisable options will remain exercisable until the earlier of 90 days from the termination date or the expiration of the option period, as defined in the grant agreement.</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21" w:lineRule="exact"/>
        <w:rPr>
          <w:sz w:val="20"/>
          <w:szCs w:val="20"/>
          <w:color w:val="auto"/>
        </w:rPr>
      </w:pPr>
    </w:p>
    <w:p>
      <w:pPr>
        <w:jc w:val="both"/>
        <w:ind w:left="760" w:right="760"/>
        <w:spacing w:after="0" w:line="266"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(as defined in the 2017 Omnibus Plan),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PSUs will be converted into time-based restricted stock equal to the greater of the target number of PSUs or the number of PSUs that would have been earned based on the actual performance as of the date of the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217805</wp:posOffset>
            </wp:positionV>
            <wp:extent cx="300355" cy="2400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47</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4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control. If a successor does not assume, convert, or replace the award in connection with the change in control, or upon a Qualifying Termination within the two-year period following a change in control, the converted award would become fully vested.</w:t>
      </w:r>
    </w:p>
    <w:p>
      <w:pPr>
        <w:spacing w:after="0" w:line="76"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the outstanding and unvested PSUs would become vested assuming a payout at 100% of the target award.</w:t>
      </w:r>
    </w:p>
    <w:p>
      <w:pPr>
        <w:spacing w:after="0" w:line="68"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Qualifying Termination on Vesting. </w:t>
      </w:r>
      <w:r>
        <w:rPr>
          <w:rFonts w:ascii="Arial" w:cs="Arial" w:eastAsia="Arial" w:hAnsi="Arial"/>
          <w:sz w:val="18"/>
          <w:szCs w:val="18"/>
          <w:color w:val="auto"/>
        </w:rPr>
        <w:t>Upon a Qualifying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Omnibus Plan), subject to compliance with applicable restrictive covenants during the performance period, a pro rata portion of the PSUs will remain outstanding and eligible to vest based on actual performance on the last day of the performance period.</w:t>
      </w:r>
    </w:p>
    <w:p>
      <w:pPr>
        <w:spacing w:after="0" w:line="72" w:lineRule="exact"/>
        <w:rPr>
          <w:sz w:val="20"/>
          <w:szCs w:val="20"/>
          <w:color w:val="auto"/>
        </w:rPr>
      </w:pPr>
    </w:p>
    <w:p>
      <w:pPr>
        <w:jc w:val="both"/>
        <w:ind w:left="760"/>
        <w:spacing w:after="0" w:line="282" w:lineRule="auto"/>
        <w:rPr>
          <w:sz w:val="20"/>
          <w:szCs w:val="20"/>
          <w:color w:val="auto"/>
        </w:rPr>
      </w:pPr>
      <w:r>
        <w:rPr>
          <w:rFonts w:ascii="Arial" w:cs="Arial" w:eastAsia="Arial" w:hAnsi="Arial"/>
          <w:sz w:val="18"/>
          <w:szCs w:val="18"/>
          <w:i w:val="1"/>
          <w:iCs w:val="1"/>
          <w:color w:val="auto"/>
        </w:rPr>
        <w:t>Effect of Retirement on Vesting</w:t>
      </w:r>
      <w:r>
        <w:rPr>
          <w:rFonts w:ascii="Arial" w:cs="Arial" w:eastAsia="Arial" w:hAnsi="Arial"/>
          <w:sz w:val="18"/>
          <w:szCs w:val="18"/>
          <w:color w:val="auto"/>
        </w:rPr>
        <w:t>: Upon retirement of a NEO, unvested PSUs will not become vested and any PSU</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unvested as of the date of termination of employment or retirement will immediately be forfeited.</w:t>
      </w:r>
    </w:p>
    <w:p>
      <w:pPr>
        <w:spacing w:after="0" w:line="5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PSUs, unvested PSUs will not become vested following termination of employment with us for any reason, and any PSU that is unvested as of the date of termination of employment will immediately be forfeited.</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1" w:lineRule="exact"/>
        <w:rPr>
          <w:sz w:val="20"/>
          <w:szCs w:val="20"/>
          <w:color w:val="auto"/>
        </w:rPr>
      </w:pPr>
    </w:p>
    <w:p>
      <w:pPr>
        <w:jc w:val="both"/>
        <w:ind w:left="760"/>
        <w:spacing w:after="0" w:line="282"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Qualifying Termination within the two-year period following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(as defined in the 2017 Omnibus Plan), unvested time-based RSUs would become vested.</w:t>
      </w:r>
    </w:p>
    <w:p>
      <w:pPr>
        <w:spacing w:after="0" w:line="54" w:lineRule="exact"/>
        <w:rPr>
          <w:sz w:val="20"/>
          <w:szCs w:val="20"/>
          <w:color w:val="auto"/>
        </w:rPr>
      </w:pPr>
    </w:p>
    <w:p>
      <w:pPr>
        <w:jc w:val="both"/>
        <w:ind w:left="760"/>
        <w:spacing w:after="0" w:line="282"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unvested time-based RSUs would become vested.</w:t>
      </w:r>
    </w:p>
    <w:p>
      <w:pPr>
        <w:spacing w:after="0" w:line="5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Qualifying Termination on Vesting. </w:t>
      </w:r>
      <w:r>
        <w:rPr>
          <w:rFonts w:ascii="Arial" w:cs="Arial" w:eastAsia="Arial" w:hAnsi="Arial"/>
          <w:sz w:val="18"/>
          <w:szCs w:val="18"/>
          <w:color w:val="auto"/>
        </w:rPr>
        <w:t>Upon a Qualifying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Omnibus Plan), a pro rata portion of the RSUs that would have vested on the next vesting date following the termination date would become vested.</w:t>
      </w:r>
    </w:p>
    <w:p>
      <w:pPr>
        <w:spacing w:after="0" w:line="72"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or a Qualifying Termination on vesting of time-based RSUs, unvested RSUs will not become vested following termination of employment with us for any reason and any RSU that is unvested as of the date of termination of employment will immediately be forfeited.</w:t>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Quantification of Payments upon Termination or Change in Control</w:t>
      </w:r>
    </w:p>
    <w:p>
      <w:pPr>
        <w:spacing w:after="0" w:line="139"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following table lists the payments and benefits that would have been triggered for each of our NEOs under the circumstances described below assuming that the applicable triggering event occurred on January 2, 2021. Consistent with SEC requirements, these estimated amounts have been calculated as if the NEO’s employment had been terminated as of January 2, 2021, the last day of fiscal 2020, and using the closing market price of our common stock on December 31, 2020, the last trading day in fiscal 2020 ($45.29 per share). For purposes of this section, we have assumed that (1) we do not exercise any discretion to accelerate the vesting of outstanding options in connection with a change in control, and (2) the value of any stock options that may be accelerated is equal to the full value of such awards (i.e., the full “spread” value for stock options as of January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sz w:val="1"/>
          <w:szCs w:val="1"/>
          <w:color w:val="auto"/>
        </w:rPr>
        <w:drawing>
          <wp:inline distT="0" distB="0" distL="0" distR="0">
            <wp:extent cx="299720" cy="24003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8" w:lineRule="exact"/>
        <w:rPr>
          <w:sz w:val="20"/>
          <w:szCs w:val="20"/>
          <w:color w:val="auto"/>
        </w:rPr>
      </w:pPr>
    </w:p>
    <w:tbl>
      <w:tblPr>
        <w:tblLayout w:type="fixed"/>
        <w:tblInd w:w="770" w:type="dxa"/>
        <w:tblCellMar>
          <w:top w:w="0" w:type="dxa"/>
          <w:left w:w="0" w:type="dxa"/>
          <w:bottom w:w="0" w:type="dxa"/>
          <w:right w:w="0" w:type="dxa"/>
        </w:tblCellMar>
      </w:tblPr>
      <w:tr>
        <w:trPr>
          <w:trHeight w:val="211"/>
        </w:trPr>
        <w:tc>
          <w:tcPr>
            <w:tcW w:w="60" w:type="dxa"/>
            <w:vAlign w:val="bottom"/>
            <w:tcBorders>
              <w:top w:val="single" w:sz="8" w:color="3C5896"/>
              <w:left w:val="single" w:sz="8" w:color="3C5896"/>
            </w:tcBorders>
            <w:shd w:val="clear" w:color="auto" w:fill="3C5896"/>
          </w:tcPr>
          <w:p>
            <w:pPr>
              <w:spacing w:after="0"/>
              <w:rPr>
                <w:sz w:val="18"/>
                <w:szCs w:val="18"/>
                <w:color w:val="auto"/>
              </w:rPr>
            </w:pPr>
          </w:p>
        </w:tc>
        <w:tc>
          <w:tcPr>
            <w:tcW w:w="4260" w:type="dxa"/>
            <w:vAlign w:val="bottom"/>
            <w:tcBorders>
              <w:top w:val="single" w:sz="8" w:color="3C5896"/>
              <w:right w:val="single" w:sz="8" w:color="9EACCA"/>
            </w:tcBorders>
            <w:shd w:val="clear" w:color="auto" w:fill="3C5896"/>
          </w:tcPr>
          <w:p>
            <w:pPr>
              <w:spacing w:after="0"/>
              <w:rPr>
                <w:sz w:val="18"/>
                <w:szCs w:val="18"/>
                <w:color w:val="auto"/>
              </w:rPr>
            </w:pPr>
          </w:p>
        </w:tc>
        <w:tc>
          <w:tcPr>
            <w:tcW w:w="920" w:type="dxa"/>
            <w:vAlign w:val="bottom"/>
            <w:tcBorders>
              <w:top w:val="single" w:sz="8" w:color="3C5896"/>
              <w:right w:val="single" w:sz="8" w:color="9EACCA"/>
            </w:tcBorders>
            <w:shd w:val="clear" w:color="auto" w:fill="3C5896"/>
          </w:tcPr>
          <w:p>
            <w:pPr>
              <w:spacing w:after="0"/>
              <w:rPr>
                <w:sz w:val="18"/>
                <w:szCs w:val="18"/>
                <w:color w:val="auto"/>
              </w:rPr>
            </w:pPr>
          </w:p>
        </w:tc>
        <w:tc>
          <w:tcPr>
            <w:tcW w:w="1120" w:type="dxa"/>
            <w:vAlign w:val="bottom"/>
            <w:tcBorders>
              <w:top w:val="single" w:sz="8" w:color="3C5896"/>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w w:val="99"/>
              </w:rPr>
              <w:t>Continuation</w:t>
            </w:r>
          </w:p>
        </w:tc>
        <w:tc>
          <w:tcPr>
            <w:tcW w:w="720" w:type="dxa"/>
            <w:vAlign w:val="bottom"/>
            <w:tcBorders>
              <w:top w:val="single" w:sz="8" w:color="3C5896"/>
              <w:right w:val="single" w:sz="8" w:color="9EACCA"/>
            </w:tcBorders>
            <w:shd w:val="clear" w:color="auto" w:fill="3C5896"/>
          </w:tcPr>
          <w:p>
            <w:pPr>
              <w:spacing w:after="0"/>
              <w:rPr>
                <w:sz w:val="18"/>
                <w:szCs w:val="18"/>
                <w:color w:val="auto"/>
              </w:rPr>
            </w:pPr>
          </w:p>
        </w:tc>
        <w:tc>
          <w:tcPr>
            <w:tcW w:w="1100" w:type="dxa"/>
            <w:vAlign w:val="bottom"/>
            <w:tcBorders>
              <w:top w:val="single" w:sz="8" w:color="3C5896"/>
              <w:right w:val="single" w:sz="8" w:color="9EACCA"/>
            </w:tcBorders>
            <w:shd w:val="clear" w:color="auto" w:fill="3C5896"/>
          </w:tcPr>
          <w:p>
            <w:pPr>
              <w:spacing w:after="0"/>
              <w:rPr>
                <w:sz w:val="18"/>
                <w:szCs w:val="18"/>
                <w:color w:val="auto"/>
              </w:rPr>
            </w:pPr>
          </w:p>
        </w:tc>
        <w:tc>
          <w:tcPr>
            <w:tcW w:w="1020" w:type="dxa"/>
            <w:vAlign w:val="bottom"/>
            <w:tcBorders>
              <w:top w:val="single" w:sz="8" w:color="3C5896"/>
              <w:right w:val="single" w:sz="8" w:color="3C5896"/>
            </w:tcBorders>
            <w:shd w:val="clear" w:color="auto" w:fill="3C589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4260" w:type="dxa"/>
            <w:vAlign w:val="bottom"/>
            <w:tcBorders>
              <w:right w:val="single" w:sz="8" w:color="9EACCA"/>
            </w:tcBorders>
            <w:shd w:val="clear" w:color="auto" w:fill="3C5896"/>
          </w:tcPr>
          <w:p>
            <w:pPr>
              <w:spacing w:after="0"/>
              <w:rPr>
                <w:sz w:val="16"/>
                <w:szCs w:val="16"/>
                <w:color w:val="auto"/>
              </w:rPr>
            </w:pPr>
          </w:p>
        </w:tc>
        <w:tc>
          <w:tcPr>
            <w:tcW w:w="9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w w:val="99"/>
              </w:rPr>
              <w:t>Severance</w:t>
            </w:r>
          </w:p>
        </w:tc>
        <w:tc>
          <w:tcPr>
            <w:tcW w:w="11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w w:val="99"/>
              </w:rPr>
              <w:t>of Health</w:t>
            </w:r>
          </w:p>
        </w:tc>
        <w:tc>
          <w:tcPr>
            <w:tcW w:w="72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Stock</w:t>
            </w:r>
          </w:p>
        </w:tc>
        <w:tc>
          <w:tcPr>
            <w:tcW w:w="11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6"/>
                <w:szCs w:val="16"/>
                <w:b w:val="1"/>
                <w:bCs w:val="1"/>
                <w:color w:val="FFFFFF"/>
              </w:rPr>
              <w:t>Performance</w:t>
            </w:r>
          </w:p>
        </w:tc>
        <w:tc>
          <w:tcPr>
            <w:tcW w:w="1020" w:type="dxa"/>
            <w:vAlign w:val="bottom"/>
            <w:tcBorders>
              <w:right w:val="single" w:sz="8" w:color="3C5896"/>
            </w:tcBorders>
            <w:shd w:val="clear" w:color="auto" w:fill="3C5896"/>
          </w:tcPr>
          <w:p>
            <w:pPr>
              <w:jc w:val="center"/>
              <w:ind w:right="19"/>
              <w:spacing w:after="0"/>
              <w:rPr>
                <w:sz w:val="20"/>
                <w:szCs w:val="20"/>
                <w:color w:val="auto"/>
              </w:rPr>
            </w:pPr>
            <w:r>
              <w:rPr>
                <w:rFonts w:ascii="Arial" w:cs="Arial" w:eastAsia="Arial" w:hAnsi="Arial"/>
                <w:sz w:val="16"/>
                <w:szCs w:val="16"/>
                <w:b w:val="1"/>
                <w:bCs w:val="1"/>
                <w:color w:val="FFFFFF"/>
              </w:rPr>
              <w:t>Restricted</w:t>
            </w:r>
          </w:p>
        </w:tc>
        <w:tc>
          <w:tcPr>
            <w:tcW w:w="0" w:type="dxa"/>
            <w:vAlign w:val="bottom"/>
          </w:tcPr>
          <w:p>
            <w:pPr>
              <w:spacing w:after="0"/>
              <w:rPr>
                <w:sz w:val="1"/>
                <w:szCs w:val="1"/>
                <w:color w:val="auto"/>
              </w:rPr>
            </w:pPr>
          </w:p>
        </w:tc>
      </w:tr>
      <w:tr>
        <w:trPr>
          <w:trHeight w:val="167"/>
        </w:trPr>
        <w:tc>
          <w:tcPr>
            <w:tcW w:w="60" w:type="dxa"/>
            <w:vAlign w:val="bottom"/>
            <w:tcBorders>
              <w:left w:val="single" w:sz="8" w:color="3C5896"/>
            </w:tcBorders>
            <w:shd w:val="clear" w:color="auto" w:fill="3C5896"/>
          </w:tcPr>
          <w:p>
            <w:pPr>
              <w:spacing w:after="0"/>
              <w:rPr>
                <w:sz w:val="14"/>
                <w:szCs w:val="14"/>
                <w:color w:val="auto"/>
              </w:rPr>
            </w:pPr>
          </w:p>
        </w:tc>
        <w:tc>
          <w:tcPr>
            <w:tcW w:w="4260" w:type="dxa"/>
            <w:vAlign w:val="bottom"/>
            <w:tcBorders>
              <w:right w:val="single" w:sz="8" w:color="9EACCA"/>
            </w:tcBorders>
            <w:shd w:val="clear" w:color="auto" w:fill="3C5896"/>
          </w:tcPr>
          <w:p>
            <w:pPr>
              <w:spacing w:after="0"/>
              <w:rPr>
                <w:sz w:val="14"/>
                <w:szCs w:val="14"/>
                <w:color w:val="auto"/>
              </w:rPr>
            </w:pPr>
          </w:p>
        </w:tc>
        <w:tc>
          <w:tcPr>
            <w:tcW w:w="920" w:type="dxa"/>
            <w:vAlign w:val="bottom"/>
            <w:tcBorders>
              <w:right w:val="single" w:sz="8" w:color="9EACCA"/>
            </w:tcBorders>
            <w:shd w:val="clear" w:color="auto" w:fill="3C5896"/>
          </w:tcPr>
          <w:p>
            <w:pPr>
              <w:jc w:val="center"/>
              <w:spacing w:after="0" w:line="167" w:lineRule="exact"/>
              <w:rPr>
                <w:sz w:val="20"/>
                <w:szCs w:val="20"/>
                <w:color w:val="auto"/>
              </w:rPr>
            </w:pPr>
            <w:r>
              <w:rPr>
                <w:rFonts w:ascii="Arial" w:cs="Arial" w:eastAsia="Arial" w:hAnsi="Arial"/>
                <w:sz w:val="16"/>
                <w:szCs w:val="16"/>
                <w:b w:val="1"/>
                <w:bCs w:val="1"/>
                <w:color w:val="FFFFFF"/>
                <w:w w:val="99"/>
              </w:rPr>
              <w:t>Benefit</w:t>
            </w:r>
          </w:p>
        </w:tc>
        <w:tc>
          <w:tcPr>
            <w:tcW w:w="1120" w:type="dxa"/>
            <w:vAlign w:val="bottom"/>
            <w:tcBorders>
              <w:right w:val="single" w:sz="8" w:color="9EACCA"/>
            </w:tcBorders>
            <w:shd w:val="clear" w:color="auto" w:fill="3C5896"/>
          </w:tcPr>
          <w:p>
            <w:pPr>
              <w:jc w:val="center"/>
              <w:spacing w:after="0" w:line="167" w:lineRule="exact"/>
              <w:rPr>
                <w:sz w:val="20"/>
                <w:szCs w:val="20"/>
                <w:color w:val="auto"/>
              </w:rPr>
            </w:pPr>
            <w:r>
              <w:rPr>
                <w:rFonts w:ascii="Arial" w:cs="Arial" w:eastAsia="Arial" w:hAnsi="Arial"/>
                <w:sz w:val="16"/>
                <w:szCs w:val="16"/>
                <w:b w:val="1"/>
                <w:bCs w:val="1"/>
                <w:color w:val="FFFFFF"/>
              </w:rPr>
              <w:t>Benefits</w:t>
            </w:r>
          </w:p>
        </w:tc>
        <w:tc>
          <w:tcPr>
            <w:tcW w:w="720" w:type="dxa"/>
            <w:vAlign w:val="bottom"/>
            <w:tcBorders>
              <w:right w:val="single" w:sz="8" w:color="9EACCA"/>
            </w:tcBorders>
            <w:shd w:val="clear" w:color="auto" w:fill="3C5896"/>
          </w:tcPr>
          <w:p>
            <w:pPr>
              <w:jc w:val="center"/>
              <w:spacing w:after="0" w:line="167" w:lineRule="exact"/>
              <w:rPr>
                <w:sz w:val="20"/>
                <w:szCs w:val="20"/>
                <w:color w:val="auto"/>
              </w:rPr>
            </w:pPr>
            <w:r>
              <w:rPr>
                <w:rFonts w:ascii="Arial" w:cs="Arial" w:eastAsia="Arial" w:hAnsi="Arial"/>
                <w:sz w:val="16"/>
                <w:szCs w:val="16"/>
                <w:b w:val="1"/>
                <w:bCs w:val="1"/>
                <w:color w:val="FFFFFF"/>
                <w:w w:val="99"/>
              </w:rPr>
              <w:t>Options</w:t>
            </w:r>
          </w:p>
        </w:tc>
        <w:tc>
          <w:tcPr>
            <w:tcW w:w="1100" w:type="dxa"/>
            <w:vAlign w:val="bottom"/>
            <w:tcBorders>
              <w:right w:val="single" w:sz="8" w:color="9EACCA"/>
            </w:tcBorders>
            <w:shd w:val="clear" w:color="auto" w:fill="3C5896"/>
          </w:tcPr>
          <w:p>
            <w:pPr>
              <w:jc w:val="center"/>
              <w:spacing w:after="0" w:line="167" w:lineRule="exact"/>
              <w:rPr>
                <w:sz w:val="20"/>
                <w:szCs w:val="20"/>
                <w:color w:val="auto"/>
              </w:rPr>
            </w:pPr>
            <w:r>
              <w:rPr>
                <w:rFonts w:ascii="Arial" w:cs="Arial" w:eastAsia="Arial" w:hAnsi="Arial"/>
                <w:sz w:val="16"/>
                <w:szCs w:val="16"/>
                <w:b w:val="1"/>
                <w:bCs w:val="1"/>
                <w:color w:val="FFFFFF"/>
                <w:w w:val="99"/>
              </w:rPr>
              <w:t>Stock Units</w:t>
            </w:r>
          </w:p>
        </w:tc>
        <w:tc>
          <w:tcPr>
            <w:tcW w:w="1020" w:type="dxa"/>
            <w:vAlign w:val="bottom"/>
            <w:tcBorders>
              <w:right w:val="single" w:sz="8" w:color="3C5896"/>
            </w:tcBorders>
            <w:shd w:val="clear" w:color="auto" w:fill="3C5896"/>
          </w:tcPr>
          <w:p>
            <w:pPr>
              <w:jc w:val="center"/>
              <w:ind w:right="19"/>
              <w:spacing w:after="0" w:line="167" w:lineRule="exact"/>
              <w:rPr>
                <w:sz w:val="20"/>
                <w:szCs w:val="20"/>
                <w:color w:val="auto"/>
              </w:rPr>
            </w:pPr>
            <w:r>
              <w:rPr>
                <w:rFonts w:ascii="Arial" w:cs="Arial" w:eastAsia="Arial" w:hAnsi="Arial"/>
                <w:sz w:val="16"/>
                <w:szCs w:val="16"/>
                <w:b w:val="1"/>
                <w:bCs w:val="1"/>
                <w:color w:val="FFFFFF"/>
                <w:w w:val="99"/>
              </w:rPr>
              <w:t>Stock Units</w:t>
            </w:r>
          </w:p>
        </w:tc>
        <w:tc>
          <w:tcPr>
            <w:tcW w:w="0" w:type="dxa"/>
            <w:vAlign w:val="bottom"/>
          </w:tcPr>
          <w:p>
            <w:pPr>
              <w:spacing w:after="0"/>
              <w:rPr>
                <w:sz w:val="1"/>
                <w:szCs w:val="1"/>
                <w:color w:val="auto"/>
              </w:rPr>
            </w:pPr>
          </w:p>
        </w:tc>
      </w:tr>
      <w:tr>
        <w:trPr>
          <w:trHeight w:val="243"/>
        </w:trPr>
        <w:tc>
          <w:tcPr>
            <w:tcW w:w="60" w:type="dxa"/>
            <w:vAlign w:val="bottom"/>
            <w:tcBorders>
              <w:left w:val="single" w:sz="8" w:color="3C5896"/>
            </w:tcBorders>
            <w:shd w:val="clear" w:color="auto" w:fill="3C5896"/>
          </w:tcPr>
          <w:p>
            <w:pPr>
              <w:spacing w:after="0"/>
              <w:rPr>
                <w:sz w:val="21"/>
                <w:szCs w:val="21"/>
                <w:color w:val="auto"/>
              </w:rPr>
            </w:pPr>
          </w:p>
        </w:tc>
        <w:tc>
          <w:tcPr>
            <w:tcW w:w="4260" w:type="dxa"/>
            <w:vAlign w:val="bottom"/>
            <w:tcBorders>
              <w:right w:val="single" w:sz="8" w:color="9EACCA"/>
            </w:tcBorders>
            <w:shd w:val="clear" w:color="auto" w:fill="3C5896"/>
          </w:tcPr>
          <w:p>
            <w:pPr>
              <w:ind w:left="1940"/>
              <w:spacing w:after="0"/>
              <w:rPr>
                <w:sz w:val="20"/>
                <w:szCs w:val="20"/>
                <w:color w:val="auto"/>
              </w:rPr>
            </w:pPr>
            <w:r>
              <w:rPr>
                <w:rFonts w:ascii="Arial" w:cs="Arial" w:eastAsia="Arial" w:hAnsi="Arial"/>
                <w:sz w:val="16"/>
                <w:szCs w:val="16"/>
                <w:b w:val="1"/>
                <w:bCs w:val="1"/>
                <w:color w:val="FFFFFF"/>
              </w:rPr>
              <w:t>NEO</w:t>
            </w:r>
          </w:p>
        </w:tc>
        <w:tc>
          <w:tcPr>
            <w:tcW w:w="920" w:type="dxa"/>
            <w:vAlign w:val="bottom"/>
            <w:tcBorders>
              <w:right w:val="single" w:sz="8" w:color="9EACCA"/>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85"/>
              </w:rPr>
              <w:t>($)</w:t>
            </w:r>
            <w:r>
              <w:rPr>
                <w:rFonts w:ascii="Arial" w:cs="Arial" w:eastAsia="Arial" w:hAnsi="Arial"/>
                <w:sz w:val="25"/>
                <w:szCs w:val="25"/>
                <w:b w:val="1"/>
                <w:bCs w:val="1"/>
                <w:color w:val="FFFFFF"/>
                <w:w w:val="85"/>
                <w:vertAlign w:val="superscript"/>
              </w:rPr>
              <w:t>(1)</w:t>
            </w:r>
          </w:p>
        </w:tc>
        <w:tc>
          <w:tcPr>
            <w:tcW w:w="1120" w:type="dxa"/>
            <w:vAlign w:val="bottom"/>
            <w:tcBorders>
              <w:right w:val="single" w:sz="8" w:color="9EACCA"/>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85"/>
              </w:rPr>
              <w:t>($)</w:t>
            </w:r>
            <w:r>
              <w:rPr>
                <w:rFonts w:ascii="Arial" w:cs="Arial" w:eastAsia="Arial" w:hAnsi="Arial"/>
                <w:sz w:val="25"/>
                <w:szCs w:val="25"/>
                <w:b w:val="1"/>
                <w:bCs w:val="1"/>
                <w:color w:val="FFFFFF"/>
                <w:w w:val="85"/>
                <w:vertAlign w:val="superscript"/>
              </w:rPr>
              <w:t>(2)</w:t>
            </w:r>
          </w:p>
        </w:tc>
        <w:tc>
          <w:tcPr>
            <w:tcW w:w="720" w:type="dxa"/>
            <w:vAlign w:val="bottom"/>
            <w:tcBorders>
              <w:right w:val="single" w:sz="8" w:color="9EACCA"/>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85"/>
              </w:rPr>
              <w:t>($)</w:t>
            </w:r>
            <w:r>
              <w:rPr>
                <w:rFonts w:ascii="Arial" w:cs="Arial" w:eastAsia="Arial" w:hAnsi="Arial"/>
                <w:sz w:val="25"/>
                <w:szCs w:val="25"/>
                <w:b w:val="1"/>
                <w:bCs w:val="1"/>
                <w:color w:val="FFFFFF"/>
                <w:w w:val="85"/>
                <w:vertAlign w:val="superscript"/>
              </w:rPr>
              <w:t>(3)</w:t>
            </w:r>
          </w:p>
        </w:tc>
        <w:tc>
          <w:tcPr>
            <w:tcW w:w="1100" w:type="dxa"/>
            <w:vAlign w:val="bottom"/>
            <w:tcBorders>
              <w:right w:val="single" w:sz="8" w:color="9EACCA"/>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90"/>
              </w:rPr>
              <w:t>($)</w:t>
            </w:r>
            <w:r>
              <w:rPr>
                <w:rFonts w:ascii="Arial" w:cs="Arial" w:eastAsia="Arial" w:hAnsi="Arial"/>
                <w:sz w:val="25"/>
                <w:szCs w:val="25"/>
                <w:b w:val="1"/>
                <w:bCs w:val="1"/>
                <w:color w:val="FFFFFF"/>
                <w:w w:val="90"/>
                <w:vertAlign w:val="superscript"/>
              </w:rPr>
              <w:t>(4)</w:t>
            </w:r>
          </w:p>
        </w:tc>
        <w:tc>
          <w:tcPr>
            <w:tcW w:w="1020" w:type="dxa"/>
            <w:vAlign w:val="bottom"/>
            <w:tcBorders>
              <w:right w:val="single" w:sz="8" w:color="3C5896"/>
            </w:tcBorders>
            <w:shd w:val="clear" w:color="auto" w:fill="3C5896"/>
          </w:tcPr>
          <w:p>
            <w:pPr>
              <w:jc w:val="center"/>
              <w:spacing w:after="0" w:line="242" w:lineRule="exact"/>
              <w:rPr>
                <w:sz w:val="20"/>
                <w:szCs w:val="20"/>
                <w:color w:val="auto"/>
              </w:rPr>
            </w:pPr>
            <w:r>
              <w:rPr>
                <w:rFonts w:ascii="Arial" w:cs="Arial" w:eastAsia="Arial" w:hAnsi="Arial"/>
                <w:sz w:val="16"/>
                <w:szCs w:val="16"/>
                <w:b w:val="1"/>
                <w:bCs w:val="1"/>
                <w:color w:val="FFFFFF"/>
                <w:w w:val="90"/>
              </w:rPr>
              <w:t>($)</w:t>
            </w:r>
            <w:r>
              <w:rPr>
                <w:rFonts w:ascii="Arial" w:cs="Arial" w:eastAsia="Arial" w:hAnsi="Arial"/>
                <w:sz w:val="25"/>
                <w:szCs w:val="25"/>
                <w:b w:val="1"/>
                <w:bCs w:val="1"/>
                <w:color w:val="FFFFFF"/>
                <w:w w:val="90"/>
                <w:vertAlign w:val="superscript"/>
              </w:rPr>
              <w:t>(5)</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L. Reade Fahs</w:t>
            </w:r>
          </w:p>
        </w:tc>
        <w:tc>
          <w:tcPr>
            <w:tcW w:w="920" w:type="dxa"/>
            <w:vAlign w:val="bottom"/>
            <w:tcBorders>
              <w:right w:val="single" w:sz="8" w:color="9EACCA"/>
            </w:tcBorders>
          </w:tcPr>
          <w:p>
            <w:pPr>
              <w:spacing w:after="0"/>
              <w:rPr>
                <w:sz w:val="20"/>
                <w:szCs w:val="20"/>
                <w:color w:val="auto"/>
              </w:rPr>
            </w:pPr>
          </w:p>
        </w:tc>
        <w:tc>
          <w:tcPr>
            <w:tcW w:w="1120" w:type="dxa"/>
            <w:vAlign w:val="bottom"/>
            <w:tcBorders>
              <w:right w:val="single" w:sz="8" w:color="9EACCA"/>
            </w:tcBorders>
          </w:tcPr>
          <w:p>
            <w:pPr>
              <w:spacing w:after="0"/>
              <w:rPr>
                <w:sz w:val="20"/>
                <w:szCs w:val="20"/>
                <w:color w:val="auto"/>
              </w:rPr>
            </w:pPr>
          </w:p>
        </w:tc>
        <w:tc>
          <w:tcPr>
            <w:tcW w:w="720" w:type="dxa"/>
            <w:vAlign w:val="bottom"/>
            <w:tcBorders>
              <w:right w:val="single" w:sz="8" w:color="9EACCA"/>
            </w:tcBorders>
          </w:tcPr>
          <w:p>
            <w:pPr>
              <w:spacing w:after="0"/>
              <w:rPr>
                <w:sz w:val="20"/>
                <w:szCs w:val="20"/>
                <w:color w:val="auto"/>
              </w:rPr>
            </w:pPr>
          </w:p>
        </w:tc>
        <w:tc>
          <w:tcPr>
            <w:tcW w:w="1100" w:type="dxa"/>
            <w:vAlign w:val="bottom"/>
            <w:tcBorders>
              <w:right w:val="single" w:sz="8" w:color="9EACCA"/>
            </w:tcBorders>
          </w:tcPr>
          <w:p>
            <w:pPr>
              <w:spacing w:after="0"/>
              <w:rPr>
                <w:sz w:val="20"/>
                <w:szCs w:val="20"/>
                <w:color w:val="auto"/>
              </w:rPr>
            </w:pPr>
          </w:p>
        </w:tc>
        <w:tc>
          <w:tcPr>
            <w:tcW w:w="102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 w:type="dxa"/>
            <w:vAlign w:val="bottom"/>
            <w:tcBorders>
              <w:left w:val="single" w:sz="8" w:color="3C5896"/>
            </w:tcBorders>
          </w:tcPr>
          <w:p>
            <w:pPr>
              <w:spacing w:after="0"/>
              <w:rPr>
                <w:sz w:val="22"/>
                <w:szCs w:val="22"/>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20" w:type="dxa"/>
            <w:vAlign w:val="bottom"/>
            <w:tcBorders>
              <w:right w:val="single" w:sz="8" w:color="9EACCA"/>
            </w:tcBorders>
          </w:tcPr>
          <w:p>
            <w:pPr>
              <w:jc w:val="right"/>
              <w:ind w:right="19"/>
              <w:spacing w:after="0"/>
              <w:rPr>
                <w:sz w:val="20"/>
                <w:szCs w:val="20"/>
                <w:color w:val="auto"/>
              </w:rPr>
            </w:pPr>
            <w:r>
              <w:rPr>
                <w:rFonts w:ascii="Arial" w:cs="Arial" w:eastAsia="Arial" w:hAnsi="Arial"/>
                <w:sz w:val="16"/>
                <w:szCs w:val="16"/>
                <w:color w:val="auto"/>
              </w:rPr>
              <w:t>3,820,000</w:t>
            </w:r>
          </w:p>
        </w:tc>
        <w:tc>
          <w:tcPr>
            <w:tcW w:w="1120" w:type="dxa"/>
            <w:vAlign w:val="bottom"/>
            <w:tcBorders>
              <w:right w:val="single" w:sz="8" w:color="9EACCA"/>
            </w:tcBorders>
          </w:tcPr>
          <w:p>
            <w:pPr>
              <w:jc w:val="right"/>
              <w:ind w:right="239"/>
              <w:spacing w:after="0"/>
              <w:rPr>
                <w:sz w:val="20"/>
                <w:szCs w:val="20"/>
                <w:color w:val="auto"/>
              </w:rPr>
            </w:pPr>
            <w:r>
              <w:rPr>
                <w:rFonts w:ascii="Arial" w:cs="Arial" w:eastAsia="Arial" w:hAnsi="Arial"/>
                <w:sz w:val="16"/>
                <w:szCs w:val="16"/>
                <w:color w:val="auto"/>
              </w:rPr>
              <w:t>2,351</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346,153</w:t>
            </w:r>
          </w:p>
        </w:tc>
        <w:tc>
          <w:tcPr>
            <w:tcW w:w="1100" w:type="dxa"/>
            <w:vAlign w:val="bottom"/>
            <w:tcBorders>
              <w:right w:val="single" w:sz="8" w:color="9EACCA"/>
            </w:tcBorders>
          </w:tcPr>
          <w:p>
            <w:pPr>
              <w:spacing w:after="0"/>
              <w:rPr>
                <w:sz w:val="22"/>
                <w:szCs w:val="22"/>
                <w:color w:val="auto"/>
              </w:rPr>
            </w:pP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206,468</w:t>
            </w:r>
          </w:p>
        </w:tc>
        <w:tc>
          <w:tcPr>
            <w:tcW w:w="0" w:type="dxa"/>
            <w:vAlign w:val="bottom"/>
          </w:tcPr>
          <w:p>
            <w:pPr>
              <w:spacing w:after="0"/>
              <w:rPr>
                <w:sz w:val="1"/>
                <w:szCs w:val="1"/>
                <w:color w:val="auto"/>
              </w:rPr>
            </w:pPr>
          </w:p>
        </w:tc>
      </w:tr>
      <w:tr>
        <w:trPr>
          <w:trHeight w:val="222"/>
        </w:trPr>
        <w:tc>
          <w:tcPr>
            <w:tcW w:w="60" w:type="dxa"/>
            <w:vAlign w:val="bottom"/>
            <w:tcBorders>
              <w:left w:val="single" w:sz="8" w:color="3C5896"/>
            </w:tcBorders>
          </w:tcPr>
          <w:p>
            <w:pPr>
              <w:spacing w:after="0"/>
              <w:rPr>
                <w:sz w:val="19"/>
                <w:szCs w:val="19"/>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Change in Control</w:t>
            </w:r>
          </w:p>
        </w:tc>
        <w:tc>
          <w:tcPr>
            <w:tcW w:w="920" w:type="dxa"/>
            <w:vAlign w:val="bottom"/>
            <w:tcBorders>
              <w:right w:val="single" w:sz="8" w:color="9EACCA"/>
            </w:tcBorders>
          </w:tcPr>
          <w:p>
            <w:pPr>
              <w:jc w:val="right"/>
              <w:ind w:right="19"/>
              <w:spacing w:after="0"/>
              <w:rPr>
                <w:sz w:val="20"/>
                <w:szCs w:val="20"/>
                <w:color w:val="auto"/>
              </w:rPr>
            </w:pPr>
            <w:r>
              <w:rPr>
                <w:rFonts w:ascii="Arial" w:cs="Arial" w:eastAsia="Arial" w:hAnsi="Arial"/>
                <w:sz w:val="16"/>
                <w:szCs w:val="16"/>
                <w:color w:val="auto"/>
              </w:rPr>
              <w:t>4,795,000</w:t>
            </w:r>
          </w:p>
        </w:tc>
        <w:tc>
          <w:tcPr>
            <w:tcW w:w="1120" w:type="dxa"/>
            <w:vAlign w:val="bottom"/>
            <w:tcBorders>
              <w:right w:val="single" w:sz="8" w:color="9EACCA"/>
            </w:tcBorders>
          </w:tcPr>
          <w:p>
            <w:pPr>
              <w:jc w:val="right"/>
              <w:ind w:right="239"/>
              <w:spacing w:after="0"/>
              <w:rPr>
                <w:sz w:val="20"/>
                <w:szCs w:val="20"/>
                <w:color w:val="auto"/>
              </w:rPr>
            </w:pPr>
            <w:r>
              <w:rPr>
                <w:rFonts w:ascii="Arial" w:cs="Arial" w:eastAsia="Arial" w:hAnsi="Arial"/>
                <w:sz w:val="16"/>
                <w:szCs w:val="16"/>
                <w:color w:val="auto"/>
              </w:rPr>
              <w:t>2,939</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962,906</w:t>
            </w:r>
          </w:p>
        </w:tc>
        <w:tc>
          <w:tcPr>
            <w:tcW w:w="1100" w:type="dxa"/>
            <w:vAlign w:val="bottom"/>
            <w:tcBorders>
              <w:right w:val="single" w:sz="8" w:color="9EACCA"/>
            </w:tcBorders>
          </w:tcPr>
          <w:p>
            <w:pPr>
              <w:jc w:val="right"/>
              <w:ind w:right="119"/>
              <w:spacing w:after="0"/>
              <w:rPr>
                <w:sz w:val="20"/>
                <w:szCs w:val="20"/>
                <w:color w:val="auto"/>
              </w:rPr>
            </w:pPr>
            <w:r>
              <w:rPr>
                <w:rFonts w:ascii="Arial" w:cs="Arial" w:eastAsia="Arial" w:hAnsi="Arial"/>
                <w:sz w:val="16"/>
                <w:szCs w:val="16"/>
                <w:color w:val="auto"/>
              </w:rPr>
              <w:t>1,531,662</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731,660</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tcPr>
          <w:p>
            <w:pPr>
              <w:spacing w:after="0"/>
              <w:rPr>
                <w:sz w:val="18"/>
                <w:szCs w:val="18"/>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920" w:type="dxa"/>
            <w:vAlign w:val="bottom"/>
            <w:tcBorders>
              <w:right w:val="single" w:sz="8" w:color="9EACCA"/>
            </w:tcBorders>
          </w:tcPr>
          <w:p>
            <w:pPr>
              <w:spacing w:after="0"/>
              <w:rPr>
                <w:sz w:val="18"/>
                <w:szCs w:val="18"/>
                <w:color w:val="auto"/>
              </w:rPr>
            </w:pPr>
          </w:p>
        </w:tc>
        <w:tc>
          <w:tcPr>
            <w:tcW w:w="1120" w:type="dxa"/>
            <w:vAlign w:val="bottom"/>
            <w:tcBorders>
              <w:right w:val="single" w:sz="8" w:color="9EACCA"/>
            </w:tcBorders>
          </w:tcPr>
          <w:p>
            <w:pPr>
              <w:spacing w:after="0"/>
              <w:rPr>
                <w:sz w:val="18"/>
                <w:szCs w:val="18"/>
                <w:color w:val="auto"/>
              </w:rPr>
            </w:pP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962,906</w:t>
            </w:r>
          </w:p>
        </w:tc>
        <w:tc>
          <w:tcPr>
            <w:tcW w:w="1100" w:type="dxa"/>
            <w:vAlign w:val="bottom"/>
            <w:tcBorders>
              <w:right w:val="single" w:sz="8" w:color="9EACCA"/>
            </w:tcBorders>
          </w:tcPr>
          <w:p>
            <w:pPr>
              <w:jc w:val="right"/>
              <w:ind w:right="119"/>
              <w:spacing w:after="0"/>
              <w:rPr>
                <w:sz w:val="20"/>
                <w:szCs w:val="20"/>
                <w:color w:val="auto"/>
              </w:rPr>
            </w:pPr>
            <w:r>
              <w:rPr>
                <w:rFonts w:ascii="Arial" w:cs="Arial" w:eastAsia="Arial" w:hAnsi="Arial"/>
                <w:sz w:val="16"/>
                <w:szCs w:val="16"/>
                <w:color w:val="auto"/>
              </w:rPr>
              <w:t>2,911,241</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731,660</w:t>
            </w:r>
          </w:p>
        </w:tc>
        <w:tc>
          <w:tcPr>
            <w:tcW w:w="0" w:type="dxa"/>
            <w:vAlign w:val="bottom"/>
          </w:tcPr>
          <w:p>
            <w:pPr>
              <w:spacing w:after="0"/>
              <w:rPr>
                <w:sz w:val="1"/>
                <w:szCs w:val="1"/>
                <w:color w:val="auto"/>
              </w:rPr>
            </w:pPr>
          </w:p>
        </w:tc>
      </w:tr>
      <w:tr>
        <w:trPr>
          <w:trHeight w:val="33"/>
        </w:trPr>
        <w:tc>
          <w:tcPr>
            <w:tcW w:w="60" w:type="dxa"/>
            <w:vAlign w:val="bottom"/>
            <w:tcBorders>
              <w:left w:val="single" w:sz="8" w:color="3C5896"/>
            </w:tcBorders>
          </w:tcPr>
          <w:p>
            <w:pPr>
              <w:spacing w:after="0"/>
              <w:rPr>
                <w:sz w:val="2"/>
                <w:szCs w:val="2"/>
                <w:color w:val="auto"/>
              </w:rPr>
            </w:pPr>
          </w:p>
        </w:tc>
        <w:tc>
          <w:tcPr>
            <w:tcW w:w="4260" w:type="dxa"/>
            <w:vAlign w:val="bottom"/>
            <w:tcBorders>
              <w:right w:val="single" w:sz="8" w:color="9EACCA"/>
            </w:tcBorders>
          </w:tcPr>
          <w:p>
            <w:pPr>
              <w:spacing w:after="0"/>
              <w:rPr>
                <w:sz w:val="2"/>
                <w:szCs w:val="2"/>
                <w:color w:val="auto"/>
              </w:rPr>
            </w:pPr>
          </w:p>
        </w:tc>
        <w:tc>
          <w:tcPr>
            <w:tcW w:w="920" w:type="dxa"/>
            <w:vAlign w:val="bottom"/>
            <w:tcBorders>
              <w:right w:val="single" w:sz="8" w:color="9EACCA"/>
            </w:tcBorders>
          </w:tcPr>
          <w:p>
            <w:pPr>
              <w:spacing w:after="0"/>
              <w:rPr>
                <w:sz w:val="2"/>
                <w:szCs w:val="2"/>
                <w:color w:val="auto"/>
              </w:rPr>
            </w:pPr>
          </w:p>
        </w:tc>
        <w:tc>
          <w:tcPr>
            <w:tcW w:w="112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tcPr>
          <w:p>
            <w:pPr>
              <w:spacing w:after="0"/>
              <w:rPr>
                <w:sz w:val="2"/>
                <w:szCs w:val="2"/>
                <w:color w:val="auto"/>
              </w:rPr>
            </w:pPr>
          </w:p>
        </w:tc>
        <w:tc>
          <w:tcPr>
            <w:tcW w:w="1100" w:type="dxa"/>
            <w:vAlign w:val="bottom"/>
            <w:tcBorders>
              <w:right w:val="single" w:sz="8" w:color="9EACCA"/>
            </w:tcBorders>
          </w:tcPr>
          <w:p>
            <w:pPr>
              <w:spacing w:after="0"/>
              <w:rPr>
                <w:sz w:val="2"/>
                <w:szCs w:val="2"/>
                <w:color w:val="auto"/>
              </w:rPr>
            </w:pPr>
          </w:p>
        </w:tc>
        <w:tc>
          <w:tcPr>
            <w:tcW w:w="102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left w:val="single" w:sz="8" w:color="3C5896"/>
            </w:tcBorders>
            <w:shd w:val="clear" w:color="auto" w:fill="CCCCCC"/>
          </w:tcPr>
          <w:p>
            <w:pPr>
              <w:spacing w:after="0"/>
              <w:rPr>
                <w:sz w:val="20"/>
                <w:szCs w:val="20"/>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Patrick R. Moore</w:t>
            </w:r>
          </w:p>
        </w:tc>
        <w:tc>
          <w:tcPr>
            <w:tcW w:w="920" w:type="dxa"/>
            <w:vAlign w:val="bottom"/>
            <w:tcBorders>
              <w:right w:val="single" w:sz="8" w:color="9EACCA"/>
            </w:tcBorders>
            <w:shd w:val="clear" w:color="auto" w:fill="CCCCCC"/>
          </w:tcPr>
          <w:p>
            <w:pPr>
              <w:spacing w:after="0"/>
              <w:rPr>
                <w:sz w:val="20"/>
                <w:szCs w:val="20"/>
                <w:color w:val="auto"/>
              </w:rPr>
            </w:pPr>
          </w:p>
        </w:tc>
        <w:tc>
          <w:tcPr>
            <w:tcW w:w="1120" w:type="dxa"/>
            <w:vAlign w:val="bottom"/>
            <w:tcBorders>
              <w:right w:val="single" w:sz="8" w:color="9EACCA"/>
            </w:tcBorders>
            <w:shd w:val="clear" w:color="auto" w:fill="CCCCCC"/>
          </w:tcPr>
          <w:p>
            <w:pPr>
              <w:spacing w:after="0"/>
              <w:rPr>
                <w:sz w:val="20"/>
                <w:szCs w:val="20"/>
                <w:color w:val="auto"/>
              </w:rPr>
            </w:pPr>
          </w:p>
        </w:tc>
        <w:tc>
          <w:tcPr>
            <w:tcW w:w="720" w:type="dxa"/>
            <w:vAlign w:val="bottom"/>
            <w:tcBorders>
              <w:right w:val="single" w:sz="8" w:color="9EACCA"/>
            </w:tcBorders>
            <w:shd w:val="clear" w:color="auto" w:fill="CCCCCC"/>
          </w:tcPr>
          <w:p>
            <w:pPr>
              <w:spacing w:after="0"/>
              <w:rPr>
                <w:sz w:val="20"/>
                <w:szCs w:val="20"/>
                <w:color w:val="auto"/>
              </w:rPr>
            </w:pPr>
          </w:p>
        </w:tc>
        <w:tc>
          <w:tcPr>
            <w:tcW w:w="1100" w:type="dxa"/>
            <w:vAlign w:val="bottom"/>
            <w:tcBorders>
              <w:right w:val="single" w:sz="8" w:color="9EACCA"/>
            </w:tcBorders>
            <w:shd w:val="clear" w:color="auto" w:fill="CCCCCC"/>
          </w:tcPr>
          <w:p>
            <w:pPr>
              <w:spacing w:after="0"/>
              <w:rPr>
                <w:sz w:val="20"/>
                <w:szCs w:val="20"/>
                <w:color w:val="auto"/>
              </w:rPr>
            </w:pPr>
          </w:p>
        </w:tc>
        <w:tc>
          <w:tcPr>
            <w:tcW w:w="1020" w:type="dxa"/>
            <w:vAlign w:val="bottom"/>
            <w:tcBorders>
              <w:right w:val="single" w:sz="8" w:color="3C5896"/>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tcBorders>
              <w:left w:val="single" w:sz="8" w:color="3C5896"/>
            </w:tcBorders>
            <w:shd w:val="clear" w:color="auto" w:fill="CCCCCC"/>
          </w:tcPr>
          <w:p>
            <w:pPr>
              <w:spacing w:after="0"/>
              <w:rPr>
                <w:sz w:val="21"/>
                <w:szCs w:val="21"/>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20" w:type="dxa"/>
            <w:vAlign w:val="bottom"/>
            <w:tcBorders>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1,237,500</w:t>
            </w:r>
          </w:p>
        </w:tc>
        <w:tc>
          <w:tcPr>
            <w:tcW w:w="1120" w:type="dxa"/>
            <w:vAlign w:val="bottom"/>
            <w:tcBorders>
              <w:right w:val="single" w:sz="8" w:color="9EACCA"/>
            </w:tcBorders>
            <w:shd w:val="clear" w:color="auto" w:fill="CCCCCC"/>
          </w:tcPr>
          <w:p>
            <w:pPr>
              <w:spacing w:after="0"/>
              <w:rPr>
                <w:sz w:val="21"/>
                <w:szCs w:val="21"/>
                <w:color w:val="auto"/>
              </w:rPr>
            </w:pPr>
          </w:p>
        </w:tc>
        <w:tc>
          <w:tcPr>
            <w:tcW w:w="72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113,896</w:t>
            </w:r>
          </w:p>
        </w:tc>
        <w:tc>
          <w:tcPr>
            <w:tcW w:w="1100" w:type="dxa"/>
            <w:vAlign w:val="bottom"/>
            <w:tcBorders>
              <w:right w:val="single" w:sz="8" w:color="9EACCA"/>
            </w:tcBorders>
            <w:shd w:val="clear" w:color="auto" w:fill="CCCCCC"/>
          </w:tcPr>
          <w:p>
            <w:pPr>
              <w:spacing w:after="0"/>
              <w:rPr>
                <w:sz w:val="21"/>
                <w:szCs w:val="21"/>
                <w:color w:val="auto"/>
              </w:rPr>
            </w:pPr>
          </w:p>
        </w:tc>
        <w:tc>
          <w:tcPr>
            <w:tcW w:w="1020" w:type="dxa"/>
            <w:vAlign w:val="bottom"/>
            <w:tcBorders>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371,627</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shd w:val="clear" w:color="auto" w:fill="CCCCCC"/>
          </w:tcPr>
          <w:p>
            <w:pPr>
              <w:spacing w:after="0"/>
              <w:rPr>
                <w:sz w:val="20"/>
                <w:szCs w:val="20"/>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Change in Control</w:t>
            </w:r>
          </w:p>
        </w:tc>
        <w:tc>
          <w:tcPr>
            <w:tcW w:w="920" w:type="dxa"/>
            <w:vAlign w:val="bottom"/>
            <w:tcBorders>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1,670,000</w:t>
            </w:r>
          </w:p>
        </w:tc>
        <w:tc>
          <w:tcPr>
            <w:tcW w:w="1120" w:type="dxa"/>
            <w:vAlign w:val="bottom"/>
            <w:tcBorders>
              <w:right w:val="single" w:sz="8" w:color="9EACCA"/>
            </w:tcBorders>
            <w:shd w:val="clear" w:color="auto" w:fill="CCCCCC"/>
          </w:tcPr>
          <w:p>
            <w:pPr>
              <w:spacing w:after="0"/>
              <w:rPr>
                <w:sz w:val="20"/>
                <w:szCs w:val="20"/>
                <w:color w:val="auto"/>
              </w:rPr>
            </w:pPr>
          </w:p>
        </w:tc>
        <w:tc>
          <w:tcPr>
            <w:tcW w:w="72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333,270</w:t>
            </w:r>
          </w:p>
        </w:tc>
        <w:tc>
          <w:tcPr>
            <w:tcW w:w="1100" w:type="dxa"/>
            <w:vAlign w:val="bottom"/>
            <w:tcBorders>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487,750</w:t>
            </w:r>
          </w:p>
        </w:tc>
        <w:tc>
          <w:tcPr>
            <w:tcW w:w="1020" w:type="dxa"/>
            <w:vAlign w:val="bottom"/>
            <w:tcBorders>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822,331</w:t>
            </w: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426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920" w:type="dxa"/>
            <w:vAlign w:val="bottom"/>
            <w:tcBorders>
              <w:bottom w:val="single" w:sz="8" w:color="CCCCCC"/>
              <w:right w:val="single" w:sz="8" w:color="9EACCA"/>
            </w:tcBorders>
            <w:shd w:val="clear" w:color="auto" w:fill="CCCCCC"/>
          </w:tcPr>
          <w:p>
            <w:pPr>
              <w:spacing w:after="0"/>
              <w:rPr>
                <w:sz w:val="19"/>
                <w:szCs w:val="19"/>
                <w:color w:val="auto"/>
              </w:rPr>
            </w:pPr>
          </w:p>
        </w:tc>
        <w:tc>
          <w:tcPr>
            <w:tcW w:w="1120" w:type="dxa"/>
            <w:vAlign w:val="bottom"/>
            <w:tcBorders>
              <w:bottom w:val="single" w:sz="8" w:color="CCCCCC"/>
              <w:right w:val="single" w:sz="8" w:color="9EACCA"/>
            </w:tcBorders>
            <w:shd w:val="clear" w:color="auto" w:fill="CCCCCC"/>
          </w:tcPr>
          <w:p>
            <w:pPr>
              <w:spacing w:after="0"/>
              <w:rPr>
                <w:sz w:val="19"/>
                <w:szCs w:val="19"/>
                <w:color w:val="auto"/>
              </w:rPr>
            </w:pPr>
          </w:p>
        </w:tc>
        <w:tc>
          <w:tcPr>
            <w:tcW w:w="72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333,270</w:t>
            </w:r>
          </w:p>
        </w:tc>
        <w:tc>
          <w:tcPr>
            <w:tcW w:w="1100" w:type="dxa"/>
            <w:vAlign w:val="bottom"/>
            <w:tcBorders>
              <w:bottom w:val="single" w:sz="8" w:color="CCCCCC"/>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1,036,507</w:t>
            </w:r>
          </w:p>
        </w:tc>
        <w:tc>
          <w:tcPr>
            <w:tcW w:w="1020" w:type="dxa"/>
            <w:vAlign w:val="bottom"/>
            <w:tcBorders>
              <w:bottom w:val="single" w:sz="8" w:color="CCCCCC"/>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822,331</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Bill Clark</w:t>
            </w:r>
          </w:p>
        </w:tc>
        <w:tc>
          <w:tcPr>
            <w:tcW w:w="920" w:type="dxa"/>
            <w:vAlign w:val="bottom"/>
            <w:tcBorders>
              <w:right w:val="single" w:sz="8" w:color="9EACCA"/>
            </w:tcBorders>
          </w:tcPr>
          <w:p>
            <w:pPr>
              <w:spacing w:after="0"/>
              <w:rPr>
                <w:sz w:val="20"/>
                <w:szCs w:val="20"/>
                <w:color w:val="auto"/>
              </w:rPr>
            </w:pPr>
          </w:p>
        </w:tc>
        <w:tc>
          <w:tcPr>
            <w:tcW w:w="1120" w:type="dxa"/>
            <w:vAlign w:val="bottom"/>
            <w:tcBorders>
              <w:right w:val="single" w:sz="8" w:color="9EACCA"/>
            </w:tcBorders>
          </w:tcPr>
          <w:p>
            <w:pPr>
              <w:spacing w:after="0"/>
              <w:rPr>
                <w:sz w:val="20"/>
                <w:szCs w:val="20"/>
                <w:color w:val="auto"/>
              </w:rPr>
            </w:pPr>
          </w:p>
        </w:tc>
        <w:tc>
          <w:tcPr>
            <w:tcW w:w="720" w:type="dxa"/>
            <w:vAlign w:val="bottom"/>
            <w:tcBorders>
              <w:right w:val="single" w:sz="8" w:color="9EACCA"/>
            </w:tcBorders>
          </w:tcPr>
          <w:p>
            <w:pPr>
              <w:spacing w:after="0"/>
              <w:rPr>
                <w:sz w:val="20"/>
                <w:szCs w:val="20"/>
                <w:color w:val="auto"/>
              </w:rPr>
            </w:pPr>
          </w:p>
        </w:tc>
        <w:tc>
          <w:tcPr>
            <w:tcW w:w="1100" w:type="dxa"/>
            <w:vAlign w:val="bottom"/>
            <w:tcBorders>
              <w:right w:val="single" w:sz="8" w:color="9EACCA"/>
            </w:tcBorders>
          </w:tcPr>
          <w:p>
            <w:pPr>
              <w:spacing w:after="0"/>
              <w:rPr>
                <w:sz w:val="20"/>
                <w:szCs w:val="20"/>
                <w:color w:val="auto"/>
              </w:rPr>
            </w:pPr>
          </w:p>
        </w:tc>
        <w:tc>
          <w:tcPr>
            <w:tcW w:w="102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 w:type="dxa"/>
            <w:vAlign w:val="bottom"/>
            <w:tcBorders>
              <w:left w:val="single" w:sz="8" w:color="3C5896"/>
            </w:tcBorders>
          </w:tcPr>
          <w:p>
            <w:pPr>
              <w:spacing w:after="0"/>
              <w:rPr>
                <w:sz w:val="22"/>
                <w:szCs w:val="22"/>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20" w:type="dxa"/>
            <w:vAlign w:val="bottom"/>
            <w:tcBorders>
              <w:right w:val="single" w:sz="8" w:color="9EACCA"/>
            </w:tcBorders>
          </w:tcPr>
          <w:p>
            <w:pPr>
              <w:jc w:val="right"/>
              <w:ind w:right="19"/>
              <w:spacing w:after="0"/>
              <w:rPr>
                <w:sz w:val="20"/>
                <w:szCs w:val="20"/>
                <w:color w:val="auto"/>
              </w:rPr>
            </w:pPr>
            <w:r>
              <w:rPr>
                <w:rFonts w:ascii="Arial" w:cs="Arial" w:eastAsia="Arial" w:hAnsi="Arial"/>
                <w:sz w:val="16"/>
                <w:szCs w:val="16"/>
                <w:color w:val="auto"/>
              </w:rPr>
              <w:t>525,000</w:t>
            </w:r>
          </w:p>
        </w:tc>
        <w:tc>
          <w:tcPr>
            <w:tcW w:w="1120" w:type="dxa"/>
            <w:vAlign w:val="bottom"/>
            <w:tcBorders>
              <w:right w:val="single" w:sz="8" w:color="9EACCA"/>
            </w:tcBorders>
          </w:tcPr>
          <w:p>
            <w:pPr>
              <w:jc w:val="right"/>
              <w:ind w:right="239"/>
              <w:spacing w:after="0"/>
              <w:rPr>
                <w:sz w:val="20"/>
                <w:szCs w:val="20"/>
                <w:color w:val="auto"/>
              </w:rPr>
            </w:pPr>
            <w:r>
              <w:rPr>
                <w:rFonts w:ascii="Arial" w:cs="Arial" w:eastAsia="Arial" w:hAnsi="Arial"/>
                <w:sz w:val="16"/>
                <w:szCs w:val="16"/>
                <w:color w:val="auto"/>
              </w:rPr>
              <w:t>34,308</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91,998</w:t>
            </w:r>
          </w:p>
        </w:tc>
        <w:tc>
          <w:tcPr>
            <w:tcW w:w="1100" w:type="dxa"/>
            <w:vAlign w:val="bottom"/>
            <w:tcBorders>
              <w:right w:val="single" w:sz="8" w:color="9EACCA"/>
            </w:tcBorders>
          </w:tcPr>
          <w:p>
            <w:pPr>
              <w:spacing w:after="0"/>
              <w:rPr>
                <w:sz w:val="22"/>
                <w:szCs w:val="22"/>
                <w:color w:val="auto"/>
              </w:rPr>
            </w:pP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309,245</w:t>
            </w:r>
          </w:p>
        </w:tc>
        <w:tc>
          <w:tcPr>
            <w:tcW w:w="0" w:type="dxa"/>
            <w:vAlign w:val="bottom"/>
          </w:tcPr>
          <w:p>
            <w:pPr>
              <w:spacing w:after="0"/>
              <w:rPr>
                <w:sz w:val="1"/>
                <w:szCs w:val="1"/>
                <w:color w:val="auto"/>
              </w:rPr>
            </w:pPr>
          </w:p>
        </w:tc>
      </w:tr>
      <w:tr>
        <w:trPr>
          <w:trHeight w:val="222"/>
        </w:trPr>
        <w:tc>
          <w:tcPr>
            <w:tcW w:w="60" w:type="dxa"/>
            <w:vAlign w:val="bottom"/>
            <w:tcBorders>
              <w:left w:val="single" w:sz="8" w:color="3C5896"/>
            </w:tcBorders>
          </w:tcPr>
          <w:p>
            <w:pPr>
              <w:spacing w:after="0"/>
              <w:rPr>
                <w:sz w:val="19"/>
                <w:szCs w:val="19"/>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Change in Control</w:t>
            </w:r>
          </w:p>
        </w:tc>
        <w:tc>
          <w:tcPr>
            <w:tcW w:w="920" w:type="dxa"/>
            <w:vAlign w:val="bottom"/>
            <w:tcBorders>
              <w:right w:val="single" w:sz="8" w:color="9EACCA"/>
            </w:tcBorders>
          </w:tcPr>
          <w:p>
            <w:pPr>
              <w:jc w:val="right"/>
              <w:ind w:right="19"/>
              <w:spacing w:after="0"/>
              <w:rPr>
                <w:sz w:val="20"/>
                <w:szCs w:val="20"/>
                <w:color w:val="auto"/>
              </w:rPr>
            </w:pPr>
            <w:r>
              <w:rPr>
                <w:rFonts w:ascii="Arial" w:cs="Arial" w:eastAsia="Arial" w:hAnsi="Arial"/>
                <w:sz w:val="16"/>
                <w:szCs w:val="16"/>
                <w:color w:val="auto"/>
              </w:rPr>
              <w:t>807,500</w:t>
            </w:r>
          </w:p>
        </w:tc>
        <w:tc>
          <w:tcPr>
            <w:tcW w:w="1120" w:type="dxa"/>
            <w:vAlign w:val="bottom"/>
            <w:tcBorders>
              <w:right w:val="single" w:sz="8" w:color="9EACCA"/>
            </w:tcBorders>
          </w:tcPr>
          <w:p>
            <w:pPr>
              <w:jc w:val="right"/>
              <w:ind w:right="239"/>
              <w:spacing w:after="0"/>
              <w:rPr>
                <w:sz w:val="20"/>
                <w:szCs w:val="20"/>
                <w:color w:val="auto"/>
              </w:rPr>
            </w:pPr>
            <w:r>
              <w:rPr>
                <w:rFonts w:ascii="Arial" w:cs="Arial" w:eastAsia="Arial" w:hAnsi="Arial"/>
                <w:sz w:val="16"/>
                <w:szCs w:val="16"/>
                <w:color w:val="auto"/>
              </w:rPr>
              <w:t>45,744</w:t>
            </w: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326,011</w:t>
            </w:r>
          </w:p>
        </w:tc>
        <w:tc>
          <w:tcPr>
            <w:tcW w:w="1100" w:type="dxa"/>
            <w:vAlign w:val="bottom"/>
            <w:tcBorders>
              <w:right w:val="single" w:sz="8" w:color="9EACCA"/>
            </w:tcBorders>
          </w:tcPr>
          <w:p>
            <w:pPr>
              <w:jc w:val="right"/>
              <w:ind w:right="119"/>
              <w:spacing w:after="0"/>
              <w:rPr>
                <w:sz w:val="20"/>
                <w:szCs w:val="20"/>
                <w:color w:val="auto"/>
              </w:rPr>
            </w:pPr>
            <w:r>
              <w:rPr>
                <w:rFonts w:ascii="Arial" w:cs="Arial" w:eastAsia="Arial" w:hAnsi="Arial"/>
                <w:sz w:val="16"/>
                <w:szCs w:val="16"/>
                <w:color w:val="auto"/>
              </w:rPr>
              <w:t>316,385</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601,225</w:t>
            </w:r>
          </w:p>
        </w:tc>
        <w:tc>
          <w:tcPr>
            <w:tcW w:w="0" w:type="dxa"/>
            <w:vAlign w:val="bottom"/>
          </w:tcPr>
          <w:p>
            <w:pPr>
              <w:spacing w:after="0"/>
              <w:rPr>
                <w:sz w:val="1"/>
                <w:szCs w:val="1"/>
                <w:color w:val="auto"/>
              </w:rPr>
            </w:pPr>
          </w:p>
        </w:tc>
      </w:tr>
      <w:tr>
        <w:trPr>
          <w:trHeight w:val="216"/>
        </w:trPr>
        <w:tc>
          <w:tcPr>
            <w:tcW w:w="60" w:type="dxa"/>
            <w:vAlign w:val="bottom"/>
            <w:tcBorders>
              <w:left w:val="single" w:sz="8" w:color="3C5896"/>
            </w:tcBorders>
          </w:tcPr>
          <w:p>
            <w:pPr>
              <w:spacing w:after="0"/>
              <w:rPr>
                <w:sz w:val="18"/>
                <w:szCs w:val="18"/>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920" w:type="dxa"/>
            <w:vAlign w:val="bottom"/>
            <w:tcBorders>
              <w:right w:val="single" w:sz="8" w:color="9EACCA"/>
            </w:tcBorders>
          </w:tcPr>
          <w:p>
            <w:pPr>
              <w:spacing w:after="0"/>
              <w:rPr>
                <w:sz w:val="18"/>
                <w:szCs w:val="18"/>
                <w:color w:val="auto"/>
              </w:rPr>
            </w:pPr>
          </w:p>
        </w:tc>
        <w:tc>
          <w:tcPr>
            <w:tcW w:w="1120" w:type="dxa"/>
            <w:vAlign w:val="bottom"/>
            <w:tcBorders>
              <w:right w:val="single" w:sz="8" w:color="9EACCA"/>
            </w:tcBorders>
          </w:tcPr>
          <w:p>
            <w:pPr>
              <w:spacing w:after="0"/>
              <w:rPr>
                <w:sz w:val="18"/>
                <w:szCs w:val="18"/>
                <w:color w:val="auto"/>
              </w:rPr>
            </w:pPr>
          </w:p>
        </w:tc>
        <w:tc>
          <w:tcPr>
            <w:tcW w:w="720" w:type="dxa"/>
            <w:vAlign w:val="bottom"/>
            <w:tcBorders>
              <w:right w:val="single" w:sz="8" w:color="9EACCA"/>
            </w:tcBorders>
          </w:tcPr>
          <w:p>
            <w:pPr>
              <w:jc w:val="right"/>
              <w:spacing w:after="0"/>
              <w:rPr>
                <w:sz w:val="20"/>
                <w:szCs w:val="20"/>
                <w:color w:val="auto"/>
              </w:rPr>
            </w:pPr>
            <w:r>
              <w:rPr>
                <w:rFonts w:ascii="Arial" w:cs="Arial" w:eastAsia="Arial" w:hAnsi="Arial"/>
                <w:sz w:val="16"/>
                <w:szCs w:val="16"/>
                <w:color w:val="auto"/>
              </w:rPr>
              <w:t>326,011</w:t>
            </w:r>
          </w:p>
        </w:tc>
        <w:tc>
          <w:tcPr>
            <w:tcW w:w="1100" w:type="dxa"/>
            <w:vAlign w:val="bottom"/>
            <w:tcBorders>
              <w:right w:val="single" w:sz="8" w:color="9EACCA"/>
            </w:tcBorders>
          </w:tcPr>
          <w:p>
            <w:pPr>
              <w:jc w:val="right"/>
              <w:ind w:right="119"/>
              <w:spacing w:after="0"/>
              <w:rPr>
                <w:sz w:val="20"/>
                <w:szCs w:val="20"/>
                <w:color w:val="auto"/>
              </w:rPr>
            </w:pPr>
            <w:r>
              <w:rPr>
                <w:rFonts w:ascii="Arial" w:cs="Arial" w:eastAsia="Arial" w:hAnsi="Arial"/>
                <w:sz w:val="16"/>
                <w:szCs w:val="16"/>
                <w:color w:val="auto"/>
              </w:rPr>
              <w:t>605,754</w:t>
            </w:r>
          </w:p>
        </w:tc>
        <w:tc>
          <w:tcPr>
            <w:tcW w:w="1020" w:type="dxa"/>
            <w:vAlign w:val="bottom"/>
            <w:tcBorders>
              <w:right w:val="single" w:sz="8" w:color="3C5896"/>
            </w:tcBorders>
          </w:tcPr>
          <w:p>
            <w:pPr>
              <w:jc w:val="right"/>
              <w:ind w:right="159"/>
              <w:spacing w:after="0"/>
              <w:rPr>
                <w:sz w:val="20"/>
                <w:szCs w:val="20"/>
                <w:color w:val="auto"/>
              </w:rPr>
            </w:pPr>
            <w:r>
              <w:rPr>
                <w:rFonts w:ascii="Arial" w:cs="Arial" w:eastAsia="Arial" w:hAnsi="Arial"/>
                <w:sz w:val="16"/>
                <w:szCs w:val="16"/>
                <w:color w:val="auto"/>
              </w:rPr>
              <w:t>601,225</w:t>
            </w:r>
          </w:p>
        </w:tc>
        <w:tc>
          <w:tcPr>
            <w:tcW w:w="0" w:type="dxa"/>
            <w:vAlign w:val="bottom"/>
          </w:tcPr>
          <w:p>
            <w:pPr>
              <w:spacing w:after="0"/>
              <w:rPr>
                <w:sz w:val="1"/>
                <w:szCs w:val="1"/>
                <w:color w:val="auto"/>
              </w:rPr>
            </w:pPr>
          </w:p>
        </w:tc>
      </w:tr>
      <w:tr>
        <w:trPr>
          <w:trHeight w:val="33"/>
        </w:trPr>
        <w:tc>
          <w:tcPr>
            <w:tcW w:w="60" w:type="dxa"/>
            <w:vAlign w:val="bottom"/>
            <w:tcBorders>
              <w:left w:val="single" w:sz="8" w:color="3C5896"/>
            </w:tcBorders>
          </w:tcPr>
          <w:p>
            <w:pPr>
              <w:spacing w:after="0"/>
              <w:rPr>
                <w:sz w:val="2"/>
                <w:szCs w:val="2"/>
                <w:color w:val="auto"/>
              </w:rPr>
            </w:pPr>
          </w:p>
        </w:tc>
        <w:tc>
          <w:tcPr>
            <w:tcW w:w="4260" w:type="dxa"/>
            <w:vAlign w:val="bottom"/>
            <w:tcBorders>
              <w:right w:val="single" w:sz="8" w:color="9EACCA"/>
            </w:tcBorders>
          </w:tcPr>
          <w:p>
            <w:pPr>
              <w:spacing w:after="0"/>
              <w:rPr>
                <w:sz w:val="2"/>
                <w:szCs w:val="2"/>
                <w:color w:val="auto"/>
              </w:rPr>
            </w:pPr>
          </w:p>
        </w:tc>
        <w:tc>
          <w:tcPr>
            <w:tcW w:w="920" w:type="dxa"/>
            <w:vAlign w:val="bottom"/>
            <w:tcBorders>
              <w:right w:val="single" w:sz="8" w:color="9EACCA"/>
            </w:tcBorders>
          </w:tcPr>
          <w:p>
            <w:pPr>
              <w:spacing w:after="0"/>
              <w:rPr>
                <w:sz w:val="2"/>
                <w:szCs w:val="2"/>
                <w:color w:val="auto"/>
              </w:rPr>
            </w:pPr>
          </w:p>
        </w:tc>
        <w:tc>
          <w:tcPr>
            <w:tcW w:w="1120" w:type="dxa"/>
            <w:vAlign w:val="bottom"/>
            <w:tcBorders>
              <w:right w:val="single" w:sz="8" w:color="9EACCA"/>
            </w:tcBorders>
          </w:tcPr>
          <w:p>
            <w:pPr>
              <w:spacing w:after="0"/>
              <w:rPr>
                <w:sz w:val="2"/>
                <w:szCs w:val="2"/>
                <w:color w:val="auto"/>
              </w:rPr>
            </w:pPr>
          </w:p>
        </w:tc>
        <w:tc>
          <w:tcPr>
            <w:tcW w:w="720" w:type="dxa"/>
            <w:vAlign w:val="bottom"/>
            <w:tcBorders>
              <w:right w:val="single" w:sz="8" w:color="9EACCA"/>
            </w:tcBorders>
          </w:tcPr>
          <w:p>
            <w:pPr>
              <w:spacing w:after="0"/>
              <w:rPr>
                <w:sz w:val="2"/>
                <w:szCs w:val="2"/>
                <w:color w:val="auto"/>
              </w:rPr>
            </w:pPr>
          </w:p>
        </w:tc>
        <w:tc>
          <w:tcPr>
            <w:tcW w:w="1100" w:type="dxa"/>
            <w:vAlign w:val="bottom"/>
            <w:tcBorders>
              <w:right w:val="single" w:sz="8" w:color="9EACCA"/>
            </w:tcBorders>
          </w:tcPr>
          <w:p>
            <w:pPr>
              <w:spacing w:after="0"/>
              <w:rPr>
                <w:sz w:val="2"/>
                <w:szCs w:val="2"/>
                <w:color w:val="auto"/>
              </w:rPr>
            </w:pPr>
          </w:p>
        </w:tc>
        <w:tc>
          <w:tcPr>
            <w:tcW w:w="102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left w:val="single" w:sz="8" w:color="3C5896"/>
            </w:tcBorders>
            <w:shd w:val="clear" w:color="auto" w:fill="CCCCCC"/>
          </w:tcPr>
          <w:p>
            <w:pPr>
              <w:spacing w:after="0"/>
              <w:rPr>
                <w:sz w:val="20"/>
                <w:szCs w:val="20"/>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color w:val="auto"/>
              </w:rPr>
              <w:t>Jared Brandman</w:t>
            </w:r>
          </w:p>
        </w:tc>
        <w:tc>
          <w:tcPr>
            <w:tcW w:w="920" w:type="dxa"/>
            <w:vAlign w:val="bottom"/>
            <w:tcBorders>
              <w:right w:val="single" w:sz="8" w:color="9EACCA"/>
            </w:tcBorders>
            <w:shd w:val="clear" w:color="auto" w:fill="CCCCCC"/>
          </w:tcPr>
          <w:p>
            <w:pPr>
              <w:spacing w:after="0"/>
              <w:rPr>
                <w:sz w:val="20"/>
                <w:szCs w:val="20"/>
                <w:color w:val="auto"/>
              </w:rPr>
            </w:pPr>
          </w:p>
        </w:tc>
        <w:tc>
          <w:tcPr>
            <w:tcW w:w="1120" w:type="dxa"/>
            <w:vAlign w:val="bottom"/>
            <w:tcBorders>
              <w:right w:val="single" w:sz="8" w:color="9EACCA"/>
            </w:tcBorders>
            <w:shd w:val="clear" w:color="auto" w:fill="CCCCCC"/>
          </w:tcPr>
          <w:p>
            <w:pPr>
              <w:spacing w:after="0"/>
              <w:rPr>
                <w:sz w:val="20"/>
                <w:szCs w:val="20"/>
                <w:color w:val="auto"/>
              </w:rPr>
            </w:pPr>
          </w:p>
        </w:tc>
        <w:tc>
          <w:tcPr>
            <w:tcW w:w="720" w:type="dxa"/>
            <w:vAlign w:val="bottom"/>
            <w:tcBorders>
              <w:right w:val="single" w:sz="8" w:color="9EACCA"/>
            </w:tcBorders>
            <w:shd w:val="clear" w:color="auto" w:fill="CCCCCC"/>
          </w:tcPr>
          <w:p>
            <w:pPr>
              <w:spacing w:after="0"/>
              <w:rPr>
                <w:sz w:val="20"/>
                <w:szCs w:val="20"/>
                <w:color w:val="auto"/>
              </w:rPr>
            </w:pPr>
          </w:p>
        </w:tc>
        <w:tc>
          <w:tcPr>
            <w:tcW w:w="1100" w:type="dxa"/>
            <w:vAlign w:val="bottom"/>
            <w:tcBorders>
              <w:right w:val="single" w:sz="8" w:color="9EACCA"/>
            </w:tcBorders>
            <w:shd w:val="clear" w:color="auto" w:fill="CCCCCC"/>
          </w:tcPr>
          <w:p>
            <w:pPr>
              <w:spacing w:after="0"/>
              <w:rPr>
                <w:sz w:val="20"/>
                <w:szCs w:val="20"/>
                <w:color w:val="auto"/>
              </w:rPr>
            </w:pPr>
          </w:p>
        </w:tc>
        <w:tc>
          <w:tcPr>
            <w:tcW w:w="1020" w:type="dxa"/>
            <w:vAlign w:val="bottom"/>
            <w:tcBorders>
              <w:right w:val="single" w:sz="8" w:color="3C5896"/>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tcBorders>
              <w:left w:val="single" w:sz="8" w:color="3C5896"/>
            </w:tcBorders>
            <w:shd w:val="clear" w:color="auto" w:fill="CCCCCC"/>
          </w:tcPr>
          <w:p>
            <w:pPr>
              <w:spacing w:after="0"/>
              <w:rPr>
                <w:sz w:val="21"/>
                <w:szCs w:val="21"/>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20" w:type="dxa"/>
            <w:vAlign w:val="bottom"/>
            <w:tcBorders>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787,500</w:t>
            </w:r>
          </w:p>
        </w:tc>
        <w:tc>
          <w:tcPr>
            <w:tcW w:w="1120" w:type="dxa"/>
            <w:vAlign w:val="bottom"/>
            <w:tcBorders>
              <w:right w:val="single" w:sz="8" w:color="9EACCA"/>
            </w:tcBorders>
            <w:shd w:val="clear" w:color="auto" w:fill="CCCCCC"/>
          </w:tcPr>
          <w:p>
            <w:pPr>
              <w:jc w:val="right"/>
              <w:ind w:right="239"/>
              <w:spacing w:after="0"/>
              <w:rPr>
                <w:sz w:val="20"/>
                <w:szCs w:val="20"/>
                <w:color w:val="auto"/>
              </w:rPr>
            </w:pPr>
            <w:r>
              <w:rPr>
                <w:rFonts w:ascii="Arial" w:cs="Arial" w:eastAsia="Arial" w:hAnsi="Arial"/>
                <w:sz w:val="16"/>
                <w:szCs w:val="16"/>
                <w:color w:val="auto"/>
              </w:rPr>
              <w:t>22,872</w:t>
            </w:r>
          </w:p>
        </w:tc>
        <w:tc>
          <w:tcPr>
            <w:tcW w:w="72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131,348</w:t>
            </w:r>
          </w:p>
        </w:tc>
        <w:tc>
          <w:tcPr>
            <w:tcW w:w="1100" w:type="dxa"/>
            <w:vAlign w:val="bottom"/>
            <w:tcBorders>
              <w:right w:val="single" w:sz="8" w:color="9EACCA"/>
            </w:tcBorders>
            <w:shd w:val="clear" w:color="auto" w:fill="CCCCCC"/>
          </w:tcPr>
          <w:p>
            <w:pPr>
              <w:spacing w:after="0"/>
              <w:rPr>
                <w:sz w:val="21"/>
                <w:szCs w:val="21"/>
                <w:color w:val="auto"/>
              </w:rPr>
            </w:pPr>
          </w:p>
        </w:tc>
        <w:tc>
          <w:tcPr>
            <w:tcW w:w="1020" w:type="dxa"/>
            <w:vAlign w:val="bottom"/>
            <w:tcBorders>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302,804</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shd w:val="clear" w:color="auto" w:fill="CCCCCC"/>
          </w:tcPr>
          <w:p>
            <w:pPr>
              <w:spacing w:after="0"/>
              <w:rPr>
                <w:sz w:val="20"/>
                <w:szCs w:val="20"/>
                <w:color w:val="auto"/>
              </w:rPr>
            </w:pPr>
          </w:p>
        </w:tc>
        <w:tc>
          <w:tcPr>
            <w:tcW w:w="426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Change in Control</w:t>
            </w:r>
          </w:p>
        </w:tc>
        <w:tc>
          <w:tcPr>
            <w:tcW w:w="920" w:type="dxa"/>
            <w:vAlign w:val="bottom"/>
            <w:tcBorders>
              <w:right w:val="single" w:sz="8" w:color="9EACCA"/>
            </w:tcBorders>
            <w:shd w:val="clear" w:color="auto" w:fill="CCCCCC"/>
          </w:tcPr>
          <w:p>
            <w:pPr>
              <w:jc w:val="right"/>
              <w:ind w:right="19"/>
              <w:spacing w:after="0"/>
              <w:rPr>
                <w:sz w:val="20"/>
                <w:szCs w:val="20"/>
                <w:color w:val="auto"/>
              </w:rPr>
            </w:pPr>
            <w:r>
              <w:rPr>
                <w:rFonts w:ascii="Arial" w:cs="Arial" w:eastAsia="Arial" w:hAnsi="Arial"/>
                <w:sz w:val="16"/>
                <w:szCs w:val="16"/>
                <w:color w:val="auto"/>
              </w:rPr>
              <w:t>1,070,000</w:t>
            </w:r>
          </w:p>
        </w:tc>
        <w:tc>
          <w:tcPr>
            <w:tcW w:w="1120" w:type="dxa"/>
            <w:vAlign w:val="bottom"/>
            <w:tcBorders>
              <w:right w:val="single" w:sz="8" w:color="9EACCA"/>
            </w:tcBorders>
            <w:shd w:val="clear" w:color="auto" w:fill="CCCCCC"/>
          </w:tcPr>
          <w:p>
            <w:pPr>
              <w:jc w:val="right"/>
              <w:ind w:right="239"/>
              <w:spacing w:after="0"/>
              <w:rPr>
                <w:sz w:val="20"/>
                <w:szCs w:val="20"/>
                <w:color w:val="auto"/>
              </w:rPr>
            </w:pPr>
            <w:r>
              <w:rPr>
                <w:rFonts w:ascii="Arial" w:cs="Arial" w:eastAsia="Arial" w:hAnsi="Arial"/>
                <w:sz w:val="16"/>
                <w:szCs w:val="16"/>
                <w:color w:val="auto"/>
              </w:rPr>
              <w:t>34,308</w:t>
            </w:r>
          </w:p>
        </w:tc>
        <w:tc>
          <w:tcPr>
            <w:tcW w:w="720" w:type="dxa"/>
            <w:vAlign w:val="bottom"/>
            <w:tcBorders>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587,889</w:t>
            </w:r>
          </w:p>
        </w:tc>
        <w:tc>
          <w:tcPr>
            <w:tcW w:w="1100" w:type="dxa"/>
            <w:vAlign w:val="bottom"/>
            <w:tcBorders>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170,211</w:t>
            </w:r>
          </w:p>
        </w:tc>
        <w:tc>
          <w:tcPr>
            <w:tcW w:w="1020" w:type="dxa"/>
            <w:vAlign w:val="bottom"/>
            <w:tcBorders>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578,444</w:t>
            </w: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426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920" w:type="dxa"/>
            <w:vAlign w:val="bottom"/>
            <w:tcBorders>
              <w:bottom w:val="single" w:sz="8" w:color="CCCCCC"/>
              <w:right w:val="single" w:sz="8" w:color="9EACCA"/>
            </w:tcBorders>
            <w:shd w:val="clear" w:color="auto" w:fill="CCCCCC"/>
          </w:tcPr>
          <w:p>
            <w:pPr>
              <w:spacing w:after="0"/>
              <w:rPr>
                <w:sz w:val="19"/>
                <w:szCs w:val="19"/>
                <w:color w:val="auto"/>
              </w:rPr>
            </w:pPr>
          </w:p>
        </w:tc>
        <w:tc>
          <w:tcPr>
            <w:tcW w:w="1120" w:type="dxa"/>
            <w:vAlign w:val="bottom"/>
            <w:tcBorders>
              <w:bottom w:val="single" w:sz="8" w:color="CCCCCC"/>
              <w:right w:val="single" w:sz="8" w:color="9EACCA"/>
            </w:tcBorders>
            <w:shd w:val="clear" w:color="auto" w:fill="CCCCCC"/>
          </w:tcPr>
          <w:p>
            <w:pPr>
              <w:spacing w:after="0"/>
              <w:rPr>
                <w:sz w:val="19"/>
                <w:szCs w:val="19"/>
                <w:color w:val="auto"/>
              </w:rPr>
            </w:pPr>
          </w:p>
        </w:tc>
        <w:tc>
          <w:tcPr>
            <w:tcW w:w="720" w:type="dxa"/>
            <w:vAlign w:val="bottom"/>
            <w:tcBorders>
              <w:bottom w:val="single" w:sz="8" w:color="CCCCCC"/>
              <w:right w:val="single" w:sz="8" w:color="9EACCA"/>
            </w:tcBorders>
            <w:shd w:val="clear" w:color="auto" w:fill="CCCCCC"/>
          </w:tcPr>
          <w:p>
            <w:pPr>
              <w:jc w:val="right"/>
              <w:spacing w:after="0"/>
              <w:rPr>
                <w:sz w:val="20"/>
                <w:szCs w:val="20"/>
                <w:color w:val="auto"/>
              </w:rPr>
            </w:pPr>
            <w:r>
              <w:rPr>
                <w:rFonts w:ascii="Arial" w:cs="Arial" w:eastAsia="Arial" w:hAnsi="Arial"/>
                <w:sz w:val="16"/>
                <w:szCs w:val="16"/>
                <w:color w:val="auto"/>
              </w:rPr>
              <w:t>587,889</w:t>
            </w:r>
          </w:p>
        </w:tc>
        <w:tc>
          <w:tcPr>
            <w:tcW w:w="1100" w:type="dxa"/>
            <w:vAlign w:val="bottom"/>
            <w:tcBorders>
              <w:bottom w:val="single" w:sz="8" w:color="CCCCCC"/>
              <w:right w:val="single" w:sz="8" w:color="9EACCA"/>
            </w:tcBorders>
            <w:shd w:val="clear" w:color="auto" w:fill="CCCCCC"/>
          </w:tcPr>
          <w:p>
            <w:pPr>
              <w:jc w:val="right"/>
              <w:ind w:right="119"/>
              <w:spacing w:after="0"/>
              <w:rPr>
                <w:sz w:val="20"/>
                <w:szCs w:val="20"/>
                <w:color w:val="auto"/>
              </w:rPr>
            </w:pPr>
            <w:r>
              <w:rPr>
                <w:rFonts w:ascii="Arial" w:cs="Arial" w:eastAsia="Arial" w:hAnsi="Arial"/>
                <w:sz w:val="16"/>
                <w:szCs w:val="16"/>
                <w:color w:val="auto"/>
              </w:rPr>
              <w:t>323,506</w:t>
            </w:r>
          </w:p>
        </w:tc>
        <w:tc>
          <w:tcPr>
            <w:tcW w:w="1020" w:type="dxa"/>
            <w:vAlign w:val="bottom"/>
            <w:tcBorders>
              <w:bottom w:val="single" w:sz="8" w:color="CCCCCC"/>
              <w:right w:val="single" w:sz="8" w:color="3C5896"/>
            </w:tcBorders>
            <w:shd w:val="clear" w:color="auto" w:fill="CCCCCC"/>
          </w:tcPr>
          <w:p>
            <w:pPr>
              <w:jc w:val="right"/>
              <w:ind w:right="159"/>
              <w:spacing w:after="0"/>
              <w:rPr>
                <w:sz w:val="20"/>
                <w:szCs w:val="20"/>
                <w:color w:val="auto"/>
              </w:rPr>
            </w:pPr>
            <w:r>
              <w:rPr>
                <w:rFonts w:ascii="Arial" w:cs="Arial" w:eastAsia="Arial" w:hAnsi="Arial"/>
                <w:sz w:val="16"/>
                <w:szCs w:val="16"/>
                <w:color w:val="auto"/>
              </w:rPr>
              <w:t>578,444</w:t>
            </w:r>
          </w:p>
        </w:tc>
        <w:tc>
          <w:tcPr>
            <w:tcW w:w="0" w:type="dxa"/>
            <w:vAlign w:val="bottom"/>
          </w:tcPr>
          <w:p>
            <w:pPr>
              <w:spacing w:after="0"/>
              <w:rPr>
                <w:sz w:val="1"/>
                <w:szCs w:val="1"/>
                <w:color w:val="auto"/>
              </w:rPr>
            </w:pPr>
          </w:p>
        </w:tc>
      </w:tr>
      <w:tr>
        <w:trPr>
          <w:trHeight w:val="237"/>
        </w:trPr>
        <w:tc>
          <w:tcPr>
            <w:tcW w:w="60" w:type="dxa"/>
            <w:vAlign w:val="bottom"/>
            <w:tcBorders>
              <w:left w:val="single" w:sz="8" w:color="3C5896"/>
            </w:tcBorders>
          </w:tcPr>
          <w:p>
            <w:pPr>
              <w:spacing w:after="0"/>
              <w:rPr>
                <w:sz w:val="20"/>
                <w:szCs w:val="20"/>
                <w:color w:val="auto"/>
              </w:rPr>
            </w:pPr>
          </w:p>
        </w:tc>
        <w:tc>
          <w:tcPr>
            <w:tcW w:w="4260" w:type="dxa"/>
            <w:vAlign w:val="bottom"/>
            <w:tcBorders>
              <w:right w:val="single" w:sz="8" w:color="9EACCA"/>
            </w:tcBorders>
          </w:tcPr>
          <w:p>
            <w:pPr>
              <w:spacing w:after="0"/>
              <w:rPr>
                <w:sz w:val="20"/>
                <w:szCs w:val="20"/>
                <w:color w:val="auto"/>
              </w:rPr>
            </w:pPr>
            <w:r>
              <w:rPr>
                <w:rFonts w:ascii="Arial" w:cs="Arial" w:eastAsia="Arial" w:hAnsi="Arial"/>
                <w:sz w:val="16"/>
                <w:szCs w:val="16"/>
                <w:color w:val="auto"/>
              </w:rPr>
              <w:t>Joan Blackwood</w:t>
            </w:r>
          </w:p>
        </w:tc>
        <w:tc>
          <w:tcPr>
            <w:tcW w:w="920" w:type="dxa"/>
            <w:vAlign w:val="bottom"/>
            <w:tcBorders>
              <w:right w:val="single" w:sz="8" w:color="9EACCA"/>
            </w:tcBorders>
            <w:vMerge w:val="restart"/>
          </w:tcPr>
          <w:p>
            <w:pPr>
              <w:jc w:val="right"/>
              <w:ind w:right="19"/>
              <w:spacing w:after="0"/>
              <w:rPr>
                <w:sz w:val="20"/>
                <w:szCs w:val="20"/>
                <w:color w:val="auto"/>
              </w:rPr>
            </w:pPr>
            <w:r>
              <w:rPr>
                <w:rFonts w:ascii="Arial" w:cs="Arial" w:eastAsia="Arial" w:hAnsi="Arial"/>
                <w:sz w:val="16"/>
                <w:szCs w:val="16"/>
                <w:color w:val="auto"/>
              </w:rPr>
              <w:t>480,000</w:t>
            </w:r>
          </w:p>
        </w:tc>
        <w:tc>
          <w:tcPr>
            <w:tcW w:w="1120" w:type="dxa"/>
            <w:vAlign w:val="bottom"/>
            <w:tcBorders>
              <w:right w:val="single" w:sz="8" w:color="9EACCA"/>
            </w:tcBorders>
            <w:vMerge w:val="restart"/>
          </w:tcPr>
          <w:p>
            <w:pPr>
              <w:jc w:val="right"/>
              <w:ind w:right="239"/>
              <w:spacing w:after="0"/>
              <w:rPr>
                <w:sz w:val="20"/>
                <w:szCs w:val="20"/>
                <w:color w:val="auto"/>
              </w:rPr>
            </w:pPr>
            <w:r>
              <w:rPr>
                <w:rFonts w:ascii="Arial" w:cs="Arial" w:eastAsia="Arial" w:hAnsi="Arial"/>
                <w:sz w:val="16"/>
                <w:szCs w:val="16"/>
                <w:color w:val="auto"/>
              </w:rPr>
              <w:t>22,872</w:t>
            </w:r>
          </w:p>
        </w:tc>
        <w:tc>
          <w:tcPr>
            <w:tcW w:w="72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6"/>
                <w:szCs w:val="16"/>
                <w:color w:val="auto"/>
              </w:rPr>
              <w:t>13,490</w:t>
            </w:r>
          </w:p>
        </w:tc>
        <w:tc>
          <w:tcPr>
            <w:tcW w:w="1100" w:type="dxa"/>
            <w:vAlign w:val="bottom"/>
            <w:tcBorders>
              <w:right w:val="single" w:sz="8" w:color="9EACCA"/>
            </w:tcBorders>
          </w:tcPr>
          <w:p>
            <w:pPr>
              <w:spacing w:after="0"/>
              <w:rPr>
                <w:sz w:val="20"/>
                <w:szCs w:val="20"/>
                <w:color w:val="auto"/>
              </w:rPr>
            </w:pPr>
          </w:p>
        </w:tc>
        <w:tc>
          <w:tcPr>
            <w:tcW w:w="1020" w:type="dxa"/>
            <w:vAlign w:val="bottom"/>
            <w:tcBorders>
              <w:right w:val="single" w:sz="8" w:color="3C5896"/>
            </w:tcBorders>
            <w:vMerge w:val="restart"/>
          </w:tcPr>
          <w:p>
            <w:pPr>
              <w:jc w:val="right"/>
              <w:ind w:right="159"/>
              <w:spacing w:after="0"/>
              <w:rPr>
                <w:sz w:val="20"/>
                <w:szCs w:val="20"/>
                <w:color w:val="auto"/>
              </w:rPr>
            </w:pPr>
            <w:r>
              <w:rPr>
                <w:rFonts w:ascii="Arial" w:cs="Arial" w:eastAsia="Arial" w:hAnsi="Arial"/>
                <w:sz w:val="16"/>
                <w:szCs w:val="16"/>
                <w:color w:val="auto"/>
              </w:rPr>
              <w:t>31,431</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tcPr>
          <w:p>
            <w:pPr>
              <w:spacing w:after="0"/>
              <w:rPr>
                <w:sz w:val="16"/>
                <w:szCs w:val="16"/>
                <w:color w:val="auto"/>
              </w:rPr>
            </w:pPr>
          </w:p>
        </w:tc>
        <w:tc>
          <w:tcPr>
            <w:tcW w:w="4260" w:type="dxa"/>
            <w:vAlign w:val="bottom"/>
            <w:tcBorders>
              <w:right w:val="single" w:sz="8" w:color="9EACCA"/>
            </w:tcBorders>
            <w:vMerge w:val="restart"/>
          </w:tcPr>
          <w:p>
            <w:pPr>
              <w:spacing w:after="0"/>
              <w:rPr>
                <w:sz w:val="20"/>
                <w:szCs w:val="20"/>
                <w:color w:val="auto"/>
              </w:rPr>
            </w:pPr>
            <w:r>
              <w:rPr>
                <w:rFonts w:ascii="Arial" w:cs="Arial" w:eastAsia="Arial" w:hAnsi="Arial"/>
                <w:sz w:val="16"/>
                <w:szCs w:val="16"/>
                <w:i w:val="1"/>
                <w:iCs w:val="1"/>
                <w:color w:val="auto"/>
              </w:rPr>
              <w:t>Qualifying Termination of Employment</w:t>
            </w:r>
          </w:p>
        </w:tc>
        <w:tc>
          <w:tcPr>
            <w:tcW w:w="920" w:type="dxa"/>
            <w:vAlign w:val="bottom"/>
            <w:tcBorders>
              <w:right w:val="single" w:sz="8" w:color="9EACCA"/>
            </w:tcBorders>
            <w:vMerge w:val="continue"/>
          </w:tcPr>
          <w:p>
            <w:pPr>
              <w:spacing w:after="0"/>
              <w:rPr>
                <w:sz w:val="16"/>
                <w:szCs w:val="16"/>
                <w:color w:val="auto"/>
              </w:rPr>
            </w:pPr>
          </w:p>
        </w:tc>
        <w:tc>
          <w:tcPr>
            <w:tcW w:w="1120" w:type="dxa"/>
            <w:vAlign w:val="bottom"/>
            <w:tcBorders>
              <w:right w:val="single" w:sz="8" w:color="9EACCA"/>
            </w:tcBorders>
            <w:vMerge w:val="continue"/>
          </w:tcPr>
          <w:p>
            <w:pPr>
              <w:spacing w:after="0"/>
              <w:rPr>
                <w:sz w:val="16"/>
                <w:szCs w:val="16"/>
                <w:color w:val="auto"/>
              </w:rPr>
            </w:pPr>
          </w:p>
        </w:tc>
        <w:tc>
          <w:tcPr>
            <w:tcW w:w="720" w:type="dxa"/>
            <w:vAlign w:val="bottom"/>
            <w:tcBorders>
              <w:right w:val="single" w:sz="8" w:color="9EACCA"/>
            </w:tcBorders>
            <w:vMerge w:val="continue"/>
          </w:tcPr>
          <w:p>
            <w:pPr>
              <w:spacing w:after="0"/>
              <w:rPr>
                <w:sz w:val="16"/>
                <w:szCs w:val="16"/>
                <w:color w:val="auto"/>
              </w:rPr>
            </w:pPr>
          </w:p>
        </w:tc>
        <w:tc>
          <w:tcPr>
            <w:tcW w:w="1100" w:type="dxa"/>
            <w:vAlign w:val="bottom"/>
            <w:tcBorders>
              <w:right w:val="single" w:sz="8" w:color="9EACCA"/>
            </w:tcBorders>
          </w:tcPr>
          <w:p>
            <w:pPr>
              <w:spacing w:after="0"/>
              <w:rPr>
                <w:sz w:val="16"/>
                <w:szCs w:val="16"/>
                <w:color w:val="auto"/>
              </w:rPr>
            </w:pPr>
          </w:p>
        </w:tc>
        <w:tc>
          <w:tcPr>
            <w:tcW w:w="1020" w:type="dxa"/>
            <w:vAlign w:val="bottom"/>
            <w:tcBorders>
              <w:right w:val="single" w:sz="8" w:color="3C5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3C5896"/>
            </w:tcBorders>
          </w:tcPr>
          <w:p>
            <w:pPr>
              <w:spacing w:after="0"/>
              <w:rPr>
                <w:sz w:val="7"/>
                <w:szCs w:val="7"/>
                <w:color w:val="auto"/>
              </w:rPr>
            </w:pPr>
          </w:p>
        </w:tc>
        <w:tc>
          <w:tcPr>
            <w:tcW w:w="4260" w:type="dxa"/>
            <w:vAlign w:val="bottom"/>
            <w:tcBorders>
              <w:right w:val="single" w:sz="8" w:color="9EACCA"/>
            </w:tcBorders>
            <w:vMerge w:val="continue"/>
          </w:tcPr>
          <w:p>
            <w:pPr>
              <w:spacing w:after="0"/>
              <w:rPr>
                <w:sz w:val="7"/>
                <w:szCs w:val="7"/>
                <w:color w:val="auto"/>
              </w:rPr>
            </w:pPr>
          </w:p>
        </w:tc>
        <w:tc>
          <w:tcPr>
            <w:tcW w:w="920" w:type="dxa"/>
            <w:vAlign w:val="bottom"/>
            <w:tcBorders>
              <w:right w:val="single" w:sz="8" w:color="9EACCA"/>
            </w:tcBorders>
            <w:vMerge w:val="restart"/>
          </w:tcPr>
          <w:p>
            <w:pPr>
              <w:jc w:val="right"/>
              <w:ind w:right="19"/>
              <w:spacing w:after="0"/>
              <w:rPr>
                <w:sz w:val="20"/>
                <w:szCs w:val="20"/>
                <w:color w:val="auto"/>
              </w:rPr>
            </w:pPr>
            <w:r>
              <w:rPr>
                <w:rFonts w:ascii="Arial" w:cs="Arial" w:eastAsia="Arial" w:hAnsi="Arial"/>
                <w:sz w:val="16"/>
                <w:szCs w:val="16"/>
                <w:color w:val="auto"/>
              </w:rPr>
              <w:t>740,000</w:t>
            </w:r>
          </w:p>
        </w:tc>
        <w:tc>
          <w:tcPr>
            <w:tcW w:w="1120" w:type="dxa"/>
            <w:vAlign w:val="bottom"/>
            <w:tcBorders>
              <w:right w:val="single" w:sz="8" w:color="9EACCA"/>
            </w:tcBorders>
            <w:vMerge w:val="restart"/>
          </w:tcPr>
          <w:p>
            <w:pPr>
              <w:jc w:val="right"/>
              <w:ind w:right="239"/>
              <w:spacing w:after="0"/>
              <w:rPr>
                <w:sz w:val="20"/>
                <w:szCs w:val="20"/>
                <w:color w:val="auto"/>
              </w:rPr>
            </w:pPr>
            <w:r>
              <w:rPr>
                <w:rFonts w:ascii="Arial" w:cs="Arial" w:eastAsia="Arial" w:hAnsi="Arial"/>
                <w:sz w:val="16"/>
                <w:szCs w:val="16"/>
                <w:color w:val="auto"/>
              </w:rPr>
              <w:t>34,308</w:t>
            </w:r>
          </w:p>
        </w:tc>
        <w:tc>
          <w:tcPr>
            <w:tcW w:w="72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6"/>
                <w:szCs w:val="16"/>
                <w:color w:val="auto"/>
              </w:rPr>
              <w:t>47,806</w:t>
            </w:r>
          </w:p>
        </w:tc>
        <w:tc>
          <w:tcPr>
            <w:tcW w:w="1100" w:type="dxa"/>
            <w:vAlign w:val="bottom"/>
            <w:tcBorders>
              <w:right w:val="single" w:sz="8" w:color="9EACCA"/>
            </w:tcBorders>
            <w:vMerge w:val="restart"/>
          </w:tcPr>
          <w:p>
            <w:pPr>
              <w:jc w:val="right"/>
              <w:ind w:right="119"/>
              <w:spacing w:after="0"/>
              <w:rPr>
                <w:sz w:val="20"/>
                <w:szCs w:val="20"/>
                <w:color w:val="auto"/>
              </w:rPr>
            </w:pPr>
            <w:r>
              <w:rPr>
                <w:rFonts w:ascii="Arial" w:cs="Arial" w:eastAsia="Arial" w:hAnsi="Arial"/>
                <w:sz w:val="16"/>
                <w:szCs w:val="16"/>
                <w:color w:val="auto"/>
              </w:rPr>
              <w:t>49,552</w:t>
            </w:r>
          </w:p>
        </w:tc>
        <w:tc>
          <w:tcPr>
            <w:tcW w:w="1020" w:type="dxa"/>
            <w:vAlign w:val="bottom"/>
            <w:tcBorders>
              <w:right w:val="single" w:sz="8" w:color="3C5896"/>
            </w:tcBorders>
            <w:vMerge w:val="restart"/>
          </w:tcPr>
          <w:p>
            <w:pPr>
              <w:jc w:val="right"/>
              <w:ind w:right="159"/>
              <w:spacing w:after="0"/>
              <w:rPr>
                <w:sz w:val="20"/>
                <w:szCs w:val="20"/>
                <w:color w:val="auto"/>
              </w:rPr>
            </w:pPr>
            <w:r>
              <w:rPr>
                <w:rFonts w:ascii="Arial" w:cs="Arial" w:eastAsia="Arial" w:hAnsi="Arial"/>
                <w:sz w:val="16"/>
                <w:szCs w:val="16"/>
                <w:color w:val="auto"/>
              </w:rPr>
              <w:t>329,802</w:t>
            </w:r>
          </w:p>
        </w:tc>
        <w:tc>
          <w:tcPr>
            <w:tcW w:w="0" w:type="dxa"/>
            <w:vAlign w:val="bottom"/>
          </w:tcPr>
          <w:p>
            <w:pPr>
              <w:spacing w:after="0"/>
              <w:rPr>
                <w:sz w:val="1"/>
                <w:szCs w:val="1"/>
                <w:color w:val="auto"/>
              </w:rPr>
            </w:pPr>
          </w:p>
        </w:tc>
      </w:tr>
      <w:tr>
        <w:trPr>
          <w:trHeight w:val="148"/>
        </w:trPr>
        <w:tc>
          <w:tcPr>
            <w:tcW w:w="60" w:type="dxa"/>
            <w:vAlign w:val="bottom"/>
            <w:tcBorders>
              <w:left w:val="single" w:sz="8" w:color="3C5896"/>
            </w:tcBorders>
          </w:tcPr>
          <w:p>
            <w:pPr>
              <w:spacing w:after="0"/>
              <w:rPr>
                <w:sz w:val="12"/>
                <w:szCs w:val="12"/>
                <w:color w:val="auto"/>
              </w:rPr>
            </w:pPr>
          </w:p>
        </w:tc>
        <w:tc>
          <w:tcPr>
            <w:tcW w:w="4260" w:type="dxa"/>
            <w:vAlign w:val="bottom"/>
            <w:tcBorders>
              <w:right w:val="single" w:sz="8" w:color="9EACCA"/>
            </w:tcBorders>
            <w:vMerge w:val="restart"/>
          </w:tcPr>
          <w:p>
            <w:pPr>
              <w:spacing w:after="0"/>
              <w:rPr>
                <w:sz w:val="20"/>
                <w:szCs w:val="20"/>
                <w:color w:val="auto"/>
              </w:rPr>
            </w:pPr>
            <w:r>
              <w:rPr>
                <w:rFonts w:ascii="Arial" w:cs="Arial" w:eastAsia="Arial" w:hAnsi="Arial"/>
                <w:sz w:val="16"/>
                <w:szCs w:val="16"/>
                <w:i w:val="1"/>
                <w:iCs w:val="1"/>
                <w:color w:val="auto"/>
              </w:rPr>
              <w:t>Change in Control</w:t>
            </w:r>
          </w:p>
        </w:tc>
        <w:tc>
          <w:tcPr>
            <w:tcW w:w="920" w:type="dxa"/>
            <w:vAlign w:val="bottom"/>
            <w:tcBorders>
              <w:right w:val="single" w:sz="8" w:color="9EACCA"/>
            </w:tcBorders>
            <w:vMerge w:val="continue"/>
          </w:tcPr>
          <w:p>
            <w:pPr>
              <w:spacing w:after="0"/>
              <w:rPr>
                <w:sz w:val="12"/>
                <w:szCs w:val="12"/>
                <w:color w:val="auto"/>
              </w:rPr>
            </w:pPr>
          </w:p>
        </w:tc>
        <w:tc>
          <w:tcPr>
            <w:tcW w:w="1120" w:type="dxa"/>
            <w:vAlign w:val="bottom"/>
            <w:tcBorders>
              <w:right w:val="single" w:sz="8" w:color="9EACCA"/>
            </w:tcBorders>
            <w:vMerge w:val="continue"/>
          </w:tcPr>
          <w:p>
            <w:pPr>
              <w:spacing w:after="0"/>
              <w:rPr>
                <w:sz w:val="12"/>
                <w:szCs w:val="12"/>
                <w:color w:val="auto"/>
              </w:rPr>
            </w:pPr>
          </w:p>
        </w:tc>
        <w:tc>
          <w:tcPr>
            <w:tcW w:w="720" w:type="dxa"/>
            <w:vAlign w:val="bottom"/>
            <w:tcBorders>
              <w:right w:val="single" w:sz="8" w:color="9EACCA"/>
            </w:tcBorders>
            <w:vMerge w:val="continue"/>
          </w:tcPr>
          <w:p>
            <w:pPr>
              <w:spacing w:after="0"/>
              <w:rPr>
                <w:sz w:val="12"/>
                <w:szCs w:val="12"/>
                <w:color w:val="auto"/>
              </w:rPr>
            </w:pPr>
          </w:p>
        </w:tc>
        <w:tc>
          <w:tcPr>
            <w:tcW w:w="1100" w:type="dxa"/>
            <w:vAlign w:val="bottom"/>
            <w:tcBorders>
              <w:right w:val="single" w:sz="8" w:color="9EACCA"/>
            </w:tcBorders>
            <w:vMerge w:val="continue"/>
          </w:tcPr>
          <w:p>
            <w:pPr>
              <w:spacing w:after="0"/>
              <w:rPr>
                <w:sz w:val="12"/>
                <w:szCs w:val="12"/>
                <w:color w:val="auto"/>
              </w:rPr>
            </w:pPr>
          </w:p>
        </w:tc>
        <w:tc>
          <w:tcPr>
            <w:tcW w:w="1020" w:type="dxa"/>
            <w:vAlign w:val="bottom"/>
            <w:tcBorders>
              <w:right w:val="single" w:sz="8" w:color="3C5896"/>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left w:val="single" w:sz="8" w:color="3C5896"/>
            </w:tcBorders>
          </w:tcPr>
          <w:p>
            <w:pPr>
              <w:spacing w:after="0"/>
              <w:rPr>
                <w:sz w:val="5"/>
                <w:szCs w:val="5"/>
                <w:color w:val="auto"/>
              </w:rPr>
            </w:pPr>
          </w:p>
        </w:tc>
        <w:tc>
          <w:tcPr>
            <w:tcW w:w="4260" w:type="dxa"/>
            <w:vAlign w:val="bottom"/>
            <w:tcBorders>
              <w:right w:val="single" w:sz="8" w:color="9EACCA"/>
            </w:tcBorders>
            <w:vMerge w:val="continue"/>
          </w:tcPr>
          <w:p>
            <w:pPr>
              <w:spacing w:after="0"/>
              <w:rPr>
                <w:sz w:val="5"/>
                <w:szCs w:val="5"/>
                <w:color w:val="auto"/>
              </w:rPr>
            </w:pPr>
          </w:p>
        </w:tc>
        <w:tc>
          <w:tcPr>
            <w:tcW w:w="920" w:type="dxa"/>
            <w:vAlign w:val="bottom"/>
            <w:tcBorders>
              <w:right w:val="single" w:sz="8" w:color="9EACCA"/>
            </w:tcBorders>
          </w:tcPr>
          <w:p>
            <w:pPr>
              <w:spacing w:after="0"/>
              <w:rPr>
                <w:sz w:val="5"/>
                <w:szCs w:val="5"/>
                <w:color w:val="auto"/>
              </w:rPr>
            </w:pPr>
          </w:p>
        </w:tc>
        <w:tc>
          <w:tcPr>
            <w:tcW w:w="1120" w:type="dxa"/>
            <w:vAlign w:val="bottom"/>
            <w:tcBorders>
              <w:right w:val="single" w:sz="8" w:color="9EACCA"/>
            </w:tcBorders>
          </w:tcPr>
          <w:p>
            <w:pPr>
              <w:spacing w:after="0"/>
              <w:rPr>
                <w:sz w:val="5"/>
                <w:szCs w:val="5"/>
                <w:color w:val="auto"/>
              </w:rPr>
            </w:pPr>
          </w:p>
        </w:tc>
        <w:tc>
          <w:tcPr>
            <w:tcW w:w="720" w:type="dxa"/>
            <w:vAlign w:val="bottom"/>
            <w:tcBorders>
              <w:right w:val="single" w:sz="8" w:color="9EACCA"/>
            </w:tcBorders>
            <w:vMerge w:val="restart"/>
          </w:tcPr>
          <w:p>
            <w:pPr>
              <w:jc w:val="right"/>
              <w:spacing w:after="0"/>
              <w:rPr>
                <w:sz w:val="20"/>
                <w:szCs w:val="20"/>
                <w:color w:val="auto"/>
              </w:rPr>
            </w:pPr>
            <w:r>
              <w:rPr>
                <w:rFonts w:ascii="Arial" w:cs="Arial" w:eastAsia="Arial" w:hAnsi="Arial"/>
                <w:sz w:val="16"/>
                <w:szCs w:val="16"/>
                <w:color w:val="auto"/>
              </w:rPr>
              <w:t>47,806</w:t>
            </w:r>
          </w:p>
        </w:tc>
        <w:tc>
          <w:tcPr>
            <w:tcW w:w="1100" w:type="dxa"/>
            <w:vAlign w:val="bottom"/>
            <w:tcBorders>
              <w:right w:val="single" w:sz="8" w:color="9EACCA"/>
            </w:tcBorders>
            <w:vMerge w:val="restart"/>
          </w:tcPr>
          <w:p>
            <w:pPr>
              <w:jc w:val="right"/>
              <w:ind w:right="119"/>
              <w:spacing w:after="0"/>
              <w:rPr>
                <w:sz w:val="20"/>
                <w:szCs w:val="20"/>
                <w:color w:val="auto"/>
              </w:rPr>
            </w:pPr>
            <w:r>
              <w:rPr>
                <w:rFonts w:ascii="Arial" w:cs="Arial" w:eastAsia="Arial" w:hAnsi="Arial"/>
                <w:sz w:val="16"/>
                <w:szCs w:val="16"/>
                <w:color w:val="auto"/>
              </w:rPr>
              <w:t>162,591</w:t>
            </w:r>
          </w:p>
        </w:tc>
        <w:tc>
          <w:tcPr>
            <w:tcW w:w="1020" w:type="dxa"/>
            <w:vAlign w:val="bottom"/>
            <w:tcBorders>
              <w:right w:val="single" w:sz="8" w:color="3C5896"/>
            </w:tcBorders>
            <w:vMerge w:val="restart"/>
          </w:tcPr>
          <w:p>
            <w:pPr>
              <w:jc w:val="right"/>
              <w:ind w:right="159"/>
              <w:spacing w:after="0"/>
              <w:rPr>
                <w:sz w:val="20"/>
                <w:szCs w:val="20"/>
                <w:color w:val="auto"/>
              </w:rPr>
            </w:pPr>
            <w:r>
              <w:rPr>
                <w:rFonts w:ascii="Arial" w:cs="Arial" w:eastAsia="Arial" w:hAnsi="Arial"/>
                <w:sz w:val="16"/>
                <w:szCs w:val="16"/>
                <w:color w:val="auto"/>
              </w:rPr>
              <w:t>329,802</w:t>
            </w:r>
          </w:p>
        </w:tc>
        <w:tc>
          <w:tcPr>
            <w:tcW w:w="0" w:type="dxa"/>
            <w:vAlign w:val="bottom"/>
          </w:tcPr>
          <w:p>
            <w:pPr>
              <w:spacing w:after="0"/>
              <w:rPr>
                <w:sz w:val="1"/>
                <w:szCs w:val="1"/>
                <w:color w:val="auto"/>
              </w:rPr>
            </w:pPr>
          </w:p>
        </w:tc>
      </w:tr>
      <w:tr>
        <w:trPr>
          <w:trHeight w:val="219"/>
        </w:trPr>
        <w:tc>
          <w:tcPr>
            <w:tcW w:w="60" w:type="dxa"/>
            <w:vAlign w:val="bottom"/>
            <w:tcBorders>
              <w:left w:val="single" w:sz="8" w:color="3C5896"/>
              <w:bottom w:val="single" w:sz="8" w:color="3C5896"/>
            </w:tcBorders>
          </w:tcPr>
          <w:p>
            <w:pPr>
              <w:spacing w:after="0"/>
              <w:rPr>
                <w:sz w:val="19"/>
                <w:szCs w:val="19"/>
                <w:color w:val="auto"/>
              </w:rPr>
            </w:pPr>
          </w:p>
        </w:tc>
        <w:tc>
          <w:tcPr>
            <w:tcW w:w="4260" w:type="dxa"/>
            <w:vAlign w:val="bottom"/>
            <w:tcBorders>
              <w:bottom w:val="single" w:sz="8" w:color="3C5896"/>
              <w:right w:val="single" w:sz="8" w:color="9EACCA"/>
            </w:tcBorders>
          </w:tcPr>
          <w:p>
            <w:pPr>
              <w:spacing w:after="0"/>
              <w:rPr>
                <w:sz w:val="20"/>
                <w:szCs w:val="20"/>
                <w:color w:val="auto"/>
              </w:rPr>
            </w:pPr>
            <w:r>
              <w:rPr>
                <w:rFonts w:ascii="Arial" w:cs="Arial" w:eastAsia="Arial" w:hAnsi="Arial"/>
                <w:sz w:val="16"/>
                <w:szCs w:val="16"/>
                <w:i w:val="1"/>
                <w:iCs w:val="1"/>
                <w:color w:val="auto"/>
              </w:rPr>
              <w:t>Termination Upon Death or Disability</w:t>
            </w:r>
          </w:p>
        </w:tc>
        <w:tc>
          <w:tcPr>
            <w:tcW w:w="920" w:type="dxa"/>
            <w:vAlign w:val="bottom"/>
            <w:tcBorders>
              <w:bottom w:val="single" w:sz="8" w:color="3C5896"/>
              <w:right w:val="single" w:sz="8" w:color="9EACCA"/>
            </w:tcBorders>
          </w:tcPr>
          <w:p>
            <w:pPr>
              <w:spacing w:after="0"/>
              <w:rPr>
                <w:sz w:val="19"/>
                <w:szCs w:val="19"/>
                <w:color w:val="auto"/>
              </w:rPr>
            </w:pPr>
          </w:p>
        </w:tc>
        <w:tc>
          <w:tcPr>
            <w:tcW w:w="1120" w:type="dxa"/>
            <w:vAlign w:val="bottom"/>
            <w:tcBorders>
              <w:bottom w:val="single" w:sz="8" w:color="3C5896"/>
              <w:right w:val="single" w:sz="8" w:color="9EACCA"/>
            </w:tcBorders>
          </w:tcPr>
          <w:p>
            <w:pPr>
              <w:spacing w:after="0"/>
              <w:rPr>
                <w:sz w:val="19"/>
                <w:szCs w:val="19"/>
                <w:color w:val="auto"/>
              </w:rPr>
            </w:pPr>
          </w:p>
        </w:tc>
        <w:tc>
          <w:tcPr>
            <w:tcW w:w="720" w:type="dxa"/>
            <w:vAlign w:val="bottom"/>
            <w:tcBorders>
              <w:bottom w:val="single" w:sz="8" w:color="3C5896"/>
              <w:right w:val="single" w:sz="8" w:color="9EACCA"/>
            </w:tcBorders>
            <w:vMerge w:val="continue"/>
          </w:tcPr>
          <w:p>
            <w:pPr>
              <w:spacing w:after="0"/>
              <w:rPr>
                <w:sz w:val="19"/>
                <w:szCs w:val="19"/>
                <w:color w:val="auto"/>
              </w:rPr>
            </w:pPr>
          </w:p>
        </w:tc>
        <w:tc>
          <w:tcPr>
            <w:tcW w:w="1100" w:type="dxa"/>
            <w:vAlign w:val="bottom"/>
            <w:tcBorders>
              <w:bottom w:val="single" w:sz="8" w:color="3C5896"/>
              <w:right w:val="single" w:sz="8" w:color="9EACCA"/>
            </w:tcBorders>
            <w:vMerge w:val="continue"/>
          </w:tcPr>
          <w:p>
            <w:pPr>
              <w:spacing w:after="0"/>
              <w:rPr>
                <w:sz w:val="19"/>
                <w:szCs w:val="19"/>
                <w:color w:val="auto"/>
              </w:rPr>
            </w:pPr>
          </w:p>
        </w:tc>
        <w:tc>
          <w:tcPr>
            <w:tcW w:w="1020" w:type="dxa"/>
            <w:vAlign w:val="bottom"/>
            <w:tcBorders>
              <w:bottom w:val="single" w:sz="8" w:color="3C5896"/>
              <w:right w:val="single" w:sz="8" w:color="3C5896"/>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-3076575</wp:posOffset>
            </wp:positionV>
            <wp:extent cx="58204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31" w:lineRule="exact"/>
        <w:rPr>
          <w:sz w:val="20"/>
          <w:szCs w:val="20"/>
          <w:color w:val="auto"/>
        </w:rPr>
      </w:pPr>
    </w:p>
    <w:p>
      <w:pPr>
        <w:jc w:val="both"/>
        <w:ind w:left="1120" w:right="760" w:hanging="358"/>
        <w:spacing w:after="0" w:line="246" w:lineRule="auto"/>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Amounts reported for Messrs. Fahs, Moore, Brandman and Clark and Ms. Blackwood represent (i) upon a Qualifying Termination of employment (A) a lump-sum pro-rata bonus for the year of termination, based on actual performance and (B) the cash severance amount, times the multiplier applicable to such executive (2.0 for Mr. Fahs; 1.5 for Messrs. Moore and Brandman; 1.0 for Mr. Clark and Ms. Blackwood), payable over 24 months (Mr. Fahs), 18 months (Messrs. Moore and Brandman) and 12 months (Mr. Clark and Ms. Blackwood) and (ii) upon a Qualifying Termination of employment in the two-year period following a change in control (A) a lump-sum pro-rata bonus for the year of termination, based on target performance, (B) the cash severance amount, times the multiplier applicable to such executive (2.5 for Mr. Fahs; 2.0 for Messrs. Moore and Brandman; 1.5 for Mr. Clark and Ms. Blackwood), payable over 30 months (Mr. Fahs), 24 months (Messrs. Moore and Brandman,) and 18 months (Mr. Clark and Ms. Blackwood) and (C) payment of, or reimbursement for, up to $20,000 in outplacement services within the six-month period following termination of employment.</w:t>
      </w:r>
    </w:p>
    <w:p>
      <w:pPr>
        <w:spacing w:after="0" w:line="68" w:lineRule="exact"/>
        <w:rPr>
          <w:rFonts w:ascii="Arial" w:cs="Arial" w:eastAsia="Arial" w:hAnsi="Arial"/>
          <w:sz w:val="15"/>
          <w:szCs w:val="15"/>
          <w:color w:val="auto"/>
        </w:rPr>
      </w:pPr>
    </w:p>
    <w:p>
      <w:pPr>
        <w:jc w:val="both"/>
        <w:ind w:left="1120" w:right="760" w:hanging="358"/>
        <w:spacing w:after="0" w:line="249" w:lineRule="auto"/>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amounts reported represent the cost of providing each applicable NEO with the welfare benefit (i) upon a Qualifying Termination of employment, for 24 months (Mr. Fahs), 18 months (Messrs. Moore and Brandman), and 12 months (Mr. Clark and Ms. Blackwood) and (ii) upon a Qualifying Termination of employment in the two-year period following a change in control, for 30 months (Mr. Fahs), 24 months (Messrs. Moore and Brandman), and 18 months (Mr. Clark and Ms. Blackwood).</w:t>
      </w:r>
    </w:p>
    <w:p>
      <w:pPr>
        <w:spacing w:after="0" w:line="53" w:lineRule="exact"/>
        <w:rPr>
          <w:rFonts w:ascii="Arial" w:cs="Arial" w:eastAsia="Arial" w:hAnsi="Arial"/>
          <w:sz w:val="15"/>
          <w:szCs w:val="15"/>
          <w:color w:val="auto"/>
        </w:rPr>
      </w:pPr>
    </w:p>
    <w:p>
      <w:pPr>
        <w:jc w:val="both"/>
        <w:ind w:left="1120" w:right="760" w:hanging="358"/>
        <w:spacing w:after="0" w:line="252" w:lineRule="auto"/>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amounts reported represent accelerated vesting of unvested options upon a change in control and as a result of termination upon death or disability, as applicable, and are based on the closing price of our common stock of $45.29 per share on December 31, 2020, the last trading day in fiscal 2020.</w:t>
      </w:r>
    </w:p>
    <w:p>
      <w:pPr>
        <w:spacing w:after="0" w:line="64" w:lineRule="exact"/>
        <w:rPr>
          <w:rFonts w:ascii="Arial" w:cs="Arial" w:eastAsia="Arial" w:hAnsi="Arial"/>
          <w:sz w:val="15"/>
          <w:szCs w:val="15"/>
          <w:color w:val="auto"/>
        </w:rPr>
      </w:pPr>
    </w:p>
    <w:p>
      <w:pPr>
        <w:jc w:val="both"/>
        <w:ind w:left="1120" w:right="760" w:hanging="358"/>
        <w:spacing w:after="0" w:line="252" w:lineRule="auto"/>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amounts reported represent vesting of PSUs upon a Qualifying Termination of employment, a change in control, and as a result of termination upon death or disability, as applicable, and are based on the closing price of our common stock of $45.29 per share on December 31, 2020, the last trading day in fiscal 2020.</w:t>
      </w:r>
    </w:p>
    <w:p>
      <w:pPr>
        <w:spacing w:after="0" w:line="50" w:lineRule="exact"/>
        <w:rPr>
          <w:rFonts w:ascii="Arial" w:cs="Arial" w:eastAsia="Arial" w:hAnsi="Arial"/>
          <w:sz w:val="15"/>
          <w:szCs w:val="15"/>
          <w:color w:val="auto"/>
        </w:rPr>
      </w:pPr>
    </w:p>
    <w:p>
      <w:pPr>
        <w:jc w:val="both"/>
        <w:ind w:left="1120" w:right="760" w:hanging="358"/>
        <w:spacing w:after="0" w:line="252" w:lineRule="auto"/>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amounts reported represent vesting of RSUs upon a change in control and as a result of termination upon death or disability, as applicable, and are based on the closing price of our common stock of $45.29 per share on December 31, 2020, the last trading day in fiscal 2020.</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During fiscal 2020, none of the members of our compensation committee has at any time been one of our executive officers or employees or, other than as noted herein and in the “Transactions with Related Persons” section above, had any relationship requiring disclosure by the Company. A former director, Mr. N. Taylor, is an affiliate of KKR and we are parties to certain transactions with KKR described in the “Transactions with Related Persons” section. During 2020, none of our executive officers served as a member of the compensation committee (or other committee serving an equivalent function) or as a director of any other entity whose executive officers served on our compensation committee or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217805</wp:posOffset>
            </wp:positionV>
            <wp:extent cx="300355" cy="240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49</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numbers in the following table are as of January 2, 2021.</w:t>
      </w:r>
    </w:p>
    <w:p>
      <w:pPr>
        <w:spacing w:after="0" w:line="125"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3480" w:type="dxa"/>
            <w:vAlign w:val="bottom"/>
            <w:tcBorders>
              <w:top w:val="single" w:sz="8" w:color="3C5896"/>
              <w:right w:val="single" w:sz="8" w:color="9EACCA"/>
            </w:tcBorders>
            <w:shd w:val="clear" w:color="auto" w:fill="3C5896"/>
          </w:tcPr>
          <w:p>
            <w:pPr>
              <w:spacing w:after="0"/>
              <w:rPr>
                <w:sz w:val="17"/>
                <w:szCs w:val="17"/>
                <w:color w:val="auto"/>
              </w:rPr>
            </w:pPr>
          </w:p>
        </w:tc>
        <w:tc>
          <w:tcPr>
            <w:tcW w:w="1900" w:type="dxa"/>
            <w:vAlign w:val="bottom"/>
            <w:tcBorders>
              <w:top w:val="single" w:sz="8" w:color="3C5896"/>
              <w:right w:val="single" w:sz="8" w:color="9EACCA"/>
            </w:tcBorders>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40" w:type="dxa"/>
            <w:vAlign w:val="bottom"/>
            <w:tcBorders>
              <w:top w:val="single" w:sz="8" w:color="3C5896"/>
            </w:tcBorders>
            <w:shd w:val="clear" w:color="auto" w:fill="3C5896"/>
          </w:tcPr>
          <w:p>
            <w:pPr>
              <w:spacing w:after="0"/>
              <w:rPr>
                <w:sz w:val="17"/>
                <w:szCs w:val="17"/>
                <w:color w:val="auto"/>
              </w:rPr>
            </w:pPr>
          </w:p>
        </w:tc>
        <w:tc>
          <w:tcPr>
            <w:tcW w:w="1600" w:type="dxa"/>
            <w:vAlign w:val="bottom"/>
            <w:tcBorders>
              <w:top w:val="single" w:sz="8" w:color="3C5896"/>
              <w:right w:val="single" w:sz="8" w:color="9EACCA"/>
            </w:tcBorders>
            <w:vMerge w:val="restart"/>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8"/>
              </w:rPr>
              <w:t>Weighted-</w:t>
            </w:r>
          </w:p>
        </w:tc>
        <w:tc>
          <w:tcPr>
            <w:tcW w:w="40" w:type="dxa"/>
            <w:vAlign w:val="bottom"/>
            <w:tcBorders>
              <w:top w:val="single" w:sz="8" w:color="3C5896"/>
            </w:tcBorders>
            <w:shd w:val="clear" w:color="auto" w:fill="3C5896"/>
          </w:tcPr>
          <w:p>
            <w:pPr>
              <w:spacing w:after="0"/>
              <w:rPr>
                <w:sz w:val="17"/>
                <w:szCs w:val="17"/>
                <w:color w:val="auto"/>
              </w:rPr>
            </w:pPr>
          </w:p>
        </w:tc>
        <w:tc>
          <w:tcPr>
            <w:tcW w:w="2080" w:type="dxa"/>
            <w:vAlign w:val="bottom"/>
            <w:tcBorders>
              <w:top w:val="single" w:sz="8" w:color="3C5896"/>
              <w:right w:val="single" w:sz="8" w:color="3C5896"/>
            </w:tcBorders>
            <w:shd w:val="clear" w:color="auto" w:fill="3C5896"/>
          </w:tcPr>
          <w:p>
            <w:pPr>
              <w:jc w:val="center"/>
              <w:ind w:right="30"/>
              <w:spacing w:after="0"/>
              <w:rPr>
                <w:sz w:val="20"/>
                <w:szCs w:val="20"/>
                <w:color w:val="auto"/>
              </w:rPr>
            </w:pPr>
            <w:r>
              <w:rPr>
                <w:rFonts w:ascii="Arial" w:cs="Arial" w:eastAsia="Arial" w:hAnsi="Arial"/>
                <w:sz w:val="18"/>
                <w:szCs w:val="18"/>
                <w:b w:val="1"/>
                <w:bCs w:val="1"/>
                <w:color w:val="FFFFFF"/>
                <w:w w:val="98"/>
              </w:rPr>
              <w:t>Number of securities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vMerge w:val="continue"/>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50"/>
              <w:spacing w:after="0" w:line="189" w:lineRule="exact"/>
              <w:rPr>
                <w:sz w:val="20"/>
                <w:szCs w:val="20"/>
                <w:color w:val="auto"/>
              </w:rPr>
            </w:pPr>
            <w:r>
              <w:rPr>
                <w:rFonts w:ascii="Arial" w:cs="Arial" w:eastAsia="Arial" w:hAnsi="Arial"/>
                <w:sz w:val="18"/>
                <w:szCs w:val="18"/>
                <w:b w:val="1"/>
                <w:bCs w:val="1"/>
                <w:color w:val="FFFFFF"/>
                <w:w w:val="98"/>
              </w:rPr>
              <w:t>remaining available for</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securities to be</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average exercise</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50"/>
              <w:spacing w:after="0" w:line="189" w:lineRule="exact"/>
              <w:rPr>
                <w:sz w:val="20"/>
                <w:szCs w:val="20"/>
                <w:color w:val="auto"/>
              </w:rPr>
            </w:pPr>
            <w:r>
              <w:rPr>
                <w:rFonts w:ascii="Arial" w:cs="Arial" w:eastAsia="Arial" w:hAnsi="Arial"/>
                <w:sz w:val="18"/>
                <w:szCs w:val="18"/>
                <w:b w:val="1"/>
                <w:bCs w:val="1"/>
                <w:color w:val="FFFFFF"/>
                <w:w w:val="98"/>
              </w:rPr>
              <w:t>future issuance under</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issued upon</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rPr>
              <w:t>price of</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9"/>
              </w:rPr>
              <w:t>equity compensation</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exercise of</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8"/>
              </w:rPr>
              <w:t>outstanding</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rPr>
              <w:t>plans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shd w:val="clear" w:color="auto" w:fill="3C5896"/>
          </w:tcPr>
          <w:p>
            <w:pPr>
              <w:spacing w:after="0"/>
              <w:rPr>
                <w:sz w:val="16"/>
                <w:szCs w:val="16"/>
                <w:color w:val="auto"/>
              </w:rPr>
            </w:pP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outstanding options,</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9"/>
              </w:rPr>
              <w:t>options, warrants</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(excluding securities</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3480" w:type="dxa"/>
            <w:vAlign w:val="bottom"/>
            <w:tcBorders>
              <w:right w:val="single" w:sz="8" w:color="9EACCA"/>
            </w:tcBorders>
            <w:vMerge w:val="restart"/>
            <w:shd w:val="clear" w:color="auto" w:fill="3C5896"/>
          </w:tcPr>
          <w:p>
            <w:pPr>
              <w:ind w:left="1120"/>
              <w:spacing w:after="0"/>
              <w:rPr>
                <w:sz w:val="20"/>
                <w:szCs w:val="20"/>
                <w:color w:val="auto"/>
              </w:rPr>
            </w:pPr>
            <w:r>
              <w:rPr>
                <w:rFonts w:ascii="Arial" w:cs="Arial" w:eastAsia="Arial" w:hAnsi="Arial"/>
                <w:sz w:val="18"/>
                <w:szCs w:val="18"/>
                <w:b w:val="1"/>
                <w:bCs w:val="1"/>
                <w:color w:val="FFFFFF"/>
              </w:rPr>
              <w:t>Plan category</w:t>
            </w:r>
          </w:p>
        </w:tc>
        <w:tc>
          <w:tcPr>
            <w:tcW w:w="1900" w:type="dxa"/>
            <w:vAlign w:val="bottom"/>
            <w:tcBorders>
              <w:right w:val="single" w:sz="8" w:color="9EACCA"/>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warrants and rights</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9EACCA"/>
            </w:tcBorders>
            <w:shd w:val="clear" w:color="auto" w:fill="3C5896"/>
          </w:tcPr>
          <w:p>
            <w:pPr>
              <w:jc w:val="center"/>
              <w:ind w:right="10"/>
              <w:spacing w:after="0" w:line="189" w:lineRule="exact"/>
              <w:rPr>
                <w:sz w:val="20"/>
                <w:szCs w:val="20"/>
                <w:color w:val="auto"/>
              </w:rPr>
            </w:pPr>
            <w:r>
              <w:rPr>
                <w:rFonts w:ascii="Arial" w:cs="Arial" w:eastAsia="Arial" w:hAnsi="Arial"/>
                <w:sz w:val="18"/>
                <w:szCs w:val="18"/>
                <w:b w:val="1"/>
                <w:bCs w:val="1"/>
                <w:color w:val="FFFFFF"/>
                <w:w w:val="98"/>
              </w:rPr>
              <w:t>and rights</w:t>
            </w:r>
          </w:p>
        </w:tc>
        <w:tc>
          <w:tcPr>
            <w:tcW w:w="40" w:type="dxa"/>
            <w:vAlign w:val="bottom"/>
            <w:shd w:val="clear" w:color="auto" w:fill="3C5896"/>
          </w:tcPr>
          <w:p>
            <w:pPr>
              <w:spacing w:after="0"/>
              <w:rPr>
                <w:sz w:val="16"/>
                <w:szCs w:val="16"/>
                <w:color w:val="auto"/>
              </w:rPr>
            </w:pPr>
          </w:p>
        </w:tc>
        <w:tc>
          <w:tcPr>
            <w:tcW w:w="208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reflected in column (a))</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3480" w:type="dxa"/>
            <w:vAlign w:val="bottom"/>
            <w:tcBorders>
              <w:right w:val="single" w:sz="8" w:color="9EACCA"/>
            </w:tcBorders>
            <w:vMerge w:val="continue"/>
            <w:shd w:val="clear" w:color="auto" w:fill="3C5896"/>
          </w:tcPr>
          <w:p>
            <w:pPr>
              <w:spacing w:after="0"/>
              <w:rPr>
                <w:sz w:val="21"/>
                <w:szCs w:val="21"/>
                <w:color w:val="auto"/>
              </w:rPr>
            </w:pPr>
          </w:p>
        </w:tc>
        <w:tc>
          <w:tcPr>
            <w:tcW w:w="19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(a)</w:t>
            </w:r>
          </w:p>
        </w:tc>
        <w:tc>
          <w:tcPr>
            <w:tcW w:w="40" w:type="dxa"/>
            <w:vAlign w:val="bottom"/>
            <w:shd w:val="clear" w:color="auto" w:fill="3C5896"/>
          </w:tcPr>
          <w:p>
            <w:pPr>
              <w:spacing w:after="0"/>
              <w:rPr>
                <w:sz w:val="21"/>
                <w:szCs w:val="21"/>
                <w:color w:val="auto"/>
              </w:rPr>
            </w:pPr>
          </w:p>
        </w:tc>
        <w:tc>
          <w:tcPr>
            <w:tcW w:w="1600" w:type="dxa"/>
            <w:vAlign w:val="bottom"/>
            <w:tcBorders>
              <w:right w:val="single" w:sz="8" w:color="9EACCA"/>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5"/>
              </w:rPr>
              <w:t>(b)</w:t>
            </w:r>
          </w:p>
        </w:tc>
        <w:tc>
          <w:tcPr>
            <w:tcW w:w="40" w:type="dxa"/>
            <w:vAlign w:val="bottom"/>
            <w:shd w:val="clear" w:color="auto" w:fill="3C5896"/>
          </w:tcPr>
          <w:p>
            <w:pPr>
              <w:spacing w:after="0"/>
              <w:rPr>
                <w:sz w:val="21"/>
                <w:szCs w:val="21"/>
                <w:color w:val="auto"/>
              </w:rPr>
            </w:pPr>
          </w:p>
        </w:tc>
        <w:tc>
          <w:tcPr>
            <w:tcW w:w="208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tcBorders>
          </w:tcPr>
          <w:p>
            <w:pPr>
              <w:spacing w:after="0"/>
              <w:rPr>
                <w:sz w:val="19"/>
                <w:szCs w:val="19"/>
                <w:color w:val="auto"/>
              </w:rPr>
            </w:pPr>
          </w:p>
        </w:tc>
        <w:tc>
          <w:tcPr>
            <w:tcW w:w="34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Equity compensation plans approved by</w:t>
            </w:r>
          </w:p>
        </w:tc>
        <w:tc>
          <w:tcPr>
            <w:tcW w:w="1900" w:type="dxa"/>
            <w:vAlign w:val="bottom"/>
            <w:tcBorders>
              <w:right w:val="single" w:sz="8" w:color="9EACCA"/>
            </w:tcBorders>
            <w:vMerge w:val="restart"/>
          </w:tcPr>
          <w:p>
            <w:pPr>
              <w:ind w:left="540"/>
              <w:spacing w:after="0"/>
              <w:rPr>
                <w:sz w:val="20"/>
                <w:szCs w:val="20"/>
                <w:color w:val="auto"/>
              </w:rPr>
            </w:pPr>
            <w:r>
              <w:rPr>
                <w:rFonts w:ascii="Arial" w:cs="Arial" w:eastAsia="Arial" w:hAnsi="Arial"/>
                <w:sz w:val="18"/>
                <w:szCs w:val="18"/>
                <w:color w:val="auto"/>
              </w:rPr>
              <w:t>2,723,617</w:t>
            </w:r>
            <w:r>
              <w:rPr>
                <w:rFonts w:ascii="Arial" w:cs="Arial" w:eastAsia="Arial" w:hAnsi="Arial"/>
                <w:sz w:val="26"/>
                <w:szCs w:val="26"/>
                <w:color w:val="auto"/>
                <w:vertAlign w:val="superscript"/>
              </w:rPr>
              <w:t>(1)</w:t>
            </w:r>
          </w:p>
        </w:tc>
        <w:tc>
          <w:tcPr>
            <w:tcW w:w="1640" w:type="dxa"/>
            <w:vAlign w:val="bottom"/>
            <w:tcBorders>
              <w:right w:val="single" w:sz="8" w:color="9EACCA"/>
            </w:tcBorders>
            <w:gridSpan w:val="2"/>
            <w:vMerge w:val="restart"/>
          </w:tcPr>
          <w:p>
            <w:pPr>
              <w:ind w:left="540"/>
              <w:spacing w:after="0"/>
              <w:rPr>
                <w:sz w:val="20"/>
                <w:szCs w:val="20"/>
                <w:color w:val="auto"/>
              </w:rPr>
            </w:pPr>
            <w:r>
              <w:rPr>
                <w:rFonts w:ascii="Arial" w:cs="Arial" w:eastAsia="Arial" w:hAnsi="Arial"/>
                <w:sz w:val="18"/>
                <w:szCs w:val="18"/>
                <w:color w:val="auto"/>
              </w:rPr>
              <w:t>$13.32</w:t>
            </w:r>
            <w:r>
              <w:rPr>
                <w:rFonts w:ascii="Arial" w:cs="Arial" w:eastAsia="Arial" w:hAnsi="Arial"/>
                <w:sz w:val="26"/>
                <w:szCs w:val="26"/>
                <w:color w:val="auto"/>
                <w:vertAlign w:val="superscript"/>
              </w:rPr>
              <w:t>(2)</w:t>
            </w:r>
          </w:p>
        </w:tc>
        <w:tc>
          <w:tcPr>
            <w:tcW w:w="2120" w:type="dxa"/>
            <w:vAlign w:val="bottom"/>
            <w:tcBorders>
              <w:right w:val="single" w:sz="8" w:color="3C5896"/>
            </w:tcBorders>
            <w:gridSpan w:val="2"/>
            <w:vMerge w:val="restart"/>
          </w:tcPr>
          <w:p>
            <w:pPr>
              <w:ind w:left="600"/>
              <w:spacing w:after="0"/>
              <w:rPr>
                <w:sz w:val="20"/>
                <w:szCs w:val="20"/>
                <w:color w:val="auto"/>
              </w:rPr>
            </w:pPr>
            <w:r>
              <w:rPr>
                <w:rFonts w:ascii="Arial" w:cs="Arial" w:eastAsia="Arial" w:hAnsi="Arial"/>
                <w:sz w:val="18"/>
                <w:szCs w:val="18"/>
                <w:color w:val="auto"/>
              </w:rPr>
              <w:t>12,281,394</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44"/>
        </w:trPr>
        <w:tc>
          <w:tcPr>
            <w:tcW w:w="60" w:type="dxa"/>
            <w:vAlign w:val="bottom"/>
            <w:tcBorders>
              <w:left w:val="single" w:sz="8" w:color="3C5896"/>
            </w:tcBorders>
          </w:tcPr>
          <w:p>
            <w:pPr>
              <w:spacing w:after="0"/>
              <w:rPr>
                <w:sz w:val="21"/>
                <w:szCs w:val="21"/>
                <w:color w:val="auto"/>
              </w:rPr>
            </w:pPr>
          </w:p>
        </w:tc>
        <w:tc>
          <w:tcPr>
            <w:tcW w:w="3480" w:type="dxa"/>
            <w:vAlign w:val="bottom"/>
            <w:tcBorders>
              <w:right w:val="single" w:sz="8" w:color="9EACCA"/>
            </w:tcBorders>
          </w:tcPr>
          <w:p>
            <w:pPr>
              <w:ind w:left="180"/>
              <w:spacing w:after="0"/>
              <w:rPr>
                <w:sz w:val="20"/>
                <w:szCs w:val="20"/>
                <w:color w:val="auto"/>
              </w:rPr>
            </w:pPr>
            <w:r>
              <w:rPr>
                <w:rFonts w:ascii="Arial" w:cs="Arial" w:eastAsia="Arial" w:hAnsi="Arial"/>
                <w:sz w:val="18"/>
                <w:szCs w:val="18"/>
                <w:color w:val="auto"/>
              </w:rPr>
              <w:t>security holders</w:t>
            </w:r>
          </w:p>
        </w:tc>
        <w:tc>
          <w:tcPr>
            <w:tcW w:w="1900" w:type="dxa"/>
            <w:vAlign w:val="bottom"/>
            <w:tcBorders>
              <w:right w:val="single" w:sz="8" w:color="9EACCA"/>
            </w:tcBorders>
            <w:vMerge w:val="continue"/>
          </w:tcPr>
          <w:p>
            <w:pPr>
              <w:spacing w:after="0"/>
              <w:rPr>
                <w:sz w:val="21"/>
                <w:szCs w:val="21"/>
                <w:color w:val="auto"/>
              </w:rPr>
            </w:pPr>
          </w:p>
        </w:tc>
        <w:tc>
          <w:tcPr>
            <w:tcW w:w="1640" w:type="dxa"/>
            <w:vAlign w:val="bottom"/>
            <w:tcBorders>
              <w:right w:val="single" w:sz="8" w:color="9EACCA"/>
            </w:tcBorders>
            <w:gridSpan w:val="2"/>
            <w:vMerge w:val="continue"/>
          </w:tcPr>
          <w:p>
            <w:pPr>
              <w:spacing w:after="0"/>
              <w:rPr>
                <w:sz w:val="21"/>
                <w:szCs w:val="21"/>
                <w:color w:val="auto"/>
              </w:rPr>
            </w:pPr>
          </w:p>
        </w:tc>
        <w:tc>
          <w:tcPr>
            <w:tcW w:w="2120" w:type="dxa"/>
            <w:vAlign w:val="bottom"/>
            <w:tcBorders>
              <w:right w:val="single" w:sz="8" w:color="3C5896"/>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3C5896"/>
            </w:tcBorders>
            <w:shd w:val="clear" w:color="auto" w:fill="CCCCCC"/>
          </w:tcPr>
          <w:p>
            <w:pPr>
              <w:spacing w:after="0"/>
              <w:rPr>
                <w:sz w:val="19"/>
                <w:szCs w:val="19"/>
                <w:color w:val="auto"/>
              </w:rPr>
            </w:pPr>
          </w:p>
        </w:tc>
        <w:tc>
          <w:tcPr>
            <w:tcW w:w="34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Equity compensation plans not approved</w:t>
            </w:r>
          </w:p>
        </w:tc>
        <w:tc>
          <w:tcPr>
            <w:tcW w:w="19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1600" w:type="dxa"/>
            <w:vAlign w:val="bottom"/>
            <w:tcBorders>
              <w:right w:val="single" w:sz="8" w:color="9EACCA"/>
            </w:tcBorders>
            <w:shd w:val="clear" w:color="auto" w:fill="CCCCCC"/>
          </w:tcPr>
          <w:p>
            <w:pPr>
              <w:spacing w:after="0"/>
              <w:rPr>
                <w:sz w:val="19"/>
                <w:szCs w:val="19"/>
                <w:color w:val="auto"/>
              </w:rPr>
            </w:pPr>
          </w:p>
        </w:tc>
        <w:tc>
          <w:tcPr>
            <w:tcW w:w="40" w:type="dxa"/>
            <w:vAlign w:val="bottom"/>
            <w:shd w:val="clear" w:color="auto" w:fill="CCCCCC"/>
          </w:tcPr>
          <w:p>
            <w:pPr>
              <w:spacing w:after="0"/>
              <w:rPr>
                <w:sz w:val="19"/>
                <w:szCs w:val="19"/>
                <w:color w:val="auto"/>
              </w:rPr>
            </w:pPr>
          </w:p>
        </w:tc>
        <w:tc>
          <w:tcPr>
            <w:tcW w:w="2080" w:type="dxa"/>
            <w:vAlign w:val="bottom"/>
            <w:tcBorders>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Borders>
              <w:left w:val="single" w:sz="8" w:color="3C5896"/>
              <w:bottom w:val="single" w:sz="8" w:color="CCCCCC"/>
            </w:tcBorders>
            <w:shd w:val="clear" w:color="auto" w:fill="CCCCCC"/>
          </w:tcPr>
          <w:p>
            <w:pPr>
              <w:spacing w:after="0"/>
              <w:rPr>
                <w:sz w:val="19"/>
                <w:szCs w:val="19"/>
                <w:color w:val="auto"/>
              </w:rPr>
            </w:pPr>
          </w:p>
        </w:tc>
        <w:tc>
          <w:tcPr>
            <w:tcW w:w="3480" w:type="dxa"/>
            <w:vAlign w:val="bottom"/>
            <w:tcBorders>
              <w:bottom w:val="single" w:sz="8" w:color="CCCCCC"/>
              <w:right w:val="single" w:sz="8" w:color="9EACCA"/>
            </w:tcBorders>
            <w:shd w:val="clear" w:color="auto" w:fill="CCCCCC"/>
          </w:tcPr>
          <w:p>
            <w:pPr>
              <w:ind w:left="180"/>
              <w:spacing w:after="0"/>
              <w:rPr>
                <w:sz w:val="20"/>
                <w:szCs w:val="20"/>
                <w:color w:val="auto"/>
              </w:rPr>
            </w:pPr>
            <w:r>
              <w:rPr>
                <w:rFonts w:ascii="Arial" w:cs="Arial" w:eastAsia="Arial" w:hAnsi="Arial"/>
                <w:sz w:val="18"/>
                <w:szCs w:val="18"/>
                <w:color w:val="auto"/>
              </w:rPr>
              <w:t>by security holders</w:t>
            </w:r>
          </w:p>
        </w:tc>
        <w:tc>
          <w:tcPr>
            <w:tcW w:w="1900" w:type="dxa"/>
            <w:vAlign w:val="bottom"/>
            <w:tcBorders>
              <w:bottom w:val="single" w:sz="8" w:color="CCCCCC"/>
              <w:right w:val="single" w:sz="8" w:color="9EACCA"/>
            </w:tcBorders>
            <w:shd w:val="clear" w:color="auto" w:fill="CCCCCC"/>
          </w:tcPr>
          <w:p>
            <w:pPr>
              <w:spacing w:after="0"/>
              <w:rPr>
                <w:sz w:val="19"/>
                <w:szCs w:val="19"/>
                <w:color w:val="auto"/>
              </w:rPr>
            </w:pPr>
          </w:p>
        </w:tc>
        <w:tc>
          <w:tcPr>
            <w:tcW w:w="40" w:type="dxa"/>
            <w:vAlign w:val="bottom"/>
            <w:tcBorders>
              <w:bottom w:val="single" w:sz="8" w:color="CCCCCC"/>
            </w:tcBorders>
            <w:shd w:val="clear" w:color="auto" w:fill="CCCCCC"/>
          </w:tcPr>
          <w:p>
            <w:pPr>
              <w:spacing w:after="0"/>
              <w:rPr>
                <w:sz w:val="19"/>
                <w:szCs w:val="19"/>
                <w:color w:val="auto"/>
              </w:rPr>
            </w:pPr>
          </w:p>
        </w:tc>
        <w:tc>
          <w:tcPr>
            <w:tcW w:w="1600" w:type="dxa"/>
            <w:vAlign w:val="bottom"/>
            <w:tcBorders>
              <w:bottom w:val="single" w:sz="8" w:color="CCCCCC"/>
              <w:right w:val="single" w:sz="8" w:color="9EACCA"/>
            </w:tcBorders>
            <w:shd w:val="clear" w:color="auto" w:fill="CCCCCC"/>
          </w:tcPr>
          <w:p>
            <w:pPr>
              <w:spacing w:after="0"/>
              <w:rPr>
                <w:sz w:val="19"/>
                <w:szCs w:val="19"/>
                <w:color w:val="auto"/>
              </w:rPr>
            </w:pPr>
          </w:p>
        </w:tc>
        <w:tc>
          <w:tcPr>
            <w:tcW w:w="40" w:type="dxa"/>
            <w:vAlign w:val="bottom"/>
            <w:tcBorders>
              <w:bottom w:val="single" w:sz="8" w:color="CCCCCC"/>
            </w:tcBorders>
            <w:shd w:val="clear" w:color="auto" w:fill="CCCCCC"/>
          </w:tcPr>
          <w:p>
            <w:pPr>
              <w:spacing w:after="0"/>
              <w:rPr>
                <w:sz w:val="19"/>
                <w:szCs w:val="19"/>
                <w:color w:val="auto"/>
              </w:rPr>
            </w:pPr>
          </w:p>
        </w:tc>
        <w:tc>
          <w:tcPr>
            <w:tcW w:w="2080" w:type="dxa"/>
            <w:vAlign w:val="bottom"/>
            <w:tcBorders>
              <w:bottom w:val="single" w:sz="8" w:color="CCCCCC"/>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34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Total</w:t>
            </w:r>
          </w:p>
        </w:tc>
        <w:tc>
          <w:tcPr>
            <w:tcW w:w="1900" w:type="dxa"/>
            <w:vAlign w:val="bottom"/>
            <w:tcBorders>
              <w:right w:val="single" w:sz="8" w:color="9EACCA"/>
            </w:tcBorders>
          </w:tcPr>
          <w:p>
            <w:pPr>
              <w:ind w:left="540"/>
              <w:spacing w:after="0"/>
              <w:rPr>
                <w:sz w:val="20"/>
                <w:szCs w:val="20"/>
                <w:color w:val="auto"/>
              </w:rPr>
            </w:pPr>
            <w:r>
              <w:rPr>
                <w:rFonts w:ascii="Arial" w:cs="Arial" w:eastAsia="Arial" w:hAnsi="Arial"/>
                <w:sz w:val="18"/>
                <w:szCs w:val="18"/>
                <w:color w:val="auto"/>
              </w:rPr>
              <w:t>2,723,617</w:t>
            </w:r>
          </w:p>
        </w:tc>
        <w:tc>
          <w:tcPr>
            <w:tcW w:w="1640" w:type="dxa"/>
            <w:vAlign w:val="bottom"/>
            <w:tcBorders>
              <w:right w:val="single" w:sz="8" w:color="9EACCA"/>
            </w:tcBorders>
            <w:gridSpan w:val="2"/>
          </w:tcPr>
          <w:p>
            <w:pPr>
              <w:ind w:left="540"/>
              <w:spacing w:after="0"/>
              <w:rPr>
                <w:sz w:val="20"/>
                <w:szCs w:val="20"/>
                <w:color w:val="auto"/>
              </w:rPr>
            </w:pPr>
            <w:r>
              <w:rPr>
                <w:rFonts w:ascii="Arial" w:cs="Arial" w:eastAsia="Arial" w:hAnsi="Arial"/>
                <w:sz w:val="18"/>
                <w:szCs w:val="18"/>
                <w:color w:val="auto"/>
              </w:rPr>
              <w:t>$13.32</w:t>
            </w:r>
          </w:p>
        </w:tc>
        <w:tc>
          <w:tcPr>
            <w:tcW w:w="2120" w:type="dxa"/>
            <w:vAlign w:val="bottom"/>
            <w:tcBorders>
              <w:right w:val="single" w:sz="8" w:color="3C5896"/>
            </w:tcBorders>
            <w:gridSpan w:val="2"/>
          </w:tcPr>
          <w:p>
            <w:pPr>
              <w:ind w:left="600"/>
              <w:spacing w:after="0"/>
              <w:rPr>
                <w:sz w:val="20"/>
                <w:szCs w:val="20"/>
                <w:color w:val="auto"/>
              </w:rPr>
            </w:pPr>
            <w:r>
              <w:rPr>
                <w:rFonts w:ascii="Arial" w:cs="Arial" w:eastAsia="Arial" w:hAnsi="Arial"/>
                <w:sz w:val="18"/>
                <w:szCs w:val="18"/>
                <w:color w:val="auto"/>
              </w:rPr>
              <w:t>12,281,394</w:t>
            </w:r>
          </w:p>
        </w:tc>
        <w:tc>
          <w:tcPr>
            <w:tcW w:w="0" w:type="dxa"/>
            <w:vAlign w:val="bottom"/>
          </w:tcPr>
          <w:p>
            <w:pPr>
              <w:spacing w:after="0"/>
              <w:rPr>
                <w:sz w:val="1"/>
                <w:szCs w:val="1"/>
                <w:color w:val="auto"/>
              </w:rPr>
            </w:pPr>
          </w:p>
        </w:tc>
      </w:tr>
      <w:tr>
        <w:trPr>
          <w:trHeight w:val="27"/>
        </w:trPr>
        <w:tc>
          <w:tcPr>
            <w:tcW w:w="60" w:type="dxa"/>
            <w:vAlign w:val="bottom"/>
            <w:tcBorders>
              <w:left w:val="single" w:sz="8" w:color="3C5896"/>
            </w:tcBorders>
            <w:shd w:val="clear" w:color="auto" w:fill="3C5896"/>
          </w:tcPr>
          <w:p>
            <w:pPr>
              <w:spacing w:after="0"/>
              <w:rPr>
                <w:sz w:val="2"/>
                <w:szCs w:val="2"/>
                <w:color w:val="auto"/>
              </w:rPr>
            </w:pPr>
          </w:p>
        </w:tc>
        <w:tc>
          <w:tcPr>
            <w:tcW w:w="3480" w:type="dxa"/>
            <w:vAlign w:val="bottom"/>
            <w:tcBorders>
              <w:right w:val="single" w:sz="8" w:color="3C5896"/>
            </w:tcBorders>
            <w:shd w:val="clear" w:color="auto" w:fill="3C5896"/>
          </w:tcPr>
          <w:p>
            <w:pPr>
              <w:spacing w:after="0"/>
              <w:rPr>
                <w:sz w:val="2"/>
                <w:szCs w:val="2"/>
                <w:color w:val="auto"/>
              </w:rPr>
            </w:pPr>
          </w:p>
        </w:tc>
        <w:tc>
          <w:tcPr>
            <w:tcW w:w="1900" w:type="dxa"/>
            <w:vAlign w:val="bottom"/>
            <w:tcBorders>
              <w:right w:val="single" w:sz="8" w:color="3C5896"/>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0" w:type="dxa"/>
            <w:vAlign w:val="bottom"/>
            <w:tcBorders>
              <w:right w:val="single" w:sz="8" w:color="3C5896"/>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80" w:type="dxa"/>
            <w:vAlign w:val="bottom"/>
            <w:tcBorders>
              <w:right w:val="single" w:sz="8" w:color="3C5896"/>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-796290</wp:posOffset>
            </wp:positionV>
            <wp:extent cx="58204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44" w:lineRule="exact"/>
        <w:rPr>
          <w:sz w:val="20"/>
          <w:szCs w:val="20"/>
          <w:color w:val="auto"/>
        </w:rPr>
      </w:pPr>
    </w:p>
    <w:p>
      <w:pPr>
        <w:jc w:val="both"/>
        <w:ind w:left="1120" w:hanging="358"/>
        <w:spacing w:after="0" w:line="249"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1,548,691 shares issuable under the 2014 Stock Incentive Plan. The weighted-average exercise price of such options within this plan is $7.25. Includes 1,174,926 shares issuable under the 2017 Omnibus Incentive Plan. Included within the 1,174,926 shares are 220,184 shares that could be issued upon the vesting of PSU awards, assuming target level of achievement. The weighted-average exercise price of such options within this plan is $32.11.</w:t>
      </w:r>
    </w:p>
    <w:p>
      <w:pPr>
        <w:spacing w:after="0" w:line="53" w:lineRule="exact"/>
        <w:rPr>
          <w:rFonts w:ascii="Arial" w:cs="Arial" w:eastAsia="Arial" w:hAnsi="Arial"/>
          <w:sz w:val="15"/>
          <w:szCs w:val="15"/>
          <w:color w:val="auto"/>
        </w:rPr>
      </w:pPr>
    </w:p>
    <w:p>
      <w:pPr>
        <w:ind w:left="1120" w:hanging="358"/>
        <w:spacing w:after="0" w:line="260"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weighted-average exercise price excludes shares in of common stock that may be issued upon the settlement of restricted stock, RSUs or PSUs.</w:t>
      </w:r>
    </w:p>
    <w:p>
      <w:pPr>
        <w:spacing w:after="0" w:line="58" w:lineRule="exact"/>
        <w:rPr>
          <w:rFonts w:ascii="Arial" w:cs="Arial" w:eastAsia="Arial" w:hAnsi="Arial"/>
          <w:sz w:val="15"/>
          <w:szCs w:val="15"/>
          <w:color w:val="auto"/>
        </w:rPr>
      </w:pPr>
    </w:p>
    <w:p>
      <w:pPr>
        <w:jc w:val="both"/>
        <w:ind w:left="1120" w:hanging="358"/>
        <w:spacing w:after="0" w:line="247"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8,715,417 shares that can be issued pursuant to future awards under the 2014 Stock Incentive Plan. Also includes 2,798,298 shares that can be issued pursuant to future awards under the 2017 Omnibus Incentive Plan. Includes 767,679 shares that can be issued under our ASPP. Total does not include (i) 6,081 shares purchased during our ASPP offering period ended February 28, 2021 and (ii) 7,838 shares subject to purchase during our current ASPP offering period ending May 28, 2021, which are estimated based on the closing price of the Company's common stock of $49.43 on March 1, 2021, the first day in the current ASPP offering period, including the 10%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sz w:val="1"/>
          <w:szCs w:val="1"/>
          <w:color w:val="auto"/>
        </w:rPr>
        <w:drawing>
          <wp:inline distT="0" distB="0" distL="0" distR="0">
            <wp:extent cx="299720" cy="24003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The Dodd-Frank Wall Street Reform Act and Consumer Protection Act of 2010 and the compensation disclosure rules of the SEC require the Company to disclose the ratio of the annual total compensation of Mr. Fahs, our CEO, to the median of the annual total compensation of the employees of the Company (other than our CEO) (the “CEO Pay Ratio”).</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fiscal 2020:</w:t>
      </w:r>
    </w:p>
    <w:p>
      <w:pPr>
        <w:spacing w:after="0" w:line="117" w:lineRule="exact"/>
        <w:rPr>
          <w:sz w:val="20"/>
          <w:szCs w:val="20"/>
          <w:color w:val="auto"/>
        </w:rPr>
      </w:pPr>
    </w:p>
    <w:p>
      <w:pPr>
        <w:ind w:left="1120" w:right="760" w:hanging="214"/>
        <w:spacing w:after="0" w:line="246" w:lineRule="auto"/>
        <w:tabs>
          <w:tab w:leader="none" w:pos="1120" w:val="left"/>
        </w:tabs>
        <w:numPr>
          <w:ilvl w:val="0"/>
          <w:numId w:val="50"/>
        </w:numPr>
        <w:rPr>
          <w:rFonts w:ascii="Arial" w:cs="Arial" w:eastAsia="Arial" w:hAnsi="Arial"/>
          <w:sz w:val="18"/>
          <w:szCs w:val="18"/>
          <w:color w:val="3C5896"/>
        </w:rPr>
      </w:pPr>
      <w:r>
        <w:rPr>
          <w:rFonts w:ascii="Arial" w:cs="Arial" w:eastAsia="Arial" w:hAnsi="Arial"/>
          <w:sz w:val="18"/>
          <w:szCs w:val="18"/>
          <w:color w:val="auto"/>
        </w:rPr>
        <w:t>the median of the annual total compensation of all our employees (other than Mr. Fahs, our CEO), was $25,549; and</w:t>
      </w:r>
    </w:p>
    <w:p>
      <w:pPr>
        <w:spacing w:after="0" w:line="88" w:lineRule="exact"/>
        <w:rPr>
          <w:rFonts w:ascii="Arial" w:cs="Arial" w:eastAsia="Arial" w:hAnsi="Arial"/>
          <w:sz w:val="18"/>
          <w:szCs w:val="18"/>
          <w:color w:val="3C5896"/>
        </w:rPr>
      </w:pPr>
    </w:p>
    <w:p>
      <w:pPr>
        <w:ind w:left="1120" w:hanging="214"/>
        <w:spacing w:after="0"/>
        <w:tabs>
          <w:tab w:leader="none" w:pos="1120" w:val="left"/>
        </w:tabs>
        <w:numPr>
          <w:ilvl w:val="0"/>
          <w:numId w:val="50"/>
        </w:numPr>
        <w:rPr>
          <w:rFonts w:ascii="Arial" w:cs="Arial" w:eastAsia="Arial" w:hAnsi="Arial"/>
          <w:sz w:val="18"/>
          <w:szCs w:val="18"/>
          <w:color w:val="3C5896"/>
        </w:rPr>
      </w:pPr>
      <w:r>
        <w:rPr>
          <w:rFonts w:ascii="Arial" w:cs="Arial" w:eastAsia="Arial" w:hAnsi="Arial"/>
          <w:sz w:val="18"/>
          <w:szCs w:val="18"/>
          <w:color w:val="auto"/>
        </w:rPr>
        <w:t>the annual total compensation of Mr. Fahs, our CEO, was $3,976,328.</w:t>
      </w:r>
    </w:p>
    <w:p>
      <w:pPr>
        <w:spacing w:after="0" w:line="104"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Based on this information, the ratio of the annual total compensation of our CEO to the median of the annual total compensation of all our employees was 156:1.</w:t>
      </w:r>
    </w:p>
    <w:p>
      <w:pPr>
        <w:spacing w:after="0" w:line="90" w:lineRule="exact"/>
        <w:rPr>
          <w:sz w:val="20"/>
          <w:szCs w:val="20"/>
          <w:color w:val="auto"/>
        </w:rPr>
      </w:pPr>
    </w:p>
    <w:p>
      <w:pPr>
        <w:jc w:val="both"/>
        <w:ind w:left="760" w:right="760"/>
        <w:spacing w:after="0" w:line="243" w:lineRule="auto"/>
        <w:rPr>
          <w:sz w:val="20"/>
          <w:szCs w:val="20"/>
          <w:color w:val="auto"/>
        </w:rPr>
      </w:pPr>
      <w:r>
        <w:rPr>
          <w:rFonts w:ascii="Arial" w:cs="Arial" w:eastAsia="Arial" w:hAnsi="Arial"/>
          <w:sz w:val="18"/>
          <w:szCs w:val="18"/>
          <w:color w:val="auto"/>
        </w:rPr>
        <w:t>To determine this pay ratio, we identified our median employee using our employee population as of November 1, 2020, which consisted of approximately 12,703 full-time and part-time employees, with 100% of these individuals located in the United States. We changed the date of determining our employee population from the last day of the fiscal year to November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this year to allow for us to capture a more accurate employee population as any departures or new hires as of the last date of the fiscal year would lag in being recorded until a later time frame. Other than the date to determine our employee population, no methodology was changed in determining the pay ratio. To identify our median employee, we used salary/wages and annual incentive/bonus from our payroll records in fiscal 2020 as our consistently applied compensation measure. In making this determination, we annualized the compensation of approximately full-time and part-time employees who were hired or separated in fiscal 2020 but did not work for us for the entire fiscal year. After identifying our median employee, we calculated the median employee’s compensation for fiscal 2020 in accordance with the requirements of Item 402(c)(2)(x) of Regulation S-K of the Exchange Act. Compensation amounts were determined from our human resources and payroll systems of record.</w:t>
      </w:r>
    </w:p>
    <w:p>
      <w:pPr>
        <w:spacing w:after="0" w:line="112"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Our CEO Pay Ratio is a reasonable estimate calculated in a manner consistent with Item 402(u) of Regulation S-K. Due to the flexibility afforded by Item 402(u) in allowing companies to adopt a wide range of methodologies and to make reasonable estimates and assumptions that reflect their compensation practices to identify the median employee and calculate the CEO Pay Ratio, our CEO Pay Ratio may not be comparable to the CEO pay ratios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3268345</wp:posOffset>
            </wp:positionV>
            <wp:extent cx="300355"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51</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OWNERSHIP OF OUR SECURITIES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OWNERSHIP OF OUR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2020 all reports required by Section 16(a) were timely filed.</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Beneficial Ownership of National Vision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our common stock as of April 15, 2021 by (1) each individual or entity known by us to beneficially own more than 5% of our outstanding common stock, (2) each of our named executive officers, (3) each of our directors and director nominees and (4) all of our directors and our executive officers as a group. As of April 15, 2021, there were 81,423,974 shares of our common stock, par value $0.01 per share, outstanding.</w:t>
      </w:r>
    </w:p>
    <w:p>
      <w:pPr>
        <w:spacing w:after="0" w:line="97"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9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9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94"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sz w:val="1"/>
          <w:szCs w:val="1"/>
          <w:color w:val="auto"/>
        </w:rPr>
        <w:drawing>
          <wp:inline distT="0" distB="0" distL="0" distR="0">
            <wp:extent cx="299720" cy="24003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FFFFFF"/>
        </w:rPr>
        <w:t>OWNERSHIP OF OUR SECURITIES</w:t>
      </w:r>
    </w:p>
    <w:p>
      <w:pPr>
        <w:spacing w:after="0" w:line="228"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5880" w:type="dxa"/>
            <w:vAlign w:val="bottom"/>
            <w:tcBorders>
              <w:top w:val="single" w:sz="8" w:color="3C5896"/>
              <w:right w:val="single" w:sz="8" w:color="9EACCA"/>
            </w:tcBorders>
            <w:shd w:val="clear" w:color="auto" w:fill="3C5896"/>
          </w:tcPr>
          <w:p>
            <w:pPr>
              <w:spacing w:after="0"/>
              <w:rPr>
                <w:sz w:val="17"/>
                <w:szCs w:val="17"/>
                <w:color w:val="auto"/>
              </w:rPr>
            </w:pPr>
          </w:p>
        </w:tc>
        <w:tc>
          <w:tcPr>
            <w:tcW w:w="1620" w:type="dxa"/>
            <w:vAlign w:val="bottom"/>
            <w:tcBorders>
              <w:top w:val="single" w:sz="8" w:color="3C5896"/>
              <w:right w:val="single" w:sz="8" w:color="9EACCA"/>
            </w:tcBorders>
            <w:shd w:val="clear" w:color="auto" w:fill="3C5896"/>
          </w:tcPr>
          <w:p>
            <w:pPr>
              <w:spacing w:after="0"/>
              <w:rPr>
                <w:sz w:val="17"/>
                <w:szCs w:val="17"/>
                <w:color w:val="auto"/>
              </w:rPr>
            </w:pPr>
          </w:p>
        </w:tc>
        <w:tc>
          <w:tcPr>
            <w:tcW w:w="40" w:type="dxa"/>
            <w:vAlign w:val="bottom"/>
            <w:tcBorders>
              <w:top w:val="single" w:sz="8" w:color="3C5896"/>
            </w:tcBorders>
            <w:shd w:val="clear" w:color="auto" w:fill="3C5896"/>
          </w:tcPr>
          <w:p>
            <w:pPr>
              <w:spacing w:after="0"/>
              <w:rPr>
                <w:sz w:val="17"/>
                <w:szCs w:val="17"/>
                <w:color w:val="auto"/>
              </w:rPr>
            </w:pPr>
          </w:p>
        </w:tc>
        <w:tc>
          <w:tcPr>
            <w:tcW w:w="1600" w:type="dxa"/>
            <w:vAlign w:val="bottom"/>
            <w:tcBorders>
              <w:top w:val="single" w:sz="8" w:color="3C5896"/>
              <w:right w:val="single" w:sz="8" w:color="3C5896"/>
            </w:tcBorders>
            <w:shd w:val="clear" w:color="auto" w:fill="3C5896"/>
          </w:tcPr>
          <w:p>
            <w:pPr>
              <w:jc w:val="center"/>
              <w:ind w:right="10"/>
              <w:spacing w:after="0"/>
              <w:rPr>
                <w:sz w:val="20"/>
                <w:szCs w:val="20"/>
                <w:color w:val="auto"/>
              </w:rPr>
            </w:pPr>
            <w:r>
              <w:rPr>
                <w:rFonts w:ascii="Arial" w:cs="Arial" w:eastAsia="Arial" w:hAnsi="Arial"/>
                <w:sz w:val="18"/>
                <w:szCs w:val="18"/>
                <w:b w:val="1"/>
                <w:bCs w:val="1"/>
                <w:color w:val="FFFFFF"/>
                <w:w w:val="99"/>
              </w:rPr>
              <w:t>Percentage of</w:t>
            </w:r>
          </w:p>
        </w:tc>
        <w:tc>
          <w:tcPr>
            <w:tcW w:w="0" w:type="dxa"/>
            <w:vAlign w:val="bottom"/>
          </w:tcPr>
          <w:p>
            <w:pPr>
              <w:spacing w:after="0"/>
              <w:rPr>
                <w:sz w:val="1"/>
                <w:szCs w:val="1"/>
                <w:color w:val="auto"/>
              </w:rPr>
            </w:pPr>
          </w:p>
        </w:tc>
      </w:tr>
      <w:tr>
        <w:trPr>
          <w:trHeight w:val="189"/>
        </w:trPr>
        <w:tc>
          <w:tcPr>
            <w:tcW w:w="60" w:type="dxa"/>
            <w:vAlign w:val="bottom"/>
            <w:tcBorders>
              <w:left w:val="single" w:sz="8" w:color="3C5896"/>
            </w:tcBorders>
            <w:shd w:val="clear" w:color="auto" w:fill="3C5896"/>
          </w:tcPr>
          <w:p>
            <w:pPr>
              <w:spacing w:after="0"/>
              <w:rPr>
                <w:sz w:val="16"/>
                <w:szCs w:val="16"/>
                <w:color w:val="auto"/>
              </w:rPr>
            </w:pPr>
          </w:p>
        </w:tc>
        <w:tc>
          <w:tcPr>
            <w:tcW w:w="5880" w:type="dxa"/>
            <w:vAlign w:val="bottom"/>
            <w:tcBorders>
              <w:right w:val="single" w:sz="8" w:color="9EACCA"/>
            </w:tcBorders>
            <w:vMerge w:val="restart"/>
            <w:shd w:val="clear" w:color="auto" w:fill="3C5896"/>
          </w:tcPr>
          <w:p>
            <w:pPr>
              <w:ind w:left="1800"/>
              <w:spacing w:after="0"/>
              <w:rPr>
                <w:sz w:val="20"/>
                <w:szCs w:val="20"/>
                <w:color w:val="auto"/>
              </w:rPr>
            </w:pPr>
            <w:r>
              <w:rPr>
                <w:rFonts w:ascii="Arial" w:cs="Arial" w:eastAsia="Arial" w:hAnsi="Arial"/>
                <w:sz w:val="18"/>
                <w:szCs w:val="18"/>
                <w:b w:val="1"/>
                <w:bCs w:val="1"/>
                <w:color w:val="FFFFFF"/>
              </w:rPr>
              <w:t>Name of Beneficial Owner</w:t>
            </w:r>
          </w:p>
        </w:tc>
        <w:tc>
          <w:tcPr>
            <w:tcW w:w="1620" w:type="dxa"/>
            <w:vAlign w:val="bottom"/>
            <w:tcBorders>
              <w:right w:val="single" w:sz="8" w:color="9EACCA"/>
            </w:tcBorders>
            <w:vMerge w:val="restart"/>
            <w:shd w:val="clear" w:color="auto" w:fill="3C5896"/>
          </w:tcPr>
          <w:p>
            <w:pPr>
              <w:jc w:val="right"/>
              <w:ind w:right="310"/>
              <w:spacing w:after="0"/>
              <w:rPr>
                <w:sz w:val="20"/>
                <w:szCs w:val="20"/>
                <w:color w:val="auto"/>
              </w:rPr>
            </w:pPr>
            <w:r>
              <w:rPr>
                <w:rFonts w:ascii="Arial" w:cs="Arial" w:eastAsia="Arial" w:hAnsi="Arial"/>
                <w:sz w:val="18"/>
                <w:szCs w:val="18"/>
                <w:b w:val="1"/>
                <w:bCs w:val="1"/>
                <w:color w:val="FFFFFF"/>
              </w:rPr>
              <w:t>Number</w:t>
            </w:r>
            <w:r>
              <w:rPr>
                <w:rFonts w:ascii="Arial" w:cs="Arial" w:eastAsia="Arial" w:hAnsi="Arial"/>
                <w:sz w:val="26"/>
                <w:szCs w:val="26"/>
                <w:b w:val="1"/>
                <w:bCs w:val="1"/>
                <w:color w:val="FFFFFF"/>
                <w:vertAlign w:val="superscript"/>
              </w:rPr>
              <w:t>(1)</w:t>
            </w:r>
          </w:p>
        </w:tc>
        <w:tc>
          <w:tcPr>
            <w:tcW w:w="40" w:type="dxa"/>
            <w:vAlign w:val="bottom"/>
            <w:shd w:val="clear" w:color="auto" w:fill="3C5896"/>
          </w:tcPr>
          <w:p>
            <w:pPr>
              <w:spacing w:after="0"/>
              <w:rPr>
                <w:sz w:val="16"/>
                <w:szCs w:val="16"/>
                <w:color w:val="auto"/>
              </w:rPr>
            </w:pPr>
          </w:p>
        </w:tc>
        <w:tc>
          <w:tcPr>
            <w:tcW w:w="1600" w:type="dxa"/>
            <w:vAlign w:val="bottom"/>
            <w:tcBorders>
              <w:right w:val="single" w:sz="8" w:color="3C5896"/>
            </w:tcBorders>
            <w:shd w:val="clear" w:color="auto" w:fill="3C5896"/>
          </w:tcPr>
          <w:p>
            <w:pPr>
              <w:jc w:val="center"/>
              <w:ind w:right="30"/>
              <w:spacing w:after="0" w:line="189" w:lineRule="exact"/>
              <w:rPr>
                <w:sz w:val="20"/>
                <w:szCs w:val="20"/>
                <w:color w:val="auto"/>
              </w:rPr>
            </w:pPr>
            <w:r>
              <w:rPr>
                <w:rFonts w:ascii="Arial" w:cs="Arial" w:eastAsia="Arial" w:hAnsi="Arial"/>
                <w:sz w:val="18"/>
                <w:szCs w:val="18"/>
                <w:b w:val="1"/>
                <w:bCs w:val="1"/>
                <w:color w:val="FFFFFF"/>
                <w:w w:val="98"/>
              </w:rPr>
              <w:t>Total Common</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5880" w:type="dxa"/>
            <w:vAlign w:val="bottom"/>
            <w:tcBorders>
              <w:right w:val="single" w:sz="8" w:color="9EACCA"/>
            </w:tcBorders>
            <w:vMerge w:val="continue"/>
            <w:shd w:val="clear" w:color="auto" w:fill="3C5896"/>
          </w:tcPr>
          <w:p>
            <w:pPr>
              <w:spacing w:after="0"/>
              <w:rPr>
                <w:sz w:val="21"/>
                <w:szCs w:val="21"/>
                <w:color w:val="auto"/>
              </w:rPr>
            </w:pPr>
          </w:p>
        </w:tc>
        <w:tc>
          <w:tcPr>
            <w:tcW w:w="1620" w:type="dxa"/>
            <w:vAlign w:val="bottom"/>
            <w:tcBorders>
              <w:right w:val="single" w:sz="8" w:color="9EACCA"/>
            </w:tcBorders>
            <w:vMerge w:val="continue"/>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160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7"/>
              </w:rPr>
              <w:t>Stock</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88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Greater than 5% Stockholders:</w:t>
            </w:r>
          </w:p>
        </w:tc>
        <w:tc>
          <w:tcPr>
            <w:tcW w:w="1620" w:type="dxa"/>
            <w:vAlign w:val="bottom"/>
            <w:tcBorders>
              <w:right w:val="single" w:sz="8" w:color="9EACCA"/>
            </w:tcBorders>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8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JPMorgan Chase &amp; Co.</w:t>
            </w:r>
            <w:r>
              <w:rPr>
                <w:rFonts w:ascii="Arial" w:cs="Arial" w:eastAsia="Arial" w:hAnsi="Arial"/>
                <w:sz w:val="26"/>
                <w:szCs w:val="26"/>
                <w:color w:val="auto"/>
                <w:vertAlign w:val="superscript"/>
              </w:rPr>
              <w:t>(3)</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7,887,774</w:t>
            </w:r>
          </w:p>
        </w:tc>
        <w:tc>
          <w:tcPr>
            <w:tcW w:w="1640" w:type="dxa"/>
            <w:vAlign w:val="bottom"/>
            <w:tcBorders>
              <w:right w:val="single" w:sz="8" w:color="3C5896"/>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Adage Capital Partners, L.P.</w:t>
            </w:r>
            <w:r>
              <w:rPr>
                <w:rFonts w:ascii="Arial" w:cs="Arial" w:eastAsia="Arial" w:hAnsi="Arial"/>
                <w:sz w:val="26"/>
                <w:szCs w:val="26"/>
                <w:color w:val="auto"/>
                <w:vertAlign w:val="superscript"/>
              </w:rPr>
              <w:t>(2)</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7,867,543</w:t>
            </w:r>
          </w:p>
        </w:tc>
        <w:tc>
          <w:tcPr>
            <w:tcW w:w="1640" w:type="dxa"/>
            <w:vAlign w:val="bottom"/>
            <w:tcBorders>
              <w:right w:val="single" w:sz="8" w:color="3C5896"/>
            </w:tcBorders>
            <w:gridSpan w:val="2"/>
          </w:tcPr>
          <w:p>
            <w:pPr>
              <w:jc w:val="right"/>
              <w:ind w:right="45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8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6"/>
                <w:szCs w:val="26"/>
                <w:color w:val="auto"/>
                <w:vertAlign w:val="superscript"/>
              </w:rPr>
              <w:t>(4)</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7,290,675</w:t>
            </w:r>
          </w:p>
        </w:tc>
        <w:tc>
          <w:tcPr>
            <w:tcW w:w="1640" w:type="dxa"/>
            <w:vAlign w:val="bottom"/>
            <w:tcBorders>
              <w:right w:val="single" w:sz="8" w:color="3C5896"/>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(5)</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5,799,645</w:t>
            </w:r>
          </w:p>
        </w:tc>
        <w:tc>
          <w:tcPr>
            <w:tcW w:w="1640" w:type="dxa"/>
            <w:vAlign w:val="bottom"/>
            <w:tcBorders>
              <w:right w:val="single" w:sz="8" w:color="3C5896"/>
            </w:tcBorders>
            <w:gridSpan w:val="2"/>
          </w:tcPr>
          <w:p>
            <w:pPr>
              <w:jc w:val="right"/>
              <w:ind w:right="45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6"/>
        </w:trPr>
        <w:tc>
          <w:tcPr>
            <w:tcW w:w="60" w:type="dxa"/>
            <w:vAlign w:val="bottom"/>
            <w:tcBorders>
              <w:left w:val="single" w:sz="8" w:color="3C5896"/>
            </w:tcBorders>
            <w:shd w:val="clear" w:color="auto" w:fill="CCCCCC"/>
          </w:tcPr>
          <w:p>
            <w:pPr>
              <w:spacing w:after="0"/>
              <w:rPr>
                <w:sz w:val="22"/>
                <w:szCs w:val="22"/>
                <w:color w:val="auto"/>
              </w:rPr>
            </w:pPr>
          </w:p>
        </w:tc>
        <w:tc>
          <w:tcPr>
            <w:tcW w:w="58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620" w:type="dxa"/>
            <w:vAlign w:val="bottom"/>
            <w:tcBorders>
              <w:right w:val="single" w:sz="8" w:color="9EACCA"/>
            </w:tcBorders>
            <w:shd w:val="clear" w:color="auto" w:fill="CCCCCC"/>
          </w:tcPr>
          <w:p>
            <w:pPr>
              <w:spacing w:after="0"/>
              <w:rPr>
                <w:sz w:val="22"/>
                <w:szCs w:val="22"/>
                <w:color w:val="auto"/>
              </w:rPr>
            </w:pPr>
          </w:p>
        </w:tc>
        <w:tc>
          <w:tcPr>
            <w:tcW w:w="40" w:type="dxa"/>
            <w:vAlign w:val="bottom"/>
            <w:shd w:val="clear" w:color="auto" w:fill="CCCCCC"/>
          </w:tcPr>
          <w:p>
            <w:pPr>
              <w:spacing w:after="0"/>
              <w:rPr>
                <w:sz w:val="22"/>
                <w:szCs w:val="22"/>
                <w:color w:val="auto"/>
              </w:rPr>
            </w:pPr>
          </w:p>
        </w:tc>
        <w:tc>
          <w:tcPr>
            <w:tcW w:w="1600" w:type="dxa"/>
            <w:vAlign w:val="bottom"/>
            <w:tcBorders>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 Reade Fahs</w:t>
            </w:r>
            <w:r>
              <w:rPr>
                <w:rFonts w:ascii="Arial" w:cs="Arial" w:eastAsia="Arial" w:hAnsi="Arial"/>
                <w:sz w:val="26"/>
                <w:szCs w:val="26"/>
                <w:color w:val="auto"/>
                <w:vertAlign w:val="superscript"/>
              </w:rPr>
              <w:t>(6)</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1,444,375</w:t>
            </w:r>
          </w:p>
        </w:tc>
        <w:tc>
          <w:tcPr>
            <w:tcW w:w="1640" w:type="dxa"/>
            <w:vAlign w:val="bottom"/>
            <w:tcBorders>
              <w:right w:val="single" w:sz="8" w:color="3C5896"/>
            </w:tcBorders>
            <w:gridSpan w:val="2"/>
          </w:tcPr>
          <w:p>
            <w:pPr>
              <w:jc w:val="right"/>
              <w:ind w:right="4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CCCCCC"/>
          </w:tcPr>
          <w:p>
            <w:pPr>
              <w:spacing w:after="0"/>
              <w:rPr>
                <w:sz w:val="22"/>
                <w:szCs w:val="22"/>
                <w:color w:val="auto"/>
              </w:rPr>
            </w:pPr>
          </w:p>
        </w:tc>
        <w:tc>
          <w:tcPr>
            <w:tcW w:w="58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Patrick R. Moore</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202,535</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Jared Brandman</w:t>
            </w:r>
            <w:r>
              <w:rPr>
                <w:rFonts w:ascii="Arial" w:cs="Arial" w:eastAsia="Arial" w:hAnsi="Arial"/>
                <w:sz w:val="26"/>
                <w:szCs w:val="26"/>
                <w:color w:val="auto"/>
                <w:vertAlign w:val="superscript"/>
              </w:rPr>
              <w:t>(7)</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67,330</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CCCCCC"/>
          </w:tcPr>
          <w:p>
            <w:pPr>
              <w:spacing w:after="0"/>
              <w:rPr>
                <w:sz w:val="22"/>
                <w:szCs w:val="22"/>
                <w:color w:val="auto"/>
              </w:rPr>
            </w:pPr>
          </w:p>
        </w:tc>
        <w:tc>
          <w:tcPr>
            <w:tcW w:w="58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Bill Clark</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17,701</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8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Joan Blackwood</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2,120</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88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D. Randolph Peeler</w:t>
            </w:r>
            <w:r>
              <w:rPr>
                <w:rFonts w:ascii="Arial" w:cs="Arial" w:eastAsia="Arial" w:hAnsi="Arial"/>
                <w:sz w:val="26"/>
                <w:szCs w:val="26"/>
                <w:color w:val="auto"/>
                <w:vertAlign w:val="superscript"/>
              </w:rPr>
              <w:t>(8)(9)</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71,277</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8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David M. Tehle</w:t>
            </w:r>
            <w:r>
              <w:rPr>
                <w:rFonts w:ascii="Arial" w:cs="Arial" w:eastAsia="Arial" w:hAnsi="Arial"/>
                <w:sz w:val="26"/>
                <w:szCs w:val="26"/>
                <w:color w:val="auto"/>
                <w:vertAlign w:val="superscript"/>
              </w:rPr>
              <w:t>(9)</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15,153</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8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Virginia A. Hepner</w:t>
            </w:r>
            <w:r>
              <w:rPr>
                <w:rFonts w:ascii="Arial" w:cs="Arial" w:eastAsia="Arial" w:hAnsi="Arial"/>
                <w:sz w:val="26"/>
                <w:szCs w:val="26"/>
                <w:color w:val="auto"/>
                <w:vertAlign w:val="superscript"/>
              </w:rPr>
              <w:t>(9)</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9,527</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588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Thomas V. Taylor, Jr.</w:t>
            </w:r>
            <w:r>
              <w:rPr>
                <w:rFonts w:ascii="Arial" w:cs="Arial" w:eastAsia="Arial" w:hAnsi="Arial"/>
                <w:sz w:val="26"/>
                <w:szCs w:val="26"/>
                <w:color w:val="auto"/>
                <w:vertAlign w:val="superscript"/>
              </w:rPr>
              <w:t>(9)</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12,971</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588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Heather Cianfrocco</w:t>
            </w:r>
            <w:r>
              <w:rPr>
                <w:rFonts w:ascii="Arial" w:cs="Arial" w:eastAsia="Arial" w:hAnsi="Arial"/>
                <w:sz w:val="26"/>
                <w:szCs w:val="26"/>
                <w:color w:val="auto"/>
                <w:vertAlign w:val="superscript"/>
              </w:rPr>
              <w:t>(9)</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6,748</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tcPr>
          <w:p>
            <w:pPr>
              <w:spacing w:after="0"/>
              <w:rPr>
                <w:sz w:val="24"/>
                <w:szCs w:val="24"/>
                <w:color w:val="auto"/>
              </w:rPr>
            </w:pPr>
          </w:p>
        </w:tc>
        <w:tc>
          <w:tcPr>
            <w:tcW w:w="588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Naomi Kelman</w:t>
            </w:r>
            <w:r>
              <w:rPr>
                <w:rFonts w:ascii="Arial" w:cs="Arial" w:eastAsia="Arial" w:hAnsi="Arial"/>
                <w:sz w:val="26"/>
                <w:szCs w:val="26"/>
                <w:color w:val="auto"/>
                <w:vertAlign w:val="superscript"/>
              </w:rPr>
              <w:t>(9)</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2,687</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588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Susan S. Johnson</w:t>
            </w:r>
            <w:r>
              <w:rPr>
                <w:rFonts w:ascii="Arial" w:cs="Arial" w:eastAsia="Arial" w:hAnsi="Arial"/>
                <w:sz w:val="26"/>
                <w:szCs w:val="26"/>
                <w:color w:val="auto"/>
                <w:vertAlign w:val="superscript"/>
              </w:rPr>
              <w:t>(9)</w:t>
            </w:r>
          </w:p>
        </w:tc>
        <w:tc>
          <w:tcPr>
            <w:tcW w:w="1620" w:type="dxa"/>
            <w:vAlign w:val="bottom"/>
            <w:tcBorders>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2,368</w:t>
            </w:r>
          </w:p>
        </w:tc>
        <w:tc>
          <w:tcPr>
            <w:tcW w:w="1640" w:type="dxa"/>
            <w:vAlign w:val="bottom"/>
            <w:tcBorders>
              <w:right w:val="single" w:sz="8" w:color="3C5896"/>
            </w:tcBorders>
            <w:gridSpan w:val="2"/>
            <w:shd w:val="clear" w:color="auto" w:fill="CCCCCC"/>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5880" w:type="dxa"/>
            <w:vAlign w:val="bottom"/>
            <w:tcBorders>
              <w:right w:val="single" w:sz="8" w:color="9EACCA"/>
            </w:tcBorders>
          </w:tcPr>
          <w:p>
            <w:pPr>
              <w:spacing w:after="0" w:line="283" w:lineRule="exact"/>
              <w:rPr>
                <w:sz w:val="20"/>
                <w:szCs w:val="20"/>
                <w:color w:val="auto"/>
              </w:rPr>
            </w:pPr>
            <w:r>
              <w:rPr>
                <w:rFonts w:ascii="Arial" w:cs="Arial" w:eastAsia="Arial" w:hAnsi="Arial"/>
                <w:sz w:val="18"/>
                <w:szCs w:val="18"/>
                <w:color w:val="auto"/>
              </w:rPr>
              <w:t>Jose Armario</w:t>
            </w:r>
            <w:r>
              <w:rPr>
                <w:rFonts w:ascii="Arial" w:cs="Arial" w:eastAsia="Arial" w:hAnsi="Arial"/>
                <w:sz w:val="26"/>
                <w:szCs w:val="26"/>
                <w:color w:val="auto"/>
                <w:vertAlign w:val="superscript"/>
              </w:rPr>
              <w:t>(9)</w:t>
            </w:r>
          </w:p>
        </w:tc>
        <w:tc>
          <w:tcPr>
            <w:tcW w:w="1620" w:type="dxa"/>
            <w:vAlign w:val="bottom"/>
            <w:tcBorders>
              <w:right w:val="single" w:sz="8" w:color="9EACCA"/>
            </w:tcBorders>
          </w:tcPr>
          <w:p>
            <w:pPr>
              <w:jc w:val="right"/>
              <w:ind w:right="330"/>
              <w:spacing w:after="0"/>
              <w:rPr>
                <w:sz w:val="20"/>
                <w:szCs w:val="20"/>
                <w:color w:val="auto"/>
              </w:rPr>
            </w:pPr>
            <w:r>
              <w:rPr>
                <w:rFonts w:ascii="Arial" w:cs="Arial" w:eastAsia="Arial" w:hAnsi="Arial"/>
                <w:sz w:val="18"/>
                <w:szCs w:val="18"/>
                <w:color w:val="auto"/>
              </w:rPr>
              <w:t>2,112</w:t>
            </w:r>
          </w:p>
        </w:tc>
        <w:tc>
          <w:tcPr>
            <w:tcW w:w="1640" w:type="dxa"/>
            <w:vAlign w:val="bottom"/>
            <w:tcBorders>
              <w:right w:val="single" w:sz="8" w:color="3C5896"/>
            </w:tcBorders>
            <w:gridSpan w:val="2"/>
          </w:tcPr>
          <w:p>
            <w:pPr>
              <w:jc w:val="right"/>
              <w:ind w:right="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60" w:type="dxa"/>
            <w:vAlign w:val="bottom"/>
            <w:tcBorders>
              <w:left w:val="single" w:sz="8" w:color="3C5896"/>
              <w:bottom w:val="single" w:sz="8" w:color="3C5896"/>
            </w:tcBorders>
            <w:shd w:val="clear" w:color="auto" w:fill="CCCCCC"/>
          </w:tcPr>
          <w:p>
            <w:pPr>
              <w:spacing w:after="0"/>
              <w:rPr>
                <w:sz w:val="24"/>
                <w:szCs w:val="24"/>
                <w:color w:val="auto"/>
              </w:rPr>
            </w:pPr>
          </w:p>
        </w:tc>
        <w:tc>
          <w:tcPr>
            <w:tcW w:w="5880" w:type="dxa"/>
            <w:vAlign w:val="bottom"/>
            <w:tcBorders>
              <w:bottom w:val="single" w:sz="8" w:color="3C5896"/>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26"/>
                <w:szCs w:val="26"/>
                <w:color w:val="auto"/>
                <w:vertAlign w:val="superscript"/>
              </w:rPr>
              <w:t>(10)</w:t>
            </w:r>
          </w:p>
        </w:tc>
        <w:tc>
          <w:tcPr>
            <w:tcW w:w="1620" w:type="dxa"/>
            <w:vAlign w:val="bottom"/>
            <w:tcBorders>
              <w:bottom w:val="single" w:sz="8" w:color="3C5896"/>
              <w:right w:val="single" w:sz="8" w:color="9EACCA"/>
            </w:tcBorders>
            <w:shd w:val="clear" w:color="auto" w:fill="CCCCCC"/>
          </w:tcPr>
          <w:p>
            <w:pPr>
              <w:jc w:val="right"/>
              <w:ind w:right="330"/>
              <w:spacing w:after="0"/>
              <w:rPr>
                <w:sz w:val="20"/>
                <w:szCs w:val="20"/>
                <w:color w:val="auto"/>
              </w:rPr>
            </w:pPr>
            <w:r>
              <w:rPr>
                <w:rFonts w:ascii="Arial" w:cs="Arial" w:eastAsia="Arial" w:hAnsi="Arial"/>
                <w:sz w:val="18"/>
                <w:szCs w:val="18"/>
                <w:color w:val="auto"/>
              </w:rPr>
              <w:t>1,857,319</w:t>
            </w:r>
          </w:p>
        </w:tc>
        <w:tc>
          <w:tcPr>
            <w:tcW w:w="1640" w:type="dxa"/>
            <w:vAlign w:val="bottom"/>
            <w:tcBorders>
              <w:bottom w:val="single" w:sz="8" w:color="3C5896"/>
              <w:right w:val="single" w:sz="8" w:color="3C5896"/>
            </w:tcBorders>
            <w:gridSpan w:val="2"/>
            <w:shd w:val="clear" w:color="auto" w:fill="CCCCCC"/>
          </w:tcPr>
          <w:p>
            <w:pPr>
              <w:jc w:val="right"/>
              <w:ind w:right="4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-3462655</wp:posOffset>
            </wp:positionV>
            <wp:extent cx="58204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71" w:lineRule="exact"/>
        <w:rPr>
          <w:sz w:val="20"/>
          <w:szCs w:val="20"/>
          <w:color w:val="auto"/>
        </w:rPr>
      </w:pPr>
    </w:p>
    <w:p>
      <w:pPr>
        <w:ind w:left="1120" w:hanging="358"/>
        <w:spacing w:after="0"/>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71" w:lineRule="exact"/>
        <w:rPr>
          <w:sz w:val="20"/>
          <w:szCs w:val="20"/>
          <w:color w:val="auto"/>
        </w:rPr>
      </w:pPr>
    </w:p>
    <w:p>
      <w:pPr>
        <w:jc w:val="both"/>
        <w:ind w:left="1120" w:right="760" w:hanging="359"/>
        <w:spacing w:after="0" w:line="252" w:lineRule="auto"/>
        <w:tabs>
          <w:tab w:leader="none" w:pos="1100" w:val="left"/>
        </w:tabs>
        <w:rPr>
          <w:sz w:val="20"/>
          <w:szCs w:val="20"/>
          <w:color w:val="auto"/>
        </w:rPr>
      </w:pPr>
      <w:r>
        <w:rPr>
          <w:rFonts w:ascii="Arial" w:cs="Arial" w:eastAsia="Arial" w:hAnsi="Arial"/>
          <w:sz w:val="15"/>
          <w:szCs w:val="15"/>
          <w:color w:val="auto"/>
        </w:rPr>
        <w:t>(1)</w:t>
        <w:tab/>
        <w:t>The number of shares reported includes shares covered by options that are exercisable within 60 days as follows: Mr. Fahs,1,042,908; Mr. Moore, 198,035; Mr. Brandman, 60,618; Mr. Clark, 17,701; Ms. Blackwood, 1,522; and all directors and executive officers as a group,1,326,138.</w:t>
      </w:r>
    </w:p>
    <w:p>
      <w:pPr>
        <w:spacing w:after="0" w:line="51" w:lineRule="exact"/>
        <w:rPr>
          <w:sz w:val="20"/>
          <w:szCs w:val="20"/>
          <w:color w:val="auto"/>
        </w:rPr>
      </w:pPr>
    </w:p>
    <w:p>
      <w:pPr>
        <w:jc w:val="both"/>
        <w:ind w:left="1120" w:right="760" w:hanging="358"/>
        <w:spacing w:after="0" w:line="252" w:lineRule="auto"/>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Adage Capital Partners, L.P. with the SEC on February 11, 2021, reporting beneficial ownership as of December 31, 2020. Adage Capital Partners, L.P. reported that it has shared voting power and shared dispositive power with respect to 7,867,543 shares of common stock.</w:t>
      </w:r>
    </w:p>
    <w:p>
      <w:pPr>
        <w:spacing w:after="0" w:line="50" w:lineRule="exact"/>
        <w:rPr>
          <w:rFonts w:ascii="Arial" w:cs="Arial" w:eastAsia="Arial" w:hAnsi="Arial"/>
          <w:sz w:val="15"/>
          <w:szCs w:val="15"/>
          <w:color w:val="auto"/>
        </w:rPr>
      </w:pPr>
    </w:p>
    <w:p>
      <w:pPr>
        <w:jc w:val="both"/>
        <w:ind w:left="1120" w:right="760" w:hanging="358"/>
        <w:spacing w:after="0" w:line="249" w:lineRule="auto"/>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JPMorgan Chase &amp; Co. with the SEC on January 27,2021, reporting beneficial ownership as of December 31, 2020. JPMorgan Chase &amp; Co. reported that it has sole voting power with respect to 7,407,909 shares of common stock, shared voting power with respect to 70,828 shares of common stock, sole dispositive power with respect to 7,816,946 shares of common stock and shared dispositive power with respect to 70,828 shares of common stock.</w:t>
      </w:r>
    </w:p>
    <w:p>
      <w:pPr>
        <w:spacing w:after="0" w:line="53" w:lineRule="exact"/>
        <w:rPr>
          <w:rFonts w:ascii="Arial" w:cs="Arial" w:eastAsia="Arial" w:hAnsi="Arial"/>
          <w:sz w:val="15"/>
          <w:szCs w:val="15"/>
          <w:color w:val="auto"/>
        </w:rPr>
      </w:pPr>
    </w:p>
    <w:p>
      <w:pPr>
        <w:jc w:val="both"/>
        <w:ind w:left="1120" w:right="760" w:hanging="358"/>
        <w:spacing w:after="0" w:line="249" w:lineRule="auto"/>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The Vanguard Group with the SEC on February 10, 2021, reporting beneficial ownership as of December 31, 2020. The Vanguard Group reported that it has sole dispositive power with respect to 7,059,070 shares of common stock, shared voting power with respect to 167,752 shares of common stock and shared dispositive power with respect to 231,605 shares of common stock.</w:t>
      </w:r>
    </w:p>
    <w:p>
      <w:pPr>
        <w:spacing w:after="0" w:line="53" w:lineRule="exact"/>
        <w:rPr>
          <w:rFonts w:ascii="Arial" w:cs="Arial" w:eastAsia="Arial" w:hAnsi="Arial"/>
          <w:sz w:val="15"/>
          <w:szCs w:val="15"/>
          <w:color w:val="auto"/>
        </w:rPr>
      </w:pPr>
    </w:p>
    <w:p>
      <w:pPr>
        <w:jc w:val="both"/>
        <w:ind w:left="1120" w:right="760" w:hanging="358"/>
        <w:spacing w:after="0" w:line="252" w:lineRule="auto"/>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BlackRock, Inc. with the SEC on February 5, 2021, reporting beneficial ownership as of December 31, 2020. BlackRock, Inc. reported that it has sole voting power with respect to 5,661,640 shares of common stock and sole dispositive power with respect to 5,799,645 shares of common stock.</w:t>
      </w:r>
    </w:p>
    <w:p>
      <w:pPr>
        <w:spacing w:after="0" w:line="50" w:lineRule="exact"/>
        <w:rPr>
          <w:rFonts w:ascii="Arial" w:cs="Arial" w:eastAsia="Arial" w:hAnsi="Arial"/>
          <w:sz w:val="15"/>
          <w:szCs w:val="15"/>
          <w:color w:val="auto"/>
        </w:rPr>
      </w:pPr>
    </w:p>
    <w:p>
      <w:pPr>
        <w:ind w:left="1120" w:hanging="358"/>
        <w:spacing w:after="0"/>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shares held by the Fahs Family Trust.</w:t>
      </w:r>
    </w:p>
    <w:p>
      <w:pPr>
        <w:spacing w:after="0" w:line="84" w:lineRule="exact"/>
        <w:rPr>
          <w:rFonts w:ascii="Arial" w:cs="Arial" w:eastAsia="Arial" w:hAnsi="Arial"/>
          <w:sz w:val="15"/>
          <w:szCs w:val="15"/>
          <w:color w:val="auto"/>
        </w:rPr>
      </w:pPr>
    </w:p>
    <w:p>
      <w:pPr>
        <w:ind w:left="1120" w:right="760" w:hanging="358"/>
        <w:spacing w:after="0" w:line="260" w:lineRule="auto"/>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estimate of 235 shares to be purchased by Mr. Brandman through the ASPP based on the closing price of Company stock of $49.43 on March 1, 2021, the first day in the enrollment period for the current purchase cycle, and the ASPP discount.</w:t>
      </w:r>
    </w:p>
    <w:p>
      <w:pPr>
        <w:spacing w:after="0" w:line="44" w:lineRule="exact"/>
        <w:rPr>
          <w:rFonts w:ascii="Arial" w:cs="Arial" w:eastAsia="Arial" w:hAnsi="Arial"/>
          <w:sz w:val="15"/>
          <w:szCs w:val="15"/>
          <w:color w:val="auto"/>
        </w:rPr>
      </w:pPr>
    </w:p>
    <w:p>
      <w:pPr>
        <w:ind w:left="1120" w:hanging="358"/>
        <w:spacing w:after="0"/>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shares held by The David Randolph Peeler Trust—2001.</w:t>
      </w:r>
    </w:p>
    <w:p>
      <w:pPr>
        <w:spacing w:after="0" w:line="70" w:lineRule="exact"/>
        <w:rPr>
          <w:rFonts w:ascii="Arial" w:cs="Arial" w:eastAsia="Arial" w:hAnsi="Arial"/>
          <w:sz w:val="15"/>
          <w:szCs w:val="15"/>
          <w:color w:val="auto"/>
        </w:rPr>
      </w:pPr>
    </w:p>
    <w:p>
      <w:pPr>
        <w:jc w:val="both"/>
        <w:ind w:left="1120" w:right="760" w:hanging="358"/>
        <w:spacing w:after="0" w:line="249" w:lineRule="auto"/>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For Ms. Kelman, Ms. Johnson and Mr. Armario, the table includes grants made on September 14, 2020, October 26, 2020 and February 4, 2021, respectively, which will vest on their respective one-year grant anniversary dates. For Mr. Tehle, Ms. Hepner, Mr. Taylor and Ms. Cianfrocco, this table includes grants of restricted stock made on June 10, 2020 which will vest within 60 days of the record date.</w:t>
      </w:r>
    </w:p>
    <w:p>
      <w:pPr>
        <w:spacing w:after="0" w:line="53" w:lineRule="exact"/>
        <w:rPr>
          <w:rFonts w:ascii="Arial" w:cs="Arial" w:eastAsia="Arial" w:hAnsi="Arial"/>
          <w:sz w:val="15"/>
          <w:szCs w:val="15"/>
          <w:color w:val="auto"/>
        </w:rPr>
      </w:pPr>
    </w:p>
    <w:p>
      <w:pPr>
        <w:ind w:left="1120" w:right="760" w:hanging="358"/>
        <w:spacing w:after="0" w:line="260" w:lineRule="auto"/>
        <w:tabs>
          <w:tab w:leader="none" w:pos="11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estimate of shares to be purchased by one executive officer through the ASPP based on the closing price of Company stock of $49.43 on March 1, 2021, the first day in the enrollment period for the current purchase cycle, and the ASPP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219075</wp:posOffset>
            </wp:positionV>
            <wp:extent cx="300355" cy="2400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53</w:t>
            </w:r>
          </w:p>
        </w:tc>
      </w:tr>
      <w:tr>
        <w:trPr>
          <w:trHeight w:val="418"/>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AUDIT COMMITTEE MATTERS</w:t>
      </w:r>
    </w:p>
    <w:p>
      <w:pPr>
        <w:spacing w:after="0" w:line="238" w:lineRule="exact"/>
        <w:rPr>
          <w:sz w:val="20"/>
          <w:szCs w:val="20"/>
          <w:color w:val="auto"/>
        </w:rPr>
      </w:pPr>
    </w:p>
    <w:p>
      <w:pPr>
        <w:ind w:left="760" w:right="1040"/>
        <w:spacing w:after="0" w:line="242" w:lineRule="auto"/>
        <w:rPr>
          <w:sz w:val="20"/>
          <w:szCs w:val="20"/>
          <w:color w:val="auto"/>
        </w:rPr>
      </w:pPr>
      <w:r>
        <w:rPr>
          <w:rFonts w:ascii="Arial" w:cs="Arial" w:eastAsia="Arial" w:hAnsi="Arial"/>
          <w:sz w:val="32"/>
          <w:szCs w:val="32"/>
          <w:color w:val="auto"/>
        </w:rPr>
        <w:t>PROPOSAL NO. 5—RATIFICATION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74930</wp:posOffset>
            </wp:positionV>
            <wp:extent cx="5837555" cy="14573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37555" cy="1457325"/>
                    </a:xfrm>
                    <a:prstGeom prst="rect">
                      <a:avLst/>
                    </a:prstGeom>
                    <a:noFill/>
                  </pic:spPr>
                </pic:pic>
              </a:graphicData>
            </a:graphic>
          </wp:anchor>
        </w:drawing>
      </w:r>
    </w:p>
    <w:p>
      <w:pPr>
        <w:spacing w:after="0" w:line="156" w:lineRule="exact"/>
        <w:rPr>
          <w:sz w:val="20"/>
          <w:szCs w:val="20"/>
          <w:color w:val="auto"/>
        </w:rPr>
      </w:pPr>
    </w:p>
    <w:p>
      <w:pPr>
        <w:ind w:left="820" w:right="300"/>
        <w:spacing w:after="0" w:line="289"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ratify the appointment of Deloitte &amp; Touche LLP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Company’s independent registered public accounting firm for fiscal 2021.</w:t>
      </w:r>
    </w:p>
    <w:p>
      <w:pPr>
        <w:spacing w:after="0" w:line="1" w:lineRule="exact"/>
        <w:rPr>
          <w:sz w:val="20"/>
          <w:szCs w:val="20"/>
          <w:color w:val="auto"/>
        </w:rPr>
      </w:pPr>
    </w:p>
    <w:p>
      <w:pPr>
        <w:ind w:left="820" w:right="200"/>
        <w:spacing w:after="0" w:line="289"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ratification of Deloitte &amp;</w:t>
      </w:r>
      <w:r>
        <w:rPr>
          <w:rFonts w:ascii="Arial" w:cs="Arial" w:eastAsia="Arial" w:hAnsi="Arial"/>
          <w:sz w:val="18"/>
          <w:szCs w:val="18"/>
          <w:b w:val="1"/>
          <w:bCs w:val="1"/>
          <w:color w:val="auto"/>
        </w:rPr>
        <w:t xml:space="preserve"> </w:t>
      </w:r>
      <w:r>
        <w:rPr>
          <w:rFonts w:ascii="Arial" w:cs="Arial" w:eastAsia="Arial" w:hAnsi="Arial"/>
          <w:sz w:val="18"/>
          <w:szCs w:val="18"/>
          <w:color w:val="auto"/>
        </w:rPr>
        <w:t>Touche LLP as our independent auditors for fiscal 2021.</w:t>
      </w:r>
    </w:p>
    <w:p>
      <w:pPr>
        <w:spacing w:after="0" w:line="1" w:lineRule="exact"/>
        <w:rPr>
          <w:sz w:val="20"/>
          <w:szCs w:val="20"/>
          <w:color w:val="auto"/>
        </w:rPr>
      </w:pPr>
    </w:p>
    <w:p>
      <w:pPr>
        <w:ind w:left="820" w:right="100"/>
        <w:spacing w:after="0" w:line="26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audit committee has sole authority to appoint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the Board submits its selection to our stockholders for ratification as a matter of good corporate governance. The proposal must be approved by a majority of the voting power of the shares of stock present in person or represented by proxy and entitled to vote at the Annual Meeting. If our stockholders should not ratify the appointment of Deloitte &amp; Touche LLP, the audit committee will reconsider the appointment.</w:t>
      </w:r>
    </w:p>
    <w:p>
      <w:pPr>
        <w:spacing w:after="0" w:line="265"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The audit committee has selected Deloitte &amp; Touche LLP to serve as our independent registered public accounting firm for fiscal 2021.</w:t>
      </w:r>
    </w:p>
    <w:p>
      <w:pPr>
        <w:spacing w:after="0" w:line="89"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 One or more representatives of Deloitte &amp; Touche LLP are expected to be present at the Annual Meeting. The representative(s) will have an opportunity to make a statement if they desire and will be available to respond to questions from stockholders.</w:t>
      </w:r>
    </w:p>
    <w:p>
      <w:pPr>
        <w:spacing w:after="0" w:line="99"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The shares represented by your proxy will be voted “FOR” the ratification of the selection of Deloitte &amp; Touche LLP unless you specify otherwise.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Deloitte &amp; Touche LLP for the audit of our financial statements for 2020 and 2019 and for fees billed for other services rendered by Deloitte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8890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770" w:type="dxa"/>
        <w:tblCellMar>
          <w:top w:w="0" w:type="dxa"/>
          <w:left w:w="0" w:type="dxa"/>
          <w:bottom w:w="0" w:type="dxa"/>
          <w:right w:w="0" w:type="dxa"/>
        </w:tblCellMar>
      </w:tblPr>
      <w:tr>
        <w:trPr>
          <w:trHeight w:val="250"/>
        </w:trPr>
        <w:tc>
          <w:tcPr>
            <w:tcW w:w="5480" w:type="dxa"/>
            <w:vAlign w:val="bottom"/>
            <w:tcBorders>
              <w:top w:val="single" w:sz="8" w:color="3C5896"/>
              <w:left w:val="single" w:sz="8" w:color="3C5896"/>
              <w:right w:val="single" w:sz="8" w:color="9EACCA"/>
            </w:tcBorders>
            <w:shd w:val="clear" w:color="auto" w:fill="3C5896"/>
          </w:tcPr>
          <w:p>
            <w:pPr>
              <w:spacing w:after="0"/>
              <w:rPr>
                <w:sz w:val="21"/>
                <w:szCs w:val="21"/>
                <w:color w:val="auto"/>
              </w:rPr>
            </w:pPr>
          </w:p>
        </w:tc>
        <w:tc>
          <w:tcPr>
            <w:tcW w:w="40" w:type="dxa"/>
            <w:vAlign w:val="bottom"/>
            <w:tcBorders>
              <w:top w:val="single" w:sz="8" w:color="3C5896"/>
            </w:tcBorders>
            <w:shd w:val="clear" w:color="auto" w:fill="3C5896"/>
          </w:tcPr>
          <w:p>
            <w:pPr>
              <w:spacing w:after="0"/>
              <w:rPr>
                <w:sz w:val="21"/>
                <w:szCs w:val="21"/>
                <w:color w:val="auto"/>
              </w:rPr>
            </w:pPr>
          </w:p>
        </w:tc>
        <w:tc>
          <w:tcPr>
            <w:tcW w:w="1820" w:type="dxa"/>
            <w:vAlign w:val="bottom"/>
            <w:tcBorders>
              <w:top w:val="single" w:sz="8" w:color="3C5896"/>
              <w:right w:val="single" w:sz="8" w:color="9EACCA"/>
            </w:tcBorders>
            <w:gridSpan w:val="2"/>
            <w:shd w:val="clear" w:color="auto" w:fill="3C5896"/>
          </w:tcPr>
          <w:p>
            <w:pPr>
              <w:jc w:val="right"/>
              <w:ind w:right="150"/>
              <w:spacing w:after="0"/>
              <w:rPr>
                <w:sz w:val="20"/>
                <w:szCs w:val="20"/>
                <w:color w:val="auto"/>
              </w:rPr>
            </w:pPr>
            <w:r>
              <w:rPr>
                <w:rFonts w:ascii="Arial" w:cs="Arial" w:eastAsia="Arial" w:hAnsi="Arial"/>
                <w:sz w:val="18"/>
                <w:szCs w:val="18"/>
                <w:b w:val="1"/>
                <w:bCs w:val="1"/>
                <w:color w:val="FFFFFF"/>
              </w:rPr>
              <w:t>Fiscal Year 2020</w:t>
            </w:r>
          </w:p>
        </w:tc>
        <w:tc>
          <w:tcPr>
            <w:tcW w:w="40" w:type="dxa"/>
            <w:vAlign w:val="bottom"/>
            <w:tcBorders>
              <w:top w:val="single" w:sz="8" w:color="3C5896"/>
            </w:tcBorders>
            <w:shd w:val="clear" w:color="auto" w:fill="3C5896"/>
          </w:tcPr>
          <w:p>
            <w:pPr>
              <w:spacing w:after="0"/>
              <w:rPr>
                <w:sz w:val="21"/>
                <w:szCs w:val="21"/>
                <w:color w:val="auto"/>
              </w:rPr>
            </w:pPr>
          </w:p>
        </w:tc>
        <w:tc>
          <w:tcPr>
            <w:tcW w:w="1820" w:type="dxa"/>
            <w:vAlign w:val="bottom"/>
            <w:tcBorders>
              <w:top w:val="single" w:sz="8" w:color="3C5896"/>
              <w:right w:val="single" w:sz="8" w:color="3C5896"/>
            </w:tcBorders>
            <w:shd w:val="clear" w:color="auto" w:fill="3C5896"/>
          </w:tcPr>
          <w:p>
            <w:pPr>
              <w:jc w:val="right"/>
              <w:ind w:right="170"/>
              <w:spacing w:after="0"/>
              <w:rPr>
                <w:sz w:val="20"/>
                <w:szCs w:val="20"/>
                <w:color w:val="auto"/>
              </w:rPr>
            </w:pPr>
            <w:r>
              <w:rPr>
                <w:rFonts w:ascii="Arial" w:cs="Arial" w:eastAsia="Arial" w:hAnsi="Arial"/>
                <w:sz w:val="18"/>
                <w:szCs w:val="18"/>
                <w:b w:val="1"/>
                <w:bCs w:val="1"/>
                <w:color w:val="FFFFFF"/>
              </w:rPr>
              <w:t>Fiscal Year 2019</w:t>
            </w:r>
          </w:p>
        </w:tc>
      </w:tr>
      <w:tr>
        <w:trPr>
          <w:trHeight w:val="243"/>
        </w:trPr>
        <w:tc>
          <w:tcPr>
            <w:tcW w:w="5480" w:type="dxa"/>
            <w:vAlign w:val="bottom"/>
            <w:tcBorders>
              <w:left w:val="single" w:sz="8" w:color="3C5896"/>
              <w:right w:val="single" w:sz="8" w:color="9EACCA"/>
            </w:tcBorders>
          </w:tcPr>
          <w:p>
            <w:pPr>
              <w:ind w:left="60"/>
              <w:spacing w:after="0" w:line="24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w w:val="97"/>
              </w:rPr>
              <w:t>1,972,656</w:t>
            </w:r>
          </w:p>
        </w:tc>
        <w:tc>
          <w:tcPr>
            <w:tcW w:w="1860" w:type="dxa"/>
            <w:vAlign w:val="bottom"/>
            <w:tcBorders>
              <w:right w:val="single" w:sz="8" w:color="3C5896"/>
            </w:tcBorders>
            <w:gridSpan w:val="2"/>
          </w:tcPr>
          <w:p>
            <w:pPr>
              <w:jc w:val="right"/>
              <w:ind w:right="390"/>
              <w:spacing w:after="0"/>
              <w:rPr>
                <w:sz w:val="20"/>
                <w:szCs w:val="20"/>
                <w:color w:val="auto"/>
              </w:rPr>
            </w:pPr>
            <w:r>
              <w:rPr>
                <w:rFonts w:ascii="Arial" w:cs="Arial" w:eastAsia="Arial" w:hAnsi="Arial"/>
                <w:sz w:val="18"/>
                <w:szCs w:val="18"/>
                <w:color w:val="auto"/>
              </w:rPr>
              <w:t>$2,064,280</w:t>
            </w:r>
          </w:p>
        </w:tc>
      </w:tr>
      <w:tr>
        <w:trPr>
          <w:trHeight w:val="243"/>
        </w:trPr>
        <w:tc>
          <w:tcPr>
            <w:tcW w:w="5480" w:type="dxa"/>
            <w:vAlign w:val="bottom"/>
            <w:tcBorders>
              <w:left w:val="single" w:sz="8" w:color="3C5896"/>
              <w:right w:val="single" w:sz="8" w:color="9EACCA"/>
            </w:tcBorders>
            <w:shd w:val="clear" w:color="auto" w:fill="CCCCCC"/>
          </w:tcPr>
          <w:p>
            <w:pPr>
              <w:ind w:left="60"/>
              <w:spacing w:after="0" w:line="243" w:lineRule="exact"/>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58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9EACCA"/>
            </w:tcBorders>
            <w:shd w:val="clear" w:color="auto" w:fill="CCCCCC"/>
          </w:tcPr>
          <w:p>
            <w:pPr>
              <w:jc w:val="right"/>
              <w:ind w:right="390"/>
              <w:spacing w:after="0"/>
              <w:rPr>
                <w:sz w:val="20"/>
                <w:szCs w:val="20"/>
                <w:color w:val="auto"/>
              </w:rPr>
            </w:pPr>
            <w:r>
              <w:rPr>
                <w:rFonts w:ascii="Arial" w:cs="Arial" w:eastAsia="Arial" w:hAnsi="Arial"/>
                <w:sz w:val="18"/>
                <w:szCs w:val="18"/>
                <w:color w:val="auto"/>
              </w:rPr>
              <w:t>104,520</w:t>
            </w:r>
          </w:p>
        </w:tc>
        <w:tc>
          <w:tcPr>
            <w:tcW w:w="40" w:type="dxa"/>
            <w:vAlign w:val="bottom"/>
            <w:shd w:val="clear" w:color="auto" w:fill="CCCCCC"/>
          </w:tcPr>
          <w:p>
            <w:pPr>
              <w:spacing w:after="0"/>
              <w:rPr>
                <w:sz w:val="21"/>
                <w:szCs w:val="21"/>
                <w:color w:val="auto"/>
              </w:rPr>
            </w:pPr>
          </w:p>
        </w:tc>
        <w:tc>
          <w:tcPr>
            <w:tcW w:w="1820" w:type="dxa"/>
            <w:vAlign w:val="bottom"/>
            <w:tcBorders>
              <w:right w:val="single" w:sz="8" w:color="3C5896"/>
            </w:tcBorders>
            <w:shd w:val="clear" w:color="auto" w:fill="CCCCCC"/>
          </w:tcPr>
          <w:p>
            <w:pPr>
              <w:jc w:val="right"/>
              <w:ind w:right="39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Borders>
              <w:left w:val="single" w:sz="8" w:color="3C5896"/>
              <w:right w:val="single" w:sz="8" w:color="9EACCA"/>
            </w:tcBorders>
          </w:tcPr>
          <w:p>
            <w:pPr>
              <w:ind w:left="60"/>
              <w:spacing w:after="0" w:line="243"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rPr>
              <w:t>17,375</w:t>
            </w:r>
          </w:p>
        </w:tc>
        <w:tc>
          <w:tcPr>
            <w:tcW w:w="40" w:type="dxa"/>
            <w:vAlign w:val="bottom"/>
          </w:tcPr>
          <w:p>
            <w:pPr>
              <w:spacing w:after="0"/>
              <w:rPr>
                <w:sz w:val="21"/>
                <w:szCs w:val="21"/>
                <w:color w:val="auto"/>
              </w:rPr>
            </w:pPr>
          </w:p>
        </w:tc>
        <w:tc>
          <w:tcPr>
            <w:tcW w:w="1820" w:type="dxa"/>
            <w:vAlign w:val="bottom"/>
            <w:tcBorders>
              <w:right w:val="single" w:sz="8" w:color="3C5896"/>
            </w:tcBorders>
          </w:tcPr>
          <w:p>
            <w:pPr>
              <w:jc w:val="right"/>
              <w:ind w:right="39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All other fees</w:t>
            </w:r>
          </w:p>
        </w:tc>
        <w:tc>
          <w:tcPr>
            <w:tcW w:w="40" w:type="dxa"/>
            <w:vAlign w:val="bottom"/>
            <w:shd w:val="clear" w:color="auto" w:fill="CCCCCC"/>
          </w:tcPr>
          <w:p>
            <w:pPr>
              <w:spacing w:after="0"/>
              <w:rPr>
                <w:sz w:val="19"/>
                <w:szCs w:val="19"/>
                <w:color w:val="auto"/>
              </w:rPr>
            </w:pPr>
          </w:p>
        </w:tc>
        <w:tc>
          <w:tcPr>
            <w:tcW w:w="540" w:type="dxa"/>
            <w:vAlign w:val="bottom"/>
            <w:shd w:val="clear" w:color="auto" w:fill="CCCCCC"/>
          </w:tcPr>
          <w:p>
            <w:pPr>
              <w:spacing w:after="0"/>
              <w:rPr>
                <w:sz w:val="19"/>
                <w:szCs w:val="19"/>
                <w:color w:val="auto"/>
              </w:rPr>
            </w:pPr>
          </w:p>
        </w:tc>
        <w:tc>
          <w:tcPr>
            <w:tcW w:w="1280" w:type="dxa"/>
            <w:vAlign w:val="bottom"/>
            <w:tcBorders>
              <w:right w:val="single" w:sz="8" w:color="9EACCA"/>
            </w:tcBorders>
            <w:shd w:val="clear" w:color="auto" w:fill="CCCCCC"/>
          </w:tcPr>
          <w:p>
            <w:pPr>
              <w:jc w:val="right"/>
              <w:ind w:right="3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CCCC"/>
          </w:tcPr>
          <w:p>
            <w:pPr>
              <w:spacing w:after="0"/>
              <w:rPr>
                <w:sz w:val="19"/>
                <w:szCs w:val="19"/>
                <w:color w:val="auto"/>
              </w:rPr>
            </w:pPr>
          </w:p>
        </w:tc>
        <w:tc>
          <w:tcPr>
            <w:tcW w:w="1820" w:type="dxa"/>
            <w:vAlign w:val="bottom"/>
            <w:tcBorders>
              <w:right w:val="single" w:sz="8" w:color="3C5896"/>
            </w:tcBorders>
            <w:shd w:val="clear" w:color="auto" w:fill="CCCCCC"/>
          </w:tcPr>
          <w:p>
            <w:pPr>
              <w:jc w:val="right"/>
              <w:ind w:right="390"/>
              <w:spacing w:after="0"/>
              <w:rPr>
                <w:sz w:val="20"/>
                <w:szCs w:val="20"/>
                <w:color w:val="auto"/>
              </w:rPr>
            </w:pPr>
            <w:r>
              <w:rPr>
                <w:rFonts w:ascii="Arial" w:cs="Arial" w:eastAsia="Arial" w:hAnsi="Arial"/>
                <w:sz w:val="18"/>
                <w:szCs w:val="18"/>
                <w:color w:val="auto"/>
              </w:rPr>
              <w:t>—</w:t>
            </w:r>
          </w:p>
        </w:tc>
      </w:tr>
      <w:tr>
        <w:trPr>
          <w:trHeight w:val="270"/>
        </w:trPr>
        <w:tc>
          <w:tcPr>
            <w:tcW w:w="548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9EACCA"/>
            </w:tcBorders>
          </w:tcPr>
          <w:p>
            <w:pPr>
              <w:jc w:val="right"/>
              <w:ind w:right="390"/>
              <w:spacing w:after="0"/>
              <w:rPr>
                <w:sz w:val="20"/>
                <w:szCs w:val="20"/>
                <w:color w:val="auto"/>
              </w:rPr>
            </w:pPr>
            <w:r>
              <w:rPr>
                <w:rFonts w:ascii="Arial" w:cs="Arial" w:eastAsia="Arial" w:hAnsi="Arial"/>
                <w:sz w:val="18"/>
                <w:szCs w:val="18"/>
                <w:color w:val="auto"/>
                <w:w w:val="97"/>
              </w:rPr>
              <w:t>2,094,551</w:t>
            </w:r>
          </w:p>
        </w:tc>
        <w:tc>
          <w:tcPr>
            <w:tcW w:w="1860" w:type="dxa"/>
            <w:vAlign w:val="bottom"/>
            <w:tcBorders>
              <w:right w:val="single" w:sz="8" w:color="3C5896"/>
            </w:tcBorders>
            <w:gridSpan w:val="2"/>
          </w:tcPr>
          <w:p>
            <w:pPr>
              <w:jc w:val="right"/>
              <w:ind w:right="390"/>
              <w:spacing w:after="0"/>
              <w:rPr>
                <w:sz w:val="20"/>
                <w:szCs w:val="20"/>
                <w:color w:val="auto"/>
              </w:rPr>
            </w:pPr>
            <w:r>
              <w:rPr>
                <w:rFonts w:ascii="Arial" w:cs="Arial" w:eastAsia="Arial" w:hAnsi="Arial"/>
                <w:sz w:val="18"/>
                <w:szCs w:val="18"/>
                <w:color w:val="auto"/>
              </w:rPr>
              <w:t>$2,064,280</w:t>
            </w:r>
          </w:p>
        </w:tc>
      </w:tr>
      <w:tr>
        <w:trPr>
          <w:trHeight w:val="20"/>
        </w:trPr>
        <w:tc>
          <w:tcPr>
            <w:tcW w:w="5480" w:type="dxa"/>
            <w:vAlign w:val="bottom"/>
            <w:tcBorders>
              <w:left w:val="single" w:sz="8" w:color="3C5896"/>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540" w:type="dxa"/>
            <w:vAlign w:val="bottom"/>
            <w:shd w:val="clear" w:color="auto" w:fill="3C5896"/>
          </w:tcPr>
          <w:p>
            <w:pPr>
              <w:spacing w:after="0" w:line="20" w:lineRule="exact"/>
              <w:rPr>
                <w:sz w:val="1"/>
                <w:szCs w:val="1"/>
                <w:color w:val="auto"/>
              </w:rPr>
            </w:pPr>
          </w:p>
        </w:tc>
        <w:tc>
          <w:tcPr>
            <w:tcW w:w="128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shd w:val="clear" w:color="auto" w:fill="3C5896"/>
          </w:tcPr>
          <w:p>
            <w:pPr>
              <w:spacing w:after="0" w:line="20" w:lineRule="exact"/>
              <w:rPr>
                <w:sz w:val="1"/>
                <w:szCs w:val="1"/>
                <w:color w:val="auto"/>
              </w:rPr>
            </w:pPr>
          </w:p>
        </w:tc>
        <w:tc>
          <w:tcPr>
            <w:tcW w:w="1820" w:type="dxa"/>
            <w:vAlign w:val="bottom"/>
            <w:tcBorders>
              <w:right w:val="single" w:sz="8" w:color="3C5896"/>
            </w:tcBorders>
            <w:shd w:val="clear" w:color="auto" w:fill="3C589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-788035</wp:posOffset>
            </wp:positionV>
            <wp:extent cx="582041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44" w:lineRule="exact"/>
        <w:rPr>
          <w:sz w:val="20"/>
          <w:szCs w:val="20"/>
          <w:color w:val="auto"/>
        </w:rPr>
      </w:pPr>
    </w:p>
    <w:p>
      <w:pPr>
        <w:ind w:left="1120" w:hanging="358"/>
        <w:spacing w:after="0" w:line="260" w:lineRule="auto"/>
        <w:tabs>
          <w:tab w:leader="none" w:pos="11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the audit of the Company’s annual financial statements and the quarterly reviews of its financial statements, and assistance with documents filed with the SEC</w:t>
      </w:r>
    </w:p>
    <w:p>
      <w:pPr>
        <w:spacing w:after="0" w:line="44" w:lineRule="exact"/>
        <w:rPr>
          <w:rFonts w:ascii="Arial" w:cs="Arial" w:eastAsia="Arial" w:hAnsi="Arial"/>
          <w:sz w:val="15"/>
          <w:szCs w:val="15"/>
          <w:color w:val="auto"/>
        </w:rPr>
      </w:pPr>
    </w:p>
    <w:p>
      <w:pPr>
        <w:ind w:left="1120" w:hanging="358"/>
        <w:spacing w:after="0"/>
        <w:tabs>
          <w:tab w:leader="none" w:pos="11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aggregate fees for professional services performed in connection with the issuance of comfort letters.</w:t>
      </w:r>
    </w:p>
    <w:p>
      <w:pPr>
        <w:spacing w:after="0" w:line="70" w:lineRule="exact"/>
        <w:rPr>
          <w:rFonts w:ascii="Arial" w:cs="Arial" w:eastAsia="Arial" w:hAnsi="Arial"/>
          <w:sz w:val="15"/>
          <w:szCs w:val="15"/>
          <w:color w:val="auto"/>
        </w:rPr>
      </w:pPr>
    </w:p>
    <w:p>
      <w:pPr>
        <w:ind w:left="1120" w:hanging="358"/>
        <w:spacing w:after="0"/>
        <w:tabs>
          <w:tab w:leader="none" w:pos="11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tax compliance, and tax consultation and planning.</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4" w:lineRule="exact"/>
        <w:rPr>
          <w:sz w:val="20"/>
          <w:szCs w:val="20"/>
          <w:color w:val="auto"/>
        </w:rPr>
      </w:pPr>
    </w:p>
    <w:p>
      <w:pPr>
        <w:jc w:val="both"/>
        <w:ind w:left="760"/>
        <w:spacing w:after="0" w:line="236"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w:t>
      </w:r>
    </w:p>
    <w:p>
      <w:pPr>
        <w:spacing w:after="0" w:line="32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sz w:val="1"/>
          <w:szCs w:val="1"/>
          <w:color w:val="auto"/>
        </w:rPr>
        <w:drawing>
          <wp:inline distT="0" distB="0" distL="0" distR="0">
            <wp:extent cx="299720" cy="23177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99720" cy="231775"/>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FFFFFF"/>
        </w:rPr>
        <w:t>AUDIT COMMITTEE MATTERS</w:t>
      </w:r>
    </w:p>
    <w:p>
      <w:pPr>
        <w:spacing w:after="0" w:line="247"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accounting firm for additional services not contemplated in the original pre-approval categories. In those instances, the audit committee requires specific pre-approval before engaging the independent registered public accounting firm.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68" w:lineRule="auto"/>
        <w:rPr>
          <w:sz w:val="20"/>
          <w:szCs w:val="20"/>
          <w:color w:val="auto"/>
        </w:rPr>
      </w:pPr>
      <w:r>
        <w:rPr>
          <w:rFonts w:ascii="Arial" w:cs="Arial" w:eastAsia="Arial" w:hAnsi="Arial"/>
          <w:sz w:val="17"/>
          <w:szCs w:val="17"/>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90"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104"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January 2, 2021 filed with the SEC.</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Audit Committee</w:t>
      </w:r>
    </w:p>
    <w:p>
      <w:pPr>
        <w:spacing w:after="0" w:line="1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David M. Tehle, Chair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Virginia A. Hepner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Susan S. Johnson</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Naomi Kelman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2955290</wp:posOffset>
            </wp:positionV>
            <wp:extent cx="300355" cy="2400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55</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IMPORTANT INFORMATION ABOUT VOTING AT THE ANNUAL MEETING</w:t>
      </w:r>
    </w:p>
    <w:p>
      <w:pPr>
        <w:spacing w:after="0" w:line="198" w:lineRule="exact"/>
        <w:rPr>
          <w:sz w:val="20"/>
          <w:szCs w:val="20"/>
          <w:color w:val="auto"/>
        </w:rPr>
      </w:pPr>
    </w:p>
    <w:p>
      <w:pPr>
        <w:jc w:val="both"/>
        <w:ind w:left="760" w:right="20"/>
        <w:spacing w:after="0" w:line="268" w:lineRule="auto"/>
        <w:rPr>
          <w:sz w:val="20"/>
          <w:szCs w:val="20"/>
          <w:color w:val="auto"/>
        </w:rPr>
      </w:pPr>
      <w:r>
        <w:rPr>
          <w:rFonts w:ascii="Arial" w:cs="Arial" w:eastAsia="Arial" w:hAnsi="Arial"/>
          <w:sz w:val="32"/>
          <w:szCs w:val="32"/>
          <w:b w:val="1"/>
          <w:bCs w:val="1"/>
          <w:color w:val="auto"/>
        </w:rPr>
        <w:t>IMPORTANT INFORMATION ABOUT VOTING AT THE ANNUAL MEETING</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Annual Meeting will be conducted entirely by means of a virtual meeting format only due to the pandemic and to support the health and safety of our stockholders, associates, directors and officers. While you will not be able to attend the Annual Meeting at a physical location, we are committed to ensuring that stockholders will be afforded the same rights and opportunities to participate as they would at an in-person meeting. You will be able to attend the meeting online, vote your shares electronically and submit questions during the virtual Annual Meeting.</w:t>
      </w:r>
    </w:p>
    <w:p>
      <w:pPr>
        <w:spacing w:after="0" w:line="9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The Annual Meeting will be a virtual meeting only and will be conducted exclusively by webcast. To attend the virtual Annual Meeting, please visit </w:t>
      </w:r>
      <w:r>
        <w:rPr>
          <w:rFonts w:ascii="Arial" w:cs="Arial" w:eastAsia="Arial" w:hAnsi="Arial"/>
          <w:sz w:val="18"/>
          <w:szCs w:val="18"/>
          <w:u w:val="single" w:color="auto"/>
          <w:color w:val="auto"/>
        </w:rPr>
        <w:t>http://www.meetingcenter.io/208004347</w:t>
      </w:r>
      <w:r>
        <w:rPr>
          <w:rFonts w:ascii="Arial" w:cs="Arial" w:eastAsia="Arial" w:hAnsi="Arial"/>
          <w:sz w:val="18"/>
          <w:szCs w:val="18"/>
          <w:color w:val="auto"/>
        </w:rPr>
        <w:t xml:space="preserve"> and enter your control number included on your Notice of Internet Availability of Proxy Materials, proxy card or voting instruction form, and the password EYE2021. The Annual Meeting will begin promptly at 1:00 p.m., Eastern Time, on June 8, 2021. We encourage you to access the Annual Meeting webcast 15 minutes prior to the start time.</w:t>
      </w:r>
    </w:p>
    <w:p>
      <w:pPr>
        <w:spacing w:after="0" w:line="9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During the Annual Meeting, you may vote and submit questions by following the instructions provided on the meeting website. We will endeavor to answer as many questions submitted by stockholders as time permits. We reserve the right to exclude questions regarding topics that are not pertinent to meeting matters or Company business or are inappropriate. Additional information regarding the rules of conduct for the Annual Meeting and other materials, including our list of stockholders, will be available during the Annual Meeting on the meeting website.</w:t>
      </w:r>
    </w:p>
    <w:p>
      <w:pPr>
        <w:spacing w:after="0" w:line="100"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If you encounter technical difficulties accessing the Annual Meeting or during the check-in or meeting time, please call the technical support number that will be posted on the meeting log-in page for assistance. Technical support will be available beginning approximately 15 minutes prior to the start of the Annual Meeting through its conclusion.</w:t>
      </w:r>
    </w:p>
    <w:p>
      <w:pPr>
        <w:spacing w:after="0" w:line="9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Even if you plan to attend and participate in the Annual Meeting, we encourage you to vote your shares in advance using one of the methods described in this proxy statement to ensure your vote will be represented at the Annual Meeting.</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Voting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If at the close of business on April 15, 2021, you were a stockholder of record or held shares through a broker or bank, you may vote your shares during the Annual Meeting.</w:t>
      </w:r>
    </w:p>
    <w:p>
      <w:pPr>
        <w:spacing w:after="0" w:line="90"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Except as set forth below, if you wish to vote in advance of the Annual Meeting using one of the following methods, your vote must be received prior to 11:59 p.m., Eastern Time, on June 7, 2021.</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vote by proxy if you are a stockholder of record: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31750</wp:posOffset>
            </wp:positionV>
            <wp:extent cx="58375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ind w:left="1120" w:hanging="214"/>
        <w:spacing w:after="0"/>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 xml:space="preserve">Go to the website </w:t>
      </w:r>
      <w:r>
        <w:rPr>
          <w:rFonts w:ascii="Arial" w:cs="Arial" w:eastAsia="Arial" w:hAnsi="Arial"/>
          <w:sz w:val="18"/>
          <w:szCs w:val="18"/>
          <w:u w:val="single" w:color="auto"/>
          <w:color w:val="auto"/>
        </w:rPr>
        <w:t>www.investorvote.com/EYE</w:t>
      </w:r>
      <w:r>
        <w:rPr>
          <w:rFonts w:ascii="Arial" w:cs="Arial" w:eastAsia="Arial" w:hAnsi="Arial"/>
          <w:sz w:val="18"/>
          <w:szCs w:val="18"/>
          <w:color w:val="auto"/>
        </w:rPr>
        <w:t xml:space="preserve"> and follow the instructions, 24 hours a day, seven days a week.</w:t>
      </w:r>
    </w:p>
    <w:p>
      <w:pPr>
        <w:spacing w:after="0" w:line="103"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You will need the control number included on your Notice of Internet Availability of Proxy Materials, proxy card or related materials to obtain your records and to create an electronic voting instruction form.</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1120" w:hanging="214"/>
        <w:spacing w:after="0" w:line="246" w:lineRule="auto"/>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color w:val="auto"/>
        </w:rPr>
        <w:t>From a touch-tone telephone, dial 1-800-652-VOTE (8683) and follow the recorded instructions, 24 hours a day, seven days a week.</w:t>
      </w:r>
    </w:p>
    <w:p>
      <w:pPr>
        <w:spacing w:after="0" w:line="88"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color w:val="auto"/>
        </w:rPr>
        <w:t>You will need the control number included on your Notice of Internet Availability of Proxy Materials, proxy card or related materials in order to vote by telephone.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sz w:val="1"/>
          <w:szCs w:val="1"/>
          <w:color w:val="auto"/>
        </w:rPr>
        <w:drawing>
          <wp:inline distT="0" distB="0" distL="0" distR="0">
            <wp:extent cx="299720" cy="24003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FFFFFF"/>
        </w:rPr>
        <w:t>IMPORTANT INFORMATION ABOUT VOTING AT THE ANNUAL MEETING</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ind w:left="1120" w:hanging="214"/>
        <w:spacing w:after="0"/>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Mark your selections on the proxy card.</w:t>
      </w:r>
    </w:p>
    <w:p>
      <w:pPr>
        <w:spacing w:after="0" w:line="103" w:lineRule="exact"/>
        <w:rPr>
          <w:rFonts w:ascii="Arial" w:cs="Arial" w:eastAsia="Arial" w:hAnsi="Arial"/>
          <w:sz w:val="18"/>
          <w:szCs w:val="18"/>
          <w:color w:val="3C5896"/>
        </w:rPr>
      </w:pPr>
    </w:p>
    <w:p>
      <w:pPr>
        <w:ind w:left="1120" w:hanging="214"/>
        <w:spacing w:after="0"/>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Date and sign your name exactly as it appears on your proxy card.</w:t>
      </w:r>
    </w:p>
    <w:p>
      <w:pPr>
        <w:spacing w:after="0" w:line="103" w:lineRule="exact"/>
        <w:rPr>
          <w:rFonts w:ascii="Arial" w:cs="Arial" w:eastAsia="Arial" w:hAnsi="Arial"/>
          <w:sz w:val="18"/>
          <w:szCs w:val="18"/>
          <w:color w:val="3C5896"/>
        </w:rPr>
      </w:pPr>
    </w:p>
    <w:p>
      <w:pPr>
        <w:ind w:left="1120" w:hanging="214"/>
        <w:spacing w:after="0"/>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Mail the proxy card in the enclosed postage-paid envelope provided to you.</w:t>
      </w:r>
    </w:p>
    <w:p>
      <w:pPr>
        <w:spacing w:after="0" w:line="103" w:lineRule="exact"/>
        <w:rPr>
          <w:rFonts w:ascii="Arial" w:cs="Arial" w:eastAsia="Arial" w:hAnsi="Arial"/>
          <w:sz w:val="18"/>
          <w:szCs w:val="18"/>
          <w:color w:val="3C5896"/>
        </w:rPr>
      </w:pPr>
    </w:p>
    <w:p>
      <w:pPr>
        <w:ind w:left="1120" w:right="760" w:hanging="214"/>
        <w:spacing w:after="0" w:line="246" w:lineRule="auto"/>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If you received a Notice of Internet Availability of Proxy Materials and would like to vote in writing, please follow the instructions in the notice to obtain paper proxy materials.</w:t>
      </w:r>
    </w:p>
    <w:p>
      <w:pPr>
        <w:spacing w:after="0" w:line="89"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To vote by proxy if you are a beneficial owner of shares held through a broker, bank or other nominee, you may submit voting instructions to your broker, bank or other nominee. Please refer to information from your broker, bank or other nominee on how to submit voting instructions.</w:t>
      </w:r>
    </w:p>
    <w:p>
      <w:pPr>
        <w:spacing w:after="0" w:line="72" w:lineRule="exact"/>
        <w:rPr>
          <w:sz w:val="20"/>
          <w:szCs w:val="20"/>
          <w:color w:val="auto"/>
        </w:rPr>
      </w:pPr>
    </w:p>
    <w:p>
      <w:pPr>
        <w:jc w:val="both"/>
        <w:ind w:left="760" w:right="760"/>
        <w:spacing w:after="0" w:line="262" w:lineRule="auto"/>
        <w:rPr>
          <w:sz w:val="20"/>
          <w:szCs w:val="20"/>
          <w:color w:val="auto"/>
        </w:rPr>
      </w:pPr>
      <w:r>
        <w:rPr>
          <w:rFonts w:ascii="Arial" w:cs="Arial" w:eastAsia="Arial" w:hAnsi="Arial"/>
          <w:sz w:val="18"/>
          <w:szCs w:val="18"/>
          <w:b w:val="1"/>
          <w:bCs w:val="1"/>
          <w:color w:val="auto"/>
        </w:rPr>
        <w:t>If you are a stockholder of record and you would like to vote in any manner other than online during the virtual Annual Meeting, your vote must be received by 11:59 p.m., Eastern Time, on June 7, 2021 to be counted. If you hold shares through a broker, bank or other nominee, please refer to information from your bank, broker or nominee for voting instructions.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Voting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18"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 xml:space="preserve">If you are a stockholder of record or a beneficial owner of shares held through a broker, bank or other nominee, you may vote online during the Annual Meeting. You will need the control number included on your Notice of Internet Availability of Proxy Materials, proxy card or voting instruction form, and the password EYE2021 to log into the virtual Annual Meeting platform at </w:t>
      </w:r>
      <w:r>
        <w:rPr>
          <w:rFonts w:ascii="Arial" w:cs="Arial" w:eastAsia="Arial" w:hAnsi="Arial"/>
          <w:sz w:val="18"/>
          <w:szCs w:val="18"/>
          <w:u w:val="single" w:color="auto"/>
          <w:color w:val="auto"/>
        </w:rPr>
        <w:t>http://www.meetingcenter.io/208004347</w:t>
      </w:r>
      <w:r>
        <w:rPr>
          <w:rFonts w:ascii="Arial" w:cs="Arial" w:eastAsia="Arial" w:hAnsi="Arial"/>
          <w:sz w:val="18"/>
          <w:szCs w:val="18"/>
          <w:color w:val="auto"/>
        </w:rPr>
        <w:t>. Voting electronically at the Annual Meeting will replace any previous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4442460</wp:posOffset>
            </wp:positionV>
            <wp:extent cx="300355" cy="2400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57</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OTHER INFORMATION FOR STOCKHOLDERS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Stockholder Proposals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If any stockholder wishes to propose a matter for consideration at our 2022 Annual Meeting of Stockholders,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2022 Annual Meeting, a proposal must be received by our Secretary on or before December 31, 2021. Failure to deliver a proposal in accordance with this procedure may result in it not being deemed timely received.</w:t>
      </w:r>
    </w:p>
    <w:p>
      <w:pPr>
        <w:spacing w:after="0" w:line="100"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2022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2022 Annual Meeting, such a proposal must be received on or after February 8, 2022, but not later than March 10, 2022. In the event that the date of the 2022 Annual Meeting is advanced by more than 30 days, or delayed by more than 70 days, from the anniversary date of this year’s Annual Meeting of Stockholders, notice by the stockholder to be timely must be so delivered not earlier than the 120th day prior to the 2022 Annual Meeting and not later than the close of business on the later of the 90th day prior to the 2022 Annual Meeting or the tenth day following the day on which public announcement of the date of the 2022 Annual Meeting is first made. Any such proposal will be considered timely only if it is otherwise in compliance with the requirements set forth in our Bylaws. Notwithstanding the foregoing, if the number of directors to be elected to the Board of Directors at the 2022 Annual Meeting is increased and there is no public announcement by the Company naming all of the nominees for director or specifying the size of the increased Board of Directors at least 100 calendar days prior to the first anniversary of the 2021 Annual Meeting (i.e. prior to February 28, 2022), then notice by a stockholder shall be considered timely, but only with respect to nominees for any new positions created by such increase, if it is received by the Secretary not later than the close of business on 10th calendar day following the day on which such public announcement is first made by the Company. Any such proposal will be considered timely only if it is otherwise in compliance with the requirements set forth in our Bylaws.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45"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our Annual Report on Form 10-K for the fiscal year ended January 2, 2021 by contacting the Secretary, National Vision Holdings, Inc., 2435 Commerce Avenue, Building 2200, Duluth, Georgia 30096 or by telephone at (770) 822-3600.</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4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The Board of Directors does not know of any other matters to be brought before the meeting. If other matters are properly presented, the proxy holders have discretionary authority to vote all proxies in accordance with their best judgment.</w:t>
      </w:r>
    </w:p>
    <w:p>
      <w:pPr>
        <w:spacing w:after="0" w:line="385"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sz w:val="1"/>
          <w:szCs w:val="1"/>
          <w:color w:val="auto"/>
        </w:rPr>
        <w:drawing>
          <wp:inline distT="0" distB="0" distL="0" distR="0">
            <wp:extent cx="299720" cy="24003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15" w:lineRule="exact"/>
        <w:rPr>
          <w:sz w:val="20"/>
          <w:szCs w:val="20"/>
          <w:color w:val="auto"/>
        </w:rPr>
      </w:pPr>
    </w:p>
    <w:p>
      <w:pPr>
        <w:ind w:left="760" w:right="3660"/>
        <w:spacing w:after="0" w:line="412" w:lineRule="auto"/>
        <w:rPr>
          <w:sz w:val="20"/>
          <w:szCs w:val="20"/>
          <w:color w:val="auto"/>
        </w:rPr>
      </w:pPr>
      <w:r>
        <w:rPr>
          <w:rFonts w:ascii="Arial" w:cs="Arial" w:eastAsia="Arial" w:hAnsi="Arial"/>
          <w:sz w:val="22"/>
          <w:szCs w:val="22"/>
          <w:b w:val="1"/>
          <w:bCs w:val="1"/>
          <w:color w:val="3C5896"/>
        </w:rPr>
        <w:t>Questions and Answers About the Annual Meeting and Voting Why am I being provided with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-358775</wp:posOffset>
            </wp:positionV>
            <wp:extent cx="58375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jc w:val="both"/>
        <w:ind w:left="760" w:right="760"/>
        <w:spacing w:after="0"/>
        <w:rPr>
          <w:sz w:val="20"/>
          <w:szCs w:val="20"/>
          <w:color w:val="auto"/>
        </w:rPr>
      </w:pPr>
      <w:r>
        <w:rPr>
          <w:rFonts w:ascii="Arial" w:cs="Arial" w:eastAsia="Arial" w:hAnsi="Arial"/>
          <w:sz w:val="18"/>
          <w:szCs w:val="18"/>
          <w:color w:val="auto"/>
        </w:rPr>
        <w:t>We have delivered these proxy materials to you in connection with the solicitation by the Board of Directors of National Vision Holdings, Inc. of proxies to be voted at our Annual Meeting of Stockholders to be held on June 8, 2021, and at any postponements or adjournments of the Annual Meeting.</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am I voting on?</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five proposals scheduled to be voted on at the Annual Meeting:</w:t>
      </w:r>
    </w:p>
    <w:p>
      <w:pPr>
        <w:spacing w:after="0" w:line="109" w:lineRule="exact"/>
        <w:rPr>
          <w:sz w:val="20"/>
          <w:szCs w:val="20"/>
          <w:color w:val="auto"/>
        </w:rPr>
      </w:pPr>
    </w:p>
    <w:p>
      <w:pPr>
        <w:ind w:left="1120" w:hanging="214"/>
        <w:spacing w:after="0"/>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b w:val="1"/>
          <w:bCs w:val="1"/>
          <w:color w:val="auto"/>
        </w:rPr>
        <w:t>Proposal No. 1</w:t>
      </w:r>
      <w:r>
        <w:rPr>
          <w:rFonts w:ascii="Arial" w:cs="Arial" w:eastAsia="Arial" w:hAnsi="Arial"/>
          <w:sz w:val="18"/>
          <w:szCs w:val="18"/>
          <w:color w:val="auto"/>
        </w:rPr>
        <w:t>: Election of the Class I director nominees listed in this proxy statement.</w:t>
      </w:r>
    </w:p>
    <w:p>
      <w:pPr>
        <w:spacing w:after="0" w:line="76" w:lineRule="exact"/>
        <w:rPr>
          <w:rFonts w:ascii="Arial" w:cs="Arial" w:eastAsia="Arial" w:hAnsi="Arial"/>
          <w:sz w:val="18"/>
          <w:szCs w:val="18"/>
          <w:color w:val="3C5896"/>
        </w:rPr>
      </w:pPr>
    </w:p>
    <w:p>
      <w:pPr>
        <w:ind w:left="1120" w:right="760" w:hanging="214"/>
        <w:spacing w:after="0" w:line="271" w:lineRule="auto"/>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b w:val="1"/>
          <w:bCs w:val="1"/>
          <w:color w:val="auto"/>
        </w:rPr>
        <w:t>Proposal No. 2</w:t>
      </w:r>
      <w:r>
        <w:rPr>
          <w:rFonts w:ascii="Arial" w:cs="Arial" w:eastAsia="Arial" w:hAnsi="Arial"/>
          <w:sz w:val="18"/>
          <w:szCs w:val="18"/>
          <w:color w:val="auto"/>
        </w:rPr>
        <w:t>: Approve an amendment to the certificate of incorporation to eliminate the classified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w:t>
      </w:r>
    </w:p>
    <w:p>
      <w:pPr>
        <w:spacing w:after="0" w:line="32" w:lineRule="exact"/>
        <w:rPr>
          <w:rFonts w:ascii="Arial" w:cs="Arial" w:eastAsia="Arial" w:hAnsi="Arial"/>
          <w:sz w:val="18"/>
          <w:szCs w:val="18"/>
          <w:color w:val="3C5896"/>
        </w:rPr>
      </w:pPr>
    </w:p>
    <w:p>
      <w:pPr>
        <w:ind w:left="1120" w:right="760" w:hanging="214"/>
        <w:spacing w:after="0" w:line="271" w:lineRule="auto"/>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b w:val="1"/>
          <w:bCs w:val="1"/>
          <w:color w:val="auto"/>
        </w:rPr>
        <w:t>Proposal No. 3</w:t>
      </w:r>
      <w:r>
        <w:rPr>
          <w:rFonts w:ascii="Arial" w:cs="Arial" w:eastAsia="Arial" w:hAnsi="Arial"/>
          <w:sz w:val="18"/>
          <w:szCs w:val="18"/>
          <w:color w:val="auto"/>
        </w:rPr>
        <w:t>: Approve an amendment to the certificate of incorporation to eliminate the supermajority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and other obsolete provisions.</w:t>
      </w:r>
    </w:p>
    <w:p>
      <w:pPr>
        <w:spacing w:after="0" w:line="18" w:lineRule="exact"/>
        <w:rPr>
          <w:rFonts w:ascii="Arial" w:cs="Arial" w:eastAsia="Arial" w:hAnsi="Arial"/>
          <w:sz w:val="18"/>
          <w:szCs w:val="18"/>
          <w:color w:val="3C5896"/>
        </w:rPr>
      </w:pPr>
    </w:p>
    <w:p>
      <w:pPr>
        <w:ind w:left="1120" w:right="760" w:hanging="214"/>
        <w:spacing w:after="0" w:line="271" w:lineRule="auto"/>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b w:val="1"/>
          <w:bCs w:val="1"/>
          <w:color w:val="auto"/>
        </w:rPr>
        <w:t>Proposal No. 4</w:t>
      </w:r>
      <w:r>
        <w:rPr>
          <w:rFonts w:ascii="Arial" w:cs="Arial" w:eastAsia="Arial" w:hAnsi="Arial"/>
          <w:sz w:val="18"/>
          <w:szCs w:val="18"/>
          <w:color w:val="auto"/>
        </w:rPr>
        <w:t>: Approval, in a non-binding advisory vote, of the compensation paid to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8" w:lineRule="exact"/>
        <w:rPr>
          <w:rFonts w:ascii="Arial" w:cs="Arial" w:eastAsia="Arial" w:hAnsi="Arial"/>
          <w:sz w:val="18"/>
          <w:szCs w:val="18"/>
          <w:color w:val="3C5896"/>
        </w:rPr>
      </w:pPr>
    </w:p>
    <w:p>
      <w:pPr>
        <w:ind w:left="1120" w:right="760" w:hanging="214"/>
        <w:spacing w:after="0" w:line="271" w:lineRule="auto"/>
        <w:tabs>
          <w:tab w:leader="none" w:pos="1120" w:val="left"/>
        </w:tabs>
        <w:numPr>
          <w:ilvl w:val="0"/>
          <w:numId w:val="57"/>
        </w:numPr>
        <w:rPr>
          <w:rFonts w:ascii="Arial" w:cs="Arial" w:eastAsia="Arial" w:hAnsi="Arial"/>
          <w:sz w:val="18"/>
          <w:szCs w:val="18"/>
          <w:color w:val="3C5896"/>
        </w:rPr>
      </w:pPr>
      <w:r>
        <w:rPr>
          <w:rFonts w:ascii="Arial" w:cs="Arial" w:eastAsia="Arial" w:hAnsi="Arial"/>
          <w:sz w:val="18"/>
          <w:szCs w:val="18"/>
          <w:b w:val="1"/>
          <w:bCs w:val="1"/>
          <w:color w:val="auto"/>
        </w:rPr>
        <w:t>Proposal No. 5</w:t>
      </w:r>
      <w:r>
        <w:rPr>
          <w:rFonts w:ascii="Arial" w:cs="Arial" w:eastAsia="Arial" w:hAnsi="Arial"/>
          <w:sz w:val="18"/>
          <w:szCs w:val="18"/>
          <w:color w:val="auto"/>
        </w:rPr>
        <w:t>: Ratification of the appointment of Deloitte &amp; Touche LLP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fiscal 2021.</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is entitled to vote?</w:t>
      </w:r>
    </w:p>
    <w:p>
      <w:pPr>
        <w:spacing w:after="0" w:line="130"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Stockholders as of the close of business on April 15, 2021 (the “Record Date”) may vote at the Annual Meeting. As of that date, there were 81,423,974 shares of common stock outstanding. You have one vote for each share of common stock held by you as of the Record Date, including shares:</w:t>
      </w:r>
    </w:p>
    <w:p>
      <w:pPr>
        <w:spacing w:after="0" w:line="95" w:lineRule="exact"/>
        <w:rPr>
          <w:sz w:val="20"/>
          <w:szCs w:val="20"/>
          <w:color w:val="auto"/>
        </w:rPr>
      </w:pPr>
    </w:p>
    <w:p>
      <w:pPr>
        <w:ind w:left="1120" w:hanging="214"/>
        <w:spacing w:after="0"/>
        <w:tabs>
          <w:tab w:leader="none" w:pos="1120" w:val="left"/>
        </w:tabs>
        <w:numPr>
          <w:ilvl w:val="0"/>
          <w:numId w:val="58"/>
        </w:numPr>
        <w:rPr>
          <w:rFonts w:ascii="Arial" w:cs="Arial" w:eastAsia="Arial" w:hAnsi="Arial"/>
          <w:sz w:val="18"/>
          <w:szCs w:val="18"/>
          <w:color w:val="3C5896"/>
        </w:rPr>
      </w:pPr>
      <w:r>
        <w:rPr>
          <w:rFonts w:ascii="Arial" w:cs="Arial" w:eastAsia="Arial" w:hAnsi="Arial"/>
          <w:sz w:val="18"/>
          <w:szCs w:val="18"/>
          <w:color w:val="auto"/>
        </w:rPr>
        <w:t>Held directly in your name as “stockholder of record” (also referred to as “registered stockholder”);</w:t>
      </w:r>
    </w:p>
    <w:p>
      <w:pPr>
        <w:spacing w:after="0" w:line="90" w:lineRule="exact"/>
        <w:rPr>
          <w:rFonts w:ascii="Arial" w:cs="Arial" w:eastAsia="Arial" w:hAnsi="Arial"/>
          <w:sz w:val="18"/>
          <w:szCs w:val="18"/>
          <w:color w:val="3C5896"/>
        </w:rPr>
      </w:pPr>
    </w:p>
    <w:p>
      <w:pPr>
        <w:jc w:val="both"/>
        <w:ind w:left="1120" w:right="760" w:hanging="214"/>
        <w:spacing w:after="0"/>
        <w:tabs>
          <w:tab w:leader="none" w:pos="1120" w:val="left"/>
        </w:tabs>
        <w:numPr>
          <w:ilvl w:val="0"/>
          <w:numId w:val="58"/>
        </w:numPr>
        <w:rPr>
          <w:rFonts w:ascii="Arial" w:cs="Arial" w:eastAsia="Arial" w:hAnsi="Arial"/>
          <w:sz w:val="18"/>
          <w:szCs w:val="18"/>
          <w:color w:val="3C5896"/>
        </w:rPr>
      </w:pPr>
      <w:r>
        <w:rPr>
          <w:rFonts w:ascii="Arial" w:cs="Arial" w:eastAsia="Arial" w:hAnsi="Arial"/>
          <w:sz w:val="18"/>
          <w:szCs w:val="18"/>
          <w:color w:val="auto"/>
        </w:rPr>
        <w:t>Held for you in an account with a broker, bank or other nominee (shares held in “street name”)—Street name holders generally cannot vote their shares directly and instead must instruct the brokerage firm, bank or nominee how to vote their shares; and</w:t>
      </w:r>
    </w:p>
    <w:p>
      <w:pPr>
        <w:spacing w:after="0" w:line="67" w:lineRule="exact"/>
        <w:rPr>
          <w:rFonts w:ascii="Arial" w:cs="Arial" w:eastAsia="Arial" w:hAnsi="Arial"/>
          <w:sz w:val="18"/>
          <w:szCs w:val="18"/>
          <w:color w:val="3C5896"/>
        </w:rPr>
      </w:pPr>
    </w:p>
    <w:p>
      <w:pPr>
        <w:ind w:left="1120" w:hanging="214"/>
        <w:spacing w:after="0"/>
        <w:tabs>
          <w:tab w:leader="none" w:pos="1120" w:val="left"/>
        </w:tabs>
        <w:numPr>
          <w:ilvl w:val="0"/>
          <w:numId w:val="58"/>
        </w:numPr>
        <w:rPr>
          <w:rFonts w:ascii="Arial" w:cs="Arial" w:eastAsia="Arial" w:hAnsi="Arial"/>
          <w:sz w:val="18"/>
          <w:szCs w:val="18"/>
          <w:color w:val="3C5896"/>
        </w:rPr>
      </w:pPr>
      <w:r>
        <w:rPr>
          <w:rFonts w:ascii="Arial" w:cs="Arial" w:eastAsia="Arial" w:hAnsi="Arial"/>
          <w:sz w:val="18"/>
          <w:szCs w:val="18"/>
          <w:color w:val="auto"/>
        </w:rPr>
        <w:t>Held for you by us as restricted securities under either our 2014 Stock Plan or our 2017 Omnibus Plan.</w:t>
      </w:r>
    </w:p>
    <w:p>
      <w:pPr>
        <w:spacing w:after="0" w:line="139" w:lineRule="exact"/>
        <w:rPr>
          <w:sz w:val="20"/>
          <w:szCs w:val="20"/>
          <w:color w:val="auto"/>
        </w:rPr>
      </w:pPr>
    </w:p>
    <w:p>
      <w:pPr>
        <w:ind w:left="760" w:right="800"/>
        <w:spacing w:after="0" w:line="261" w:lineRule="auto"/>
        <w:rPr>
          <w:sz w:val="20"/>
          <w:szCs w:val="20"/>
          <w:color w:val="auto"/>
        </w:rPr>
      </w:pPr>
      <w:r>
        <w:rPr>
          <w:rFonts w:ascii="Arial" w:cs="Arial" w:eastAsia="Arial" w:hAnsi="Arial"/>
          <w:sz w:val="22"/>
          <w:szCs w:val="22"/>
          <w:b w:val="1"/>
          <w:bCs w:val="1"/>
          <w:color w:val="3C5896"/>
        </w:rPr>
        <w:t>Important Notice Regarding the Availability of Proxy Materials for the Stockholder Meeting to be held on Tuesday, June 8, 2021</w:t>
      </w:r>
    </w:p>
    <w:p>
      <w:pPr>
        <w:spacing w:after="0" w:line="75" w:lineRule="exact"/>
        <w:rPr>
          <w:sz w:val="20"/>
          <w:szCs w:val="20"/>
          <w:color w:val="auto"/>
        </w:rPr>
      </w:pPr>
    </w:p>
    <w:p>
      <w:pPr>
        <w:jc w:val="both"/>
        <w:ind w:left="760" w:right="760"/>
        <w:spacing w:after="0" w:line="246" w:lineRule="auto"/>
        <w:rPr>
          <w:sz w:val="20"/>
          <w:szCs w:val="20"/>
          <w:color w:val="auto"/>
        </w:rPr>
      </w:pPr>
      <w:r>
        <w:rPr>
          <w:rFonts w:ascii="Arial" w:cs="Arial" w:eastAsia="Arial" w:hAnsi="Arial"/>
          <w:sz w:val="18"/>
          <w:szCs w:val="18"/>
          <w:color w:val="auto"/>
        </w:rPr>
        <w:t xml:space="preserve">This Proxy Statement and our Annual Report on Form 10-K for the year ended January 2, 2021 are available free of charge at </w:t>
      </w:r>
      <w:r>
        <w:rPr>
          <w:rFonts w:ascii="Arial" w:cs="Arial" w:eastAsia="Arial" w:hAnsi="Arial"/>
          <w:sz w:val="18"/>
          <w:szCs w:val="18"/>
          <w:i w:val="1"/>
          <w:iCs w:val="1"/>
          <w:u w:val="single" w:color="auto"/>
          <w:color w:val="auto"/>
        </w:rPr>
        <w:t>www.edocumentview.com/EYE</w:t>
      </w:r>
      <w:r>
        <w:rPr>
          <w:rFonts w:ascii="Arial" w:cs="Arial" w:eastAsia="Arial" w:hAnsi="Arial"/>
          <w:sz w:val="18"/>
          <w:szCs w:val="18"/>
          <w:color w:val="auto"/>
        </w:rPr>
        <w: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constitutes a quorum?</w:t>
      </w:r>
    </w:p>
    <w:p>
      <w:pPr>
        <w:spacing w:after="0" w:line="130"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The holders of record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is a “broker non-vote”?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broker non-vote occurs when shares held through a broker are not voted with respect to a proposal because</w:t>
      </w:r>
    </w:p>
    <w:p>
      <w:pPr>
        <w:jc w:val="both"/>
        <w:ind w:left="760" w:right="760" w:firstLine="2"/>
        <w:spacing w:after="0" w:line="238" w:lineRule="auto"/>
        <w:tabs>
          <w:tab w:leader="none" w:pos="10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broker has not received voting instructions from the stockholder who beneficially owns the shares and (2) the broker lacks the authority to vote the shares at its discretion. Proposal Nos. 1, 2, 3 and 4 are considered non-routine matters, and a broker will lack the authority to vote uninstructed shares at their discretion on such proposals. Proposal No. 5 is considered a routine matter, and a broker will be permitted to exercise its discretion to vote uninstructed shares on this proposal.</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many votes are required to approve each proposal?</w:t>
      </w:r>
    </w:p>
    <w:p>
      <w:pPr>
        <w:spacing w:after="0" w:line="130" w:lineRule="exact"/>
        <w:rPr>
          <w:sz w:val="20"/>
          <w:szCs w:val="20"/>
          <w:color w:val="auto"/>
        </w:rPr>
      </w:pPr>
    </w:p>
    <w:p>
      <w:pPr>
        <w:ind w:left="760" w:right="760"/>
        <w:spacing w:after="0" w:line="246" w:lineRule="auto"/>
        <w:rPr>
          <w:sz w:val="20"/>
          <w:szCs w:val="20"/>
          <w:color w:val="auto"/>
        </w:rPr>
      </w:pPr>
      <w:r>
        <w:rPr>
          <w:rFonts w:ascii="Arial" w:cs="Arial" w:eastAsia="Arial" w:hAnsi="Arial"/>
          <w:sz w:val="18"/>
          <w:szCs w:val="18"/>
          <w:color w:val="auto"/>
        </w:rPr>
        <w:t>Under our Bylaws, directors are elected by a plurality of the votes cast in respect of the shares present in person or represented by proxy at the Annual Meeting and entitled to vote on such election, which means that the 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211455</wp:posOffset>
            </wp:positionV>
            <wp:extent cx="300355" cy="2400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59</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47"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director nominees with the greatest number of votes cast, even if less than a majority, will be elected until all positions in Class I of the Board have been filled. There is no cumulative voting.</w:t>
      </w:r>
    </w:p>
    <w:p>
      <w:pPr>
        <w:spacing w:after="0" w:line="90" w:lineRule="exact"/>
        <w:rPr>
          <w:sz w:val="20"/>
          <w:szCs w:val="20"/>
          <w:color w:val="auto"/>
        </w:rPr>
      </w:pPr>
    </w:p>
    <w:p>
      <w:pPr>
        <w:jc w:val="both"/>
        <w:ind w:left="760"/>
        <w:spacing w:after="0" w:line="226" w:lineRule="auto"/>
        <w:rPr>
          <w:sz w:val="20"/>
          <w:szCs w:val="20"/>
          <w:color w:val="auto"/>
        </w:rPr>
      </w:pPr>
      <w:r>
        <w:rPr>
          <w:rFonts w:ascii="Arial" w:cs="Arial" w:eastAsia="Arial" w:hAnsi="Arial"/>
          <w:sz w:val="18"/>
          <w:szCs w:val="18"/>
          <w:color w:val="auto"/>
        </w:rPr>
        <w:t>For proposals 2 and 3 being considered at the Annual Meeting, under our certificate of incorporation, approval of the proposal requires the votes of the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all the then-outstanding shares of the stock of the Company entitled to vote on such proposal.</w:t>
      </w:r>
    </w:p>
    <w:p>
      <w:pPr>
        <w:spacing w:after="0" w:line="10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For proposals 4 and 5 being considered at the Annual Meeting, under our Bylaws, approval of the proposal requires the vote of the holders of a majority of the voting power of the shares of stock present in person or represented by proxy at the Annual Meeting and entitled to vote on such proposal. While Proposal No. 4, the vote on executive compensation, is advisory in nature and non-binding, the Board will review the voting results and expects to take them into consideration when making future decisions regarding executive compensation.</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are votes counted?</w:t>
      </w:r>
    </w:p>
    <w:p>
      <w:pPr>
        <w:spacing w:after="0" w:line="130"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With respect to the election of directors (Proposal No. 1), you may vote “FOR” or “WITHHOLD” with respect to the nominees. Votes that are “withheld” will have the same effect as an abstention and will not count as a vote “FOR” or “AGAINST” a director because directors are elected by plurality voting. Broker non-votes will have no effect on the outcome of Proposal No. 1.</w:t>
      </w:r>
    </w:p>
    <w:p>
      <w:pPr>
        <w:spacing w:after="0" w:line="9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With respect to the approval of the certificate of incorporation amendments to eliminate the classified structure of the Board (Proposal No. 2) and to eliminate the supermajority voting standards and other obsolete provisions (Proposal No. 3), ratification of our independent registered public accounting firm (Proposal No. 5) and the advisory vote to approve the compensation of our named executive officers (Proposal No. 4), you may vote “FOR,” “AGAINST” or “ABSTAIN.” For each of Proposal Nos. 2, 3, 4 and 5, abstentions will have the effect of a vote “against” the proposal. For Proposal No. 4, broker non-votes will have no effect on the outcome of the proposal.</w:t>
      </w:r>
    </w:p>
    <w:p>
      <w:pPr>
        <w:spacing w:after="0" w:line="100"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If you just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does the Board recommend that I vote?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recommends that you vote your shares:</w:t>
      </w:r>
    </w:p>
    <w:p>
      <w:pPr>
        <w:spacing w:after="0" w:line="117" w:lineRule="exact"/>
        <w:rPr>
          <w:sz w:val="20"/>
          <w:szCs w:val="20"/>
          <w:color w:val="auto"/>
        </w:rPr>
      </w:pPr>
    </w:p>
    <w:p>
      <w:pPr>
        <w:ind w:left="1120" w:hanging="214"/>
        <w:spacing w:after="0"/>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“FOR” the director nominees set forth in this proxy statement.</w:t>
      </w:r>
    </w:p>
    <w:p>
      <w:pPr>
        <w:spacing w:after="0" w:line="117"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“FOR” the approval of an amendment to the certificate of incorporation to eliminate the classified structure of the board of directors.</w:t>
      </w:r>
    </w:p>
    <w:p>
      <w:pPr>
        <w:spacing w:after="0" w:line="88"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“FOR” the approval an amendment to the certificate of incorporation to eliminate supermajority voting standards and other obsolete provisions.</w:t>
      </w:r>
    </w:p>
    <w:p>
      <w:pPr>
        <w:spacing w:after="0" w:line="88" w:lineRule="exact"/>
        <w:rPr>
          <w:rFonts w:ascii="Arial" w:cs="Arial" w:eastAsia="Arial" w:hAnsi="Arial"/>
          <w:sz w:val="18"/>
          <w:szCs w:val="18"/>
          <w:color w:val="3C5896"/>
        </w:rPr>
      </w:pPr>
    </w:p>
    <w:p>
      <w:pPr>
        <w:ind w:left="1120" w:right="20" w:hanging="214"/>
        <w:spacing w:after="0" w:line="246" w:lineRule="auto"/>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“FOR” the approval, on a non-binding, advisory basis, of the compensation paid to our named executive officers.</w:t>
      </w:r>
    </w:p>
    <w:p>
      <w:pPr>
        <w:spacing w:after="0" w:line="88" w:lineRule="exact"/>
        <w:rPr>
          <w:rFonts w:ascii="Arial" w:cs="Arial" w:eastAsia="Arial" w:hAnsi="Arial"/>
          <w:sz w:val="18"/>
          <w:szCs w:val="18"/>
          <w:color w:val="3C5896"/>
        </w:rPr>
      </w:pPr>
    </w:p>
    <w:p>
      <w:pPr>
        <w:ind w:left="1120" w:hanging="214"/>
        <w:spacing w:after="0" w:line="246" w:lineRule="auto"/>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“FOR” the ratification of the appointment of Deloitte &amp; Touche LLP as our independent registered public accounting firm for fiscal 2021.</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count the vote?</w:t>
      </w:r>
    </w:p>
    <w:p>
      <w:pPr>
        <w:spacing w:after="0" w:line="130" w:lineRule="exact"/>
        <w:rPr>
          <w:sz w:val="20"/>
          <w:szCs w:val="20"/>
          <w:color w:val="auto"/>
        </w:rPr>
      </w:pPr>
    </w:p>
    <w:p>
      <w:pPr>
        <w:ind w:left="760" w:right="20"/>
        <w:spacing w:after="0" w:line="261" w:lineRule="auto"/>
        <w:rPr>
          <w:sz w:val="20"/>
          <w:szCs w:val="20"/>
          <w:color w:val="auto"/>
        </w:rPr>
      </w:pPr>
      <w:r>
        <w:rPr>
          <w:rFonts w:ascii="Arial" w:cs="Arial" w:eastAsia="Arial" w:hAnsi="Arial"/>
          <w:sz w:val="18"/>
          <w:szCs w:val="18"/>
          <w:color w:val="auto"/>
        </w:rPr>
        <w:t>Representatives of Computershare Trust Company, N.A., our transfer agent, will tabulate the votes and act as inspectors of election.</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 I vote my shares without attending the Annual Meeting?</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If you are a stockholder of record, you may vote by authorizing a proxy to vote on your behalf at the Annual Meeting.</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Specifically, you may authorize a proxy:</w:t>
      </w:r>
    </w:p>
    <w:p>
      <w:pPr>
        <w:spacing w:after="0" w:line="113" w:lineRule="exact"/>
        <w:rPr>
          <w:sz w:val="20"/>
          <w:szCs w:val="20"/>
          <w:color w:val="auto"/>
        </w:rPr>
      </w:pPr>
    </w:p>
    <w:p>
      <w:pPr>
        <w:jc w:val="both"/>
        <w:ind w:left="1120" w:hanging="214"/>
        <w:spacing w:after="0" w:line="245" w:lineRule="auto"/>
        <w:tabs>
          <w:tab w:leader="none" w:pos="1120" w:val="left"/>
        </w:tabs>
        <w:numPr>
          <w:ilvl w:val="0"/>
          <w:numId w:val="61"/>
        </w:numPr>
        <w:rPr>
          <w:rFonts w:ascii="Arial" w:cs="Arial" w:eastAsia="Arial" w:hAnsi="Arial"/>
          <w:sz w:val="18"/>
          <w:szCs w:val="18"/>
          <w:color w:val="3C5896"/>
        </w:rPr>
      </w:pPr>
      <w:r>
        <w:rPr>
          <w:rFonts w:ascii="Arial" w:cs="Arial" w:eastAsia="Arial" w:hAnsi="Arial"/>
          <w:sz w:val="18"/>
          <w:szCs w:val="18"/>
          <w:i w:val="1"/>
          <w:iCs w:val="1"/>
          <w:color w:val="auto"/>
        </w:rPr>
        <w:t>By Internet—</w:t>
      </w:r>
      <w:r>
        <w:rPr>
          <w:rFonts w:ascii="Arial" w:cs="Arial" w:eastAsia="Arial" w:hAnsi="Arial"/>
          <w:sz w:val="18"/>
          <w:szCs w:val="18"/>
          <w:color w:val="auto"/>
        </w:rPr>
        <w:t>If you have Internet access, you may submit your proxy by going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www.investorvote.com/EYE</w:t>
      </w:r>
      <w:r>
        <w:rPr>
          <w:rFonts w:ascii="Arial" w:cs="Arial" w:eastAsia="Arial" w:hAnsi="Arial"/>
          <w:sz w:val="18"/>
          <w:szCs w:val="18"/>
          <w:i w:val="1"/>
          <w:iCs w:val="1"/>
          <w:color w:val="auto"/>
        </w:rPr>
        <w:t xml:space="preserve"> </w:t>
      </w:r>
      <w:r>
        <w:rPr>
          <w:rFonts w:ascii="Arial" w:cs="Arial" w:eastAsia="Arial" w:hAnsi="Arial"/>
          <w:sz w:val="18"/>
          <w:szCs w:val="18"/>
          <w:color w:val="auto"/>
        </w:rPr>
        <w:t>and by following the instructions on how to complete an electronic proxy card. You will need the control number included on your Notice of Internet Availability of Proxy Materials, proxy card or related materials in order to vote by Internet.</w:t>
      </w:r>
    </w:p>
    <w:p>
      <w:pPr>
        <w:spacing w:after="0" w:line="30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sz w:val="1"/>
          <w:szCs w:val="1"/>
          <w:color w:val="auto"/>
        </w:rPr>
        <w:drawing>
          <wp:inline distT="0" distB="0" distL="0" distR="0">
            <wp:extent cx="299720" cy="24003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29" w:lineRule="exact"/>
        <w:rPr>
          <w:sz w:val="20"/>
          <w:szCs w:val="20"/>
          <w:color w:val="auto"/>
        </w:rPr>
      </w:pPr>
    </w:p>
    <w:p>
      <w:pPr>
        <w:jc w:val="both"/>
        <w:ind w:left="1120" w:right="760" w:hanging="214"/>
        <w:spacing w:after="0" w:line="250" w:lineRule="auto"/>
        <w:tabs>
          <w:tab w:leader="none" w:pos="1120" w:val="left"/>
        </w:tabs>
        <w:numPr>
          <w:ilvl w:val="0"/>
          <w:numId w:val="62"/>
        </w:numPr>
        <w:rPr>
          <w:rFonts w:ascii="Arial" w:cs="Arial" w:eastAsia="Arial" w:hAnsi="Arial"/>
          <w:sz w:val="18"/>
          <w:szCs w:val="18"/>
          <w:color w:val="3C5896"/>
        </w:rPr>
      </w:pPr>
      <w:r>
        <w:rPr>
          <w:rFonts w:ascii="Arial" w:cs="Arial" w:eastAsia="Arial" w:hAnsi="Arial"/>
          <w:sz w:val="18"/>
          <w:szCs w:val="18"/>
          <w:i w:val="1"/>
          <w:iCs w:val="1"/>
          <w:color w:val="auto"/>
        </w:rPr>
        <w:t>By Telephone—</w:t>
      </w:r>
      <w:r>
        <w:rPr>
          <w:rFonts w:ascii="Arial" w:cs="Arial" w:eastAsia="Arial" w:hAnsi="Arial"/>
          <w:sz w:val="18"/>
          <w:szCs w:val="18"/>
          <w:color w:val="auto"/>
        </w:rPr>
        <w:t>If you have access to a touch-tone telephone, you may submit your proxy by dialing 1-800-652-VOTE (8683) and by following the recorded instructions. You will need the control number included on your notice, proxy card or related materials in order to vote by telephone.</w:t>
      </w:r>
    </w:p>
    <w:p>
      <w:pPr>
        <w:spacing w:after="0" w:line="68" w:lineRule="exact"/>
        <w:rPr>
          <w:rFonts w:ascii="Arial" w:cs="Arial" w:eastAsia="Arial" w:hAnsi="Arial"/>
          <w:sz w:val="18"/>
          <w:szCs w:val="18"/>
          <w:color w:val="3C5896"/>
        </w:rPr>
      </w:pPr>
    </w:p>
    <w:p>
      <w:pPr>
        <w:jc w:val="both"/>
        <w:ind w:left="1120" w:right="760" w:hanging="214"/>
        <w:spacing w:after="0" w:line="242" w:lineRule="auto"/>
        <w:tabs>
          <w:tab w:leader="none" w:pos="1120" w:val="left"/>
        </w:tabs>
        <w:numPr>
          <w:ilvl w:val="0"/>
          <w:numId w:val="62"/>
        </w:numPr>
        <w:rPr>
          <w:rFonts w:ascii="Arial" w:cs="Arial" w:eastAsia="Arial" w:hAnsi="Arial"/>
          <w:sz w:val="18"/>
          <w:szCs w:val="18"/>
          <w:color w:val="3C5896"/>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mail by signing and dating the enclosed proxy card where indicated and by mailing</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73" w:lineRule="exact"/>
        <w:rPr>
          <w:sz w:val="20"/>
          <w:szCs w:val="20"/>
          <w:color w:val="auto"/>
        </w:rPr>
      </w:pPr>
    </w:p>
    <w:p>
      <w:pPr>
        <w:jc w:val="both"/>
        <w:ind w:left="760" w:right="760"/>
        <w:spacing w:after="0" w:line="287" w:lineRule="auto"/>
        <w:rPr>
          <w:sz w:val="20"/>
          <w:szCs w:val="20"/>
          <w:color w:val="auto"/>
        </w:rPr>
      </w:pPr>
      <w:r>
        <w:rPr>
          <w:rFonts w:ascii="Arial" w:cs="Arial" w:eastAsia="Arial" w:hAnsi="Arial"/>
          <w:sz w:val="18"/>
          <w:szCs w:val="18"/>
          <w:b w:val="1"/>
          <w:bCs w:val="1"/>
          <w:i w:val="1"/>
          <w:iCs w:val="1"/>
          <w:color w:val="auto"/>
        </w:rPr>
        <w:t>Internet and telephone voting will close at 11:59 p.m., Eastern Time, on June 7, 2021. Proxy cards with respect to shares held of record must be received no later than June 7, 2021.</w:t>
      </w:r>
    </w:p>
    <w:p>
      <w:pPr>
        <w:spacing w:after="0" w:line="67"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does it mean if I receive more than one proxy card on or about the same time?</w:t>
      </w:r>
    </w:p>
    <w:p>
      <w:pPr>
        <w:spacing w:after="0" w:line="130"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May I change my vote or revoke my proxy?</w:t>
      </w:r>
    </w:p>
    <w:p>
      <w:pPr>
        <w:spacing w:after="0" w:line="130"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Yes. Whether you have voted by Internet, telephone or mail, if you are a stockholder of record, you may change your vote and revoke your proxy by:</w:t>
      </w:r>
    </w:p>
    <w:p>
      <w:pPr>
        <w:spacing w:after="0" w:line="90" w:lineRule="exact"/>
        <w:rPr>
          <w:sz w:val="20"/>
          <w:szCs w:val="20"/>
          <w:color w:val="auto"/>
        </w:rPr>
      </w:pPr>
    </w:p>
    <w:p>
      <w:pPr>
        <w:ind w:left="1120" w:right="760" w:hanging="214"/>
        <w:spacing w:after="0" w:line="246" w:lineRule="auto"/>
        <w:tabs>
          <w:tab w:leader="none" w:pos="1120" w:val="left"/>
        </w:tabs>
        <w:numPr>
          <w:ilvl w:val="0"/>
          <w:numId w:val="63"/>
        </w:numPr>
        <w:rPr>
          <w:rFonts w:ascii="Arial" w:cs="Arial" w:eastAsia="Arial" w:hAnsi="Arial"/>
          <w:sz w:val="18"/>
          <w:szCs w:val="18"/>
          <w:color w:val="3C5896"/>
        </w:rPr>
      </w:pPr>
      <w:r>
        <w:rPr>
          <w:rFonts w:ascii="Arial" w:cs="Arial" w:eastAsia="Arial" w:hAnsi="Arial"/>
          <w:sz w:val="18"/>
          <w:szCs w:val="18"/>
          <w:color w:val="auto"/>
        </w:rPr>
        <w:t>sending a written statement to that effect to our Secretary, provided such statement is received no later than June 7, 2021;</w:t>
      </w:r>
    </w:p>
    <w:p>
      <w:pPr>
        <w:spacing w:after="0" w:line="88" w:lineRule="exact"/>
        <w:rPr>
          <w:rFonts w:ascii="Arial" w:cs="Arial" w:eastAsia="Arial" w:hAnsi="Arial"/>
          <w:sz w:val="18"/>
          <w:szCs w:val="18"/>
          <w:color w:val="3C5896"/>
        </w:rPr>
      </w:pPr>
    </w:p>
    <w:p>
      <w:pPr>
        <w:ind w:left="1120" w:right="760" w:hanging="214"/>
        <w:spacing w:after="0" w:line="246" w:lineRule="auto"/>
        <w:tabs>
          <w:tab w:leader="none" w:pos="1120" w:val="left"/>
        </w:tabs>
        <w:numPr>
          <w:ilvl w:val="0"/>
          <w:numId w:val="63"/>
        </w:numPr>
        <w:rPr>
          <w:rFonts w:ascii="Arial" w:cs="Arial" w:eastAsia="Arial" w:hAnsi="Arial"/>
          <w:sz w:val="18"/>
          <w:szCs w:val="18"/>
          <w:color w:val="3C5896"/>
        </w:rPr>
      </w:pPr>
      <w:r>
        <w:rPr>
          <w:rFonts w:ascii="Arial" w:cs="Arial" w:eastAsia="Arial" w:hAnsi="Arial"/>
          <w:sz w:val="18"/>
          <w:szCs w:val="18"/>
          <w:color w:val="auto"/>
        </w:rPr>
        <w:t>voting by Internet or telephone at a later time than your previous vote and before the closing of those voting facilities at 11:59 p.m., Eastern Time, on June 7, 2021;</w:t>
      </w:r>
    </w:p>
    <w:p>
      <w:pPr>
        <w:spacing w:after="0" w:line="88" w:lineRule="exact"/>
        <w:rPr>
          <w:rFonts w:ascii="Arial" w:cs="Arial" w:eastAsia="Arial" w:hAnsi="Arial"/>
          <w:sz w:val="18"/>
          <w:szCs w:val="18"/>
          <w:color w:val="3C5896"/>
        </w:rPr>
      </w:pPr>
    </w:p>
    <w:p>
      <w:pPr>
        <w:ind w:left="1120" w:right="780" w:hanging="214"/>
        <w:spacing w:after="0" w:line="246" w:lineRule="auto"/>
        <w:tabs>
          <w:tab w:leader="none" w:pos="1120" w:val="left"/>
        </w:tabs>
        <w:numPr>
          <w:ilvl w:val="0"/>
          <w:numId w:val="63"/>
        </w:numPr>
        <w:rPr>
          <w:rFonts w:ascii="Arial" w:cs="Arial" w:eastAsia="Arial" w:hAnsi="Arial"/>
          <w:sz w:val="18"/>
          <w:szCs w:val="18"/>
          <w:color w:val="3C5896"/>
        </w:rPr>
      </w:pPr>
      <w:r>
        <w:rPr>
          <w:rFonts w:ascii="Arial" w:cs="Arial" w:eastAsia="Arial" w:hAnsi="Arial"/>
          <w:sz w:val="18"/>
          <w:szCs w:val="18"/>
          <w:color w:val="auto"/>
        </w:rPr>
        <w:t>submitting a properly signed proxy card, which has a later date than your previous vote, and that is received no later than June 7, 2021; or</w:t>
      </w:r>
    </w:p>
    <w:p>
      <w:pPr>
        <w:spacing w:after="0" w:line="88" w:lineRule="exact"/>
        <w:rPr>
          <w:rFonts w:ascii="Arial" w:cs="Arial" w:eastAsia="Arial" w:hAnsi="Arial"/>
          <w:sz w:val="18"/>
          <w:szCs w:val="18"/>
          <w:color w:val="3C5896"/>
        </w:rPr>
      </w:pPr>
    </w:p>
    <w:p>
      <w:pPr>
        <w:ind w:left="1120" w:hanging="214"/>
        <w:spacing w:after="0"/>
        <w:tabs>
          <w:tab w:leader="none" w:pos="1120" w:val="left"/>
        </w:tabs>
        <w:numPr>
          <w:ilvl w:val="0"/>
          <w:numId w:val="63"/>
        </w:numPr>
        <w:rPr>
          <w:rFonts w:ascii="Arial" w:cs="Arial" w:eastAsia="Arial" w:hAnsi="Arial"/>
          <w:sz w:val="18"/>
          <w:szCs w:val="18"/>
          <w:color w:val="3C5896"/>
        </w:rPr>
      </w:pPr>
      <w:r>
        <w:rPr>
          <w:rFonts w:ascii="Arial" w:cs="Arial" w:eastAsia="Arial" w:hAnsi="Arial"/>
          <w:sz w:val="18"/>
          <w:szCs w:val="18"/>
          <w:color w:val="auto"/>
        </w:rPr>
        <w:t>attending the virtual Annual Meeting and voting online during the meeting.</w:t>
      </w:r>
    </w:p>
    <w:p>
      <w:pPr>
        <w:spacing w:after="0" w:line="104"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If you hold shares in street name, please refer to information from your bank, broker or other nominee on how to revoke or submit new voting instructions.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Could other matters be decided at the Annual Meeting?</w:t>
      </w:r>
    </w:p>
    <w:p>
      <w:pPr>
        <w:spacing w:after="0" w:line="130"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pay for the cost of this proxy solicitation?</w:t>
      </w:r>
    </w:p>
    <w:p>
      <w:pPr>
        <w:spacing w:after="0" w:line="130"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We have also retained Alliance Advisors, LLC to aid in the solicitation of proxies for an estimated fee of $22,000 plus expenses. Brokers and other nominees will be requested to solicit proxies or authorizations from beneficial owners and will be reimbursed for their reasonable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1082040</wp:posOffset>
            </wp:positionV>
            <wp:extent cx="300355" cy="2400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61</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15" w:lineRule="exact"/>
        <w:rPr>
          <w:sz w:val="20"/>
          <w:szCs w:val="20"/>
          <w:color w:val="auto"/>
        </w:rPr>
      </w:pPr>
    </w:p>
    <w:p>
      <w:pPr>
        <w:ind w:left="760" w:right="160"/>
        <w:spacing w:after="0" w:line="261" w:lineRule="auto"/>
        <w:rPr>
          <w:sz w:val="20"/>
          <w:szCs w:val="20"/>
          <w:color w:val="auto"/>
        </w:rPr>
      </w:pPr>
      <w:r>
        <w:rPr>
          <w:rFonts w:ascii="Arial" w:cs="Arial" w:eastAsia="Arial" w:hAnsi="Arial"/>
          <w:sz w:val="22"/>
          <w:szCs w:val="22"/>
          <w:b w:val="1"/>
          <w:bCs w:val="1"/>
          <w:color w:val="3C5896"/>
        </w:rPr>
        <w:t>How can I view copies of the Company’s corporate documents and SEC filings, including the Proxy Statement and Annual Report?</w:t>
      </w:r>
    </w:p>
    <w:p>
      <w:pPr>
        <w:spacing w:after="0" w:line="75"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 xml:space="preserve">Our website contains the Company’s Certificate of Incorporation, Bylaws, Corporate Governance Guidelines, Committee Charters, Code of Conduct and the Company’s SEC filings. To view these documents, go to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 xml:space="preserve"> and click on “Investors.” Copies of our Annual Report on Form 10-K for the year ended January 2, 2021 are also available without charge to stockholders upon written request addressed to:</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Building 2200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Duluth, Georgia 30096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sz w:val="1"/>
          <w:szCs w:val="1"/>
          <w:color w:val="auto"/>
        </w:rPr>
        <w:drawing>
          <wp:inline distT="0" distB="0" distL="0" distR="0">
            <wp:extent cx="299720" cy="24003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A</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APPENDIX 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40005</wp:posOffset>
            </wp:positionV>
            <wp:extent cx="58375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4" w:lineRule="exact"/>
        <w:rPr>
          <w:sz w:val="20"/>
          <w:szCs w:val="20"/>
          <w:color w:val="auto"/>
        </w:rPr>
      </w:pPr>
    </w:p>
    <w:p>
      <w:pPr>
        <w:jc w:val="both"/>
        <w:ind w:left="760" w:right="760"/>
        <w:spacing w:after="0" w:line="267" w:lineRule="auto"/>
        <w:rPr>
          <w:sz w:val="20"/>
          <w:szCs w:val="20"/>
          <w:color w:val="auto"/>
        </w:rPr>
      </w:pPr>
      <w:r>
        <w:rPr>
          <w:rFonts w:ascii="Arial" w:cs="Arial" w:eastAsia="Arial" w:hAnsi="Arial"/>
          <w:sz w:val="17"/>
          <w:szCs w:val="17"/>
          <w:color w:val="auto"/>
        </w:rPr>
        <w:t xml:space="preserve">The Proxy Statement Summary and Compensation Discussion and Analysis sections of our proxy statement contain Non-GAAP financial measures within the meaning of Regulation G promulgated by the SEC. The Company uses certain Non-GAAP financial measures to supplement the Company’s financial information presented in accordance with GAAP and aid understanding of the Company’s business performance.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For additional details regarding our Non-GAAP financial measures below, see the Company’s Current Report on Form 8-K filed with the SEC on March 3, 2021. This information is also available in the investors section of the Company’s website, </w:t>
      </w:r>
      <w:r>
        <w:rPr>
          <w:rFonts w:ascii="Arial" w:cs="Arial" w:eastAsia="Arial" w:hAnsi="Arial"/>
          <w:sz w:val="17"/>
          <w:szCs w:val="17"/>
          <w:u w:val="single" w:color="auto"/>
          <w:color w:val="auto"/>
        </w:rPr>
        <w:t>www.nationalvision.com</w:t>
      </w:r>
      <w:r>
        <w:rPr>
          <w:rFonts w:ascii="Arial" w:cs="Arial" w:eastAsia="Arial" w:hAnsi="Arial"/>
          <w:sz w:val="17"/>
          <w:szCs w:val="17"/>
          <w:color w:val="auto"/>
        </w:rPr>
        <w:t>.</w:t>
      </w:r>
    </w:p>
    <w:p>
      <w:pPr>
        <w:spacing w:after="0" w:line="92"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We define Adjusted Operating Income as net income, plus interest expense and income tax provision (benefit), further adjusted to exclude stock compensation expense, debt issuance costs, loss on extinguishment of debt, asset impairment, litigation settlement, secondary offering expenses, management realignment expenses, long-term incentive plan expenses, amortization of acquisition intangibles and other expenses.</w:t>
      </w:r>
    </w:p>
    <w:p>
      <w:pPr>
        <w:spacing w:after="0" w:line="96" w:lineRule="exact"/>
        <w:rPr>
          <w:sz w:val="20"/>
          <w:szCs w:val="20"/>
          <w:color w:val="auto"/>
        </w:rPr>
      </w:pPr>
    </w:p>
    <w:p>
      <w:pPr>
        <w:jc w:val="both"/>
        <w:ind w:left="760" w:right="760"/>
        <w:spacing w:after="0" w:line="254" w:lineRule="auto"/>
        <w:rPr>
          <w:sz w:val="20"/>
          <w:szCs w:val="20"/>
          <w:color w:val="auto"/>
        </w:rPr>
      </w:pPr>
      <w:r>
        <w:rPr>
          <w:rFonts w:ascii="Arial" w:cs="Arial" w:eastAsia="Arial" w:hAnsi="Arial"/>
          <w:sz w:val="18"/>
          <w:szCs w:val="18"/>
          <w:color w:val="auto"/>
        </w:rPr>
        <w:t>We define Adjusted EBITDA as EBITDA (net income, plus interest expense, income tax provision (benefit), and depreciation and amortization), further adjusted to exclude stock compensation expense, debt issuance costs, loss on the extinguishment of debt, asset impairment, litigation settlement, secondary offering expenses, management realignment expenses, long-term incentive plan expenses, and other expenses.</w:t>
      </w:r>
    </w:p>
    <w:p>
      <w:pPr>
        <w:spacing w:after="0" w:line="96" w:lineRule="exact"/>
        <w:rPr>
          <w:sz w:val="20"/>
          <w:szCs w:val="20"/>
          <w:color w:val="auto"/>
        </w:rPr>
      </w:pPr>
    </w:p>
    <w:p>
      <w:pPr>
        <w:jc w:val="both"/>
        <w:ind w:left="760" w:right="760"/>
        <w:spacing w:after="0" w:line="261" w:lineRule="auto"/>
        <w:rPr>
          <w:sz w:val="20"/>
          <w:szCs w:val="20"/>
          <w:color w:val="auto"/>
        </w:rPr>
      </w:pPr>
      <w:r>
        <w:rPr>
          <w:rFonts w:ascii="Arial" w:cs="Arial" w:eastAsia="Arial" w:hAnsi="Arial"/>
          <w:sz w:val="18"/>
          <w:szCs w:val="18"/>
          <w:color w:val="auto"/>
        </w:rPr>
        <w:t>We define STIP Adjusted EBITDA as Adjusted EBITDA, further adjusted to exclude margin on unearned revenue and short-term incentive plan expenses.</w:t>
      </w:r>
    </w:p>
    <w:p>
      <w:pPr>
        <w:spacing w:after="0" w:line="90"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revise our calculation of Adjusted Comparable Store Sales Growth for the temporary closure of our stores to the public as a result of the COVID-19 pandemic.</w:t>
      </w:r>
    </w:p>
    <w:p>
      <w:pPr>
        <w:spacing w:after="0" w:line="101" w:lineRule="exact"/>
        <w:rPr>
          <w:sz w:val="20"/>
          <w:szCs w:val="20"/>
          <w:color w:val="auto"/>
        </w:rPr>
      </w:pPr>
    </w:p>
    <w:p>
      <w:pPr>
        <w:jc w:val="both"/>
        <w:ind w:left="760" w:right="760"/>
        <w:spacing w:after="0" w:line="252" w:lineRule="auto"/>
        <w:rPr>
          <w:sz w:val="20"/>
          <w:szCs w:val="20"/>
          <w:color w:val="auto"/>
        </w:rPr>
      </w:pPr>
      <w:r>
        <w:rPr>
          <w:rFonts w:ascii="Arial" w:cs="Arial" w:eastAsia="Arial" w:hAnsi="Arial"/>
          <w:sz w:val="18"/>
          <w:szCs w:val="18"/>
          <w:color w:val="auto"/>
        </w:rPr>
        <w:t>We define Adjusted Diluted EPS as diluted earnings per share, adjusted for the per share impact of stock compensation expense, debt issuance costs,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of our 2025 notes when not required under GAAP to be added back for diluted earnings per share, losses (gains) on change in fair value of derivatives, other expenses, and tax benefit of stock option exercises, less the tax effect of these adjustments.</w:t>
      </w:r>
    </w:p>
    <w:p>
      <w:pPr>
        <w:spacing w:after="0" w:line="99"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In 2020, we introduced Adjusted Operating Income as a measure of performance we planned to use in addition to Adjusted EBITDA and Adjusted Diluted EPS. We believe Adjusted Operating Income enhance an understanding of our performance by highlighting the results from ongoing operations and the profitability of our business. We continue to evaluate our use of the Company Non-GAAP measures in the context of the development of our business, and may introduce or discontinue certain measures in the future as we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224790</wp:posOffset>
            </wp:positionV>
            <wp:extent cx="300355" cy="2400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63</w:t>
            </w:r>
          </w:p>
        </w:tc>
      </w:tr>
      <w:tr>
        <w:trPr>
          <w:trHeight w:val="418"/>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4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Further, consistent with our presentation of Adjusted Operating Income, we no longer exclude new store pre-opening expenses and non-cash rent from our presentation of Adjusted EBITDA and Adjusted Diluted EPS. New store pre-opening expenses totaled $2.6 million and $3.3 million for the fiscal years 2020 and 2019, respectively; and non-cash rent totaled $2.6 million and $3.2 million for fiscal years 2020 and 2019, respectively. The presentation of Adjusted EBITDA and Adjusted Diluted EPS for the fiscal year end 2019 has been recast to reflect these changes. See our Form 8-K filed with the SEC on February 26, 2020 for more information.</w:t>
      </w:r>
    </w:p>
    <w:p>
      <w:pPr>
        <w:spacing w:after="0" w:line="100"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Adjusted EBITDA, STIP Adjusted EBITDA Adjusted Operating Income, Adjusted Diluted EPS and Adjusted Comparable Store Sales Growth are not recognized terms under GAAP and should not be considered as an alternative to net income or comparable store sales growth as a measure of operating performance, or any other performance measure derived in accordance with GAAP.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sz w:val="1"/>
          <w:szCs w:val="1"/>
          <w:color w:val="auto"/>
        </w:rPr>
        <w:drawing>
          <wp:inline distT="0" distB="0" distL="0" distR="0">
            <wp:extent cx="299720" cy="24003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center"/>
        <w:ind w:right="40"/>
        <w:spacing w:after="0" w:line="261" w:lineRule="auto"/>
        <w:rPr>
          <w:sz w:val="20"/>
          <w:szCs w:val="20"/>
          <w:color w:val="auto"/>
        </w:rPr>
      </w:pPr>
      <w:r>
        <w:rPr>
          <w:rFonts w:ascii="Arial" w:cs="Arial" w:eastAsia="Arial" w:hAnsi="Arial"/>
          <w:sz w:val="18"/>
          <w:szCs w:val="18"/>
          <w:b w:val="1"/>
          <w:bCs w:val="1"/>
          <w:color w:val="auto"/>
        </w:rPr>
        <w:t xml:space="preserve">National Vision Holdings, Inc. and Subsidiaries Reconciliation of GAAP and Non-GAAP Financial Measures For the Fiscal Years Ended January 2, 2021 and December 28, 2019 </w:t>
      </w:r>
      <w:r>
        <w:rPr>
          <w:rFonts w:ascii="Arial" w:cs="Arial" w:eastAsia="Arial" w:hAnsi="Arial"/>
          <w:sz w:val="18"/>
          <w:szCs w:val="18"/>
          <w:i w:val="1"/>
          <w:iCs w:val="1"/>
          <w:color w:val="auto"/>
        </w:rPr>
        <w:t xml:space="preserve">In Thousands, Except Earnings Per Share </w:t>
      </w:r>
      <w:r>
        <w:rPr>
          <w:rFonts w:ascii="Arial" w:cs="Arial" w:eastAsia="Arial" w:hAnsi="Arial"/>
          <w:sz w:val="18"/>
          <w:szCs w:val="18"/>
          <w:b w:val="1"/>
          <w:bCs w:val="1"/>
          <w:color w:val="auto"/>
        </w:rPr>
        <w:t>(Unaudited)</w:t>
      </w:r>
    </w:p>
    <w:p>
      <w:pPr>
        <w:spacing w:after="0" w:line="355" w:lineRule="exact"/>
        <w:rPr>
          <w:sz w:val="20"/>
          <w:szCs w:val="20"/>
          <w:color w:val="auto"/>
        </w:rPr>
      </w:pPr>
    </w:p>
    <w:tbl>
      <w:tblPr>
        <w:tblLayout w:type="fixed"/>
        <w:tblInd w:w="770" w:type="dxa"/>
        <w:tblCellMar>
          <w:top w:w="0" w:type="dxa"/>
          <w:left w:w="0" w:type="dxa"/>
          <w:bottom w:w="0" w:type="dxa"/>
          <w:right w:w="0" w:type="dxa"/>
        </w:tblCellMar>
      </w:tblPr>
      <w:tr>
        <w:trPr>
          <w:trHeight w:val="239"/>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Operating Income to Net income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3C5896"/>
            </w:tcBorders>
          </w:tcPr>
          <w:p>
            <w:pPr>
              <w:spacing w:after="0"/>
              <w:rPr>
                <w:sz w:val="12"/>
                <w:szCs w:val="12"/>
                <w:color w:val="auto"/>
              </w:rPr>
            </w:pPr>
          </w:p>
        </w:tc>
        <w:tc>
          <w:tcPr>
            <w:tcW w:w="5180" w:type="dxa"/>
            <w:vAlign w:val="bottom"/>
            <w:tcBorders>
              <w:bottom w:val="single" w:sz="8" w:color="3C5896"/>
            </w:tcBorders>
          </w:tcPr>
          <w:p>
            <w:pPr>
              <w:spacing w:after="0"/>
              <w:rPr>
                <w:sz w:val="12"/>
                <w:szCs w:val="12"/>
                <w:color w:val="auto"/>
              </w:rPr>
            </w:pPr>
          </w:p>
        </w:tc>
        <w:tc>
          <w:tcPr>
            <w:tcW w:w="100" w:type="dxa"/>
            <w:vAlign w:val="bottom"/>
            <w:tcBorders>
              <w:bottom w:val="single" w:sz="8" w:color="3C5896"/>
            </w:tcBorders>
          </w:tcPr>
          <w:p>
            <w:pPr>
              <w:spacing w:after="0"/>
              <w:rPr>
                <w:sz w:val="12"/>
                <w:szCs w:val="12"/>
                <w:color w:val="auto"/>
              </w:rPr>
            </w:pPr>
          </w:p>
        </w:tc>
        <w:tc>
          <w:tcPr>
            <w:tcW w:w="120" w:type="dxa"/>
            <w:vAlign w:val="bottom"/>
            <w:tcBorders>
              <w:bottom w:val="single" w:sz="8" w:color="3C5896"/>
            </w:tcBorders>
          </w:tcPr>
          <w:p>
            <w:pPr>
              <w:spacing w:after="0"/>
              <w:rPr>
                <w:sz w:val="12"/>
                <w:szCs w:val="12"/>
                <w:color w:val="auto"/>
              </w:rPr>
            </w:pPr>
          </w:p>
        </w:tc>
        <w:tc>
          <w:tcPr>
            <w:tcW w:w="660" w:type="dxa"/>
            <w:vAlign w:val="bottom"/>
            <w:tcBorders>
              <w:bottom w:val="single" w:sz="8" w:color="3C5896"/>
            </w:tcBorders>
          </w:tcPr>
          <w:p>
            <w:pPr>
              <w:spacing w:after="0"/>
              <w:rPr>
                <w:sz w:val="12"/>
                <w:szCs w:val="12"/>
                <w:color w:val="auto"/>
              </w:rPr>
            </w:pPr>
          </w:p>
        </w:tc>
        <w:tc>
          <w:tcPr>
            <w:tcW w:w="120" w:type="dxa"/>
            <w:vAlign w:val="bottom"/>
            <w:tcBorders>
              <w:bottom w:val="single" w:sz="8" w:color="3C5896"/>
            </w:tcBorders>
          </w:tcPr>
          <w:p>
            <w:pPr>
              <w:spacing w:after="0"/>
              <w:rPr>
                <w:sz w:val="12"/>
                <w:szCs w:val="12"/>
                <w:color w:val="auto"/>
              </w:rPr>
            </w:pPr>
          </w:p>
        </w:tc>
        <w:tc>
          <w:tcPr>
            <w:tcW w:w="600" w:type="dxa"/>
            <w:vAlign w:val="bottom"/>
            <w:tcBorders>
              <w:bottom w:val="single" w:sz="8" w:color="3C5896"/>
            </w:tcBorders>
            <w:gridSpan w:val="2"/>
          </w:tcPr>
          <w:p>
            <w:pPr>
              <w:spacing w:after="0"/>
              <w:rPr>
                <w:sz w:val="12"/>
                <w:szCs w:val="12"/>
                <w:color w:val="auto"/>
              </w:rPr>
            </w:pPr>
          </w:p>
        </w:tc>
        <w:tc>
          <w:tcPr>
            <w:tcW w:w="380" w:type="dxa"/>
            <w:vAlign w:val="bottom"/>
            <w:tcBorders>
              <w:bottom w:val="single" w:sz="8" w:color="3C5896"/>
            </w:tcBorders>
          </w:tcPr>
          <w:p>
            <w:pPr>
              <w:spacing w:after="0"/>
              <w:rPr>
                <w:sz w:val="12"/>
                <w:szCs w:val="12"/>
                <w:color w:val="auto"/>
              </w:rPr>
            </w:pPr>
          </w:p>
        </w:tc>
        <w:tc>
          <w:tcPr>
            <w:tcW w:w="100" w:type="dxa"/>
            <w:vAlign w:val="bottom"/>
            <w:tcBorders>
              <w:bottom w:val="single" w:sz="8" w:color="3C5896"/>
            </w:tcBorders>
          </w:tcPr>
          <w:p>
            <w:pPr>
              <w:spacing w:after="0"/>
              <w:rPr>
                <w:sz w:val="12"/>
                <w:szCs w:val="12"/>
                <w:color w:val="auto"/>
              </w:rPr>
            </w:pPr>
          </w:p>
        </w:tc>
        <w:tc>
          <w:tcPr>
            <w:tcW w:w="120" w:type="dxa"/>
            <w:vAlign w:val="bottom"/>
            <w:tcBorders>
              <w:bottom w:val="single" w:sz="8" w:color="3C5896"/>
            </w:tcBorders>
          </w:tcPr>
          <w:p>
            <w:pPr>
              <w:spacing w:after="0"/>
              <w:rPr>
                <w:sz w:val="12"/>
                <w:szCs w:val="12"/>
                <w:color w:val="auto"/>
              </w:rPr>
            </w:pPr>
          </w:p>
        </w:tc>
        <w:tc>
          <w:tcPr>
            <w:tcW w:w="640" w:type="dxa"/>
            <w:vAlign w:val="bottom"/>
            <w:tcBorders>
              <w:bottom w:val="single" w:sz="8" w:color="3C5896"/>
            </w:tcBorders>
          </w:tcPr>
          <w:p>
            <w:pPr>
              <w:spacing w:after="0"/>
              <w:rPr>
                <w:sz w:val="12"/>
                <w:szCs w:val="12"/>
                <w:color w:val="auto"/>
              </w:rPr>
            </w:pPr>
          </w:p>
        </w:tc>
        <w:tc>
          <w:tcPr>
            <w:tcW w:w="140" w:type="dxa"/>
            <w:vAlign w:val="bottom"/>
            <w:tcBorders>
              <w:bottom w:val="single" w:sz="8" w:color="3C5896"/>
            </w:tcBorders>
          </w:tcPr>
          <w:p>
            <w:pPr>
              <w:spacing w:after="0"/>
              <w:rPr>
                <w:sz w:val="12"/>
                <w:szCs w:val="12"/>
                <w:color w:val="auto"/>
              </w:rPr>
            </w:pPr>
          </w:p>
        </w:tc>
        <w:tc>
          <w:tcPr>
            <w:tcW w:w="620" w:type="dxa"/>
            <w:vAlign w:val="bottom"/>
            <w:tcBorders>
              <w:bottom w:val="single" w:sz="8" w:color="3C5896"/>
            </w:tcBorders>
            <w:gridSpan w:val="2"/>
          </w:tcPr>
          <w:p>
            <w:pPr>
              <w:spacing w:after="0"/>
              <w:rPr>
                <w:sz w:val="12"/>
                <w:szCs w:val="12"/>
                <w:color w:val="auto"/>
              </w:rPr>
            </w:pPr>
          </w:p>
        </w:tc>
        <w:tc>
          <w:tcPr>
            <w:tcW w:w="360" w:type="dxa"/>
            <w:vAlign w:val="bottom"/>
            <w:tcBorders>
              <w:bottom w:val="single" w:sz="8" w:color="3C5896"/>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3C5896"/>
            </w:tcBorders>
            <w:shd w:val="clear" w:color="auto" w:fill="3C5896"/>
          </w:tcPr>
          <w:p>
            <w:pPr>
              <w:spacing w:after="0"/>
              <w:rPr>
                <w:sz w:val="16"/>
                <w:szCs w:val="16"/>
                <w:color w:val="auto"/>
              </w:rPr>
            </w:pPr>
          </w:p>
        </w:tc>
        <w:tc>
          <w:tcPr>
            <w:tcW w:w="5180" w:type="dxa"/>
            <w:vAlign w:val="bottom"/>
            <w:tcBorders>
              <w:right w:val="single" w:sz="8" w:color="9EACCA"/>
            </w:tcBorders>
            <w:vMerge w:val="restart"/>
            <w:shd w:val="clear" w:color="auto" w:fill="3C5896"/>
          </w:tcPr>
          <w:p>
            <w:pPr>
              <w:ind w:left="2000"/>
              <w:spacing w:after="0"/>
              <w:rPr>
                <w:sz w:val="20"/>
                <w:szCs w:val="20"/>
                <w:color w:val="auto"/>
              </w:rPr>
            </w:pPr>
            <w:r>
              <w:rPr>
                <w:rFonts w:ascii="Arial" w:cs="Arial" w:eastAsia="Arial" w:hAnsi="Arial"/>
                <w:sz w:val="18"/>
                <w:szCs w:val="18"/>
                <w:b w:val="1"/>
                <w:bCs w:val="1"/>
                <w:color w:val="FFFFFF"/>
              </w:rPr>
              <w:t>In thousands</w:t>
            </w:r>
          </w:p>
        </w:tc>
        <w:tc>
          <w:tcPr>
            <w:tcW w:w="100" w:type="dxa"/>
            <w:vAlign w:val="bottom"/>
            <w:shd w:val="clear" w:color="auto" w:fill="3C5896"/>
          </w:tcPr>
          <w:p>
            <w:pPr>
              <w:spacing w:after="0"/>
              <w:rPr>
                <w:sz w:val="16"/>
                <w:szCs w:val="16"/>
                <w:color w:val="auto"/>
              </w:rPr>
            </w:pPr>
          </w:p>
        </w:tc>
        <w:tc>
          <w:tcPr>
            <w:tcW w:w="120" w:type="dxa"/>
            <w:vAlign w:val="bottom"/>
            <w:shd w:val="clear" w:color="auto" w:fill="3C5896"/>
          </w:tcPr>
          <w:p>
            <w:pPr>
              <w:spacing w:after="0"/>
              <w:rPr>
                <w:sz w:val="16"/>
                <w:szCs w:val="16"/>
                <w:color w:val="auto"/>
              </w:rPr>
            </w:pPr>
          </w:p>
        </w:tc>
        <w:tc>
          <w:tcPr>
            <w:tcW w:w="1760" w:type="dxa"/>
            <w:vAlign w:val="bottom"/>
            <w:tcBorders>
              <w:right w:val="single" w:sz="8" w:color="9EACCA"/>
            </w:tcBorders>
            <w:gridSpan w:val="5"/>
            <w:shd w:val="clear" w:color="auto" w:fill="3C5896"/>
          </w:tcPr>
          <w:p>
            <w:pPr>
              <w:jc w:val="center"/>
              <w:ind w:right="30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100" w:type="dxa"/>
            <w:vAlign w:val="bottom"/>
            <w:shd w:val="clear" w:color="auto" w:fill="3C5896"/>
          </w:tcPr>
          <w:p>
            <w:pPr>
              <w:spacing w:after="0"/>
              <w:rPr>
                <w:sz w:val="16"/>
                <w:szCs w:val="16"/>
                <w:color w:val="auto"/>
              </w:rPr>
            </w:pPr>
          </w:p>
        </w:tc>
        <w:tc>
          <w:tcPr>
            <w:tcW w:w="120" w:type="dxa"/>
            <w:vAlign w:val="bottom"/>
            <w:shd w:val="clear" w:color="auto" w:fill="3C5896"/>
          </w:tcPr>
          <w:p>
            <w:pPr>
              <w:spacing w:after="0"/>
              <w:rPr>
                <w:sz w:val="16"/>
                <w:szCs w:val="16"/>
                <w:color w:val="auto"/>
              </w:rPr>
            </w:pPr>
          </w:p>
        </w:tc>
        <w:tc>
          <w:tcPr>
            <w:tcW w:w="1760" w:type="dxa"/>
            <w:vAlign w:val="bottom"/>
            <w:tcBorders>
              <w:right w:val="single" w:sz="8" w:color="3C5896"/>
            </w:tcBorders>
            <w:gridSpan w:val="5"/>
            <w:shd w:val="clear" w:color="auto" w:fill="3C5896"/>
          </w:tcPr>
          <w:p>
            <w:pPr>
              <w:jc w:val="center"/>
              <w:ind w:right="30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5180" w:type="dxa"/>
            <w:vAlign w:val="bottom"/>
            <w:tcBorders>
              <w:right w:val="single" w:sz="8" w:color="9EACCA"/>
            </w:tcBorders>
            <w:vMerge w:val="continue"/>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120" w:type="dxa"/>
            <w:vAlign w:val="bottom"/>
            <w:gridSpan w:val="3"/>
            <w:shd w:val="clear" w:color="auto" w:fill="3C5896"/>
          </w:tcPr>
          <w:p>
            <w:pPr>
              <w:jc w:val="right"/>
              <w:ind w:right="160"/>
              <w:spacing w:after="0"/>
              <w:rPr>
                <w:sz w:val="20"/>
                <w:szCs w:val="20"/>
                <w:color w:val="auto"/>
              </w:rPr>
            </w:pPr>
            <w:r>
              <w:rPr>
                <w:rFonts w:ascii="Arial" w:cs="Arial" w:eastAsia="Arial" w:hAnsi="Arial"/>
                <w:sz w:val="18"/>
                <w:szCs w:val="18"/>
                <w:b w:val="1"/>
                <w:bCs w:val="1"/>
                <w:color w:val="FFFFFF"/>
              </w:rPr>
              <w:t>2020</w:t>
            </w:r>
          </w:p>
        </w:tc>
        <w:tc>
          <w:tcPr>
            <w:tcW w:w="260" w:type="dxa"/>
            <w:vAlign w:val="bottom"/>
            <w:shd w:val="clear" w:color="auto" w:fill="3C5896"/>
          </w:tcPr>
          <w:p>
            <w:pPr>
              <w:spacing w:after="0"/>
              <w:rPr>
                <w:sz w:val="21"/>
                <w:szCs w:val="21"/>
                <w:color w:val="auto"/>
              </w:rPr>
            </w:pPr>
          </w:p>
        </w:tc>
        <w:tc>
          <w:tcPr>
            <w:tcW w:w="380" w:type="dxa"/>
            <w:vAlign w:val="bottom"/>
            <w:tcBorders>
              <w:right w:val="single" w:sz="8" w:color="9EACCA"/>
            </w:tcBorders>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100" w:type="dxa"/>
            <w:vAlign w:val="bottom"/>
            <w:gridSpan w:val="3"/>
            <w:shd w:val="clear" w:color="auto" w:fill="3C5896"/>
          </w:tcPr>
          <w:p>
            <w:pPr>
              <w:jc w:val="right"/>
              <w:ind w:right="160"/>
              <w:spacing w:after="0"/>
              <w:rPr>
                <w:sz w:val="20"/>
                <w:szCs w:val="20"/>
                <w:color w:val="auto"/>
              </w:rPr>
            </w:pPr>
            <w:r>
              <w:rPr>
                <w:rFonts w:ascii="Arial" w:cs="Arial" w:eastAsia="Arial" w:hAnsi="Arial"/>
                <w:sz w:val="18"/>
                <w:szCs w:val="18"/>
                <w:b w:val="1"/>
                <w:bCs w:val="1"/>
                <w:color w:val="FFFFFF"/>
              </w:rPr>
              <w:t>2019</w:t>
            </w:r>
          </w:p>
        </w:tc>
        <w:tc>
          <w:tcPr>
            <w:tcW w:w="300" w:type="dxa"/>
            <w:vAlign w:val="bottom"/>
            <w:shd w:val="clear" w:color="auto" w:fill="3C5896"/>
          </w:tcPr>
          <w:p>
            <w:pPr>
              <w:spacing w:after="0"/>
              <w:rPr>
                <w:sz w:val="21"/>
                <w:szCs w:val="21"/>
                <w:color w:val="auto"/>
              </w:rPr>
            </w:pPr>
          </w:p>
        </w:tc>
        <w:tc>
          <w:tcPr>
            <w:tcW w:w="36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18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36,277</w:t>
            </w:r>
          </w:p>
        </w:tc>
        <w:tc>
          <w:tcPr>
            <w:tcW w:w="340" w:type="dxa"/>
            <w:vAlign w:val="bottom"/>
          </w:tcPr>
          <w:p>
            <w:pPr>
              <w:spacing w:after="0"/>
              <w:rPr>
                <w:sz w:val="21"/>
                <w:szCs w:val="21"/>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32,798</w:t>
            </w:r>
          </w:p>
        </w:tc>
        <w:tc>
          <w:tcPr>
            <w:tcW w:w="320" w:type="dxa"/>
            <w:vAlign w:val="bottom"/>
          </w:tcPr>
          <w:p>
            <w:pPr>
              <w:spacing w:after="0"/>
              <w:rPr>
                <w:sz w:val="21"/>
                <w:szCs w:val="21"/>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518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48,171</w:t>
            </w:r>
          </w:p>
        </w:tc>
        <w:tc>
          <w:tcPr>
            <w:tcW w:w="340" w:type="dxa"/>
            <w:vAlign w:val="bottom"/>
            <w:shd w:val="clear" w:color="auto" w:fill="CCCCCC"/>
          </w:tcPr>
          <w:p>
            <w:pPr>
              <w:spacing w:after="0"/>
              <w:rPr>
                <w:sz w:val="22"/>
                <w:szCs w:val="22"/>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7"/>
              </w:rPr>
              <w:t>2.8%</w:t>
            </w:r>
          </w:p>
        </w:tc>
        <w:tc>
          <w:tcPr>
            <w:tcW w:w="10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33,300</w:t>
            </w:r>
          </w:p>
        </w:tc>
        <w:tc>
          <w:tcPr>
            <w:tcW w:w="320" w:type="dxa"/>
            <w:vAlign w:val="bottom"/>
            <w:shd w:val="clear" w:color="auto" w:fill="CCCCCC"/>
          </w:tcPr>
          <w:p>
            <w:pPr>
              <w:spacing w:after="0"/>
              <w:rPr>
                <w:sz w:val="22"/>
                <w:szCs w:val="22"/>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18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2,403</w:t>
            </w:r>
          </w:p>
        </w:tc>
        <w:tc>
          <w:tcPr>
            <w:tcW w:w="340" w:type="dxa"/>
            <w:vAlign w:val="bottom"/>
          </w:tcPr>
          <w:p>
            <w:pPr>
              <w:spacing w:after="0"/>
              <w:rPr>
                <w:sz w:val="21"/>
                <w:szCs w:val="21"/>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right w:val="single" w:sz="8" w:color="9EACCA"/>
            </w:tcBorders>
            <w:gridSpan w:val="2"/>
          </w:tcPr>
          <w:p>
            <w:pPr>
              <w:jc w:val="right"/>
              <w:ind w:right="80"/>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21"/>
                <w:szCs w:val="21"/>
                <w:color w:val="auto"/>
              </w:rPr>
            </w:pPr>
          </w:p>
        </w:tc>
        <w:tc>
          <w:tcPr>
            <w:tcW w:w="660" w:type="dxa"/>
            <w:vAlign w:val="bottom"/>
            <w:tcBorders>
              <w:right w:val="single" w:sz="8" w:color="3C5896"/>
            </w:tcBorders>
            <w:gridSpan w:val="2"/>
          </w:tcPr>
          <w:p>
            <w:pPr>
              <w:jc w:val="right"/>
              <w:ind w:right="140"/>
              <w:spacing w:after="0"/>
              <w:rPr>
                <w:sz w:val="20"/>
                <w:szCs w:val="20"/>
                <w:color w:val="auto"/>
              </w:rPr>
            </w:pPr>
            <w:r>
              <w:rPr>
                <w:rFonts w:ascii="Arial" w:cs="Arial" w:eastAsia="Arial" w:hAnsi="Arial"/>
                <w:sz w:val="18"/>
                <w:szCs w:val="18"/>
                <w:color w:val="auto"/>
                <w:w w:val="94"/>
              </w:rPr>
              <w:t>(0.1)%</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18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1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10,740</w:t>
            </w:r>
          </w:p>
        </w:tc>
        <w:tc>
          <w:tcPr>
            <w:tcW w:w="340" w:type="dxa"/>
            <w:vAlign w:val="bottom"/>
            <w:shd w:val="clear" w:color="auto" w:fill="CCCCCC"/>
          </w:tcPr>
          <w:p>
            <w:pPr>
              <w:spacing w:after="0"/>
              <w:rPr>
                <w:sz w:val="24"/>
                <w:szCs w:val="24"/>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7"/>
              </w:rPr>
              <w:t>0.6%</w:t>
            </w:r>
          </w:p>
        </w:tc>
        <w:tc>
          <w:tcPr>
            <w:tcW w:w="1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12,670</w:t>
            </w:r>
          </w:p>
        </w:tc>
        <w:tc>
          <w:tcPr>
            <w:tcW w:w="320" w:type="dxa"/>
            <w:vAlign w:val="bottom"/>
            <w:shd w:val="clear" w:color="auto" w:fill="CCCCCC"/>
          </w:tcPr>
          <w:p>
            <w:pPr>
              <w:spacing w:after="0"/>
              <w:rPr>
                <w:sz w:val="24"/>
                <w:szCs w:val="24"/>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1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(b)</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9,786</w:t>
            </w:r>
          </w:p>
        </w:tc>
        <w:tc>
          <w:tcPr>
            <w:tcW w:w="320" w:type="dxa"/>
            <w:vAlign w:val="bottom"/>
          </w:tcPr>
          <w:p>
            <w:pPr>
              <w:spacing w:after="0"/>
              <w:rPr>
                <w:sz w:val="23"/>
                <w:szCs w:val="23"/>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1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(c)</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22,004</w:t>
            </w:r>
          </w:p>
        </w:tc>
        <w:tc>
          <w:tcPr>
            <w:tcW w:w="340" w:type="dxa"/>
            <w:vAlign w:val="bottom"/>
            <w:shd w:val="clear" w:color="auto" w:fill="CCCCCC"/>
          </w:tcPr>
          <w:p>
            <w:pPr>
              <w:spacing w:after="0"/>
              <w:rPr>
                <w:sz w:val="23"/>
                <w:szCs w:val="23"/>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7"/>
              </w:rPr>
              <w:t>1.3%</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8,894</w:t>
            </w:r>
          </w:p>
        </w:tc>
        <w:tc>
          <w:tcPr>
            <w:tcW w:w="320" w:type="dxa"/>
            <w:vAlign w:val="bottom"/>
            <w:shd w:val="clear" w:color="auto" w:fill="CCCCCC"/>
          </w:tcPr>
          <w:p>
            <w:pPr>
              <w:spacing w:after="0"/>
              <w:rPr>
                <w:sz w:val="23"/>
                <w:szCs w:val="23"/>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1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6"/>
                <w:szCs w:val="26"/>
                <w:color w:val="auto"/>
                <w:vertAlign w:val="superscript"/>
              </w:rPr>
              <w:t>(d)</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4,395</w:t>
            </w:r>
          </w:p>
        </w:tc>
        <w:tc>
          <w:tcPr>
            <w:tcW w:w="340" w:type="dxa"/>
            <w:vAlign w:val="bottom"/>
          </w:tcPr>
          <w:p>
            <w:pPr>
              <w:spacing w:after="0"/>
              <w:rPr>
                <w:sz w:val="23"/>
                <w:szCs w:val="23"/>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1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(e)</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CCCC"/>
          </w:tcPr>
          <w:p>
            <w:pPr>
              <w:spacing w:after="0"/>
              <w:rPr>
                <w:sz w:val="23"/>
                <w:szCs w:val="23"/>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CCCC"/>
          </w:tcPr>
          <w:p>
            <w:pPr>
              <w:spacing w:after="0"/>
              <w:rPr>
                <w:sz w:val="23"/>
                <w:szCs w:val="23"/>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1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(f)</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2,155</w:t>
            </w:r>
          </w:p>
        </w:tc>
        <w:tc>
          <w:tcPr>
            <w:tcW w:w="320" w:type="dxa"/>
            <w:vAlign w:val="bottom"/>
          </w:tcPr>
          <w:p>
            <w:pPr>
              <w:spacing w:after="0"/>
              <w:rPr>
                <w:sz w:val="23"/>
                <w:szCs w:val="23"/>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1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(g)</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CCCC"/>
          </w:tcPr>
          <w:p>
            <w:pPr>
              <w:spacing w:after="0"/>
              <w:rPr>
                <w:sz w:val="23"/>
                <w:szCs w:val="23"/>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2,830</w:t>
            </w:r>
          </w:p>
        </w:tc>
        <w:tc>
          <w:tcPr>
            <w:tcW w:w="320" w:type="dxa"/>
            <w:vAlign w:val="bottom"/>
            <w:shd w:val="clear" w:color="auto" w:fill="CCCCCC"/>
          </w:tcPr>
          <w:p>
            <w:pPr>
              <w:spacing w:after="0"/>
              <w:rPr>
                <w:sz w:val="23"/>
                <w:szCs w:val="23"/>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18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Amortization of acquisition intangibles</w:t>
            </w:r>
            <w:r>
              <w:rPr>
                <w:rFonts w:ascii="Arial" w:cs="Arial" w:eastAsia="Arial" w:hAnsi="Arial"/>
                <w:sz w:val="26"/>
                <w:szCs w:val="26"/>
                <w:color w:val="auto"/>
                <w:vertAlign w:val="superscript"/>
              </w:rPr>
              <w:t>(h)</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20"/>
              <w:spacing w:after="0"/>
              <w:rPr>
                <w:sz w:val="20"/>
                <w:szCs w:val="20"/>
                <w:color w:val="auto"/>
              </w:rPr>
            </w:pPr>
            <w:r>
              <w:rPr>
                <w:rFonts w:ascii="Arial" w:cs="Arial" w:eastAsia="Arial" w:hAnsi="Arial"/>
                <w:sz w:val="18"/>
                <w:szCs w:val="18"/>
                <w:color w:val="auto"/>
              </w:rPr>
              <w:t>7,426</w:t>
            </w:r>
          </w:p>
        </w:tc>
        <w:tc>
          <w:tcPr>
            <w:tcW w:w="340" w:type="dxa"/>
            <w:vAlign w:val="bottom"/>
          </w:tcPr>
          <w:p>
            <w:pPr>
              <w:spacing w:after="0"/>
              <w:rPr>
                <w:sz w:val="23"/>
                <w:szCs w:val="23"/>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7,405</w:t>
            </w:r>
          </w:p>
        </w:tc>
        <w:tc>
          <w:tcPr>
            <w:tcW w:w="320" w:type="dxa"/>
            <w:vAlign w:val="bottom"/>
          </w:tcPr>
          <w:p>
            <w:pPr>
              <w:spacing w:after="0"/>
              <w:rPr>
                <w:sz w:val="23"/>
                <w:szCs w:val="23"/>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18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(k)</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Borders>
              <w:right w:val="single" w:sz="8" w:color="9EACCA"/>
            </w:tcBorders>
            <w:shd w:val="clear" w:color="auto" w:fill="CCCCCC"/>
          </w:tcPr>
          <w:p>
            <w:pPr>
              <w:spacing w:after="0"/>
              <w:rPr>
                <w:sz w:val="23"/>
                <w:szCs w:val="23"/>
                <w:color w:val="auto"/>
              </w:rPr>
            </w:pPr>
          </w:p>
        </w:tc>
        <w:tc>
          <w:tcPr>
            <w:tcW w:w="340" w:type="dxa"/>
            <w:vAlign w:val="bottom"/>
            <w:shd w:val="clear" w:color="auto" w:fill="CCCCCC"/>
          </w:tcPr>
          <w:p>
            <w:pPr>
              <w:spacing w:after="0"/>
              <w:rPr>
                <w:sz w:val="23"/>
                <w:szCs w:val="23"/>
                <w:color w:val="auto"/>
              </w:rPr>
            </w:pPr>
          </w:p>
        </w:tc>
        <w:tc>
          <w:tcPr>
            <w:tcW w:w="640" w:type="dxa"/>
            <w:vAlign w:val="bottom"/>
            <w:tcBorders>
              <w:right w:val="single" w:sz="8" w:color="9EACCA"/>
            </w:tcBorders>
            <w:gridSpan w:val="2"/>
            <w:shd w:val="clear" w:color="auto" w:fill="CCCCCC"/>
          </w:tcPr>
          <w:p>
            <w:pPr>
              <w:jc w:val="right"/>
              <w:ind w:right="220"/>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78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6,370</w:t>
            </w:r>
          </w:p>
        </w:tc>
        <w:tc>
          <w:tcPr>
            <w:tcW w:w="320" w:type="dxa"/>
            <w:vAlign w:val="bottom"/>
            <w:shd w:val="clear" w:color="auto" w:fill="CCCCCC"/>
          </w:tcPr>
          <w:p>
            <w:pPr>
              <w:spacing w:after="0"/>
              <w:rPr>
                <w:sz w:val="23"/>
                <w:szCs w:val="23"/>
                <w:color w:val="auto"/>
              </w:rPr>
            </w:pPr>
          </w:p>
        </w:tc>
        <w:tc>
          <w:tcPr>
            <w:tcW w:w="66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5180" w:type="dxa"/>
            <w:vAlign w:val="bottom"/>
            <w:tcBorders>
              <w:right w:val="single" w:sz="8" w:color="9EACCA"/>
            </w:tcBorders>
            <w:shd w:val="clear" w:color="auto" w:fill="CCCCCC"/>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9EACCA"/>
            </w:tcBorders>
            <w:shd w:val="clear" w:color="auto" w:fill="CCCCCC"/>
          </w:tcPr>
          <w:p>
            <w:pPr>
              <w:spacing w:after="0" w:line="20" w:lineRule="exact"/>
              <w:rPr>
                <w:sz w:val="1"/>
                <w:szCs w:val="1"/>
                <w:color w:val="auto"/>
              </w:rPr>
            </w:pPr>
          </w:p>
        </w:tc>
        <w:tc>
          <w:tcPr>
            <w:tcW w:w="340" w:type="dxa"/>
            <w:vAlign w:val="bottom"/>
            <w:shd w:val="clear" w:color="auto" w:fill="CCCC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right w:val="single" w:sz="8" w:color="9EACCA"/>
            </w:tcBorders>
            <w:shd w:val="clear" w:color="auto" w:fill="CCCCCC"/>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Borders>
              <w:left w:val="single" w:sz="8" w:color="3C5896"/>
            </w:tcBorders>
          </w:tcPr>
          <w:p>
            <w:pPr>
              <w:spacing w:after="0"/>
              <w:rPr>
                <w:sz w:val="24"/>
                <w:szCs w:val="24"/>
                <w:color w:val="auto"/>
              </w:rPr>
            </w:pPr>
          </w:p>
        </w:tc>
        <w:tc>
          <w:tcPr>
            <w:tcW w:w="5180" w:type="dxa"/>
            <w:vAlign w:val="bottom"/>
            <w:tcBorders>
              <w:right w:val="single" w:sz="8" w:color="9EACCA"/>
            </w:tcBorders>
          </w:tcPr>
          <w:p>
            <w:pPr>
              <w:ind w:left="18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134,148</w:t>
            </w:r>
          </w:p>
        </w:tc>
        <w:tc>
          <w:tcPr>
            <w:tcW w:w="120" w:type="dxa"/>
            <w:vAlign w:val="bottom"/>
            <w:tcBorders>
              <w:right w:val="single" w:sz="8" w:color="9EACCA"/>
            </w:tcBorders>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Borders>
              <w:right w:val="single" w:sz="8" w:color="9EACCA"/>
            </w:tcBorders>
            <w:gridSpan w:val="2"/>
          </w:tcPr>
          <w:p>
            <w:pPr>
              <w:jc w:val="right"/>
              <w:ind w:right="220"/>
              <w:spacing w:after="0"/>
              <w:rPr>
                <w:sz w:val="20"/>
                <w:szCs w:val="20"/>
                <w:color w:val="auto"/>
              </w:rPr>
            </w:pPr>
            <w:r>
              <w:rPr>
                <w:rFonts w:ascii="Arial" w:cs="Arial" w:eastAsia="Arial" w:hAnsi="Arial"/>
                <w:sz w:val="18"/>
                <w:szCs w:val="18"/>
                <w:color w:val="auto"/>
                <w:w w:val="97"/>
              </w:rPr>
              <w:t>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w w:val="95"/>
              </w:rPr>
              <w:t>114,300</w:t>
            </w:r>
          </w:p>
        </w:tc>
        <w:tc>
          <w:tcPr>
            <w:tcW w:w="320" w:type="dxa"/>
            <w:vAlign w:val="bottom"/>
          </w:tcPr>
          <w:p>
            <w:pPr>
              <w:spacing w:after="0"/>
              <w:rPr>
                <w:sz w:val="24"/>
                <w:szCs w:val="24"/>
                <w:color w:val="auto"/>
              </w:rPr>
            </w:pPr>
          </w:p>
        </w:tc>
        <w:tc>
          <w:tcPr>
            <w:tcW w:w="66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518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660" w:type="dxa"/>
            <w:vAlign w:val="bottom"/>
            <w:shd w:val="clear" w:color="auto" w:fill="3C5896"/>
          </w:tcPr>
          <w:p>
            <w:pPr>
              <w:spacing w:after="0" w:line="20" w:lineRule="exact"/>
              <w:rPr>
                <w:sz w:val="1"/>
                <w:szCs w:val="1"/>
                <w:color w:val="auto"/>
              </w:rPr>
            </w:pPr>
          </w:p>
        </w:tc>
        <w:tc>
          <w:tcPr>
            <w:tcW w:w="120" w:type="dxa"/>
            <w:vAlign w:val="bottom"/>
            <w:tcBorders>
              <w:right w:val="single" w:sz="8" w:color="3C5896"/>
            </w:tcBorders>
            <w:shd w:val="clear" w:color="auto" w:fill="3C5896"/>
          </w:tcPr>
          <w:p>
            <w:pPr>
              <w:spacing w:after="0" w:line="20" w:lineRule="exact"/>
              <w:rPr>
                <w:sz w:val="1"/>
                <w:szCs w:val="1"/>
                <w:color w:val="auto"/>
              </w:rPr>
            </w:pPr>
          </w:p>
        </w:tc>
        <w:tc>
          <w:tcPr>
            <w:tcW w:w="340" w:type="dxa"/>
            <w:vAlign w:val="bottom"/>
            <w:shd w:val="clear" w:color="auto" w:fill="3C5896"/>
          </w:tcPr>
          <w:p>
            <w:pPr>
              <w:spacing w:after="0" w:line="20" w:lineRule="exact"/>
              <w:rPr>
                <w:sz w:val="1"/>
                <w:szCs w:val="1"/>
                <w:color w:val="auto"/>
              </w:rPr>
            </w:pPr>
          </w:p>
        </w:tc>
        <w:tc>
          <w:tcPr>
            <w:tcW w:w="260" w:type="dxa"/>
            <w:vAlign w:val="bottom"/>
            <w:shd w:val="clear" w:color="auto" w:fill="3C5896"/>
          </w:tcPr>
          <w:p>
            <w:pPr>
              <w:spacing w:after="0" w:line="20" w:lineRule="exact"/>
              <w:rPr>
                <w:sz w:val="1"/>
                <w:szCs w:val="1"/>
                <w:color w:val="auto"/>
              </w:rPr>
            </w:pPr>
          </w:p>
        </w:tc>
        <w:tc>
          <w:tcPr>
            <w:tcW w:w="380" w:type="dxa"/>
            <w:vAlign w:val="bottom"/>
            <w:tcBorders>
              <w:right w:val="single" w:sz="8" w:color="3C5896"/>
            </w:tcBorders>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640" w:type="dxa"/>
            <w:vAlign w:val="bottom"/>
            <w:shd w:val="clear" w:color="auto" w:fill="3C5896"/>
          </w:tcPr>
          <w:p>
            <w:pPr>
              <w:spacing w:after="0" w:line="20" w:lineRule="exact"/>
              <w:rPr>
                <w:sz w:val="1"/>
                <w:szCs w:val="1"/>
                <w:color w:val="auto"/>
              </w:rPr>
            </w:pPr>
          </w:p>
        </w:tc>
        <w:tc>
          <w:tcPr>
            <w:tcW w:w="140" w:type="dxa"/>
            <w:vAlign w:val="bottom"/>
            <w:tcBorders>
              <w:right w:val="single" w:sz="8" w:color="3C5896"/>
            </w:tcBorders>
            <w:shd w:val="clear" w:color="auto" w:fill="3C5896"/>
          </w:tcPr>
          <w:p>
            <w:pPr>
              <w:spacing w:after="0" w:line="20" w:lineRule="exact"/>
              <w:rPr>
                <w:sz w:val="1"/>
                <w:szCs w:val="1"/>
                <w:color w:val="auto"/>
              </w:rPr>
            </w:pPr>
          </w:p>
        </w:tc>
        <w:tc>
          <w:tcPr>
            <w:tcW w:w="320" w:type="dxa"/>
            <w:vAlign w:val="bottom"/>
            <w:shd w:val="clear" w:color="auto" w:fill="3C5896"/>
          </w:tcPr>
          <w:p>
            <w:pPr>
              <w:spacing w:after="0" w:line="20" w:lineRule="exact"/>
              <w:rPr>
                <w:sz w:val="1"/>
                <w:szCs w:val="1"/>
                <w:color w:val="auto"/>
              </w:rPr>
            </w:pPr>
          </w:p>
        </w:tc>
        <w:tc>
          <w:tcPr>
            <w:tcW w:w="300" w:type="dxa"/>
            <w:vAlign w:val="bottom"/>
            <w:shd w:val="clear" w:color="auto" w:fill="3C5896"/>
          </w:tcPr>
          <w:p>
            <w:pPr>
              <w:spacing w:after="0" w:line="20" w:lineRule="exact"/>
              <w:rPr>
                <w:sz w:val="1"/>
                <w:szCs w:val="1"/>
                <w:color w:val="auto"/>
              </w:rPr>
            </w:pPr>
          </w:p>
        </w:tc>
        <w:tc>
          <w:tcPr>
            <w:tcW w:w="3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-2228215</wp:posOffset>
            </wp:positionV>
            <wp:extent cx="582041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2020 includes 53 weeks. Fiscal year 2019 includes 52 weeks.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Percentages reflect line item as a percentage of net revenue, adjusted for rounding.</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percentage totals in the table above do not foot due to rounding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3775710</wp:posOffset>
            </wp:positionV>
            <wp:extent cx="300355" cy="2400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65</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Reconciliation of EBITDA, Adjusted EBITDA and STIP Adjusted EBITDA to Net Income</w:t>
      </w:r>
    </w:p>
    <w:p>
      <w:pPr>
        <w:spacing w:after="0" w:line="160" w:lineRule="exact"/>
        <w:rPr>
          <w:sz w:val="20"/>
          <w:szCs w:val="20"/>
          <w:color w:val="auto"/>
        </w:rPr>
      </w:pPr>
    </w:p>
    <w:tbl>
      <w:tblPr>
        <w:tblLayout w:type="fixed"/>
        <w:tblInd w:w="770" w:type="dxa"/>
        <w:tblCellMar>
          <w:top w:w="0" w:type="dxa"/>
          <w:left w:w="0" w:type="dxa"/>
          <w:bottom w:w="0" w:type="dxa"/>
          <w:right w:w="0" w:type="dxa"/>
        </w:tblCellMar>
      </w:tblPr>
      <w:tr>
        <w:trPr>
          <w:trHeight w:val="207"/>
        </w:trPr>
        <w:tc>
          <w:tcPr>
            <w:tcW w:w="60" w:type="dxa"/>
            <w:vAlign w:val="bottom"/>
            <w:tcBorders>
              <w:top w:val="single" w:sz="8" w:color="3C5896"/>
              <w:left w:val="single" w:sz="8" w:color="3C5896"/>
            </w:tcBorders>
            <w:shd w:val="clear" w:color="auto" w:fill="3C5896"/>
          </w:tcPr>
          <w:p>
            <w:pPr>
              <w:spacing w:after="0"/>
              <w:rPr>
                <w:sz w:val="17"/>
                <w:szCs w:val="17"/>
                <w:color w:val="auto"/>
              </w:rPr>
            </w:pPr>
          </w:p>
        </w:tc>
        <w:tc>
          <w:tcPr>
            <w:tcW w:w="5040" w:type="dxa"/>
            <w:vAlign w:val="bottom"/>
            <w:tcBorders>
              <w:top w:val="single" w:sz="8" w:color="3C5896"/>
              <w:right w:val="single" w:sz="8" w:color="9EACCA"/>
            </w:tcBorders>
            <w:vMerge w:val="restart"/>
            <w:shd w:val="clear" w:color="auto" w:fill="3C5896"/>
          </w:tcPr>
          <w:p>
            <w:pPr>
              <w:ind w:left="1940"/>
              <w:spacing w:after="0"/>
              <w:rPr>
                <w:sz w:val="20"/>
                <w:szCs w:val="20"/>
                <w:color w:val="auto"/>
              </w:rPr>
            </w:pPr>
            <w:r>
              <w:rPr>
                <w:rFonts w:ascii="Arial" w:cs="Arial" w:eastAsia="Arial" w:hAnsi="Arial"/>
                <w:sz w:val="18"/>
                <w:szCs w:val="18"/>
                <w:b w:val="1"/>
                <w:bCs w:val="1"/>
                <w:color w:val="FFFFFF"/>
              </w:rPr>
              <w:t>In thousands</w:t>
            </w:r>
          </w:p>
        </w:tc>
        <w:tc>
          <w:tcPr>
            <w:tcW w:w="120" w:type="dxa"/>
            <w:vAlign w:val="bottom"/>
            <w:tcBorders>
              <w:top w:val="single" w:sz="8" w:color="3C5896"/>
            </w:tcBorders>
            <w:shd w:val="clear" w:color="auto" w:fill="3C5896"/>
          </w:tcPr>
          <w:p>
            <w:pPr>
              <w:spacing w:after="0"/>
              <w:rPr>
                <w:sz w:val="17"/>
                <w:szCs w:val="17"/>
                <w:color w:val="auto"/>
              </w:rPr>
            </w:pPr>
          </w:p>
        </w:tc>
        <w:tc>
          <w:tcPr>
            <w:tcW w:w="120" w:type="dxa"/>
            <w:vAlign w:val="bottom"/>
            <w:tcBorders>
              <w:top w:val="single" w:sz="8" w:color="3C5896"/>
            </w:tcBorders>
            <w:shd w:val="clear" w:color="auto" w:fill="3C5896"/>
          </w:tcPr>
          <w:p>
            <w:pPr>
              <w:spacing w:after="0"/>
              <w:rPr>
                <w:sz w:val="17"/>
                <w:szCs w:val="17"/>
                <w:color w:val="auto"/>
              </w:rPr>
            </w:pPr>
          </w:p>
        </w:tc>
        <w:tc>
          <w:tcPr>
            <w:tcW w:w="1800" w:type="dxa"/>
            <w:vAlign w:val="bottom"/>
            <w:tcBorders>
              <w:top w:val="single" w:sz="8" w:color="3C5896"/>
              <w:right w:val="single" w:sz="8" w:color="9EACCA"/>
            </w:tcBorders>
            <w:gridSpan w:val="5"/>
            <w:shd w:val="clear" w:color="auto" w:fill="3C5896"/>
          </w:tcPr>
          <w:p>
            <w:pPr>
              <w:jc w:val="center"/>
              <w:ind w:right="300"/>
              <w:spacing w:after="0"/>
              <w:rPr>
                <w:sz w:val="20"/>
                <w:szCs w:val="20"/>
                <w:color w:val="auto"/>
              </w:rPr>
            </w:pPr>
            <w:r>
              <w:rPr>
                <w:rFonts w:ascii="Arial" w:cs="Arial" w:eastAsia="Arial" w:hAnsi="Arial"/>
                <w:sz w:val="18"/>
                <w:szCs w:val="18"/>
                <w:b w:val="1"/>
                <w:bCs w:val="1"/>
                <w:color w:val="FFFFFF"/>
                <w:w w:val="98"/>
              </w:rPr>
              <w:t>Fiscal Year</w:t>
            </w:r>
          </w:p>
        </w:tc>
        <w:tc>
          <w:tcPr>
            <w:tcW w:w="120" w:type="dxa"/>
            <w:vAlign w:val="bottom"/>
            <w:tcBorders>
              <w:top w:val="single" w:sz="8" w:color="3C5896"/>
            </w:tcBorders>
            <w:shd w:val="clear" w:color="auto" w:fill="3C5896"/>
          </w:tcPr>
          <w:p>
            <w:pPr>
              <w:spacing w:after="0"/>
              <w:rPr>
                <w:sz w:val="17"/>
                <w:szCs w:val="17"/>
                <w:color w:val="auto"/>
              </w:rPr>
            </w:pPr>
          </w:p>
        </w:tc>
        <w:tc>
          <w:tcPr>
            <w:tcW w:w="120" w:type="dxa"/>
            <w:vAlign w:val="bottom"/>
            <w:tcBorders>
              <w:top w:val="single" w:sz="8" w:color="3C5896"/>
            </w:tcBorders>
            <w:shd w:val="clear" w:color="auto" w:fill="3C5896"/>
          </w:tcPr>
          <w:p>
            <w:pPr>
              <w:spacing w:after="0"/>
              <w:rPr>
                <w:sz w:val="17"/>
                <w:szCs w:val="17"/>
                <w:color w:val="auto"/>
              </w:rPr>
            </w:pPr>
          </w:p>
        </w:tc>
        <w:tc>
          <w:tcPr>
            <w:tcW w:w="1820" w:type="dxa"/>
            <w:vAlign w:val="bottom"/>
            <w:tcBorders>
              <w:top w:val="single" w:sz="8" w:color="3C5896"/>
              <w:right w:val="single" w:sz="8" w:color="3C5896"/>
            </w:tcBorders>
            <w:gridSpan w:val="5"/>
            <w:shd w:val="clear" w:color="auto" w:fill="3C5896"/>
          </w:tcPr>
          <w:p>
            <w:pPr>
              <w:jc w:val="center"/>
              <w:ind w:right="320"/>
              <w:spacing w:after="0"/>
              <w:rPr>
                <w:sz w:val="20"/>
                <w:szCs w:val="20"/>
                <w:color w:val="auto"/>
              </w:rPr>
            </w:pPr>
            <w:r>
              <w:rPr>
                <w:rFonts w:ascii="Arial" w:cs="Arial" w:eastAsia="Arial" w:hAnsi="Arial"/>
                <w:sz w:val="18"/>
                <w:szCs w:val="18"/>
                <w:b w:val="1"/>
                <w:bCs w:val="1"/>
                <w:color w:val="FFFFFF"/>
                <w:w w:val="98"/>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5040" w:type="dxa"/>
            <w:vAlign w:val="bottom"/>
            <w:tcBorders>
              <w:right w:val="single" w:sz="8" w:color="9EACCA"/>
            </w:tcBorders>
            <w:vMerge w:val="continue"/>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120" w:type="dxa"/>
            <w:vAlign w:val="bottom"/>
            <w:gridSpan w:val="3"/>
            <w:shd w:val="clear" w:color="auto" w:fill="3C5896"/>
          </w:tcPr>
          <w:p>
            <w:pPr>
              <w:jc w:val="right"/>
              <w:ind w:right="140"/>
              <w:spacing w:after="0"/>
              <w:rPr>
                <w:sz w:val="20"/>
                <w:szCs w:val="20"/>
                <w:color w:val="auto"/>
              </w:rPr>
            </w:pPr>
            <w:r>
              <w:rPr>
                <w:rFonts w:ascii="Arial" w:cs="Arial" w:eastAsia="Arial" w:hAnsi="Arial"/>
                <w:sz w:val="18"/>
                <w:szCs w:val="18"/>
                <w:b w:val="1"/>
                <w:bCs w:val="1"/>
                <w:color w:val="FFFFFF"/>
              </w:rPr>
              <w:t>2020</w:t>
            </w:r>
          </w:p>
        </w:tc>
        <w:tc>
          <w:tcPr>
            <w:tcW w:w="340" w:type="dxa"/>
            <w:vAlign w:val="bottom"/>
            <w:shd w:val="clear" w:color="auto" w:fill="3C5896"/>
          </w:tcPr>
          <w:p>
            <w:pPr>
              <w:spacing w:after="0"/>
              <w:rPr>
                <w:sz w:val="21"/>
                <w:szCs w:val="21"/>
                <w:color w:val="auto"/>
              </w:rPr>
            </w:pPr>
          </w:p>
        </w:tc>
        <w:tc>
          <w:tcPr>
            <w:tcW w:w="340" w:type="dxa"/>
            <w:vAlign w:val="bottom"/>
            <w:tcBorders>
              <w:right w:val="single" w:sz="8" w:color="9EACCA"/>
            </w:tcBorders>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1120" w:type="dxa"/>
            <w:vAlign w:val="bottom"/>
            <w:gridSpan w:val="3"/>
            <w:shd w:val="clear" w:color="auto" w:fill="3C5896"/>
          </w:tcPr>
          <w:p>
            <w:pPr>
              <w:jc w:val="right"/>
              <w:ind w:right="140"/>
              <w:spacing w:after="0"/>
              <w:rPr>
                <w:sz w:val="20"/>
                <w:szCs w:val="20"/>
                <w:color w:val="auto"/>
              </w:rPr>
            </w:pPr>
            <w:r>
              <w:rPr>
                <w:rFonts w:ascii="Arial" w:cs="Arial" w:eastAsia="Arial" w:hAnsi="Arial"/>
                <w:sz w:val="18"/>
                <w:szCs w:val="18"/>
                <w:b w:val="1"/>
                <w:bCs w:val="1"/>
                <w:color w:val="FFFFFF"/>
              </w:rPr>
              <w:t>2019</w:t>
            </w:r>
          </w:p>
        </w:tc>
        <w:tc>
          <w:tcPr>
            <w:tcW w:w="340" w:type="dxa"/>
            <w:vAlign w:val="bottom"/>
            <w:shd w:val="clear" w:color="auto" w:fill="3C5896"/>
          </w:tcPr>
          <w:p>
            <w:pPr>
              <w:spacing w:after="0"/>
              <w:rPr>
                <w:sz w:val="21"/>
                <w:szCs w:val="21"/>
                <w:color w:val="auto"/>
              </w:rPr>
            </w:pPr>
          </w:p>
        </w:tc>
        <w:tc>
          <w:tcPr>
            <w:tcW w:w="36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0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36,277</w:t>
            </w:r>
          </w:p>
        </w:tc>
        <w:tc>
          <w:tcPr>
            <w:tcW w:w="320" w:type="dxa"/>
            <w:vAlign w:val="bottom"/>
          </w:tcPr>
          <w:p>
            <w:pPr>
              <w:spacing w:after="0"/>
              <w:rPr>
                <w:sz w:val="21"/>
                <w:szCs w:val="21"/>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32,798</w:t>
            </w:r>
          </w:p>
        </w:tc>
        <w:tc>
          <w:tcPr>
            <w:tcW w:w="320" w:type="dxa"/>
            <w:vAlign w:val="bottom"/>
          </w:tcPr>
          <w:p>
            <w:pPr>
              <w:spacing w:after="0"/>
              <w:rPr>
                <w:sz w:val="21"/>
                <w:szCs w:val="21"/>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50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48,171</w:t>
            </w:r>
          </w:p>
        </w:tc>
        <w:tc>
          <w:tcPr>
            <w:tcW w:w="320" w:type="dxa"/>
            <w:vAlign w:val="bottom"/>
            <w:shd w:val="clear" w:color="auto" w:fill="CCCCCC"/>
          </w:tcPr>
          <w:p>
            <w:pPr>
              <w:spacing w:after="0"/>
              <w:rPr>
                <w:sz w:val="22"/>
                <w:szCs w:val="22"/>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33,300</w:t>
            </w:r>
          </w:p>
        </w:tc>
        <w:tc>
          <w:tcPr>
            <w:tcW w:w="320" w:type="dxa"/>
            <w:vAlign w:val="bottom"/>
            <w:shd w:val="clear" w:color="auto" w:fill="CCCCCC"/>
          </w:tcPr>
          <w:p>
            <w:pPr>
              <w:spacing w:after="0"/>
              <w:rPr>
                <w:sz w:val="22"/>
                <w:szCs w:val="22"/>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0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2,403</w:t>
            </w:r>
          </w:p>
        </w:tc>
        <w:tc>
          <w:tcPr>
            <w:tcW w:w="320" w:type="dxa"/>
            <w:vAlign w:val="bottom"/>
          </w:tcPr>
          <w:p>
            <w:pPr>
              <w:spacing w:after="0"/>
              <w:rPr>
                <w:sz w:val="21"/>
                <w:szCs w:val="21"/>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80"/>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21"/>
                <w:szCs w:val="21"/>
                <w:color w:val="auto"/>
              </w:rPr>
            </w:pPr>
          </w:p>
        </w:tc>
        <w:tc>
          <w:tcPr>
            <w:tcW w:w="700" w:type="dxa"/>
            <w:vAlign w:val="bottom"/>
            <w:tcBorders>
              <w:right w:val="single" w:sz="8" w:color="3C5896"/>
            </w:tcBorders>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0" w:type="dxa"/>
            <w:vAlign w:val="bottom"/>
            <w:tcBorders>
              <w:left w:val="single" w:sz="8" w:color="3C5896"/>
            </w:tcBorders>
            <w:shd w:val="clear" w:color="auto" w:fill="CCCCCC"/>
          </w:tcPr>
          <w:p>
            <w:pPr>
              <w:spacing w:after="0"/>
              <w:rPr>
                <w:sz w:val="22"/>
                <w:szCs w:val="22"/>
                <w:color w:val="auto"/>
              </w:rPr>
            </w:pPr>
          </w:p>
        </w:tc>
        <w:tc>
          <w:tcPr>
            <w:tcW w:w="50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91,585</w:t>
            </w:r>
          </w:p>
        </w:tc>
        <w:tc>
          <w:tcPr>
            <w:tcW w:w="140" w:type="dxa"/>
            <w:vAlign w:val="bottom"/>
            <w:tcBorders>
              <w:right w:val="single" w:sz="8" w:color="9EACCA"/>
            </w:tcBorders>
            <w:shd w:val="clear" w:color="auto" w:fill="CCCCCC"/>
          </w:tcPr>
          <w:p>
            <w:pPr>
              <w:spacing w:after="0"/>
              <w:rPr>
                <w:sz w:val="22"/>
                <w:szCs w:val="22"/>
                <w:color w:val="auto"/>
              </w:rPr>
            </w:pPr>
          </w:p>
        </w:tc>
        <w:tc>
          <w:tcPr>
            <w:tcW w:w="320" w:type="dxa"/>
            <w:vAlign w:val="bottom"/>
            <w:shd w:val="clear" w:color="auto" w:fill="CCCCCC"/>
          </w:tcPr>
          <w:p>
            <w:pPr>
              <w:spacing w:after="0"/>
              <w:rPr>
                <w:sz w:val="22"/>
                <w:szCs w:val="22"/>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87,244</w:t>
            </w:r>
          </w:p>
        </w:tc>
        <w:tc>
          <w:tcPr>
            <w:tcW w:w="320" w:type="dxa"/>
            <w:vAlign w:val="bottom"/>
            <w:shd w:val="clear" w:color="auto" w:fill="CCCCCC"/>
          </w:tcPr>
          <w:p>
            <w:pPr>
              <w:spacing w:after="0"/>
              <w:rPr>
                <w:sz w:val="22"/>
                <w:szCs w:val="22"/>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5040" w:type="dxa"/>
            <w:vAlign w:val="bottom"/>
            <w:tcBorders>
              <w:right w:val="single" w:sz="8" w:color="9EACCA"/>
            </w:tcBorders>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right w:val="single" w:sz="8" w:color="9EACCA"/>
            </w:tcBorders>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040" w:type="dxa"/>
            <w:vAlign w:val="bottom"/>
            <w:tcBorders>
              <w:right w:val="single" w:sz="8" w:color="9EACCA"/>
            </w:tcBorders>
          </w:tcPr>
          <w:p>
            <w:pPr>
              <w:ind w:left="18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178,436</w:t>
            </w:r>
          </w:p>
        </w:tc>
        <w:tc>
          <w:tcPr>
            <w:tcW w:w="140" w:type="dxa"/>
            <w:vAlign w:val="bottom"/>
            <w:tcBorders>
              <w:right w:val="single" w:sz="8" w:color="9EACCA"/>
            </w:tcBorders>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w w:val="98"/>
              </w:rPr>
              <w:t>151,033</w:t>
            </w:r>
          </w:p>
        </w:tc>
        <w:tc>
          <w:tcPr>
            <w:tcW w:w="320" w:type="dxa"/>
            <w:vAlign w:val="bottom"/>
          </w:tcPr>
          <w:p>
            <w:pPr>
              <w:spacing w:after="0"/>
              <w:rPr>
                <w:sz w:val="21"/>
                <w:szCs w:val="21"/>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504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12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10,740</w:t>
            </w:r>
          </w:p>
        </w:tc>
        <w:tc>
          <w:tcPr>
            <w:tcW w:w="320" w:type="dxa"/>
            <w:vAlign w:val="bottom"/>
            <w:shd w:val="clear" w:color="auto" w:fill="CCCCCC"/>
          </w:tcPr>
          <w:p>
            <w:pPr>
              <w:spacing w:after="0"/>
              <w:rPr>
                <w:sz w:val="24"/>
                <w:szCs w:val="24"/>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12,670</w:t>
            </w:r>
          </w:p>
        </w:tc>
        <w:tc>
          <w:tcPr>
            <w:tcW w:w="320" w:type="dxa"/>
            <w:vAlign w:val="bottom"/>
            <w:shd w:val="clear" w:color="auto" w:fill="CCCCCC"/>
          </w:tcPr>
          <w:p>
            <w:pPr>
              <w:spacing w:after="0"/>
              <w:rPr>
                <w:sz w:val="24"/>
                <w:szCs w:val="24"/>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0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(b)</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9,786</w:t>
            </w:r>
          </w:p>
        </w:tc>
        <w:tc>
          <w:tcPr>
            <w:tcW w:w="320" w:type="dxa"/>
            <w:vAlign w:val="bottom"/>
          </w:tcPr>
          <w:p>
            <w:pPr>
              <w:spacing w:after="0"/>
              <w:rPr>
                <w:sz w:val="23"/>
                <w:szCs w:val="23"/>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0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(c)</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22,004</w:t>
            </w:r>
          </w:p>
        </w:tc>
        <w:tc>
          <w:tcPr>
            <w:tcW w:w="320" w:type="dxa"/>
            <w:vAlign w:val="bottom"/>
            <w:shd w:val="clear" w:color="auto" w:fill="CCCCCC"/>
          </w:tcPr>
          <w:p>
            <w:pPr>
              <w:spacing w:after="0"/>
              <w:rPr>
                <w:sz w:val="23"/>
                <w:szCs w:val="23"/>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8,894</w:t>
            </w:r>
          </w:p>
        </w:tc>
        <w:tc>
          <w:tcPr>
            <w:tcW w:w="320" w:type="dxa"/>
            <w:vAlign w:val="bottom"/>
            <w:shd w:val="clear" w:color="auto" w:fill="CCCCCC"/>
          </w:tcPr>
          <w:p>
            <w:pPr>
              <w:spacing w:after="0"/>
              <w:rPr>
                <w:sz w:val="23"/>
                <w:szCs w:val="23"/>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0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6"/>
                <w:szCs w:val="26"/>
                <w:color w:val="auto"/>
                <w:vertAlign w:val="superscript"/>
              </w:rPr>
              <w:t>(d)</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4,395</w:t>
            </w:r>
          </w:p>
        </w:tc>
        <w:tc>
          <w:tcPr>
            <w:tcW w:w="320" w:type="dxa"/>
            <w:vAlign w:val="bottom"/>
          </w:tcPr>
          <w:p>
            <w:pPr>
              <w:spacing w:after="0"/>
              <w:rPr>
                <w:sz w:val="23"/>
                <w:szCs w:val="23"/>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0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(e)</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CCCC"/>
          </w:tcPr>
          <w:p>
            <w:pPr>
              <w:spacing w:after="0"/>
              <w:rPr>
                <w:sz w:val="23"/>
                <w:szCs w:val="23"/>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CCCC"/>
          </w:tcPr>
          <w:p>
            <w:pPr>
              <w:spacing w:after="0"/>
              <w:rPr>
                <w:sz w:val="23"/>
                <w:szCs w:val="23"/>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0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(f)</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2,155</w:t>
            </w:r>
          </w:p>
        </w:tc>
        <w:tc>
          <w:tcPr>
            <w:tcW w:w="320" w:type="dxa"/>
            <w:vAlign w:val="bottom"/>
          </w:tcPr>
          <w:p>
            <w:pPr>
              <w:spacing w:after="0"/>
              <w:rPr>
                <w:sz w:val="23"/>
                <w:szCs w:val="23"/>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50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(g)</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CCCC"/>
          </w:tcPr>
          <w:p>
            <w:pPr>
              <w:spacing w:after="0"/>
              <w:rPr>
                <w:sz w:val="23"/>
                <w:szCs w:val="23"/>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2,830</w:t>
            </w:r>
          </w:p>
        </w:tc>
        <w:tc>
          <w:tcPr>
            <w:tcW w:w="320" w:type="dxa"/>
            <w:vAlign w:val="bottom"/>
            <w:shd w:val="clear" w:color="auto" w:fill="CCCCCC"/>
          </w:tcPr>
          <w:p>
            <w:pPr>
              <w:spacing w:after="0"/>
              <w:rPr>
                <w:sz w:val="23"/>
                <w:szCs w:val="23"/>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0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(k)</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right w:val="single" w:sz="8" w:color="9EACCA"/>
            </w:tcBorders>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6,370</w:t>
            </w:r>
          </w:p>
        </w:tc>
        <w:tc>
          <w:tcPr>
            <w:tcW w:w="320" w:type="dxa"/>
            <w:vAlign w:val="bottom"/>
          </w:tcPr>
          <w:p>
            <w:pPr>
              <w:spacing w:after="0"/>
              <w:rPr>
                <w:sz w:val="23"/>
                <w:szCs w:val="23"/>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5040" w:type="dxa"/>
            <w:vAlign w:val="bottom"/>
            <w:tcBorders>
              <w:right w:val="single" w:sz="8" w:color="9EACCA"/>
            </w:tcBorders>
            <w:vMerge w:val="restart"/>
            <w:shd w:val="clear" w:color="auto" w:fill="CCCCCC"/>
          </w:tcPr>
          <w:p>
            <w:pPr>
              <w:ind w:left="180"/>
              <w:spacing w:after="0"/>
              <w:rPr>
                <w:sz w:val="20"/>
                <w:szCs w:val="20"/>
                <w:color w:val="auto"/>
              </w:rPr>
            </w:pPr>
            <w:r>
              <w:rPr>
                <w:rFonts w:ascii="Arial" w:cs="Arial" w:eastAsia="Arial" w:hAnsi="Arial"/>
                <w:sz w:val="18"/>
                <w:szCs w:val="18"/>
                <w:b w:val="1"/>
                <w:bCs w:val="1"/>
                <w:color w:val="auto"/>
              </w:rPr>
              <w:t>Adjusted EBITDA / Adjusted EBITDA Margin</w:t>
            </w:r>
          </w:p>
        </w:tc>
        <w:tc>
          <w:tcPr>
            <w:tcW w:w="12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right w:val="single" w:sz="8" w:color="9EACCA"/>
            </w:tcBorders>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9EACCA"/>
            </w:tcBorders>
            <w:shd w:val="clear" w:color="auto" w:fill="CCCCCC"/>
          </w:tcPr>
          <w:p>
            <w:pPr>
              <w:spacing w:after="0" w:line="20" w:lineRule="exact"/>
              <w:rPr>
                <w:sz w:val="1"/>
                <w:szCs w:val="1"/>
                <w:color w:val="auto"/>
              </w:rPr>
            </w:pPr>
          </w:p>
        </w:tc>
        <w:tc>
          <w:tcPr>
            <w:tcW w:w="32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left w:val="single" w:sz="8" w:color="3C5896"/>
            </w:tcBorders>
            <w:shd w:val="clear" w:color="auto" w:fill="CCCCCC"/>
          </w:tcPr>
          <w:p>
            <w:pPr>
              <w:spacing w:after="0"/>
              <w:rPr>
                <w:sz w:val="21"/>
                <w:szCs w:val="21"/>
                <w:color w:val="auto"/>
              </w:rPr>
            </w:pPr>
          </w:p>
        </w:tc>
        <w:tc>
          <w:tcPr>
            <w:tcW w:w="5040" w:type="dxa"/>
            <w:vAlign w:val="bottom"/>
            <w:tcBorders>
              <w:right w:val="single" w:sz="8" w:color="9EACCA"/>
            </w:tcBorders>
            <w:vMerge w:val="continue"/>
            <w:shd w:val="clear" w:color="auto" w:fill="CCCCCC"/>
          </w:tcPr>
          <w:p>
            <w:pPr>
              <w:spacing w:after="0"/>
              <w:rPr>
                <w:sz w:val="21"/>
                <w:szCs w:val="21"/>
                <w:color w:val="auto"/>
              </w:rPr>
            </w:pPr>
          </w:p>
        </w:tc>
        <w:tc>
          <w:tcPr>
            <w:tcW w:w="120" w:type="dxa"/>
            <w:vAlign w:val="bottom"/>
            <w:shd w:val="clear" w:color="auto" w:fill="CCCCCC"/>
          </w:tcPr>
          <w:p>
            <w:pPr>
              <w:spacing w:after="0"/>
              <w:rPr>
                <w:sz w:val="21"/>
                <w:szCs w:val="21"/>
                <w:color w:val="auto"/>
              </w:rPr>
            </w:pPr>
          </w:p>
        </w:tc>
        <w:tc>
          <w:tcPr>
            <w:tcW w:w="12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8"/>
                <w:szCs w:val="18"/>
                <w:color w:val="auto"/>
                <w:w w:val="98"/>
              </w:rPr>
              <w:t>218,307</w:t>
            </w:r>
          </w:p>
        </w:tc>
        <w:tc>
          <w:tcPr>
            <w:tcW w:w="140" w:type="dxa"/>
            <w:vAlign w:val="bottom"/>
            <w:tcBorders>
              <w:right w:val="single" w:sz="8" w:color="9EACCA"/>
            </w:tcBorders>
            <w:shd w:val="clear" w:color="auto" w:fill="CCCCCC"/>
          </w:tcPr>
          <w:p>
            <w:pPr>
              <w:spacing w:after="0"/>
              <w:rPr>
                <w:sz w:val="21"/>
                <w:szCs w:val="21"/>
                <w:color w:val="auto"/>
              </w:rPr>
            </w:pPr>
          </w:p>
        </w:tc>
        <w:tc>
          <w:tcPr>
            <w:tcW w:w="320" w:type="dxa"/>
            <w:vAlign w:val="bottom"/>
            <w:shd w:val="clear" w:color="auto" w:fill="CCCCCC"/>
          </w:tcPr>
          <w:p>
            <w:pPr>
              <w:spacing w:after="0"/>
              <w:rPr>
                <w:sz w:val="21"/>
                <w:szCs w:val="21"/>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w w:val="93"/>
              </w:rPr>
              <w:t>12.8%</w:t>
            </w:r>
          </w:p>
        </w:tc>
        <w:tc>
          <w:tcPr>
            <w:tcW w:w="24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w w:val="98"/>
              </w:rPr>
              <w:t>194,139</w:t>
            </w:r>
          </w:p>
        </w:tc>
        <w:tc>
          <w:tcPr>
            <w:tcW w:w="320" w:type="dxa"/>
            <w:vAlign w:val="bottom"/>
            <w:shd w:val="clear" w:color="auto" w:fill="CCCCCC"/>
          </w:tcPr>
          <w:p>
            <w:pPr>
              <w:spacing w:after="0"/>
              <w:rPr>
                <w:sz w:val="21"/>
                <w:szCs w:val="21"/>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w w:val="93"/>
              </w:rPr>
              <w:t>11.3%</w:t>
            </w: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504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Margin on unearned revenue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3,551</w:t>
            </w:r>
          </w:p>
        </w:tc>
        <w:tc>
          <w:tcPr>
            <w:tcW w:w="320" w:type="dxa"/>
            <w:vAlign w:val="bottom"/>
          </w:tcPr>
          <w:p>
            <w:pPr>
              <w:spacing w:after="0"/>
              <w:rPr>
                <w:sz w:val="21"/>
                <w:szCs w:val="21"/>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21"/>
                <w:szCs w:val="21"/>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3C5896"/>
            </w:tcBorders>
            <w:shd w:val="clear" w:color="auto" w:fill="CCCCCC"/>
          </w:tcPr>
          <w:p>
            <w:pPr>
              <w:spacing w:after="0"/>
              <w:rPr>
                <w:sz w:val="22"/>
                <w:szCs w:val="22"/>
                <w:color w:val="auto"/>
              </w:rPr>
            </w:pPr>
          </w:p>
        </w:tc>
        <w:tc>
          <w:tcPr>
            <w:tcW w:w="5040" w:type="dxa"/>
            <w:vAlign w:val="bottom"/>
            <w:tcBorders>
              <w:right w:val="single" w:sz="8" w:color="9EACCA"/>
            </w:tcBorders>
            <w:shd w:val="clear" w:color="auto" w:fill="CCCCCC"/>
          </w:tcPr>
          <w:p>
            <w:pPr>
              <w:spacing w:after="0"/>
              <w:rPr>
                <w:sz w:val="20"/>
                <w:szCs w:val="20"/>
                <w:color w:val="auto"/>
              </w:rPr>
            </w:pPr>
            <w:r>
              <w:rPr>
                <w:rFonts w:ascii="Arial" w:cs="Arial" w:eastAsia="Arial" w:hAnsi="Arial"/>
                <w:sz w:val="18"/>
                <w:szCs w:val="18"/>
                <w:color w:val="auto"/>
              </w:rPr>
              <w:t>STIP</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8,653</w:t>
            </w:r>
          </w:p>
        </w:tc>
        <w:tc>
          <w:tcPr>
            <w:tcW w:w="320" w:type="dxa"/>
            <w:vAlign w:val="bottom"/>
            <w:shd w:val="clear" w:color="auto" w:fill="CCCCCC"/>
          </w:tcPr>
          <w:p>
            <w:pPr>
              <w:spacing w:after="0"/>
              <w:rPr>
                <w:sz w:val="22"/>
                <w:szCs w:val="22"/>
                <w:color w:val="auto"/>
              </w:rPr>
            </w:pPr>
          </w:p>
        </w:tc>
        <w:tc>
          <w:tcPr>
            <w:tcW w:w="680" w:type="dxa"/>
            <w:vAlign w:val="bottom"/>
            <w:tcBorders>
              <w:right w:val="single" w:sz="8" w:color="9EACCA"/>
            </w:tcBorders>
            <w:gridSpan w:val="2"/>
            <w:shd w:val="clear" w:color="auto" w:fill="CCCCCC"/>
          </w:tcPr>
          <w:p>
            <w:pPr>
              <w:jc w:val="right"/>
              <w:ind w:right="1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CCCC"/>
          </w:tcPr>
          <w:p>
            <w:pPr>
              <w:spacing w:after="0"/>
              <w:rPr>
                <w:sz w:val="22"/>
                <w:szCs w:val="22"/>
                <w:color w:val="auto"/>
              </w:rPr>
            </w:pPr>
          </w:p>
        </w:tc>
        <w:tc>
          <w:tcPr>
            <w:tcW w:w="120" w:type="dxa"/>
            <w:vAlign w:val="bottom"/>
            <w:shd w:val="clear" w:color="auto" w:fill="CCCCCC"/>
          </w:tcPr>
          <w:p>
            <w:pPr>
              <w:spacing w:after="0"/>
              <w:rPr>
                <w:sz w:val="22"/>
                <w:szCs w:val="22"/>
                <w:color w:val="auto"/>
              </w:rPr>
            </w:pPr>
          </w:p>
        </w:tc>
        <w:tc>
          <w:tcPr>
            <w:tcW w:w="800" w:type="dxa"/>
            <w:vAlign w:val="bottom"/>
            <w:tcBorders>
              <w:right w:val="single" w:sz="8" w:color="9EACCA"/>
            </w:tcBorders>
            <w:gridSpan w:val="2"/>
            <w:shd w:val="clear" w:color="auto" w:fill="CCCCCC"/>
          </w:tcPr>
          <w:p>
            <w:pPr>
              <w:jc w:val="right"/>
              <w:ind w:right="140"/>
              <w:spacing w:after="0"/>
              <w:rPr>
                <w:sz w:val="20"/>
                <w:szCs w:val="20"/>
                <w:color w:val="auto"/>
              </w:rPr>
            </w:pPr>
            <w:r>
              <w:rPr>
                <w:rFonts w:ascii="Arial" w:cs="Arial" w:eastAsia="Arial" w:hAnsi="Arial"/>
                <w:sz w:val="18"/>
                <w:szCs w:val="18"/>
                <w:color w:val="auto"/>
              </w:rPr>
              <w:t>8,826</w:t>
            </w:r>
          </w:p>
        </w:tc>
        <w:tc>
          <w:tcPr>
            <w:tcW w:w="320" w:type="dxa"/>
            <w:vAlign w:val="bottom"/>
            <w:shd w:val="clear" w:color="auto" w:fill="CCCCCC"/>
          </w:tcPr>
          <w:p>
            <w:pPr>
              <w:spacing w:after="0"/>
              <w:rPr>
                <w:sz w:val="22"/>
                <w:szCs w:val="22"/>
                <w:color w:val="auto"/>
              </w:rPr>
            </w:pPr>
          </w:p>
        </w:tc>
        <w:tc>
          <w:tcPr>
            <w:tcW w:w="700" w:type="dxa"/>
            <w:vAlign w:val="bottom"/>
            <w:tcBorders>
              <w:right w:val="single" w:sz="8" w:color="3C5896"/>
            </w:tcBorders>
            <w:gridSpan w:val="2"/>
            <w:shd w:val="clear" w:color="auto" w:fill="CCCCCC"/>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tcBorders>
          </w:tcPr>
          <w:p>
            <w:pPr>
              <w:spacing w:after="0"/>
              <w:rPr>
                <w:sz w:val="24"/>
                <w:szCs w:val="24"/>
                <w:color w:val="auto"/>
              </w:rPr>
            </w:pPr>
          </w:p>
        </w:tc>
        <w:tc>
          <w:tcPr>
            <w:tcW w:w="5040" w:type="dxa"/>
            <w:vAlign w:val="bottom"/>
            <w:tcBorders>
              <w:right w:val="single" w:sz="8" w:color="9EACCA"/>
            </w:tcBorders>
          </w:tcPr>
          <w:p>
            <w:pPr>
              <w:ind w:left="180"/>
              <w:spacing w:after="0"/>
              <w:rPr>
                <w:sz w:val="20"/>
                <w:szCs w:val="20"/>
                <w:color w:val="auto"/>
              </w:rPr>
            </w:pPr>
            <w:r>
              <w:rPr>
                <w:rFonts w:ascii="Arial" w:cs="Arial" w:eastAsia="Arial" w:hAnsi="Arial"/>
                <w:sz w:val="18"/>
                <w:szCs w:val="18"/>
                <w:b w:val="1"/>
                <w:bCs w:val="1"/>
                <w:color w:val="auto"/>
              </w:rPr>
              <w:t>STIP Adjusted EBITDA / STIP Adjusted EBITDA Margin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w w:val="98"/>
              </w:rPr>
              <w:t>230,511</w:t>
            </w:r>
          </w:p>
        </w:tc>
        <w:tc>
          <w:tcPr>
            <w:tcW w:w="320" w:type="dxa"/>
            <w:vAlign w:val="bottom"/>
          </w:tcPr>
          <w:p>
            <w:pPr>
              <w:spacing w:after="0"/>
              <w:rPr>
                <w:sz w:val="24"/>
                <w:szCs w:val="24"/>
                <w:color w:val="auto"/>
              </w:rPr>
            </w:pPr>
          </w:p>
        </w:tc>
        <w:tc>
          <w:tcPr>
            <w:tcW w:w="680" w:type="dxa"/>
            <w:vAlign w:val="bottom"/>
            <w:tcBorders>
              <w:right w:val="single" w:sz="8" w:color="9EACCA"/>
            </w:tcBorders>
            <w:gridSpan w:val="2"/>
          </w:tcPr>
          <w:p>
            <w:pPr>
              <w:jc w:val="right"/>
              <w:ind w:right="180"/>
              <w:spacing w:after="0"/>
              <w:rPr>
                <w:sz w:val="20"/>
                <w:szCs w:val="20"/>
                <w:color w:val="auto"/>
              </w:rPr>
            </w:pPr>
            <w:r>
              <w:rPr>
                <w:rFonts w:ascii="Arial" w:cs="Arial" w:eastAsia="Arial" w:hAnsi="Arial"/>
                <w:sz w:val="18"/>
                <w:szCs w:val="18"/>
                <w:color w:val="auto"/>
                <w:w w:val="93"/>
              </w:rPr>
              <w:t>13.5%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9EACCA"/>
            </w:tcBorders>
            <w:gridSpan w:val="2"/>
          </w:tcPr>
          <w:p>
            <w:pPr>
              <w:jc w:val="right"/>
              <w:ind w:right="140"/>
              <w:spacing w:after="0"/>
              <w:rPr>
                <w:sz w:val="20"/>
                <w:szCs w:val="20"/>
                <w:color w:val="auto"/>
              </w:rPr>
            </w:pPr>
            <w:r>
              <w:rPr>
                <w:rFonts w:ascii="Arial" w:cs="Arial" w:eastAsia="Arial" w:hAnsi="Arial"/>
                <w:sz w:val="18"/>
                <w:szCs w:val="18"/>
                <w:color w:val="auto"/>
                <w:w w:val="98"/>
              </w:rPr>
              <w:t>203,620</w:t>
            </w:r>
          </w:p>
        </w:tc>
        <w:tc>
          <w:tcPr>
            <w:tcW w:w="320" w:type="dxa"/>
            <w:vAlign w:val="bottom"/>
          </w:tcPr>
          <w:p>
            <w:pPr>
              <w:spacing w:after="0"/>
              <w:rPr>
                <w:sz w:val="24"/>
                <w:szCs w:val="24"/>
                <w:color w:val="auto"/>
              </w:rPr>
            </w:pPr>
          </w:p>
        </w:tc>
        <w:tc>
          <w:tcPr>
            <w:tcW w:w="700" w:type="dxa"/>
            <w:vAlign w:val="bottom"/>
            <w:tcBorders>
              <w:right w:val="single" w:sz="8" w:color="3C5896"/>
            </w:tcBorders>
            <w:gridSpan w:val="2"/>
          </w:tcPr>
          <w:p>
            <w:pPr>
              <w:jc w:val="right"/>
              <w:ind w:right="200"/>
              <w:spacing w:after="0"/>
              <w:rPr>
                <w:sz w:val="20"/>
                <w:szCs w:val="20"/>
                <w:color w:val="auto"/>
              </w:rPr>
            </w:pPr>
            <w:r>
              <w:rPr>
                <w:rFonts w:ascii="Arial" w:cs="Arial" w:eastAsia="Arial" w:hAnsi="Arial"/>
                <w:sz w:val="18"/>
                <w:szCs w:val="18"/>
                <w:color w:val="auto"/>
                <w:w w:val="93"/>
              </w:rPr>
              <w:t>11.8%</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5040" w:type="dxa"/>
            <w:vAlign w:val="bottom"/>
            <w:tcBorders>
              <w:right w:val="single" w:sz="8" w:color="3C5896"/>
            </w:tcBorders>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660" w:type="dxa"/>
            <w:vAlign w:val="bottom"/>
            <w:shd w:val="clear" w:color="auto" w:fill="3C5896"/>
          </w:tcPr>
          <w:p>
            <w:pPr>
              <w:spacing w:after="0" w:line="20" w:lineRule="exact"/>
              <w:rPr>
                <w:sz w:val="1"/>
                <w:szCs w:val="1"/>
                <w:color w:val="auto"/>
              </w:rPr>
            </w:pPr>
          </w:p>
        </w:tc>
        <w:tc>
          <w:tcPr>
            <w:tcW w:w="140" w:type="dxa"/>
            <w:vAlign w:val="bottom"/>
            <w:tcBorders>
              <w:right w:val="single" w:sz="8" w:color="3C5896"/>
            </w:tcBorders>
            <w:shd w:val="clear" w:color="auto" w:fill="3C5896"/>
          </w:tcPr>
          <w:p>
            <w:pPr>
              <w:spacing w:after="0" w:line="20" w:lineRule="exact"/>
              <w:rPr>
                <w:sz w:val="1"/>
                <w:szCs w:val="1"/>
                <w:color w:val="auto"/>
              </w:rPr>
            </w:pPr>
          </w:p>
        </w:tc>
        <w:tc>
          <w:tcPr>
            <w:tcW w:w="320" w:type="dxa"/>
            <w:vAlign w:val="bottom"/>
            <w:shd w:val="clear" w:color="auto" w:fill="3C5896"/>
          </w:tcPr>
          <w:p>
            <w:pPr>
              <w:spacing w:after="0" w:line="20" w:lineRule="exact"/>
              <w:rPr>
                <w:sz w:val="1"/>
                <w:szCs w:val="1"/>
                <w:color w:val="auto"/>
              </w:rPr>
            </w:pPr>
          </w:p>
        </w:tc>
        <w:tc>
          <w:tcPr>
            <w:tcW w:w="340" w:type="dxa"/>
            <w:vAlign w:val="bottom"/>
            <w:shd w:val="clear" w:color="auto" w:fill="3C5896"/>
          </w:tcPr>
          <w:p>
            <w:pPr>
              <w:spacing w:after="0" w:line="20" w:lineRule="exact"/>
              <w:rPr>
                <w:sz w:val="1"/>
                <w:szCs w:val="1"/>
                <w:color w:val="auto"/>
              </w:rPr>
            </w:pPr>
          </w:p>
        </w:tc>
        <w:tc>
          <w:tcPr>
            <w:tcW w:w="340" w:type="dxa"/>
            <w:vAlign w:val="bottom"/>
            <w:tcBorders>
              <w:right w:val="single" w:sz="8" w:color="3C5896"/>
            </w:tcBorders>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660" w:type="dxa"/>
            <w:vAlign w:val="bottom"/>
            <w:shd w:val="clear" w:color="auto" w:fill="3C5896"/>
          </w:tcPr>
          <w:p>
            <w:pPr>
              <w:spacing w:after="0" w:line="20" w:lineRule="exact"/>
              <w:rPr>
                <w:sz w:val="1"/>
                <w:szCs w:val="1"/>
                <w:color w:val="auto"/>
              </w:rPr>
            </w:pPr>
          </w:p>
        </w:tc>
        <w:tc>
          <w:tcPr>
            <w:tcW w:w="140" w:type="dxa"/>
            <w:vAlign w:val="bottom"/>
            <w:tcBorders>
              <w:right w:val="single" w:sz="8" w:color="3C5896"/>
            </w:tcBorders>
            <w:shd w:val="clear" w:color="auto" w:fill="3C5896"/>
          </w:tcPr>
          <w:p>
            <w:pPr>
              <w:spacing w:after="0" w:line="20" w:lineRule="exact"/>
              <w:rPr>
                <w:sz w:val="1"/>
                <w:szCs w:val="1"/>
                <w:color w:val="auto"/>
              </w:rPr>
            </w:pPr>
          </w:p>
        </w:tc>
        <w:tc>
          <w:tcPr>
            <w:tcW w:w="320" w:type="dxa"/>
            <w:vAlign w:val="bottom"/>
            <w:shd w:val="clear" w:color="auto" w:fill="3C5896"/>
          </w:tcPr>
          <w:p>
            <w:pPr>
              <w:spacing w:after="0" w:line="20" w:lineRule="exact"/>
              <w:rPr>
                <w:sz w:val="1"/>
                <w:szCs w:val="1"/>
                <w:color w:val="auto"/>
              </w:rPr>
            </w:pPr>
          </w:p>
        </w:tc>
        <w:tc>
          <w:tcPr>
            <w:tcW w:w="340" w:type="dxa"/>
            <w:vAlign w:val="bottom"/>
            <w:shd w:val="clear" w:color="auto" w:fill="3C5896"/>
          </w:tcPr>
          <w:p>
            <w:pPr>
              <w:spacing w:after="0" w:line="20" w:lineRule="exact"/>
              <w:rPr>
                <w:sz w:val="1"/>
                <w:szCs w:val="1"/>
                <w:color w:val="auto"/>
              </w:rPr>
            </w:pPr>
          </w:p>
        </w:tc>
        <w:tc>
          <w:tcPr>
            <w:tcW w:w="36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6097905</wp:posOffset>
            </wp:positionH>
            <wp:positionV relativeFrom="paragraph">
              <wp:posOffset>-685165</wp:posOffset>
            </wp:positionV>
            <wp:extent cx="2146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-685165</wp:posOffset>
            </wp:positionV>
            <wp:extent cx="29146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-685165</wp:posOffset>
            </wp:positionV>
            <wp:extent cx="46031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60311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-2879725</wp:posOffset>
            </wp:positionV>
            <wp:extent cx="58204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2020 includes 53 weeks. Fiscal year 2019 includes 52 weeks.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Percentages reflect line item as a percentage of net revenue, adjusted for rounding.</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sz w:val="1"/>
          <w:szCs w:val="1"/>
          <w:color w:val="auto"/>
        </w:rPr>
        <w:drawing>
          <wp:inline distT="0" distB="0" distL="0" distR="0">
            <wp:extent cx="299720" cy="24003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66" w:lineRule="exact"/>
        <w:rPr>
          <w:sz w:val="20"/>
          <w:szCs w:val="20"/>
          <w:color w:val="auto"/>
        </w:rPr>
      </w:pPr>
    </w:p>
    <w:tbl>
      <w:tblPr>
        <w:tblLayout w:type="fixed"/>
        <w:tblInd w:w="770" w:type="dxa"/>
        <w:tblCellMar>
          <w:top w:w="0" w:type="dxa"/>
          <w:left w:w="0" w:type="dxa"/>
          <w:bottom w:w="0" w:type="dxa"/>
          <w:right w:w="0" w:type="dxa"/>
        </w:tblCellMar>
      </w:tblPr>
      <w:tr>
        <w:trPr>
          <w:trHeight w:val="284"/>
        </w:trPr>
        <w:tc>
          <w:tcPr>
            <w:tcW w:w="60" w:type="dxa"/>
            <w:vAlign w:val="bottom"/>
            <w:tcBorders>
              <w:left w:val="single" w:sz="8" w:color="3C5896"/>
            </w:tcBorders>
            <w:shd w:val="clear" w:color="auto" w:fill="3C5896"/>
          </w:tcPr>
          <w:p>
            <w:pPr>
              <w:spacing w:after="0"/>
              <w:rPr>
                <w:sz w:val="24"/>
                <w:szCs w:val="24"/>
                <w:color w:val="auto"/>
              </w:rPr>
            </w:pPr>
          </w:p>
        </w:tc>
        <w:tc>
          <w:tcPr>
            <w:tcW w:w="6540" w:type="dxa"/>
            <w:vAlign w:val="bottom"/>
            <w:tcBorders>
              <w:right w:val="single" w:sz="8" w:color="3C5896"/>
            </w:tcBorders>
            <w:shd w:val="clear" w:color="auto" w:fill="3C5896"/>
          </w:tcPr>
          <w:p>
            <w:pPr>
              <w:spacing w:after="0"/>
              <w:rPr>
                <w:sz w:val="24"/>
                <w:szCs w:val="24"/>
                <w:color w:val="auto"/>
              </w:rPr>
            </w:pPr>
          </w:p>
        </w:tc>
        <w:tc>
          <w:tcPr>
            <w:tcW w:w="300" w:type="dxa"/>
            <w:vAlign w:val="bottom"/>
            <w:shd w:val="clear" w:color="auto" w:fill="3C5896"/>
          </w:tcPr>
          <w:p>
            <w:pPr>
              <w:spacing w:after="0"/>
              <w:rPr>
                <w:sz w:val="24"/>
                <w:szCs w:val="24"/>
                <w:color w:val="auto"/>
              </w:rPr>
            </w:pPr>
          </w:p>
        </w:tc>
        <w:tc>
          <w:tcPr>
            <w:tcW w:w="120" w:type="dxa"/>
            <w:vAlign w:val="bottom"/>
            <w:shd w:val="clear" w:color="auto" w:fill="3C5896"/>
          </w:tcPr>
          <w:p>
            <w:pPr>
              <w:spacing w:after="0"/>
              <w:rPr>
                <w:sz w:val="24"/>
                <w:szCs w:val="24"/>
                <w:color w:val="auto"/>
              </w:rPr>
            </w:pPr>
          </w:p>
        </w:tc>
        <w:tc>
          <w:tcPr>
            <w:tcW w:w="540" w:type="dxa"/>
            <w:vAlign w:val="bottom"/>
            <w:shd w:val="clear" w:color="auto" w:fill="3C5896"/>
          </w:tcPr>
          <w:p>
            <w:pPr>
              <w:spacing w:after="0"/>
              <w:rPr>
                <w:sz w:val="24"/>
                <w:szCs w:val="24"/>
                <w:color w:val="auto"/>
              </w:rPr>
            </w:pPr>
          </w:p>
        </w:tc>
        <w:tc>
          <w:tcPr>
            <w:tcW w:w="340" w:type="dxa"/>
            <w:vAlign w:val="bottom"/>
            <w:tcBorders>
              <w:right w:val="single" w:sz="8" w:color="3C5896"/>
            </w:tcBorders>
            <w:shd w:val="clear" w:color="auto" w:fill="3C5896"/>
          </w:tcPr>
          <w:p>
            <w:pPr>
              <w:spacing w:after="0"/>
              <w:rPr>
                <w:sz w:val="24"/>
                <w:szCs w:val="24"/>
                <w:color w:val="auto"/>
              </w:rPr>
            </w:pPr>
          </w:p>
        </w:tc>
        <w:tc>
          <w:tcPr>
            <w:tcW w:w="1300" w:type="dxa"/>
            <w:vAlign w:val="bottom"/>
            <w:tcBorders>
              <w:right w:val="single" w:sz="8" w:color="3C5896"/>
            </w:tcBorders>
            <w:gridSpan w:val="4"/>
            <w:shd w:val="clear" w:color="auto" w:fill="3C5896"/>
          </w:tcPr>
          <w:p>
            <w:pPr>
              <w:jc w:val="right"/>
              <w:ind w:right="120"/>
              <w:spacing w:after="0"/>
              <w:rPr>
                <w:sz w:val="20"/>
                <w:szCs w:val="20"/>
                <w:color w:val="auto"/>
              </w:rPr>
            </w:pPr>
            <w:r>
              <w:rPr>
                <w:rFonts w:ascii="Arial" w:cs="Arial" w:eastAsia="Arial" w:hAnsi="Arial"/>
                <w:sz w:val="18"/>
                <w:szCs w:val="18"/>
                <w:b w:val="1"/>
                <w:bCs w:val="1"/>
                <w:color w:val="FFFFFF"/>
              </w:rPr>
              <w:t>APPENDIX A</w:t>
            </w:r>
          </w:p>
        </w:tc>
        <w:tc>
          <w:tcPr>
            <w:tcW w:w="0" w:type="dxa"/>
            <w:vAlign w:val="bottom"/>
          </w:tcPr>
          <w:p>
            <w:pPr>
              <w:spacing w:after="0"/>
              <w:rPr>
                <w:sz w:val="1"/>
                <w:szCs w:val="1"/>
                <w:color w:val="auto"/>
              </w:rPr>
            </w:pPr>
          </w:p>
        </w:tc>
      </w:tr>
      <w:tr>
        <w:trPr>
          <w:trHeight w:val="445"/>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3C5896"/>
            </w:tcBorders>
          </w:tcPr>
          <w:p>
            <w:pPr>
              <w:spacing w:after="0"/>
              <w:rPr>
                <w:sz w:val="12"/>
                <w:szCs w:val="12"/>
                <w:color w:val="auto"/>
              </w:rPr>
            </w:pPr>
          </w:p>
        </w:tc>
        <w:tc>
          <w:tcPr>
            <w:tcW w:w="6540" w:type="dxa"/>
            <w:vAlign w:val="bottom"/>
            <w:tcBorders>
              <w:bottom w:val="single" w:sz="8" w:color="3C5896"/>
            </w:tcBorders>
          </w:tcPr>
          <w:p>
            <w:pPr>
              <w:spacing w:after="0"/>
              <w:rPr>
                <w:sz w:val="12"/>
                <w:szCs w:val="12"/>
                <w:color w:val="auto"/>
              </w:rPr>
            </w:pPr>
          </w:p>
        </w:tc>
        <w:tc>
          <w:tcPr>
            <w:tcW w:w="300" w:type="dxa"/>
            <w:vAlign w:val="bottom"/>
            <w:tcBorders>
              <w:bottom w:val="single" w:sz="8" w:color="3C5896"/>
            </w:tcBorders>
          </w:tcPr>
          <w:p>
            <w:pPr>
              <w:spacing w:after="0"/>
              <w:rPr>
                <w:sz w:val="12"/>
                <w:szCs w:val="12"/>
                <w:color w:val="auto"/>
              </w:rPr>
            </w:pPr>
          </w:p>
        </w:tc>
        <w:tc>
          <w:tcPr>
            <w:tcW w:w="660" w:type="dxa"/>
            <w:vAlign w:val="bottom"/>
            <w:tcBorders>
              <w:bottom w:val="single" w:sz="8" w:color="3C5896"/>
            </w:tcBorders>
            <w:gridSpan w:val="2"/>
          </w:tcPr>
          <w:p>
            <w:pPr>
              <w:spacing w:after="0"/>
              <w:rPr>
                <w:sz w:val="12"/>
                <w:szCs w:val="12"/>
                <w:color w:val="auto"/>
              </w:rPr>
            </w:pPr>
          </w:p>
        </w:tc>
        <w:tc>
          <w:tcPr>
            <w:tcW w:w="340" w:type="dxa"/>
            <w:vAlign w:val="bottom"/>
            <w:tcBorders>
              <w:bottom w:val="single" w:sz="8" w:color="3C5896"/>
            </w:tcBorders>
          </w:tcPr>
          <w:p>
            <w:pPr>
              <w:spacing w:after="0"/>
              <w:rPr>
                <w:sz w:val="12"/>
                <w:szCs w:val="12"/>
                <w:color w:val="auto"/>
              </w:rPr>
            </w:pPr>
          </w:p>
        </w:tc>
        <w:tc>
          <w:tcPr>
            <w:tcW w:w="300" w:type="dxa"/>
            <w:vAlign w:val="bottom"/>
            <w:tcBorders>
              <w:bottom w:val="single" w:sz="8" w:color="3C5896"/>
            </w:tcBorders>
          </w:tcPr>
          <w:p>
            <w:pPr>
              <w:spacing w:after="0"/>
              <w:rPr>
                <w:sz w:val="12"/>
                <w:szCs w:val="12"/>
                <w:color w:val="auto"/>
              </w:rPr>
            </w:pPr>
          </w:p>
        </w:tc>
        <w:tc>
          <w:tcPr>
            <w:tcW w:w="660" w:type="dxa"/>
            <w:vAlign w:val="bottom"/>
            <w:tcBorders>
              <w:bottom w:val="single" w:sz="8" w:color="3C5896"/>
            </w:tcBorders>
            <w:gridSpan w:val="2"/>
          </w:tcPr>
          <w:p>
            <w:pPr>
              <w:spacing w:after="0"/>
              <w:rPr>
                <w:sz w:val="12"/>
                <w:szCs w:val="12"/>
                <w:color w:val="auto"/>
              </w:rPr>
            </w:pPr>
          </w:p>
        </w:tc>
        <w:tc>
          <w:tcPr>
            <w:tcW w:w="340" w:type="dxa"/>
            <w:vAlign w:val="bottom"/>
            <w:tcBorders>
              <w:bottom w:val="single" w:sz="8" w:color="3C5896"/>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3C5896"/>
            </w:tcBorders>
            <w:shd w:val="clear" w:color="auto" w:fill="3C5896"/>
          </w:tcPr>
          <w:p>
            <w:pPr>
              <w:spacing w:after="0"/>
              <w:rPr>
                <w:sz w:val="16"/>
                <w:szCs w:val="16"/>
                <w:color w:val="auto"/>
              </w:rPr>
            </w:pPr>
          </w:p>
        </w:tc>
        <w:tc>
          <w:tcPr>
            <w:tcW w:w="6540" w:type="dxa"/>
            <w:vAlign w:val="bottom"/>
            <w:tcBorders>
              <w:right w:val="single" w:sz="8" w:color="9EACCA"/>
            </w:tcBorders>
            <w:vMerge w:val="restart"/>
            <w:shd w:val="clear" w:color="auto" w:fill="3C5896"/>
          </w:tcPr>
          <w:p>
            <w:pPr>
              <w:ind w:left="2360"/>
              <w:spacing w:after="0"/>
              <w:rPr>
                <w:sz w:val="20"/>
                <w:szCs w:val="20"/>
                <w:color w:val="auto"/>
              </w:rPr>
            </w:pPr>
            <w:r>
              <w:rPr>
                <w:rFonts w:ascii="Arial" w:cs="Arial" w:eastAsia="Arial" w:hAnsi="Arial"/>
                <w:sz w:val="18"/>
                <w:szCs w:val="18"/>
                <w:b w:val="1"/>
                <w:bCs w:val="1"/>
                <w:color w:val="FFFFFF"/>
              </w:rPr>
              <w:t>Shares in thousands</w:t>
            </w:r>
          </w:p>
        </w:tc>
        <w:tc>
          <w:tcPr>
            <w:tcW w:w="1300" w:type="dxa"/>
            <w:vAlign w:val="bottom"/>
            <w:tcBorders>
              <w:right w:val="single" w:sz="8" w:color="9EACCA"/>
            </w:tcBorders>
            <w:gridSpan w:val="4"/>
            <w:shd w:val="clear" w:color="auto" w:fill="3C5896"/>
          </w:tcPr>
          <w:p>
            <w:pPr>
              <w:jc w:val="center"/>
              <w:ind w:right="80"/>
              <w:spacing w:after="0" w:line="187" w:lineRule="exact"/>
              <w:rPr>
                <w:sz w:val="20"/>
                <w:szCs w:val="20"/>
                <w:color w:val="auto"/>
              </w:rPr>
            </w:pPr>
            <w:r>
              <w:rPr>
                <w:rFonts w:ascii="Arial" w:cs="Arial" w:eastAsia="Arial" w:hAnsi="Arial"/>
                <w:sz w:val="18"/>
                <w:szCs w:val="18"/>
                <w:b w:val="1"/>
                <w:bCs w:val="1"/>
                <w:color w:val="FFFFFF"/>
                <w:w w:val="98"/>
              </w:rPr>
              <w:t>Fiscal Year</w:t>
            </w:r>
          </w:p>
        </w:tc>
        <w:tc>
          <w:tcPr>
            <w:tcW w:w="1300" w:type="dxa"/>
            <w:vAlign w:val="bottom"/>
            <w:tcBorders>
              <w:right w:val="single" w:sz="8" w:color="3C5896"/>
            </w:tcBorders>
            <w:gridSpan w:val="4"/>
            <w:shd w:val="clear" w:color="auto" w:fill="3C5896"/>
          </w:tcPr>
          <w:p>
            <w:pPr>
              <w:jc w:val="right"/>
              <w:ind w:right="240"/>
              <w:spacing w:after="0" w:line="187" w:lineRule="exact"/>
              <w:rPr>
                <w:sz w:val="20"/>
                <w:szCs w:val="20"/>
                <w:color w:val="auto"/>
              </w:rPr>
            </w:pPr>
            <w:r>
              <w:rPr>
                <w:rFonts w:ascii="Arial" w:cs="Arial" w:eastAsia="Arial" w:hAnsi="Arial"/>
                <w:sz w:val="18"/>
                <w:szCs w:val="18"/>
                <w:b w:val="1"/>
                <w:bCs w:val="1"/>
                <w:color w:val="FFFFFF"/>
              </w:rPr>
              <w:t>Fiscal Year</w:t>
            </w:r>
          </w:p>
        </w:tc>
        <w:tc>
          <w:tcPr>
            <w:tcW w:w="0" w:type="dxa"/>
            <w:vAlign w:val="bottom"/>
          </w:tcPr>
          <w:p>
            <w:pPr>
              <w:spacing w:after="0"/>
              <w:rPr>
                <w:sz w:val="1"/>
                <w:szCs w:val="1"/>
                <w:color w:val="auto"/>
              </w:rPr>
            </w:pPr>
          </w:p>
        </w:tc>
      </w:tr>
      <w:tr>
        <w:trPr>
          <w:trHeight w:val="252"/>
        </w:trPr>
        <w:tc>
          <w:tcPr>
            <w:tcW w:w="60" w:type="dxa"/>
            <w:vAlign w:val="bottom"/>
            <w:tcBorders>
              <w:left w:val="single" w:sz="8" w:color="3C5896"/>
            </w:tcBorders>
            <w:shd w:val="clear" w:color="auto" w:fill="3C5896"/>
          </w:tcPr>
          <w:p>
            <w:pPr>
              <w:spacing w:after="0"/>
              <w:rPr>
                <w:sz w:val="21"/>
                <w:szCs w:val="21"/>
                <w:color w:val="auto"/>
              </w:rPr>
            </w:pPr>
          </w:p>
        </w:tc>
        <w:tc>
          <w:tcPr>
            <w:tcW w:w="6540" w:type="dxa"/>
            <w:vAlign w:val="bottom"/>
            <w:tcBorders>
              <w:right w:val="single" w:sz="8" w:color="9EACCA"/>
            </w:tcBorders>
            <w:vMerge w:val="continue"/>
            <w:shd w:val="clear" w:color="auto" w:fill="3C5896"/>
          </w:tcPr>
          <w:p>
            <w:pPr>
              <w:spacing w:after="0"/>
              <w:rPr>
                <w:sz w:val="21"/>
                <w:szCs w:val="21"/>
                <w:color w:val="auto"/>
              </w:rPr>
            </w:pPr>
          </w:p>
        </w:tc>
        <w:tc>
          <w:tcPr>
            <w:tcW w:w="300" w:type="dxa"/>
            <w:vAlign w:val="bottom"/>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540" w:type="dxa"/>
            <w:vAlign w:val="bottom"/>
            <w:shd w:val="clear" w:color="auto" w:fill="3C5896"/>
          </w:tcPr>
          <w:p>
            <w:pPr>
              <w:jc w:val="right"/>
              <w:ind w:right="30"/>
              <w:spacing w:after="0"/>
              <w:rPr>
                <w:sz w:val="20"/>
                <w:szCs w:val="20"/>
                <w:color w:val="auto"/>
              </w:rPr>
            </w:pPr>
            <w:r>
              <w:rPr>
                <w:rFonts w:ascii="Arial" w:cs="Arial" w:eastAsia="Arial" w:hAnsi="Arial"/>
                <w:sz w:val="18"/>
                <w:szCs w:val="18"/>
                <w:b w:val="1"/>
                <w:bCs w:val="1"/>
                <w:color w:val="FFFFFF"/>
                <w:w w:val="99"/>
              </w:rPr>
              <w:t>2020</w:t>
            </w:r>
          </w:p>
        </w:tc>
        <w:tc>
          <w:tcPr>
            <w:tcW w:w="340" w:type="dxa"/>
            <w:vAlign w:val="bottom"/>
            <w:tcBorders>
              <w:right w:val="single" w:sz="8" w:color="9EACCA"/>
            </w:tcBorders>
            <w:shd w:val="clear" w:color="auto" w:fill="3C5896"/>
          </w:tcPr>
          <w:p>
            <w:pPr>
              <w:spacing w:after="0"/>
              <w:rPr>
                <w:sz w:val="21"/>
                <w:szCs w:val="21"/>
                <w:color w:val="auto"/>
              </w:rPr>
            </w:pPr>
          </w:p>
        </w:tc>
        <w:tc>
          <w:tcPr>
            <w:tcW w:w="300" w:type="dxa"/>
            <w:vAlign w:val="bottom"/>
            <w:shd w:val="clear" w:color="auto" w:fill="3C5896"/>
          </w:tcPr>
          <w:p>
            <w:pPr>
              <w:spacing w:after="0"/>
              <w:rPr>
                <w:sz w:val="21"/>
                <w:szCs w:val="21"/>
                <w:color w:val="auto"/>
              </w:rPr>
            </w:pPr>
          </w:p>
        </w:tc>
        <w:tc>
          <w:tcPr>
            <w:tcW w:w="100" w:type="dxa"/>
            <w:vAlign w:val="bottom"/>
            <w:shd w:val="clear" w:color="auto" w:fill="3C5896"/>
          </w:tcPr>
          <w:p>
            <w:pPr>
              <w:spacing w:after="0"/>
              <w:rPr>
                <w:sz w:val="21"/>
                <w:szCs w:val="21"/>
                <w:color w:val="auto"/>
              </w:rPr>
            </w:pPr>
          </w:p>
        </w:tc>
        <w:tc>
          <w:tcPr>
            <w:tcW w:w="560" w:type="dxa"/>
            <w:vAlign w:val="bottom"/>
            <w:shd w:val="clear" w:color="auto" w:fill="3C5896"/>
          </w:tcPr>
          <w:p>
            <w:pPr>
              <w:jc w:val="right"/>
              <w:ind w:right="50"/>
              <w:spacing w:after="0"/>
              <w:rPr>
                <w:sz w:val="20"/>
                <w:szCs w:val="20"/>
                <w:color w:val="auto"/>
              </w:rPr>
            </w:pPr>
            <w:r>
              <w:rPr>
                <w:rFonts w:ascii="Arial" w:cs="Arial" w:eastAsia="Arial" w:hAnsi="Arial"/>
                <w:sz w:val="18"/>
                <w:szCs w:val="18"/>
                <w:b w:val="1"/>
                <w:bCs w:val="1"/>
                <w:color w:val="FFFFFF"/>
                <w:w w:val="99"/>
              </w:rPr>
              <w:t>2019</w:t>
            </w:r>
          </w:p>
        </w:tc>
        <w:tc>
          <w:tcPr>
            <w:tcW w:w="340" w:type="dxa"/>
            <w:vAlign w:val="bottom"/>
            <w:tcBorders>
              <w:right w:val="single" w:sz="8" w:color="3C5896"/>
            </w:tcBorders>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3C5896"/>
            </w:tcBorders>
          </w:tcPr>
          <w:p>
            <w:pPr>
              <w:spacing w:after="0"/>
              <w:rPr>
                <w:sz w:val="21"/>
                <w:szCs w:val="21"/>
                <w:color w:val="auto"/>
              </w:rPr>
            </w:pPr>
          </w:p>
        </w:tc>
        <w:tc>
          <w:tcPr>
            <w:tcW w:w="65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Diluted EPS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0.44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7"/>
        </w:trPr>
        <w:tc>
          <w:tcPr>
            <w:tcW w:w="60" w:type="dxa"/>
            <w:vAlign w:val="bottom"/>
            <w:tcBorders>
              <w:left w:val="single" w:sz="8" w:color="3C5896"/>
            </w:tcBorders>
            <w:shd w:val="clear" w:color="auto" w:fill="CCCCCC"/>
          </w:tcPr>
          <w:p>
            <w:pPr>
              <w:spacing w:after="0"/>
              <w:rPr>
                <w:sz w:val="24"/>
                <w:szCs w:val="24"/>
                <w:color w:val="auto"/>
              </w:rPr>
            </w:pPr>
          </w:p>
        </w:tc>
        <w:tc>
          <w:tcPr>
            <w:tcW w:w="6540" w:type="dxa"/>
            <w:vAlign w:val="bottom"/>
            <w:tcBorders>
              <w:right w:val="single" w:sz="8" w:color="9EACCA"/>
            </w:tcBorders>
            <w:shd w:val="clear" w:color="auto" w:fill="CCCCCC"/>
          </w:tcPr>
          <w:p>
            <w:pPr>
              <w:spacing w:after="0" w:line="277" w:lineRule="exact"/>
              <w:rPr>
                <w:sz w:val="20"/>
                <w:szCs w:val="20"/>
                <w:color w:val="auto"/>
              </w:rPr>
            </w:pPr>
            <w:r>
              <w:rPr>
                <w:rFonts w:ascii="Arial" w:cs="Arial" w:eastAsia="Arial" w:hAnsi="Arial"/>
                <w:sz w:val="18"/>
                <w:szCs w:val="18"/>
                <w:color w:val="auto"/>
              </w:rPr>
              <w:t>Stock compensation expense</w:t>
            </w:r>
            <w:r>
              <w:rPr>
                <w:rFonts w:ascii="Arial" w:cs="Arial" w:eastAsia="Arial" w:hAnsi="Arial"/>
                <w:sz w:val="26"/>
                <w:szCs w:val="26"/>
                <w:color w:val="auto"/>
                <w:vertAlign w:val="superscript"/>
              </w:rPr>
              <w:t>(a)</w:t>
            </w:r>
          </w:p>
        </w:tc>
        <w:tc>
          <w:tcPr>
            <w:tcW w:w="3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6"/>
                <w:szCs w:val="26"/>
                <w:color w:val="auto"/>
                <w:vertAlign w:val="superscript"/>
              </w:rPr>
              <w:t>(b)</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Asset impairment</w:t>
            </w:r>
            <w:r>
              <w:rPr>
                <w:rFonts w:ascii="Arial" w:cs="Arial" w:eastAsia="Arial" w:hAnsi="Arial"/>
                <w:sz w:val="26"/>
                <w:szCs w:val="26"/>
                <w:color w:val="auto"/>
                <w:vertAlign w:val="superscript"/>
              </w:rPr>
              <w:t>(c)</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0.27</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Litigation settlement</w:t>
            </w:r>
            <w:r>
              <w:rPr>
                <w:rFonts w:ascii="Arial" w:cs="Arial" w:eastAsia="Arial" w:hAnsi="Arial"/>
                <w:sz w:val="26"/>
                <w:szCs w:val="26"/>
                <w:color w:val="auto"/>
                <w:vertAlign w:val="superscript"/>
              </w:rPr>
              <w:t>(d)</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Secondary offering expenses</w:t>
            </w:r>
            <w:r>
              <w:rPr>
                <w:rFonts w:ascii="Arial" w:cs="Arial" w:eastAsia="Arial" w:hAnsi="Arial"/>
                <w:sz w:val="26"/>
                <w:szCs w:val="26"/>
                <w:color w:val="auto"/>
                <w:vertAlign w:val="superscript"/>
              </w:rPr>
              <w:t>(e)</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Management realignment expenses</w:t>
            </w:r>
            <w:r>
              <w:rPr>
                <w:rFonts w:ascii="Arial" w:cs="Arial" w:eastAsia="Arial" w:hAnsi="Arial"/>
                <w:sz w:val="26"/>
                <w:szCs w:val="26"/>
                <w:color w:val="auto"/>
                <w:vertAlign w:val="superscript"/>
              </w:rPr>
              <w:t>(f)</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6"/>
                <w:szCs w:val="26"/>
                <w:color w:val="auto"/>
                <w:vertAlign w:val="superscript"/>
              </w:rPr>
              <w:t>(g)</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Amortization of acquisition intangibles</w:t>
            </w:r>
            <w:r>
              <w:rPr>
                <w:rFonts w:ascii="Arial" w:cs="Arial" w:eastAsia="Arial" w:hAnsi="Arial"/>
                <w:sz w:val="26"/>
                <w:szCs w:val="26"/>
                <w:color w:val="auto"/>
                <w:vertAlign w:val="superscript"/>
              </w:rPr>
              <w:t>(h)</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Amortization of debt discounts and deferred financing costs</w:t>
            </w:r>
            <w:r>
              <w:rPr>
                <w:rFonts w:ascii="Arial" w:cs="Arial" w:eastAsia="Arial" w:hAnsi="Arial"/>
                <w:sz w:val="26"/>
                <w:szCs w:val="26"/>
                <w:color w:val="auto"/>
                <w:vertAlign w:val="superscript"/>
              </w:rPr>
              <w:t>(i)</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6"/>
                <w:szCs w:val="26"/>
                <w:color w:val="auto"/>
                <w:vertAlign w:val="superscript"/>
              </w:rPr>
              <w:t>(j)</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shd w:val="clear" w:color="auto" w:fill="CCCCCC"/>
          </w:tcPr>
          <w:p>
            <w:pPr>
              <w:spacing w:after="0"/>
              <w:rPr>
                <w:sz w:val="23"/>
                <w:szCs w:val="23"/>
                <w:color w:val="auto"/>
              </w:rPr>
            </w:pPr>
          </w:p>
        </w:tc>
        <w:tc>
          <w:tcPr>
            <w:tcW w:w="6540" w:type="dxa"/>
            <w:vAlign w:val="bottom"/>
            <w:tcBorders>
              <w:right w:val="single" w:sz="8" w:color="9EACCA"/>
            </w:tcBorders>
            <w:shd w:val="clear" w:color="auto" w:fill="CCCCCC"/>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6"/>
                <w:szCs w:val="26"/>
                <w:color w:val="auto"/>
                <w:vertAlign w:val="superscript"/>
              </w:rPr>
              <w:t>(k)</w:t>
            </w:r>
          </w:p>
        </w:tc>
        <w:tc>
          <w:tcPr>
            <w:tcW w:w="300" w:type="dxa"/>
            <w:vAlign w:val="bottom"/>
            <w:shd w:val="clear" w:color="auto" w:fill="CCCCCC"/>
          </w:tcPr>
          <w:p>
            <w:pPr>
              <w:spacing w:after="0"/>
              <w:rPr>
                <w:sz w:val="23"/>
                <w:szCs w:val="23"/>
                <w:color w:val="auto"/>
              </w:rPr>
            </w:pPr>
          </w:p>
        </w:tc>
        <w:tc>
          <w:tcPr>
            <w:tcW w:w="120" w:type="dxa"/>
            <w:vAlign w:val="bottom"/>
            <w:shd w:val="clear" w:color="auto" w:fill="CCCCCC"/>
          </w:tcPr>
          <w:p>
            <w:pPr>
              <w:spacing w:after="0"/>
              <w:rPr>
                <w:sz w:val="23"/>
                <w:szCs w:val="23"/>
                <w:color w:val="auto"/>
              </w:rPr>
            </w:pPr>
          </w:p>
        </w:tc>
        <w:tc>
          <w:tcPr>
            <w:tcW w:w="880" w:type="dxa"/>
            <w:vAlign w:val="bottom"/>
            <w:tcBorders>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CCCC"/>
          </w:tcPr>
          <w:p>
            <w:pPr>
              <w:spacing w:after="0"/>
              <w:rPr>
                <w:sz w:val="23"/>
                <w:szCs w:val="23"/>
                <w:color w:val="auto"/>
              </w:rPr>
            </w:pPr>
          </w:p>
        </w:tc>
        <w:tc>
          <w:tcPr>
            <w:tcW w:w="100" w:type="dxa"/>
            <w:vAlign w:val="bottom"/>
            <w:shd w:val="clear" w:color="auto" w:fill="CCCCCC"/>
          </w:tcPr>
          <w:p>
            <w:pPr>
              <w:spacing w:after="0"/>
              <w:rPr>
                <w:sz w:val="23"/>
                <w:szCs w:val="23"/>
                <w:color w:val="auto"/>
              </w:rPr>
            </w:pPr>
          </w:p>
        </w:tc>
        <w:tc>
          <w:tcPr>
            <w:tcW w:w="900" w:type="dxa"/>
            <w:vAlign w:val="bottom"/>
            <w:tcBorders>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6540" w:type="dxa"/>
            <w:vAlign w:val="bottom"/>
            <w:tcBorders>
              <w:right w:val="single" w:sz="8" w:color="9EACCA"/>
            </w:tcBorders>
          </w:tcPr>
          <w:p>
            <w:pPr>
              <w:spacing w:after="0" w:line="27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6"/>
                <w:szCs w:val="26"/>
                <w:color w:val="auto"/>
                <w:vertAlign w:val="superscript"/>
              </w:rPr>
              <w:t>(l)</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Borders>
              <w:right w:val="single" w:sz="8" w:color="9EACCA"/>
            </w:tcBorders>
            <w:gridSpan w:val="2"/>
          </w:tcPr>
          <w:p>
            <w:pPr>
              <w:jc w:val="right"/>
              <w:ind w:right="280"/>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right w:val="single" w:sz="8" w:color="3C5896"/>
            </w:tcBorders>
            <w:gridSpan w:val="2"/>
          </w:tcPr>
          <w:p>
            <w:pPr>
              <w:jc w:val="right"/>
              <w:ind w:right="28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83"/>
        </w:trPr>
        <w:tc>
          <w:tcPr>
            <w:tcW w:w="60" w:type="dxa"/>
            <w:vAlign w:val="bottom"/>
            <w:tcBorders>
              <w:left w:val="single" w:sz="8" w:color="3C5896"/>
            </w:tcBorders>
            <w:shd w:val="clear" w:color="auto" w:fill="CCCCCC"/>
          </w:tcPr>
          <w:p>
            <w:pPr>
              <w:spacing w:after="0"/>
              <w:rPr>
                <w:sz w:val="24"/>
                <w:szCs w:val="24"/>
                <w:color w:val="auto"/>
              </w:rPr>
            </w:pPr>
          </w:p>
        </w:tc>
        <w:tc>
          <w:tcPr>
            <w:tcW w:w="6540" w:type="dxa"/>
            <w:vAlign w:val="bottom"/>
            <w:tcBorders>
              <w:right w:val="single" w:sz="8" w:color="9EACCA"/>
            </w:tcBorders>
            <w:shd w:val="clear" w:color="auto" w:fill="CCCCCC"/>
          </w:tcPr>
          <w:p>
            <w:pPr>
              <w:spacing w:after="0" w:line="283" w:lineRule="exact"/>
              <w:rPr>
                <w:sz w:val="20"/>
                <w:szCs w:val="20"/>
                <w:color w:val="auto"/>
              </w:rPr>
            </w:pPr>
            <w:r>
              <w:rPr>
                <w:rFonts w:ascii="Arial" w:cs="Arial" w:eastAsia="Arial" w:hAnsi="Arial"/>
                <w:sz w:val="18"/>
                <w:szCs w:val="18"/>
                <w:color w:val="auto"/>
              </w:rPr>
              <w:t>Tax effect of total adjustments</w:t>
            </w:r>
            <w:r>
              <w:rPr>
                <w:rFonts w:ascii="Arial" w:cs="Arial" w:eastAsia="Arial" w:hAnsi="Arial"/>
                <w:sz w:val="26"/>
                <w:szCs w:val="26"/>
                <w:color w:val="auto"/>
                <w:vertAlign w:val="superscript"/>
              </w:rPr>
              <w:t>(m)</w:t>
            </w:r>
          </w:p>
        </w:tc>
        <w:tc>
          <w:tcPr>
            <w:tcW w:w="300" w:type="dxa"/>
            <w:vAlign w:val="bottom"/>
            <w:shd w:val="clear" w:color="auto" w:fill="CCCCCC"/>
          </w:tcPr>
          <w:p>
            <w:pPr>
              <w:spacing w:after="0"/>
              <w:rPr>
                <w:sz w:val="24"/>
                <w:szCs w:val="24"/>
                <w:color w:val="auto"/>
              </w:rPr>
            </w:pPr>
          </w:p>
        </w:tc>
        <w:tc>
          <w:tcPr>
            <w:tcW w:w="120" w:type="dxa"/>
            <w:vAlign w:val="bottom"/>
            <w:shd w:val="clear" w:color="auto" w:fill="CCCCCC"/>
          </w:tcPr>
          <w:p>
            <w:pPr>
              <w:spacing w:after="0"/>
              <w:rPr>
                <w:sz w:val="24"/>
                <w:szCs w:val="24"/>
                <w:color w:val="auto"/>
              </w:rPr>
            </w:pPr>
          </w:p>
        </w:tc>
        <w:tc>
          <w:tcPr>
            <w:tcW w:w="880" w:type="dxa"/>
            <w:vAlign w:val="bottom"/>
            <w:tcBorders>
              <w:right w:val="single" w:sz="8" w:color="9EACCA"/>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(0.19)</w:t>
            </w:r>
          </w:p>
        </w:tc>
        <w:tc>
          <w:tcPr>
            <w:tcW w:w="30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900" w:type="dxa"/>
            <w:vAlign w:val="bottom"/>
            <w:tcBorders>
              <w:right w:val="single" w:sz="8" w:color="3C5896"/>
            </w:tcBorders>
            <w:gridSpan w:val="2"/>
            <w:shd w:val="clear" w:color="auto" w:fill="CCCCCC"/>
          </w:tcPr>
          <w:p>
            <w:pPr>
              <w:jc w:val="right"/>
              <w:ind w:right="2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CCCCCC"/>
          </w:tcPr>
          <w:p>
            <w:pPr>
              <w:spacing w:after="0" w:line="20" w:lineRule="exact"/>
              <w:rPr>
                <w:sz w:val="1"/>
                <w:szCs w:val="1"/>
                <w:color w:val="auto"/>
              </w:rPr>
            </w:pPr>
          </w:p>
        </w:tc>
        <w:tc>
          <w:tcPr>
            <w:tcW w:w="6540" w:type="dxa"/>
            <w:vAlign w:val="bottom"/>
            <w:tcBorders>
              <w:right w:val="single" w:sz="8" w:color="9EACCA"/>
            </w:tcBorders>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right w:val="single" w:sz="8" w:color="9EACCA"/>
            </w:tcBorders>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3C5896"/>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Borders>
              <w:left w:val="single" w:sz="8" w:color="3C5896"/>
            </w:tcBorders>
          </w:tcPr>
          <w:p>
            <w:pPr>
              <w:spacing w:after="0"/>
              <w:rPr>
                <w:sz w:val="22"/>
                <w:szCs w:val="22"/>
                <w:color w:val="auto"/>
              </w:rPr>
            </w:pPr>
          </w:p>
        </w:tc>
        <w:tc>
          <w:tcPr>
            <w:tcW w:w="654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auto"/>
              </w:rPr>
              <w:t>Adjusted Diluted EPS</w:t>
            </w: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9EACCA"/>
            </w:tcBorders>
            <w:gridSpan w:val="2"/>
          </w:tcPr>
          <w:p>
            <w:pPr>
              <w:jc w:val="right"/>
              <w:ind w:right="340"/>
              <w:spacing w:after="0"/>
              <w:rPr>
                <w:sz w:val="20"/>
                <w:szCs w:val="20"/>
                <w:color w:val="auto"/>
              </w:rPr>
            </w:pPr>
            <w:r>
              <w:rPr>
                <w:rFonts w:ascii="Arial" w:cs="Arial" w:eastAsia="Arial" w:hAnsi="Arial"/>
                <w:sz w:val="18"/>
                <w:szCs w:val="18"/>
                <w:color w:val="auto"/>
              </w:rPr>
              <w:t>0.91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3C5896"/>
            </w:tcBorders>
            <w:gridSpan w:val="2"/>
          </w:tcPr>
          <w:p>
            <w:pPr>
              <w:jc w:val="right"/>
              <w:ind w:right="3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84"/>
        </w:trPr>
        <w:tc>
          <w:tcPr>
            <w:tcW w:w="60" w:type="dxa"/>
            <w:vAlign w:val="bottom"/>
            <w:tcBorders>
              <w:left w:val="single" w:sz="8" w:color="3C5896"/>
              <w:bottom w:val="single" w:sz="8" w:color="CCCCCC"/>
            </w:tcBorders>
            <w:shd w:val="clear" w:color="auto" w:fill="CCCCCC"/>
          </w:tcPr>
          <w:p>
            <w:pPr>
              <w:spacing w:after="0"/>
              <w:rPr>
                <w:sz w:val="24"/>
                <w:szCs w:val="24"/>
                <w:color w:val="auto"/>
              </w:rPr>
            </w:pPr>
          </w:p>
        </w:tc>
        <w:tc>
          <w:tcPr>
            <w:tcW w:w="6540" w:type="dxa"/>
            <w:vAlign w:val="bottom"/>
            <w:tcBorders>
              <w:bottom w:val="single" w:sz="8" w:color="CCCCCC"/>
              <w:right w:val="single" w:sz="8" w:color="9EACCA"/>
            </w:tcBorders>
            <w:shd w:val="clear" w:color="auto" w:fill="CCCCCC"/>
          </w:tcPr>
          <w:p>
            <w:pPr>
              <w:spacing w:after="0"/>
              <w:rPr>
                <w:sz w:val="20"/>
                <w:szCs w:val="20"/>
                <w:color w:val="auto"/>
              </w:rPr>
            </w:pPr>
            <w:r>
              <w:rPr>
                <w:rFonts w:ascii="Arial" w:cs="Arial" w:eastAsia="Arial" w:hAnsi="Arial"/>
                <w:sz w:val="18"/>
                <w:szCs w:val="18"/>
                <w:b w:val="1"/>
                <w:bCs w:val="1"/>
                <w:color w:val="auto"/>
              </w:rPr>
              <w:t>Weighted average diluted shares outstanding</w:t>
            </w:r>
          </w:p>
        </w:tc>
        <w:tc>
          <w:tcPr>
            <w:tcW w:w="300" w:type="dxa"/>
            <w:vAlign w:val="bottom"/>
            <w:tcBorders>
              <w:bottom w:val="single" w:sz="8" w:color="CCCCCC"/>
            </w:tcBorders>
            <w:shd w:val="clear" w:color="auto" w:fill="CCCCCC"/>
          </w:tcPr>
          <w:p>
            <w:pPr>
              <w:spacing w:after="0"/>
              <w:rPr>
                <w:sz w:val="24"/>
                <w:szCs w:val="24"/>
                <w:color w:val="auto"/>
              </w:rPr>
            </w:pPr>
          </w:p>
        </w:tc>
        <w:tc>
          <w:tcPr>
            <w:tcW w:w="120" w:type="dxa"/>
            <w:vAlign w:val="bottom"/>
            <w:tcBorders>
              <w:bottom w:val="single" w:sz="8" w:color="CCCCCC"/>
            </w:tcBorders>
            <w:shd w:val="clear" w:color="auto" w:fill="CCCCCC"/>
          </w:tcPr>
          <w:p>
            <w:pPr>
              <w:spacing w:after="0"/>
              <w:rPr>
                <w:sz w:val="24"/>
                <w:szCs w:val="24"/>
                <w:color w:val="auto"/>
              </w:rPr>
            </w:pPr>
          </w:p>
        </w:tc>
        <w:tc>
          <w:tcPr>
            <w:tcW w:w="880" w:type="dxa"/>
            <w:vAlign w:val="bottom"/>
            <w:tcBorders>
              <w:bottom w:val="single" w:sz="8" w:color="CCCCCC"/>
              <w:right w:val="single" w:sz="8" w:color="9EACCA"/>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w w:val="94"/>
              </w:rPr>
              <w:t>82,793</w:t>
            </w:r>
          </w:p>
        </w:tc>
        <w:tc>
          <w:tcPr>
            <w:tcW w:w="300" w:type="dxa"/>
            <w:vAlign w:val="bottom"/>
            <w:tcBorders>
              <w:bottom w:val="single" w:sz="8" w:color="CCCCCC"/>
            </w:tcBorders>
            <w:shd w:val="clear" w:color="auto" w:fill="CCCCCC"/>
          </w:tcPr>
          <w:p>
            <w:pPr>
              <w:spacing w:after="0"/>
              <w:rPr>
                <w:sz w:val="24"/>
                <w:szCs w:val="24"/>
                <w:color w:val="auto"/>
              </w:rPr>
            </w:pPr>
          </w:p>
        </w:tc>
        <w:tc>
          <w:tcPr>
            <w:tcW w:w="100" w:type="dxa"/>
            <w:vAlign w:val="bottom"/>
            <w:tcBorders>
              <w:bottom w:val="single" w:sz="8" w:color="CCCCCC"/>
            </w:tcBorders>
            <w:shd w:val="clear" w:color="auto" w:fill="CCCCCC"/>
          </w:tcPr>
          <w:p>
            <w:pPr>
              <w:spacing w:after="0"/>
              <w:rPr>
                <w:sz w:val="24"/>
                <w:szCs w:val="24"/>
                <w:color w:val="auto"/>
              </w:rPr>
            </w:pPr>
          </w:p>
        </w:tc>
        <w:tc>
          <w:tcPr>
            <w:tcW w:w="900" w:type="dxa"/>
            <w:vAlign w:val="bottom"/>
            <w:tcBorders>
              <w:bottom w:val="single" w:sz="8" w:color="CCCCCC"/>
              <w:right w:val="single" w:sz="8" w:color="3C5896"/>
            </w:tcBorders>
            <w:gridSpan w:val="2"/>
            <w:shd w:val="clear" w:color="auto" w:fill="CCCCCC"/>
          </w:tcPr>
          <w:p>
            <w:pPr>
              <w:jc w:val="right"/>
              <w:ind w:right="340"/>
              <w:spacing w:after="0"/>
              <w:rPr>
                <w:sz w:val="20"/>
                <w:szCs w:val="20"/>
                <w:color w:val="auto"/>
              </w:rPr>
            </w:pPr>
            <w:r>
              <w:rPr>
                <w:rFonts w:ascii="Arial" w:cs="Arial" w:eastAsia="Arial" w:hAnsi="Arial"/>
                <w:sz w:val="18"/>
                <w:szCs w:val="18"/>
                <w:color w:val="auto"/>
                <w:w w:val="98"/>
              </w:rPr>
              <w:t>81,683</w:t>
            </w:r>
          </w:p>
        </w:tc>
        <w:tc>
          <w:tcPr>
            <w:tcW w:w="0" w:type="dxa"/>
            <w:vAlign w:val="bottom"/>
          </w:tcPr>
          <w:p>
            <w:pPr>
              <w:spacing w:after="0"/>
              <w:rPr>
                <w:sz w:val="1"/>
                <w:szCs w:val="1"/>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6540" w:type="dxa"/>
            <w:vAlign w:val="bottom"/>
            <w:tcBorders>
              <w:right w:val="single" w:sz="8" w:color="3C5896"/>
            </w:tcBorders>
            <w:shd w:val="clear" w:color="auto" w:fill="3C5896"/>
          </w:tcPr>
          <w:p>
            <w:pPr>
              <w:spacing w:after="0" w:line="20" w:lineRule="exact"/>
              <w:rPr>
                <w:sz w:val="1"/>
                <w:szCs w:val="1"/>
                <w:color w:val="auto"/>
              </w:rPr>
            </w:pPr>
          </w:p>
        </w:tc>
        <w:tc>
          <w:tcPr>
            <w:tcW w:w="300" w:type="dxa"/>
            <w:vAlign w:val="bottom"/>
            <w:shd w:val="clear" w:color="auto" w:fill="3C5896"/>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540" w:type="dxa"/>
            <w:vAlign w:val="bottom"/>
            <w:shd w:val="clear" w:color="auto" w:fill="3C5896"/>
          </w:tcPr>
          <w:p>
            <w:pPr>
              <w:spacing w:after="0" w:line="20" w:lineRule="exact"/>
              <w:rPr>
                <w:sz w:val="1"/>
                <w:szCs w:val="1"/>
                <w:color w:val="auto"/>
              </w:rPr>
            </w:pPr>
          </w:p>
        </w:tc>
        <w:tc>
          <w:tcPr>
            <w:tcW w:w="340" w:type="dxa"/>
            <w:vAlign w:val="bottom"/>
            <w:tcBorders>
              <w:right w:val="single" w:sz="8" w:color="3C5896"/>
            </w:tcBorders>
            <w:shd w:val="clear" w:color="auto" w:fill="3C5896"/>
          </w:tcPr>
          <w:p>
            <w:pPr>
              <w:spacing w:after="0" w:line="20" w:lineRule="exact"/>
              <w:rPr>
                <w:sz w:val="1"/>
                <w:szCs w:val="1"/>
                <w:color w:val="auto"/>
              </w:rPr>
            </w:pPr>
          </w:p>
        </w:tc>
        <w:tc>
          <w:tcPr>
            <w:tcW w:w="300" w:type="dxa"/>
            <w:vAlign w:val="bottom"/>
            <w:shd w:val="clear" w:color="auto" w:fill="3C5896"/>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560" w:type="dxa"/>
            <w:vAlign w:val="bottom"/>
            <w:shd w:val="clear" w:color="auto" w:fill="3C5896"/>
          </w:tcPr>
          <w:p>
            <w:pPr>
              <w:spacing w:after="0" w:line="20" w:lineRule="exact"/>
              <w:rPr>
                <w:sz w:val="1"/>
                <w:szCs w:val="1"/>
                <w:color w:val="auto"/>
              </w:rPr>
            </w:pPr>
          </w:p>
        </w:tc>
        <w:tc>
          <w:tcPr>
            <w:tcW w:w="340" w:type="dxa"/>
            <w:vAlign w:val="bottom"/>
            <w:tcBorders>
              <w:right w:val="single" w:sz="8" w:color="3C5896"/>
            </w:tcBorders>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-2776855</wp:posOffset>
            </wp:positionV>
            <wp:extent cx="58204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2020 includes 53 weeks. Fiscal year 2019 includes 52 weeks.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totals in the table above do not foot due to rounding differences</w:t>
      </w:r>
    </w:p>
    <w:p>
      <w:pPr>
        <w:spacing w:after="0" w:line="84" w:lineRule="exact"/>
        <w:rPr>
          <w:sz w:val="20"/>
          <w:szCs w:val="20"/>
          <w:color w:val="auto"/>
        </w:rPr>
      </w:pPr>
    </w:p>
    <w:p>
      <w:pPr>
        <w:ind w:left="1120" w:right="760" w:hanging="358"/>
        <w:spacing w:after="0" w:line="260"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Non-cash charges related to stock-based compensation programs, which vary from period to period depending on the timing of awards and performance vesting conditions.</w:t>
      </w:r>
    </w:p>
    <w:p>
      <w:pPr>
        <w:spacing w:after="0" w:line="58" w:lineRule="exact"/>
        <w:rPr>
          <w:rFonts w:ascii="Arial" w:cs="Arial" w:eastAsia="Arial" w:hAnsi="Arial"/>
          <w:sz w:val="15"/>
          <w:szCs w:val="15"/>
          <w:color w:val="auto"/>
        </w:rPr>
      </w:pPr>
    </w:p>
    <w:p>
      <w:pPr>
        <w:ind w:left="1120" w:hanging="358"/>
        <w:spacing w:after="0"/>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fiscal year 2019, reflects write-off of deferred financing fees related to the extinguishment of debt.</w:t>
      </w:r>
    </w:p>
    <w:p>
      <w:pPr>
        <w:spacing w:after="0" w:line="84" w:lineRule="exact"/>
        <w:rPr>
          <w:rFonts w:ascii="Arial" w:cs="Arial" w:eastAsia="Arial" w:hAnsi="Arial"/>
          <w:sz w:val="15"/>
          <w:szCs w:val="15"/>
          <w:color w:val="auto"/>
        </w:rPr>
      </w:pPr>
    </w:p>
    <w:p>
      <w:pPr>
        <w:ind w:left="1120" w:hanging="358"/>
        <w:spacing w:after="0"/>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Reflects write-off of property, equipment and lease-related assets on closed or underperforming stores.</w:t>
      </w:r>
    </w:p>
    <w:p>
      <w:pPr>
        <w:spacing w:after="0" w:line="97" w:lineRule="exact"/>
        <w:rPr>
          <w:rFonts w:ascii="Arial" w:cs="Arial" w:eastAsia="Arial" w:hAnsi="Arial"/>
          <w:sz w:val="15"/>
          <w:szCs w:val="15"/>
          <w:color w:val="auto"/>
        </w:rPr>
      </w:pPr>
    </w:p>
    <w:p>
      <w:pPr>
        <w:ind w:left="1120" w:hanging="358"/>
        <w:spacing w:after="0"/>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Expenses associated with settlement of litigation.</w:t>
      </w:r>
    </w:p>
    <w:p>
      <w:pPr>
        <w:spacing w:after="0" w:line="84" w:lineRule="exact"/>
        <w:rPr>
          <w:rFonts w:ascii="Arial" w:cs="Arial" w:eastAsia="Arial" w:hAnsi="Arial"/>
          <w:sz w:val="15"/>
          <w:szCs w:val="15"/>
          <w:color w:val="auto"/>
        </w:rPr>
      </w:pPr>
    </w:p>
    <w:p>
      <w:pPr>
        <w:ind w:left="1120" w:hanging="358"/>
        <w:spacing w:after="0"/>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Expenses related to our secondary public offerings during fiscal year 2019.</w:t>
      </w:r>
    </w:p>
    <w:p>
      <w:pPr>
        <w:spacing w:after="0" w:line="84" w:lineRule="exact"/>
        <w:rPr>
          <w:rFonts w:ascii="Arial" w:cs="Arial" w:eastAsia="Arial" w:hAnsi="Arial"/>
          <w:sz w:val="15"/>
          <w:szCs w:val="15"/>
          <w:color w:val="auto"/>
        </w:rPr>
      </w:pPr>
    </w:p>
    <w:p>
      <w:pPr>
        <w:ind w:left="1120" w:hanging="358"/>
        <w:spacing w:after="0"/>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Expenses related to a non-recurring management realignment described on Form 8-K filed with the SEC on January 10, 2019.</w:t>
      </w:r>
    </w:p>
    <w:p>
      <w:pPr>
        <w:spacing w:after="0" w:line="84" w:lineRule="exact"/>
        <w:rPr>
          <w:rFonts w:ascii="Arial" w:cs="Arial" w:eastAsia="Arial" w:hAnsi="Arial"/>
          <w:sz w:val="15"/>
          <w:szCs w:val="15"/>
          <w:color w:val="auto"/>
        </w:rPr>
      </w:pPr>
    </w:p>
    <w:p>
      <w:pPr>
        <w:ind w:left="1120" w:right="760" w:hanging="358"/>
        <w:spacing w:after="0" w:line="260"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Expenses pursuant to a long-term incentive plan for non-executive employees who were not participants in the management equity plan for fiscal year 2019. This plan was effective in 2014 following the KKR Acquisition.</w:t>
      </w:r>
    </w:p>
    <w:p>
      <w:pPr>
        <w:spacing w:after="0" w:line="71" w:lineRule="exact"/>
        <w:rPr>
          <w:rFonts w:ascii="Arial" w:cs="Arial" w:eastAsia="Arial" w:hAnsi="Arial"/>
          <w:sz w:val="15"/>
          <w:szCs w:val="15"/>
          <w:color w:val="auto"/>
        </w:rPr>
      </w:pPr>
    </w:p>
    <w:p>
      <w:pPr>
        <w:ind w:left="1120" w:right="760" w:hanging="358"/>
        <w:spacing w:after="0" w:line="260"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Amortization of the increase in carrying values of finite-lived intangible assets resulting from the application of purchase accounting to the KKR Acquisition.</w:t>
      </w:r>
    </w:p>
    <w:p>
      <w:pPr>
        <w:spacing w:after="0" w:line="58" w:lineRule="exact"/>
        <w:rPr>
          <w:rFonts w:ascii="Arial" w:cs="Arial" w:eastAsia="Arial" w:hAnsi="Arial"/>
          <w:sz w:val="15"/>
          <w:szCs w:val="15"/>
          <w:color w:val="auto"/>
        </w:rPr>
      </w:pPr>
    </w:p>
    <w:p>
      <w:pPr>
        <w:jc w:val="both"/>
        <w:ind w:left="1120" w:right="760" w:hanging="358"/>
        <w:spacing w:after="0" w:line="249"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Amortization of debt discounts is associated with the amortization of the conversion feature related to the convertible note and amortization of deferred financing costs related to the convertible notes, term loan and revolving credit facility borrowings. Amortization of debt discount and deferred financing costs in aggregate total of $11.9 million and $1.3 million for the fiscal years 2020 and 2019, respectively.</w:t>
      </w:r>
    </w:p>
    <w:p>
      <w:pPr>
        <w:spacing w:after="0" w:line="67" w:lineRule="exact"/>
        <w:rPr>
          <w:rFonts w:ascii="Arial" w:cs="Arial" w:eastAsia="Arial" w:hAnsi="Arial"/>
          <w:sz w:val="15"/>
          <w:szCs w:val="15"/>
          <w:color w:val="auto"/>
        </w:rPr>
      </w:pPr>
    </w:p>
    <w:p>
      <w:pPr>
        <w:ind w:left="1120" w:right="760" w:hanging="358"/>
        <w:spacing w:after="0" w:line="260"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Reflects losses (gains) recognized in interest expense on change in fair value of de-designated hedges of $4.0 million for fiscal year end 2020.</w:t>
      </w:r>
    </w:p>
    <w:p>
      <w:pPr>
        <w:spacing w:after="0" w:line="58" w:lineRule="exact"/>
        <w:rPr>
          <w:rFonts w:ascii="Arial" w:cs="Arial" w:eastAsia="Arial" w:hAnsi="Arial"/>
          <w:sz w:val="15"/>
          <w:szCs w:val="15"/>
          <w:color w:val="auto"/>
        </w:rPr>
      </w:pPr>
    </w:p>
    <w:p>
      <w:pPr>
        <w:jc w:val="both"/>
        <w:ind w:left="1120" w:right="760" w:hanging="358"/>
        <w:spacing w:after="0" w:line="246"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Other adjustments include the following amounts that management believes are not representative of our operating performance (amounts in brackets represent reductions in Adjusted Operating Income, Adjusted Diluted EPS and Adjusted EBITDA) including our share of losses on equity method investments of $1.8 million for fiscal year 2019; the amortization impact related to the KKR Acquisition (e.g., fair value of leasehold interests) of $0.4 million and $0.5 million for fiscal years 2020 and 2019, respectively; costs of severance and relocation of $1.3 million and $2.3 million and fiscal years 2020 and 2019, respectively; excess payroll taxes related to stock option exercises of $0.7 million and $0.8 million for fiscal years 2020 and 2019, respectively; incremental costs directly related to adapting the Company’s operations during the COVID-19 pandemic of $0.6 million for fiscal year 2020; and other expenses and adjustments totaling $(0.3) million and $1.0 million for fiscal years 2020 and 2019, respectively.</w:t>
      </w:r>
    </w:p>
    <w:p>
      <w:pPr>
        <w:spacing w:after="0" w:line="84" w:lineRule="exact"/>
        <w:rPr>
          <w:rFonts w:ascii="Arial" w:cs="Arial" w:eastAsia="Arial" w:hAnsi="Arial"/>
          <w:sz w:val="15"/>
          <w:szCs w:val="15"/>
          <w:color w:val="auto"/>
        </w:rPr>
      </w:pPr>
    </w:p>
    <w:p>
      <w:pPr>
        <w:ind w:left="1120" w:right="780" w:hanging="358"/>
        <w:spacing w:after="0" w:line="260" w:lineRule="auto"/>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Tax benefit associated with accounting guidance requiring excess tax benefits related to stock option exercises to be recorded in earnings as discrete items in the reporting period in which they occur.</w:t>
      </w:r>
    </w:p>
    <w:p>
      <w:pPr>
        <w:spacing w:after="0" w:line="58" w:lineRule="exact"/>
        <w:rPr>
          <w:rFonts w:ascii="Arial" w:cs="Arial" w:eastAsia="Arial" w:hAnsi="Arial"/>
          <w:sz w:val="15"/>
          <w:szCs w:val="15"/>
          <w:color w:val="auto"/>
        </w:rPr>
      </w:pPr>
    </w:p>
    <w:p>
      <w:pPr>
        <w:ind w:left="1120" w:hanging="358"/>
        <w:spacing w:after="0"/>
        <w:tabs>
          <w:tab w:leader="none" w:pos="11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Represents the income tax effect of the total adjustments at our combined statutory federal and state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235585</wp:posOffset>
            </wp:positionV>
            <wp:extent cx="300355" cy="2400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67</w:t>
            </w:r>
          </w:p>
        </w:tc>
      </w:tr>
      <w:tr>
        <w:trPr>
          <w:trHeight w:val="418"/>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160" w:lineRule="exact"/>
        <w:rPr>
          <w:sz w:val="20"/>
          <w:szCs w:val="20"/>
          <w:color w:val="auto"/>
        </w:rPr>
      </w:pPr>
    </w:p>
    <w:tbl>
      <w:tblPr>
        <w:tblLayout w:type="fixed"/>
        <w:tblInd w:w="770" w:type="dxa"/>
        <w:tblCellMar>
          <w:top w:w="0" w:type="dxa"/>
          <w:left w:w="0" w:type="dxa"/>
          <w:bottom w:w="0" w:type="dxa"/>
          <w:right w:w="0" w:type="dxa"/>
        </w:tblCellMar>
      </w:tblPr>
      <w:tr>
        <w:trPr>
          <w:trHeight w:val="297"/>
        </w:trPr>
        <w:tc>
          <w:tcPr>
            <w:tcW w:w="5580" w:type="dxa"/>
            <w:vAlign w:val="bottom"/>
            <w:tcBorders>
              <w:top w:val="single" w:sz="8" w:color="3C5896"/>
              <w:left w:val="single" w:sz="8" w:color="3C5896"/>
              <w:right w:val="single" w:sz="8" w:color="3C5896"/>
            </w:tcBorders>
            <w:shd w:val="clear" w:color="auto" w:fill="3C5896"/>
          </w:tcPr>
          <w:p>
            <w:pPr>
              <w:spacing w:after="0"/>
              <w:rPr>
                <w:sz w:val="24"/>
                <w:szCs w:val="24"/>
                <w:color w:val="auto"/>
              </w:rPr>
            </w:pPr>
          </w:p>
        </w:tc>
        <w:tc>
          <w:tcPr>
            <w:tcW w:w="40" w:type="dxa"/>
            <w:vAlign w:val="bottom"/>
            <w:tcBorders>
              <w:top w:val="single" w:sz="8" w:color="3C5896"/>
            </w:tcBorders>
            <w:shd w:val="clear" w:color="auto" w:fill="3C5896"/>
          </w:tcPr>
          <w:p>
            <w:pPr>
              <w:spacing w:after="0"/>
              <w:rPr>
                <w:sz w:val="24"/>
                <w:szCs w:val="24"/>
                <w:color w:val="auto"/>
              </w:rPr>
            </w:pPr>
          </w:p>
        </w:tc>
        <w:tc>
          <w:tcPr>
            <w:tcW w:w="3580" w:type="dxa"/>
            <w:vAlign w:val="bottom"/>
            <w:tcBorders>
              <w:top w:val="single" w:sz="8" w:color="3C5896"/>
              <w:right w:val="single" w:sz="8" w:color="3C5896"/>
            </w:tcBorders>
            <w:gridSpan w:val="3"/>
            <w:shd w:val="clear" w:color="auto" w:fill="3C5896"/>
          </w:tcPr>
          <w:p>
            <w:pPr>
              <w:jc w:val="right"/>
              <w:ind w:right="350"/>
              <w:spacing w:after="0" w:line="297" w:lineRule="exact"/>
              <w:rPr>
                <w:sz w:val="20"/>
                <w:szCs w:val="20"/>
                <w:color w:val="auto"/>
              </w:rPr>
            </w:pPr>
            <w:r>
              <w:rPr>
                <w:rFonts w:ascii="Arial" w:cs="Arial" w:eastAsia="Arial" w:hAnsi="Arial"/>
                <w:sz w:val="18"/>
                <w:szCs w:val="18"/>
                <w:b w:val="1"/>
                <w:bCs w:val="1"/>
                <w:color w:val="FFFFFF"/>
              </w:rPr>
              <w:t>Comparable store sales growth</w:t>
            </w:r>
            <w:r>
              <w:rPr>
                <w:rFonts w:ascii="Arial" w:cs="Arial" w:eastAsia="Arial" w:hAnsi="Arial"/>
                <w:sz w:val="26"/>
                <w:szCs w:val="26"/>
                <w:b w:val="1"/>
                <w:bCs w:val="1"/>
                <w:color w:val="FFFFFF"/>
                <w:vertAlign w:val="superscript"/>
              </w:rPr>
              <w:t>(a)</w:t>
            </w:r>
          </w:p>
        </w:tc>
        <w:tc>
          <w:tcPr>
            <w:tcW w:w="0" w:type="dxa"/>
            <w:vAlign w:val="bottom"/>
          </w:tcPr>
          <w:p>
            <w:pPr>
              <w:spacing w:after="0"/>
              <w:rPr>
                <w:sz w:val="1"/>
                <w:szCs w:val="1"/>
                <w:color w:val="auto"/>
              </w:rPr>
            </w:pPr>
          </w:p>
        </w:tc>
      </w:tr>
      <w:tr>
        <w:trPr>
          <w:trHeight w:val="180"/>
        </w:trPr>
        <w:tc>
          <w:tcPr>
            <w:tcW w:w="5580" w:type="dxa"/>
            <w:vAlign w:val="bottom"/>
            <w:tcBorders>
              <w:left w:val="single" w:sz="8" w:color="3C5896"/>
              <w:right w:val="single" w:sz="8" w:color="3C5896"/>
            </w:tcBorders>
            <w:shd w:val="clear" w:color="auto" w:fill="3C5896"/>
          </w:tcPr>
          <w:p>
            <w:pPr>
              <w:spacing w:after="0"/>
              <w:rPr>
                <w:sz w:val="15"/>
                <w:szCs w:val="15"/>
                <w:color w:val="auto"/>
              </w:rPr>
            </w:pPr>
          </w:p>
        </w:tc>
        <w:tc>
          <w:tcPr>
            <w:tcW w:w="40" w:type="dxa"/>
            <w:vAlign w:val="bottom"/>
            <w:shd w:val="clear" w:color="auto" w:fill="3C5896"/>
          </w:tcPr>
          <w:p>
            <w:pPr>
              <w:spacing w:after="0"/>
              <w:rPr>
                <w:sz w:val="15"/>
                <w:szCs w:val="15"/>
                <w:color w:val="auto"/>
              </w:rPr>
            </w:pPr>
          </w:p>
        </w:tc>
        <w:tc>
          <w:tcPr>
            <w:tcW w:w="1040" w:type="dxa"/>
            <w:vAlign w:val="bottom"/>
            <w:tcBorders>
              <w:right w:val="single" w:sz="8" w:color="9EACCA"/>
            </w:tcBorders>
            <w:vMerge w:val="restart"/>
            <w:shd w:val="clear" w:color="auto" w:fill="3C5896"/>
          </w:tcPr>
          <w:p>
            <w:pPr>
              <w:jc w:val="right"/>
              <w:ind w:right="10"/>
              <w:spacing w:after="0"/>
              <w:rPr>
                <w:sz w:val="20"/>
                <w:szCs w:val="20"/>
                <w:color w:val="auto"/>
              </w:rPr>
            </w:pPr>
            <w:r>
              <w:rPr>
                <w:rFonts w:ascii="Arial" w:cs="Arial" w:eastAsia="Arial" w:hAnsi="Arial"/>
                <w:sz w:val="18"/>
                <w:szCs w:val="18"/>
                <w:b w:val="1"/>
                <w:bCs w:val="1"/>
                <w:color w:val="FFFFFF"/>
                <w:w w:val="96"/>
              </w:rPr>
              <w:t>Fiscal Year</w:t>
            </w:r>
          </w:p>
        </w:tc>
        <w:tc>
          <w:tcPr>
            <w:tcW w:w="1080" w:type="dxa"/>
            <w:vAlign w:val="bottom"/>
            <w:tcBorders>
              <w:right w:val="single" w:sz="8" w:color="9EACCA"/>
            </w:tcBorders>
            <w:vMerge w:val="restart"/>
            <w:shd w:val="clear" w:color="auto" w:fill="3C5896"/>
          </w:tcPr>
          <w:p>
            <w:pPr>
              <w:jc w:val="right"/>
              <w:ind w:right="10"/>
              <w:spacing w:after="0"/>
              <w:rPr>
                <w:sz w:val="20"/>
                <w:szCs w:val="20"/>
                <w:color w:val="auto"/>
              </w:rPr>
            </w:pPr>
            <w:r>
              <w:rPr>
                <w:rFonts w:ascii="Arial" w:cs="Arial" w:eastAsia="Arial" w:hAnsi="Arial"/>
                <w:sz w:val="18"/>
                <w:szCs w:val="18"/>
                <w:b w:val="1"/>
                <w:bCs w:val="1"/>
                <w:color w:val="FFFFFF"/>
              </w:rPr>
              <w:t>Fiscal Year</w:t>
            </w:r>
          </w:p>
        </w:tc>
        <w:tc>
          <w:tcPr>
            <w:tcW w:w="1460" w:type="dxa"/>
            <w:vAlign w:val="bottom"/>
            <w:tcBorders>
              <w:right w:val="single" w:sz="8" w:color="3C5896"/>
            </w:tcBorders>
            <w:shd w:val="clear" w:color="auto" w:fill="3C5896"/>
          </w:tcPr>
          <w:p>
            <w:pPr>
              <w:jc w:val="center"/>
              <w:spacing w:after="0" w:line="180" w:lineRule="exact"/>
              <w:rPr>
                <w:sz w:val="20"/>
                <w:szCs w:val="20"/>
                <w:color w:val="auto"/>
              </w:rPr>
            </w:pPr>
            <w:r>
              <w:rPr>
                <w:rFonts w:ascii="Arial" w:cs="Arial" w:eastAsia="Arial" w:hAnsi="Arial"/>
                <w:sz w:val="18"/>
                <w:szCs w:val="18"/>
                <w:b w:val="1"/>
                <w:bCs w:val="1"/>
                <w:color w:val="FFFFFF"/>
                <w:w w:val="99"/>
              </w:rPr>
              <w:t>Seven Months</w:t>
            </w:r>
          </w:p>
        </w:tc>
        <w:tc>
          <w:tcPr>
            <w:tcW w:w="0" w:type="dxa"/>
            <w:vAlign w:val="bottom"/>
          </w:tcPr>
          <w:p>
            <w:pPr>
              <w:spacing w:after="0"/>
              <w:rPr>
                <w:sz w:val="1"/>
                <w:szCs w:val="1"/>
                <w:color w:val="auto"/>
              </w:rPr>
            </w:pPr>
          </w:p>
        </w:tc>
      </w:tr>
      <w:tr>
        <w:trPr>
          <w:trHeight w:val="189"/>
        </w:trPr>
        <w:tc>
          <w:tcPr>
            <w:tcW w:w="5580" w:type="dxa"/>
            <w:vAlign w:val="bottom"/>
            <w:tcBorders>
              <w:left w:val="single" w:sz="8" w:color="3C5896"/>
              <w:right w:val="single" w:sz="8" w:color="3C5896"/>
            </w:tcBorders>
            <w:shd w:val="clear" w:color="auto" w:fill="3C5896"/>
          </w:tcPr>
          <w:p>
            <w:pPr>
              <w:spacing w:after="0"/>
              <w:rPr>
                <w:sz w:val="16"/>
                <w:szCs w:val="16"/>
                <w:color w:val="auto"/>
              </w:rPr>
            </w:pPr>
          </w:p>
        </w:tc>
        <w:tc>
          <w:tcPr>
            <w:tcW w:w="40" w:type="dxa"/>
            <w:vAlign w:val="bottom"/>
            <w:shd w:val="clear" w:color="auto" w:fill="3C5896"/>
          </w:tcPr>
          <w:p>
            <w:pPr>
              <w:spacing w:after="0"/>
              <w:rPr>
                <w:sz w:val="16"/>
                <w:szCs w:val="16"/>
                <w:color w:val="auto"/>
              </w:rPr>
            </w:pPr>
          </w:p>
        </w:tc>
        <w:tc>
          <w:tcPr>
            <w:tcW w:w="1040" w:type="dxa"/>
            <w:vAlign w:val="bottom"/>
            <w:tcBorders>
              <w:right w:val="single" w:sz="8" w:color="9EACCA"/>
            </w:tcBorders>
            <w:vMerge w:val="continue"/>
            <w:shd w:val="clear" w:color="auto" w:fill="3C5896"/>
          </w:tcPr>
          <w:p>
            <w:pPr>
              <w:spacing w:after="0"/>
              <w:rPr>
                <w:sz w:val="16"/>
                <w:szCs w:val="16"/>
                <w:color w:val="auto"/>
              </w:rPr>
            </w:pPr>
          </w:p>
        </w:tc>
        <w:tc>
          <w:tcPr>
            <w:tcW w:w="1080" w:type="dxa"/>
            <w:vAlign w:val="bottom"/>
            <w:tcBorders>
              <w:right w:val="single" w:sz="8" w:color="9EACCA"/>
            </w:tcBorders>
            <w:vMerge w:val="continue"/>
            <w:shd w:val="clear" w:color="auto" w:fill="3C5896"/>
          </w:tcPr>
          <w:p>
            <w:pPr>
              <w:spacing w:after="0"/>
              <w:rPr>
                <w:sz w:val="16"/>
                <w:szCs w:val="16"/>
                <w:color w:val="auto"/>
              </w:rPr>
            </w:pPr>
          </w:p>
        </w:tc>
        <w:tc>
          <w:tcPr>
            <w:tcW w:w="1460" w:type="dxa"/>
            <w:vAlign w:val="bottom"/>
            <w:tcBorders>
              <w:right w:val="single" w:sz="8" w:color="3C5896"/>
            </w:tcBorders>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8"/>
              </w:rPr>
              <w:t>Ended</w:t>
            </w:r>
          </w:p>
        </w:tc>
        <w:tc>
          <w:tcPr>
            <w:tcW w:w="0" w:type="dxa"/>
            <w:vAlign w:val="bottom"/>
          </w:tcPr>
          <w:p>
            <w:pPr>
              <w:spacing w:after="0"/>
              <w:rPr>
                <w:sz w:val="1"/>
                <w:szCs w:val="1"/>
                <w:color w:val="auto"/>
              </w:rPr>
            </w:pPr>
          </w:p>
        </w:tc>
      </w:tr>
      <w:tr>
        <w:trPr>
          <w:trHeight w:val="252"/>
        </w:trPr>
        <w:tc>
          <w:tcPr>
            <w:tcW w:w="5580" w:type="dxa"/>
            <w:vAlign w:val="bottom"/>
            <w:tcBorders>
              <w:left w:val="single" w:sz="8" w:color="3C5896"/>
              <w:right w:val="single" w:sz="8" w:color="3C5896"/>
            </w:tcBorders>
            <w:shd w:val="clear" w:color="auto" w:fill="3C5896"/>
          </w:tcPr>
          <w:p>
            <w:pPr>
              <w:spacing w:after="0"/>
              <w:rPr>
                <w:sz w:val="21"/>
                <w:szCs w:val="21"/>
                <w:color w:val="auto"/>
              </w:rPr>
            </w:pPr>
          </w:p>
        </w:tc>
        <w:tc>
          <w:tcPr>
            <w:tcW w:w="40" w:type="dxa"/>
            <w:vAlign w:val="bottom"/>
            <w:shd w:val="clear" w:color="auto" w:fill="3C5896"/>
          </w:tcPr>
          <w:p>
            <w:pPr>
              <w:spacing w:after="0"/>
              <w:rPr>
                <w:sz w:val="21"/>
                <w:szCs w:val="21"/>
                <w:color w:val="auto"/>
              </w:rPr>
            </w:pPr>
          </w:p>
        </w:tc>
        <w:tc>
          <w:tcPr>
            <w:tcW w:w="1040" w:type="dxa"/>
            <w:vAlign w:val="bottom"/>
            <w:tcBorders>
              <w:right w:val="single" w:sz="8" w:color="9EACCA"/>
            </w:tcBorders>
            <w:shd w:val="clear" w:color="auto" w:fill="3C5896"/>
          </w:tcPr>
          <w:p>
            <w:pPr>
              <w:jc w:val="right"/>
              <w:ind w:right="250"/>
              <w:spacing w:after="0"/>
              <w:rPr>
                <w:sz w:val="20"/>
                <w:szCs w:val="20"/>
                <w:color w:val="auto"/>
              </w:rPr>
            </w:pPr>
            <w:r>
              <w:rPr>
                <w:rFonts w:ascii="Arial" w:cs="Arial" w:eastAsia="Arial" w:hAnsi="Arial"/>
                <w:sz w:val="18"/>
                <w:szCs w:val="18"/>
                <w:b w:val="1"/>
                <w:bCs w:val="1"/>
                <w:color w:val="FFFFFF"/>
              </w:rPr>
              <w:t>2020</w:t>
            </w:r>
          </w:p>
        </w:tc>
        <w:tc>
          <w:tcPr>
            <w:tcW w:w="1080" w:type="dxa"/>
            <w:vAlign w:val="bottom"/>
            <w:tcBorders>
              <w:right w:val="single" w:sz="8" w:color="9EACCA"/>
            </w:tcBorders>
            <w:shd w:val="clear" w:color="auto" w:fill="3C5896"/>
          </w:tcPr>
          <w:p>
            <w:pPr>
              <w:jc w:val="right"/>
              <w:ind w:right="250"/>
              <w:spacing w:after="0"/>
              <w:rPr>
                <w:sz w:val="20"/>
                <w:szCs w:val="20"/>
                <w:color w:val="auto"/>
              </w:rPr>
            </w:pPr>
            <w:r>
              <w:rPr>
                <w:rFonts w:ascii="Arial" w:cs="Arial" w:eastAsia="Arial" w:hAnsi="Arial"/>
                <w:sz w:val="18"/>
                <w:szCs w:val="18"/>
                <w:b w:val="1"/>
                <w:bCs w:val="1"/>
                <w:color w:val="FFFFFF"/>
              </w:rPr>
              <w:t>2019</w:t>
            </w:r>
          </w:p>
        </w:tc>
        <w:tc>
          <w:tcPr>
            <w:tcW w:w="1460" w:type="dxa"/>
            <w:vAlign w:val="bottom"/>
            <w:tcBorders>
              <w:right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January 2, 2021</w:t>
            </w:r>
          </w:p>
        </w:tc>
        <w:tc>
          <w:tcPr>
            <w:tcW w:w="0" w:type="dxa"/>
            <w:vAlign w:val="bottom"/>
          </w:tcPr>
          <w:p>
            <w:pPr>
              <w:spacing w:after="0"/>
              <w:rPr>
                <w:sz w:val="1"/>
                <w:szCs w:val="1"/>
                <w:color w:val="auto"/>
              </w:rPr>
            </w:pPr>
          </w:p>
        </w:tc>
      </w:tr>
      <w:tr>
        <w:trPr>
          <w:trHeight w:val="234"/>
        </w:trPr>
        <w:tc>
          <w:tcPr>
            <w:tcW w:w="5580" w:type="dxa"/>
            <w:vAlign w:val="bottom"/>
            <w:tcBorders>
              <w:top w:val="single" w:sz="8" w:color="3C5896"/>
              <w:left w:val="single" w:sz="8" w:color="3C5896"/>
              <w:right w:val="single" w:sz="8" w:color="9EACCA"/>
            </w:tcBorders>
          </w:tcPr>
          <w:p>
            <w:pPr>
              <w:ind w:left="60"/>
              <w:spacing w:after="0"/>
              <w:rPr>
                <w:sz w:val="20"/>
                <w:szCs w:val="20"/>
                <w:color w:val="auto"/>
              </w:rPr>
            </w:pPr>
            <w:r>
              <w:rPr>
                <w:rFonts w:ascii="Arial" w:cs="Arial" w:eastAsia="Arial" w:hAnsi="Arial"/>
                <w:sz w:val="18"/>
                <w:szCs w:val="18"/>
                <w:b w:val="1"/>
                <w:bCs w:val="1"/>
                <w:color w:val="auto"/>
              </w:rPr>
              <w:t>Owned &amp; Host segment</w:t>
            </w:r>
          </w:p>
        </w:tc>
        <w:tc>
          <w:tcPr>
            <w:tcW w:w="40" w:type="dxa"/>
            <w:vAlign w:val="bottom"/>
          </w:tcPr>
          <w:p>
            <w:pPr>
              <w:spacing w:after="0"/>
              <w:rPr>
                <w:sz w:val="20"/>
                <w:szCs w:val="20"/>
                <w:color w:val="auto"/>
              </w:rPr>
            </w:pPr>
          </w:p>
        </w:tc>
        <w:tc>
          <w:tcPr>
            <w:tcW w:w="1040" w:type="dxa"/>
            <w:vAlign w:val="bottom"/>
            <w:tcBorders>
              <w:right w:val="single" w:sz="8" w:color="9EACCA"/>
            </w:tcBorders>
          </w:tcPr>
          <w:p>
            <w:pPr>
              <w:spacing w:after="0"/>
              <w:rPr>
                <w:sz w:val="20"/>
                <w:szCs w:val="20"/>
                <w:color w:val="auto"/>
              </w:rPr>
            </w:pPr>
          </w:p>
        </w:tc>
        <w:tc>
          <w:tcPr>
            <w:tcW w:w="1080" w:type="dxa"/>
            <w:vAlign w:val="bottom"/>
            <w:tcBorders>
              <w:right w:val="single" w:sz="8" w:color="9EACCA"/>
            </w:tcBorders>
          </w:tcPr>
          <w:p>
            <w:pPr>
              <w:spacing w:after="0"/>
              <w:rPr>
                <w:sz w:val="20"/>
                <w:szCs w:val="20"/>
                <w:color w:val="auto"/>
              </w:rPr>
            </w:pPr>
          </w:p>
        </w:tc>
        <w:tc>
          <w:tcPr>
            <w:tcW w:w="1460" w:type="dxa"/>
            <w:vAlign w:val="bottom"/>
            <w:tcBorders>
              <w:right w:val="single" w:sz="8" w:color="3C5896"/>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5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America’s Best</w:t>
            </w:r>
          </w:p>
        </w:tc>
        <w:tc>
          <w:tcPr>
            <w:tcW w:w="108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(5.2)%</w:t>
            </w:r>
          </w:p>
        </w:tc>
        <w:tc>
          <w:tcPr>
            <w:tcW w:w="1080" w:type="dxa"/>
            <w:vAlign w:val="bottom"/>
            <w:tcBorders>
              <w:right w:val="single" w:sz="8" w:color="9EACCA"/>
            </w:tcBorders>
            <w:shd w:val="clear" w:color="auto" w:fill="CCCCCC"/>
          </w:tcPr>
          <w:p>
            <w:pPr>
              <w:jc w:val="right"/>
              <w:ind w:right="150"/>
              <w:spacing w:after="0"/>
              <w:rPr>
                <w:sz w:val="20"/>
                <w:szCs w:val="20"/>
                <w:color w:val="auto"/>
              </w:rPr>
            </w:pPr>
            <w:r>
              <w:rPr>
                <w:rFonts w:ascii="Arial" w:cs="Arial" w:eastAsia="Arial" w:hAnsi="Arial"/>
                <w:sz w:val="18"/>
                <w:szCs w:val="18"/>
                <w:color w:val="auto"/>
              </w:rPr>
              <w:t>7.1%</w:t>
            </w:r>
          </w:p>
        </w:tc>
        <w:tc>
          <w:tcPr>
            <w:tcW w:w="1460" w:type="dxa"/>
            <w:vAlign w:val="bottom"/>
            <w:tcBorders>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8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Eyeglass World</w:t>
            </w:r>
          </w:p>
        </w:tc>
        <w:tc>
          <w:tcPr>
            <w:tcW w:w="1080" w:type="dxa"/>
            <w:vAlign w:val="bottom"/>
            <w:tcBorders>
              <w:right w:val="single" w:sz="8" w:color="9EACCA"/>
            </w:tcBorders>
            <w:gridSpan w:val="2"/>
          </w:tcPr>
          <w:p>
            <w:pPr>
              <w:jc w:val="right"/>
              <w:ind w:right="30"/>
              <w:spacing w:after="0"/>
              <w:rPr>
                <w:sz w:val="20"/>
                <w:szCs w:val="20"/>
                <w:color w:val="auto"/>
              </w:rPr>
            </w:pPr>
            <w:r>
              <w:rPr>
                <w:rFonts w:ascii="Arial" w:cs="Arial" w:eastAsia="Arial" w:hAnsi="Arial"/>
                <w:sz w:val="18"/>
                <w:szCs w:val="18"/>
                <w:color w:val="auto"/>
              </w:rPr>
              <w:t>(2.7)%</w:t>
            </w:r>
          </w:p>
        </w:tc>
        <w:tc>
          <w:tcPr>
            <w:tcW w:w="1080" w:type="dxa"/>
            <w:vAlign w:val="bottom"/>
            <w:tcBorders>
              <w:right w:val="single" w:sz="8" w:color="9EACCA"/>
            </w:tcBorders>
          </w:tcPr>
          <w:p>
            <w:pPr>
              <w:jc w:val="right"/>
              <w:ind w:right="150"/>
              <w:spacing w:after="0"/>
              <w:rPr>
                <w:sz w:val="20"/>
                <w:szCs w:val="20"/>
                <w:color w:val="auto"/>
              </w:rPr>
            </w:pPr>
            <w:r>
              <w:rPr>
                <w:rFonts w:ascii="Arial" w:cs="Arial" w:eastAsia="Arial" w:hAnsi="Arial"/>
                <w:sz w:val="18"/>
                <w:szCs w:val="18"/>
                <w:color w:val="auto"/>
              </w:rPr>
              <w:t>5.8%</w:t>
            </w:r>
          </w:p>
        </w:tc>
        <w:tc>
          <w:tcPr>
            <w:tcW w:w="146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Military</w:t>
            </w:r>
          </w:p>
        </w:tc>
        <w:tc>
          <w:tcPr>
            <w:tcW w:w="108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(15.5)%</w:t>
            </w:r>
          </w:p>
        </w:tc>
        <w:tc>
          <w:tcPr>
            <w:tcW w:w="1080" w:type="dxa"/>
            <w:vAlign w:val="bottom"/>
            <w:tcBorders>
              <w:right w:val="single" w:sz="8" w:color="9EACCA"/>
            </w:tcBorders>
            <w:shd w:val="clear" w:color="auto" w:fill="CCCCCC"/>
          </w:tcPr>
          <w:p>
            <w:pPr>
              <w:jc w:val="right"/>
              <w:ind w:right="150"/>
              <w:spacing w:after="0"/>
              <w:rPr>
                <w:sz w:val="20"/>
                <w:szCs w:val="20"/>
                <w:color w:val="auto"/>
              </w:rPr>
            </w:pPr>
            <w:r>
              <w:rPr>
                <w:rFonts w:ascii="Arial" w:cs="Arial" w:eastAsia="Arial" w:hAnsi="Arial"/>
                <w:sz w:val="18"/>
                <w:szCs w:val="18"/>
                <w:color w:val="auto"/>
              </w:rPr>
              <w:t>1.4%</w:t>
            </w:r>
          </w:p>
        </w:tc>
        <w:tc>
          <w:tcPr>
            <w:tcW w:w="1460" w:type="dxa"/>
            <w:vAlign w:val="bottom"/>
            <w:tcBorders>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80" w:type="dxa"/>
            <w:vAlign w:val="bottom"/>
            <w:tcBorders>
              <w:left w:val="single" w:sz="8" w:color="3C5896"/>
              <w:right w:val="single" w:sz="8" w:color="9EACCA"/>
            </w:tcBorders>
          </w:tcPr>
          <w:p>
            <w:pPr>
              <w:ind w:left="60"/>
              <w:spacing w:after="0"/>
              <w:rPr>
                <w:sz w:val="20"/>
                <w:szCs w:val="20"/>
                <w:color w:val="auto"/>
              </w:rPr>
            </w:pPr>
            <w:r>
              <w:rPr>
                <w:rFonts w:ascii="Arial" w:cs="Arial" w:eastAsia="Arial" w:hAnsi="Arial"/>
                <w:sz w:val="18"/>
                <w:szCs w:val="18"/>
                <w:color w:val="auto"/>
              </w:rPr>
              <w:t>Fred Meyer</w:t>
            </w:r>
          </w:p>
        </w:tc>
        <w:tc>
          <w:tcPr>
            <w:tcW w:w="1080" w:type="dxa"/>
            <w:vAlign w:val="bottom"/>
            <w:tcBorders>
              <w:right w:val="single" w:sz="8" w:color="9EACCA"/>
            </w:tcBorders>
            <w:gridSpan w:val="2"/>
          </w:tcPr>
          <w:p>
            <w:pPr>
              <w:jc w:val="right"/>
              <w:ind w:right="30"/>
              <w:spacing w:after="0"/>
              <w:rPr>
                <w:sz w:val="20"/>
                <w:szCs w:val="20"/>
                <w:color w:val="auto"/>
              </w:rPr>
            </w:pPr>
            <w:r>
              <w:rPr>
                <w:rFonts w:ascii="Arial" w:cs="Arial" w:eastAsia="Arial" w:hAnsi="Arial"/>
                <w:sz w:val="18"/>
                <w:szCs w:val="18"/>
                <w:color w:val="auto"/>
              </w:rPr>
              <w:t>(21.6)%</w:t>
            </w:r>
          </w:p>
        </w:tc>
        <w:tc>
          <w:tcPr>
            <w:tcW w:w="1080" w:type="dxa"/>
            <w:vAlign w:val="bottom"/>
            <w:tcBorders>
              <w:right w:val="single" w:sz="8" w:color="9EACCA"/>
            </w:tcBorders>
          </w:tcPr>
          <w:p>
            <w:pPr>
              <w:jc w:val="right"/>
              <w:ind w:right="90"/>
              <w:spacing w:after="0"/>
              <w:rPr>
                <w:sz w:val="20"/>
                <w:szCs w:val="20"/>
                <w:color w:val="auto"/>
              </w:rPr>
            </w:pPr>
            <w:r>
              <w:rPr>
                <w:rFonts w:ascii="Arial" w:cs="Arial" w:eastAsia="Arial" w:hAnsi="Arial"/>
                <w:sz w:val="18"/>
                <w:szCs w:val="18"/>
                <w:color w:val="auto"/>
              </w:rPr>
              <w:t>(4.4)%</w:t>
            </w:r>
          </w:p>
        </w:tc>
        <w:tc>
          <w:tcPr>
            <w:tcW w:w="146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b w:val="1"/>
                <w:bCs w:val="1"/>
                <w:color w:val="auto"/>
              </w:rPr>
              <w:t>Legacy segment</w:t>
            </w:r>
          </w:p>
        </w:tc>
        <w:tc>
          <w:tcPr>
            <w:tcW w:w="108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(12.3)%</w:t>
            </w:r>
          </w:p>
        </w:tc>
        <w:tc>
          <w:tcPr>
            <w:tcW w:w="1080" w:type="dxa"/>
            <w:vAlign w:val="bottom"/>
            <w:tcBorders>
              <w:right w:val="single" w:sz="8" w:color="9EACCA"/>
            </w:tcBorders>
            <w:shd w:val="clear" w:color="auto" w:fill="CCCCCC"/>
          </w:tcPr>
          <w:p>
            <w:pPr>
              <w:jc w:val="right"/>
              <w:ind w:right="150"/>
              <w:spacing w:after="0"/>
              <w:rPr>
                <w:sz w:val="20"/>
                <w:szCs w:val="20"/>
                <w:color w:val="auto"/>
              </w:rPr>
            </w:pPr>
            <w:r>
              <w:rPr>
                <w:rFonts w:ascii="Arial" w:cs="Arial" w:eastAsia="Arial" w:hAnsi="Arial"/>
                <w:sz w:val="18"/>
                <w:szCs w:val="18"/>
                <w:color w:val="auto"/>
              </w:rPr>
              <w:t>3.1%</w:t>
            </w:r>
          </w:p>
        </w:tc>
        <w:tc>
          <w:tcPr>
            <w:tcW w:w="1460" w:type="dxa"/>
            <w:vAlign w:val="bottom"/>
            <w:tcBorders>
              <w:right w:val="single" w:sz="8" w:color="3C5896"/>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80" w:type="dxa"/>
            <w:vAlign w:val="bottom"/>
            <w:tcBorders>
              <w:left w:val="single" w:sz="8" w:color="3C5896"/>
              <w:right w:val="single" w:sz="8" w:color="9EACCA"/>
            </w:tcBorders>
          </w:tcPr>
          <w:p>
            <w:pPr>
              <w:spacing w:after="0"/>
              <w:rPr>
                <w:sz w:val="23"/>
                <w:szCs w:val="23"/>
                <w:color w:val="auto"/>
              </w:rPr>
            </w:pPr>
          </w:p>
        </w:tc>
        <w:tc>
          <w:tcPr>
            <w:tcW w:w="1080" w:type="dxa"/>
            <w:vAlign w:val="bottom"/>
            <w:tcBorders>
              <w:right w:val="single" w:sz="8" w:color="9EACCA"/>
            </w:tcBorders>
            <w:gridSpan w:val="2"/>
          </w:tcPr>
          <w:p>
            <w:pPr>
              <w:spacing w:after="0"/>
              <w:rPr>
                <w:sz w:val="23"/>
                <w:szCs w:val="23"/>
                <w:color w:val="auto"/>
              </w:rPr>
            </w:pPr>
          </w:p>
        </w:tc>
        <w:tc>
          <w:tcPr>
            <w:tcW w:w="1080" w:type="dxa"/>
            <w:vAlign w:val="bottom"/>
            <w:tcBorders>
              <w:right w:val="single" w:sz="8" w:color="9EACCA"/>
            </w:tcBorders>
          </w:tcPr>
          <w:p>
            <w:pPr>
              <w:spacing w:after="0"/>
              <w:rPr>
                <w:sz w:val="23"/>
                <w:szCs w:val="23"/>
                <w:color w:val="auto"/>
              </w:rPr>
            </w:pPr>
          </w:p>
        </w:tc>
        <w:tc>
          <w:tcPr>
            <w:tcW w:w="1460" w:type="dxa"/>
            <w:vAlign w:val="bottom"/>
            <w:tcBorders>
              <w:right w:val="single" w:sz="8" w:color="3C5896"/>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80" w:type="dxa"/>
            <w:vAlign w:val="bottom"/>
            <w:tcBorders>
              <w:left w:val="single" w:sz="8" w:color="3C5896"/>
              <w:right w:val="single" w:sz="8" w:color="9EACCA"/>
            </w:tcBorders>
            <w:shd w:val="clear" w:color="auto" w:fill="CCCCCC"/>
          </w:tcPr>
          <w:p>
            <w:pPr>
              <w:ind w:left="60"/>
              <w:spacing w:after="0"/>
              <w:rPr>
                <w:sz w:val="20"/>
                <w:szCs w:val="20"/>
                <w:color w:val="auto"/>
              </w:rPr>
            </w:pPr>
            <w:r>
              <w:rPr>
                <w:rFonts w:ascii="Arial" w:cs="Arial" w:eastAsia="Arial" w:hAnsi="Arial"/>
                <w:sz w:val="18"/>
                <w:szCs w:val="18"/>
                <w:color w:val="auto"/>
              </w:rPr>
              <w:t>Total comparable store sales growth</w:t>
            </w:r>
          </w:p>
        </w:tc>
        <w:tc>
          <w:tcPr>
            <w:tcW w:w="1080" w:type="dxa"/>
            <w:vAlign w:val="bottom"/>
            <w:tcBorders>
              <w:right w:val="single" w:sz="8" w:color="9EACCA"/>
            </w:tcBorders>
            <w:gridSpan w:val="2"/>
            <w:shd w:val="clear" w:color="auto" w:fill="CCCCCC"/>
          </w:tcPr>
          <w:p>
            <w:pPr>
              <w:jc w:val="right"/>
              <w:ind w:right="30"/>
              <w:spacing w:after="0"/>
              <w:rPr>
                <w:sz w:val="20"/>
                <w:szCs w:val="20"/>
                <w:color w:val="auto"/>
              </w:rPr>
            </w:pPr>
            <w:r>
              <w:rPr>
                <w:rFonts w:ascii="Arial" w:cs="Arial" w:eastAsia="Arial" w:hAnsi="Arial"/>
                <w:sz w:val="18"/>
                <w:szCs w:val="18"/>
                <w:color w:val="auto"/>
              </w:rPr>
              <w:t>(5.6)%</w:t>
            </w:r>
          </w:p>
        </w:tc>
        <w:tc>
          <w:tcPr>
            <w:tcW w:w="1080" w:type="dxa"/>
            <w:vAlign w:val="bottom"/>
            <w:tcBorders>
              <w:right w:val="single" w:sz="8" w:color="9EACCA"/>
            </w:tcBorders>
            <w:shd w:val="clear" w:color="auto" w:fill="CCCCCC"/>
          </w:tcPr>
          <w:p>
            <w:pPr>
              <w:jc w:val="right"/>
              <w:ind w:right="150"/>
              <w:spacing w:after="0"/>
              <w:rPr>
                <w:sz w:val="20"/>
                <w:szCs w:val="20"/>
                <w:color w:val="auto"/>
              </w:rPr>
            </w:pPr>
            <w:r>
              <w:rPr>
                <w:rFonts w:ascii="Arial" w:cs="Arial" w:eastAsia="Arial" w:hAnsi="Arial"/>
                <w:sz w:val="18"/>
                <w:szCs w:val="18"/>
                <w:color w:val="auto"/>
              </w:rPr>
              <w:t>6.5%</w:t>
            </w:r>
          </w:p>
        </w:tc>
        <w:tc>
          <w:tcPr>
            <w:tcW w:w="1460" w:type="dxa"/>
            <w:vAlign w:val="bottom"/>
            <w:tcBorders>
              <w:right w:val="single" w:sz="8" w:color="3C5896"/>
            </w:tcBorders>
            <w:shd w:val="clear" w:color="auto" w:fill="CCCCCC"/>
          </w:tcPr>
          <w:p>
            <w:pPr>
              <w:jc w:val="right"/>
              <w:ind w:right="33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97"/>
        </w:trPr>
        <w:tc>
          <w:tcPr>
            <w:tcW w:w="5580" w:type="dxa"/>
            <w:vAlign w:val="bottom"/>
            <w:tcBorders>
              <w:left w:val="single" w:sz="8" w:color="3C5896"/>
              <w:bottom w:val="single" w:sz="8" w:color="3C5896"/>
              <w:right w:val="single" w:sz="8" w:color="9EACCA"/>
            </w:tcBorders>
          </w:tcPr>
          <w:p>
            <w:pPr>
              <w:ind w:left="60"/>
              <w:spacing w:after="0" w:line="297"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6"/>
                <w:szCs w:val="26"/>
                <w:color w:val="auto"/>
                <w:vertAlign w:val="superscript"/>
              </w:rPr>
              <w:t>(b)</w:t>
            </w:r>
          </w:p>
        </w:tc>
        <w:tc>
          <w:tcPr>
            <w:tcW w:w="1080" w:type="dxa"/>
            <w:vAlign w:val="bottom"/>
            <w:tcBorders>
              <w:bottom w:val="single" w:sz="8" w:color="3C5896"/>
              <w:right w:val="single" w:sz="8" w:color="9EACCA"/>
            </w:tcBorders>
            <w:gridSpan w:val="2"/>
          </w:tcPr>
          <w:p>
            <w:pPr>
              <w:jc w:val="right"/>
              <w:ind w:right="30"/>
              <w:spacing w:after="0"/>
              <w:rPr>
                <w:sz w:val="20"/>
                <w:szCs w:val="20"/>
                <w:color w:val="auto"/>
              </w:rPr>
            </w:pPr>
            <w:r>
              <w:rPr>
                <w:rFonts w:ascii="Arial" w:cs="Arial" w:eastAsia="Arial" w:hAnsi="Arial"/>
                <w:sz w:val="18"/>
                <w:szCs w:val="18"/>
                <w:color w:val="auto"/>
              </w:rPr>
              <w:t>(6.1)%</w:t>
            </w:r>
          </w:p>
        </w:tc>
        <w:tc>
          <w:tcPr>
            <w:tcW w:w="1080" w:type="dxa"/>
            <w:vAlign w:val="bottom"/>
            <w:tcBorders>
              <w:bottom w:val="single" w:sz="8" w:color="3C5896"/>
              <w:right w:val="single" w:sz="8" w:color="9EACCA"/>
            </w:tcBorders>
          </w:tcPr>
          <w:p>
            <w:pPr>
              <w:jc w:val="right"/>
              <w:ind w:right="150"/>
              <w:spacing w:after="0"/>
              <w:rPr>
                <w:sz w:val="20"/>
                <w:szCs w:val="20"/>
                <w:color w:val="auto"/>
              </w:rPr>
            </w:pPr>
            <w:r>
              <w:rPr>
                <w:rFonts w:ascii="Arial" w:cs="Arial" w:eastAsia="Arial" w:hAnsi="Arial"/>
                <w:sz w:val="18"/>
                <w:szCs w:val="18"/>
                <w:color w:val="auto"/>
              </w:rPr>
              <w:t>6.2%</w:t>
            </w:r>
          </w:p>
        </w:tc>
        <w:tc>
          <w:tcPr>
            <w:tcW w:w="1460" w:type="dxa"/>
            <w:vAlign w:val="bottom"/>
            <w:tcBorders>
              <w:bottom w:val="single" w:sz="8" w:color="3C5896"/>
              <w:right w:val="single" w:sz="8" w:color="3C5896"/>
            </w:tcBorders>
          </w:tcPr>
          <w:p>
            <w:pPr>
              <w:jc w:val="right"/>
              <w:ind w:right="3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-1508125</wp:posOffset>
            </wp:positionV>
            <wp:extent cx="23228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-1902460</wp:posOffset>
            </wp:positionV>
            <wp:extent cx="232283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2020 includes 53 weeks. Fiscal year 2019 includes 52 weeks.</w:t>
      </w:r>
    </w:p>
    <w:p>
      <w:pPr>
        <w:spacing w:after="0" w:line="84" w:lineRule="exact"/>
        <w:rPr>
          <w:sz w:val="20"/>
          <w:szCs w:val="20"/>
          <w:color w:val="auto"/>
        </w:rPr>
      </w:pPr>
    </w:p>
    <w:p>
      <w:pPr>
        <w:jc w:val="both"/>
        <w:ind w:left="1120" w:hanging="358"/>
        <w:spacing w:after="0" w:line="244" w:lineRule="auto"/>
        <w:tabs>
          <w:tab w:leader="none" w:pos="11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 in our 2020 Form 10-K, with the exception of the Legacy segment, which is adjusted as noted in</w:t>
      </w:r>
    </w:p>
    <w:p>
      <w:pPr>
        <w:ind w:left="1360" w:hanging="238"/>
        <w:spacing w:after="0"/>
        <w:tabs>
          <w:tab w:leader="none" w:pos="1360" w:val="left"/>
        </w:tabs>
        <w:numPr>
          <w:ilvl w:val="1"/>
          <w:numId w:val="65"/>
        </w:numPr>
        <w:rPr>
          <w:rFonts w:ascii="Arial" w:cs="Arial" w:eastAsia="Arial" w:hAnsi="Arial"/>
          <w:sz w:val="15"/>
          <w:szCs w:val="15"/>
          <w:color w:val="auto"/>
        </w:rPr>
      </w:pPr>
      <w:r>
        <w:rPr>
          <w:rFonts w:ascii="Arial" w:cs="Arial" w:eastAsia="Arial" w:hAnsi="Arial"/>
          <w:sz w:val="15"/>
          <w:szCs w:val="15"/>
          <w:color w:val="auto"/>
        </w:rPr>
        <w:t>(ii) below.</w:t>
      </w:r>
    </w:p>
    <w:p>
      <w:pPr>
        <w:spacing w:after="0" w:line="70" w:lineRule="exact"/>
        <w:rPr>
          <w:rFonts w:ascii="Arial" w:cs="Arial" w:eastAsia="Arial" w:hAnsi="Arial"/>
          <w:sz w:val="15"/>
          <w:szCs w:val="15"/>
          <w:color w:val="auto"/>
        </w:rPr>
      </w:pPr>
    </w:p>
    <w:p>
      <w:pPr>
        <w:jc w:val="both"/>
        <w:ind w:left="1120" w:hanging="358"/>
        <w:spacing w:after="0" w:line="246" w:lineRule="auto"/>
        <w:tabs>
          <w:tab w:leader="none" w:pos="112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0.4% and a decrease of 0.1% for the fiscal year 2020 and fiscal year 2019, respectively, and a decrease of 0.2% for the seven months ended January 2, 2021, (ii) Adjusted Comparable Store Sales Growth includes retail sales to the Legacy partner’s customers (rather than the revenues recognized consistent with the management &amp; services agreement with the legacy partner), resulting the following changes from total comparable store sales growth based on consolidated net revenue: a decrease of 0.1% and a decrease of 0.2% for the fiscal years 2020 and 2019, respectively, and a decrease of 0.3% for the seven months ended January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sz w:val="1"/>
          <w:szCs w:val="1"/>
          <w:color w:val="auto"/>
        </w:rPr>
        <w:drawing>
          <wp:inline distT="0" distB="0" distL="0" distR="0">
            <wp:extent cx="299720" cy="24003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B</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APPENDIX B</w:t>
      </w:r>
    </w:p>
    <w:p>
      <w:pPr>
        <w:spacing w:after="0" w:line="216" w:lineRule="exact"/>
        <w:rPr>
          <w:sz w:val="20"/>
          <w:szCs w:val="20"/>
          <w:color w:val="auto"/>
        </w:rPr>
      </w:pPr>
    </w:p>
    <w:p>
      <w:pPr>
        <w:ind w:left="760" w:right="1660"/>
        <w:spacing w:after="0" w:line="261" w:lineRule="auto"/>
        <w:rPr>
          <w:sz w:val="20"/>
          <w:szCs w:val="20"/>
          <w:color w:val="auto"/>
        </w:rPr>
      </w:pPr>
      <w:r>
        <w:rPr>
          <w:rFonts w:ascii="Arial" w:cs="Arial" w:eastAsia="Arial" w:hAnsi="Arial"/>
          <w:sz w:val="22"/>
          <w:szCs w:val="22"/>
          <w:b w:val="1"/>
          <w:bCs w:val="1"/>
          <w:color w:val="3C5896"/>
        </w:rPr>
        <w:t>PROPOSED AMENDMENTS TO THE NATIONAL VISION HOLDINGS, INC.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0" w:lineRule="exact"/>
        <w:rPr>
          <w:sz w:val="20"/>
          <w:szCs w:val="20"/>
          <w:color w:val="auto"/>
        </w:rPr>
      </w:pPr>
    </w:p>
    <w:p>
      <w:pPr>
        <w:jc w:val="both"/>
        <w:ind w:left="760" w:right="760"/>
        <w:spacing w:after="0"/>
        <w:rPr>
          <w:sz w:val="20"/>
          <w:szCs w:val="20"/>
          <w:color w:val="auto"/>
        </w:rPr>
      </w:pPr>
      <w:r>
        <w:rPr>
          <w:rFonts w:ascii="Arial" w:cs="Arial" w:eastAsia="Arial" w:hAnsi="Arial"/>
          <w:sz w:val="18"/>
          <w:szCs w:val="18"/>
          <w:color w:val="auto"/>
        </w:rPr>
        <w:t>Subject to approval by the requisite vote of stockholders of the Company, the following sections of the Second Amended and Restated Certificate of Incorporation would be amended as follows, with additions indicated by underlining and deletions indicated by strike-outs: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Sections A, B, and C of Article VI of the Second Amended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04" w:lineRule="exact"/>
        <w:rPr>
          <w:sz w:val="20"/>
          <w:szCs w:val="20"/>
          <w:color w:val="auto"/>
        </w:rPr>
      </w:pPr>
    </w:p>
    <w:p>
      <w:pPr>
        <w:jc w:val="both"/>
        <w:ind w:left="760" w:right="760"/>
        <w:spacing w:after="0" w:line="265" w:lineRule="auto"/>
        <w:rPr>
          <w:sz w:val="20"/>
          <w:szCs w:val="20"/>
          <w:color w:val="auto"/>
        </w:rPr>
      </w:pPr>
      <w:r>
        <w:rPr>
          <w:rFonts w:ascii="Arial" w:cs="Arial" w:eastAsia="Arial" w:hAnsi="Arial"/>
          <w:sz w:val="17"/>
          <w:szCs w:val="17"/>
          <w:color w:val="auto"/>
        </w:rPr>
        <w:t>A. Except as otherwise provided in this Second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w:t>
      </w:r>
      <w:r>
        <w:rPr>
          <w:rFonts w:ascii="Arial" w:cs="Arial" w:eastAsia="Arial" w:hAnsi="Arial"/>
          <w:sz w:val="17"/>
          <w:szCs w:val="17"/>
          <w:b w:val="1"/>
          <w:bCs w:val="1"/>
          <w:u w:val="single" w:color="auto"/>
          <w:color w:val="0000FF"/>
        </w:rPr>
        <w:t>, until the annual meeting of stockholders to be held in 2024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“2024 Annual Meeting”),</w:t>
      </w:r>
      <w:r>
        <w:rPr>
          <w:rFonts w:ascii="Arial" w:cs="Arial" w:eastAsia="Arial" w:hAnsi="Arial"/>
          <w:sz w:val="17"/>
          <w:szCs w:val="17"/>
          <w:b w:val="1"/>
          <w:bCs w:val="1"/>
          <w:color w:val="0000FF"/>
        </w:rPr>
        <w:t xml:space="preserve"> </w:t>
      </w:r>
      <w:r>
        <w:rPr>
          <w:rFonts w:ascii="Arial" w:cs="Arial" w:eastAsia="Arial" w:hAnsi="Arial"/>
          <w:sz w:val="17"/>
          <w:szCs w:val="17"/>
          <w:color w:val="000000"/>
        </w:rPr>
        <w:t>be divided into three classes designated Class I, Class II and Class III. Each class shall</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consist, as nearly as possible, of one-third of the total number of such directors. </w:t>
      </w:r>
      <w:r>
        <w:rPr>
          <w:rFonts w:ascii="Arial" w:cs="Arial" w:eastAsia="Arial" w:hAnsi="Arial"/>
          <w:sz w:val="17"/>
          <w:szCs w:val="17"/>
          <w:b w:val="1"/>
          <w:bCs w:val="1"/>
          <w:color w:val="FC0014"/>
          <w:strike w:val="1"/>
        </w:rPr>
        <w:t>Class I directors shall initially</w:t>
      </w:r>
      <w:r>
        <w:rPr>
          <w:rFonts w:ascii="Arial" w:cs="Arial" w:eastAsia="Arial" w:hAnsi="Arial"/>
          <w:sz w:val="17"/>
          <w:szCs w:val="17"/>
          <w:color w:val="000000"/>
        </w:rPr>
        <w:t xml:space="preserve"> </w:t>
      </w:r>
      <w:r>
        <w:rPr>
          <w:rFonts w:ascii="Arial" w:cs="Arial" w:eastAsia="Arial" w:hAnsi="Arial"/>
          <w:sz w:val="17"/>
          <w:szCs w:val="17"/>
          <w:b w:val="1"/>
          <w:bCs w:val="1"/>
          <w:color w:val="FC0014"/>
          <w:strike w:val="1"/>
        </w:rPr>
        <w:t>serve for a term expiring at the first</w:t>
      </w:r>
      <w:r>
        <w:rPr>
          <w:rFonts w:ascii="Arial" w:cs="Arial" w:eastAsia="Arial" w:hAnsi="Arial"/>
          <w:sz w:val="17"/>
          <w:szCs w:val="17"/>
          <w:b w:val="1"/>
          <w:bCs w:val="1"/>
          <w:u w:val="single" w:color="auto"/>
          <w:color w:val="0000FF"/>
        </w:rPr>
        <w:t>Each director elected at the 2021</w:t>
      </w:r>
      <w:r>
        <w:rPr>
          <w:rFonts w:ascii="Arial" w:cs="Arial" w:eastAsia="Arial" w:hAnsi="Arial"/>
          <w:sz w:val="17"/>
          <w:szCs w:val="17"/>
          <w:b w:val="1"/>
          <w:bCs w:val="1"/>
          <w:color w:val="FC0014"/>
        </w:rPr>
        <w:t xml:space="preserve"> </w:t>
      </w:r>
      <w:r>
        <w:rPr>
          <w:rFonts w:ascii="Arial" w:cs="Arial" w:eastAsia="Arial" w:hAnsi="Arial"/>
          <w:sz w:val="17"/>
          <w:szCs w:val="17"/>
          <w:color w:val="000000"/>
        </w:rPr>
        <w:t>annual meeting of stockholders</w:t>
      </w:r>
      <w:r>
        <w:rPr>
          <w:rFonts w:ascii="Arial" w:cs="Arial" w:eastAsia="Arial" w:hAnsi="Arial"/>
          <w:sz w:val="17"/>
          <w:szCs w:val="17"/>
          <w:b w:val="1"/>
          <w:bCs w:val="1"/>
          <w:color w:val="FC0014"/>
        </w:rPr>
        <w:t xml:space="preserve"> </w:t>
      </w:r>
      <w:r>
        <w:rPr>
          <w:rFonts w:ascii="Arial" w:cs="Arial" w:eastAsia="Arial" w:hAnsi="Arial"/>
          <w:sz w:val="17"/>
          <w:szCs w:val="17"/>
          <w:b w:val="1"/>
          <w:bCs w:val="1"/>
          <w:color w:val="FC0014"/>
          <w:strike w:val="1"/>
        </w:rPr>
        <w:t>following</w:t>
      </w:r>
      <w:r>
        <w:rPr>
          <w:rFonts w:ascii="Arial" w:cs="Arial" w:eastAsia="Arial" w:hAnsi="Arial"/>
          <w:sz w:val="17"/>
          <w:szCs w:val="17"/>
          <w:b w:val="1"/>
          <w:bCs w:val="1"/>
          <w:color w:val="FC0014"/>
        </w:rPr>
        <w:t xml:space="preserve"> </w:t>
      </w:r>
      <w:r>
        <w:rPr>
          <w:rFonts w:ascii="Arial" w:cs="Arial" w:eastAsia="Arial" w:hAnsi="Arial"/>
          <w:sz w:val="17"/>
          <w:szCs w:val="17"/>
          <w:b w:val="1"/>
          <w:bCs w:val="1"/>
          <w:color w:val="FC0014"/>
          <w:strike w:val="1"/>
        </w:rPr>
        <w:t>the date the Common Stock is first publicly traded (the “IPO Date”), Class II directors shall initially serve for a</w:t>
      </w:r>
      <w:r>
        <w:rPr>
          <w:rFonts w:ascii="Arial" w:cs="Arial" w:eastAsia="Arial" w:hAnsi="Arial"/>
          <w:sz w:val="17"/>
          <w:szCs w:val="17"/>
          <w:b w:val="1"/>
          <w:bCs w:val="1"/>
          <w:u w:val="single" w:color="auto"/>
          <w:color w:val="0000FF"/>
          <w:strike w:val="1"/>
        </w:rPr>
        <w:t>shall be elected to a three-year</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term expiring at the</w:t>
      </w:r>
      <w:r>
        <w:rPr>
          <w:rFonts w:ascii="Arial" w:cs="Arial" w:eastAsia="Arial" w:hAnsi="Arial"/>
          <w:sz w:val="17"/>
          <w:szCs w:val="17"/>
          <w:b w:val="1"/>
          <w:bCs w:val="1"/>
          <w:color w:val="FC0014"/>
          <w:strike w:val="1"/>
        </w:rPr>
        <w:t xml:space="preserve"> second</w:t>
      </w:r>
      <w:r>
        <w:rPr>
          <w:rFonts w:ascii="Arial" w:cs="Arial" w:eastAsia="Arial" w:hAnsi="Arial"/>
          <w:sz w:val="17"/>
          <w:szCs w:val="17"/>
          <w:b w:val="1"/>
          <w:bCs w:val="1"/>
          <w:u w:val="single" w:color="auto"/>
          <w:color w:val="0000FF"/>
          <w:strike w:val="1"/>
        </w:rPr>
        <w:t>2024</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annual meeting of stockholders</w:t>
      </w:r>
      <w:r>
        <w:rPr>
          <w:rFonts w:ascii="Arial" w:cs="Arial" w:eastAsia="Arial" w:hAnsi="Arial"/>
          <w:sz w:val="17"/>
          <w:szCs w:val="17"/>
          <w:b w:val="1"/>
          <w:bCs w:val="1"/>
          <w:color w:val="FC0014"/>
          <w:strike w:val="1"/>
        </w:rPr>
        <w:t xml:space="preserve"> following the</w:t>
      </w:r>
    </w:p>
    <w:p>
      <w:pPr>
        <w:spacing w:after="0" w:line="2" w:lineRule="exact"/>
        <w:rPr>
          <w:sz w:val="20"/>
          <w:szCs w:val="20"/>
          <w:color w:val="auto"/>
        </w:rPr>
      </w:pPr>
    </w:p>
    <w:p>
      <w:pPr>
        <w:jc w:val="both"/>
        <w:ind w:left="760" w:right="760"/>
        <w:spacing w:after="0" w:line="265" w:lineRule="auto"/>
        <w:rPr>
          <w:sz w:val="20"/>
          <w:szCs w:val="20"/>
          <w:color w:val="auto"/>
        </w:rPr>
      </w:pPr>
      <w:r>
        <w:rPr>
          <w:rFonts w:ascii="Arial" w:cs="Arial" w:eastAsia="Arial" w:hAnsi="Arial"/>
          <w:sz w:val="17"/>
          <w:szCs w:val="17"/>
          <w:b w:val="1"/>
          <w:bCs w:val="1"/>
          <w:color w:val="FC0014"/>
          <w:strike w:val="1"/>
        </w:rPr>
        <w:t>IPO Date and Class III directors shall initially serve for a term expiring at the third</w:t>
      </w:r>
      <w:r>
        <w:rPr>
          <w:rFonts w:ascii="Arial" w:cs="Arial" w:eastAsia="Arial" w:hAnsi="Arial"/>
          <w:sz w:val="17"/>
          <w:szCs w:val="17"/>
          <w:b w:val="1"/>
          <w:bCs w:val="1"/>
          <w:u w:val="single" w:color="auto"/>
          <w:color w:val="0000FF"/>
          <w:strike w:val="1"/>
        </w:rPr>
        <w:t>. Commencing with the</w:t>
      </w:r>
      <w:r>
        <w:rPr>
          <w:rFonts w:ascii="Arial" w:cs="Arial" w:eastAsia="Arial" w:hAnsi="Arial"/>
          <w:sz w:val="17"/>
          <w:szCs w:val="17"/>
          <w:b w:val="1"/>
          <w:bCs w:val="1"/>
          <w:color w:val="FC0014"/>
          <w:strike w:val="1"/>
        </w:rPr>
        <w:t xml:space="preserve"> </w:t>
      </w:r>
      <w:r>
        <w:rPr>
          <w:rFonts w:ascii="Arial" w:cs="Arial" w:eastAsia="Arial" w:hAnsi="Arial"/>
          <w:sz w:val="17"/>
          <w:szCs w:val="17"/>
          <w:b w:val="1"/>
          <w:bCs w:val="1"/>
          <w:u w:val="single" w:color="auto"/>
          <w:color w:val="0000FF"/>
          <w:strike w:val="1"/>
        </w:rPr>
        <w:t>2022</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annual meeting of stockholders</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C0014"/>
          <w:strike w:val="1"/>
        </w:rPr>
        <w:t>following the IPO Date. At each succeeding annual meeting, successors</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C0014"/>
          <w:strike w:val="1"/>
        </w:rPr>
        <w:t>to</w:t>
      </w:r>
      <w:r>
        <w:rPr>
          <w:rFonts w:ascii="Arial" w:cs="Arial" w:eastAsia="Arial" w:hAnsi="Arial"/>
          <w:sz w:val="17"/>
          <w:szCs w:val="17"/>
          <w:b w:val="1"/>
          <w:bCs w:val="1"/>
          <w:u w:val="single" w:color="auto"/>
          <w:color w:val="0000FF"/>
          <w:strike w:val="1"/>
        </w:rPr>
        <w:t>, directors of</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the class</w:t>
      </w:r>
      <w:r>
        <w:rPr>
          <w:rFonts w:ascii="Arial" w:cs="Arial" w:eastAsia="Arial" w:hAnsi="Arial"/>
          <w:sz w:val="17"/>
          <w:szCs w:val="17"/>
          <w:b w:val="1"/>
          <w:bCs w:val="1"/>
          <w:color w:val="FC0014"/>
          <w:strike w:val="1"/>
        </w:rPr>
        <w:t xml:space="preserve"> of directors </w:t>
      </w:r>
      <w:r>
        <w:rPr>
          <w:rFonts w:ascii="Arial" w:cs="Arial" w:eastAsia="Arial" w:hAnsi="Arial"/>
          <w:sz w:val="17"/>
          <w:szCs w:val="17"/>
          <w:color w:val="000000"/>
          <w:strike w:val="1"/>
        </w:rPr>
        <w:t>whose term</w:t>
      </w:r>
      <w:r>
        <w:rPr>
          <w:rFonts w:ascii="Arial" w:cs="Arial" w:eastAsia="Arial" w:hAnsi="Arial"/>
          <w:sz w:val="17"/>
          <w:szCs w:val="17"/>
          <w:b w:val="1"/>
          <w:bCs w:val="1"/>
          <w:color w:val="FC0014"/>
          <w:strike w:val="1"/>
        </w:rPr>
        <w:t xml:space="preserve"> expires</w:t>
      </w:r>
      <w:r>
        <w:rPr>
          <w:rFonts w:ascii="Arial" w:cs="Arial" w:eastAsia="Arial" w:hAnsi="Arial"/>
          <w:sz w:val="17"/>
          <w:szCs w:val="17"/>
          <w:b w:val="1"/>
          <w:bCs w:val="1"/>
          <w:u w:val="single" w:color="auto"/>
          <w:color w:val="0000FF"/>
          <w:strike w:val="1"/>
        </w:rPr>
        <w:t>ends</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at</w:t>
      </w:r>
      <w:r>
        <w:rPr>
          <w:rFonts w:ascii="Arial" w:cs="Arial" w:eastAsia="Arial" w:hAnsi="Arial"/>
          <w:sz w:val="17"/>
          <w:szCs w:val="17"/>
          <w:b w:val="1"/>
          <w:bCs w:val="1"/>
          <w:color w:val="FC0014"/>
          <w:strike w:val="1"/>
        </w:rPr>
        <w:t xml:space="preserve"> that</w:t>
      </w:r>
      <w:r>
        <w:rPr>
          <w:rFonts w:ascii="Arial" w:cs="Arial" w:eastAsia="Arial" w:hAnsi="Arial"/>
          <w:sz w:val="17"/>
          <w:szCs w:val="17"/>
          <w:b w:val="1"/>
          <w:bCs w:val="1"/>
          <w:u w:val="single" w:color="auto"/>
          <w:color w:val="0000FF"/>
          <w:strike w:val="1"/>
        </w:rPr>
        <w:t>such</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annual meeting</w:t>
      </w:r>
      <w:r>
        <w:rPr>
          <w:rFonts w:ascii="Arial" w:cs="Arial" w:eastAsia="Arial" w:hAnsi="Arial"/>
          <w:sz w:val="17"/>
          <w:szCs w:val="17"/>
          <w:b w:val="1"/>
          <w:bCs w:val="1"/>
          <w:color w:val="FC0014"/>
          <w:strike w:val="1"/>
        </w:rPr>
        <w:t xml:space="preserve"> </w:t>
      </w:r>
      <w:r>
        <w:rPr>
          <w:rFonts w:ascii="Arial" w:cs="Arial" w:eastAsia="Arial" w:hAnsi="Arial"/>
          <w:sz w:val="17"/>
          <w:szCs w:val="17"/>
          <w:b w:val="1"/>
          <w:bCs w:val="1"/>
          <w:u w:val="single" w:color="auto"/>
          <w:color w:val="0000FF"/>
          <w:strike w:val="1"/>
        </w:rPr>
        <w:t>shall thereafter be</w:t>
      </w:r>
      <w:r>
        <w:rPr>
          <w:rFonts w:ascii="Arial" w:cs="Arial" w:eastAsia="Arial" w:hAnsi="Arial"/>
          <w:sz w:val="17"/>
          <w:szCs w:val="17"/>
          <w:b w:val="1"/>
          <w:bCs w:val="1"/>
          <w:color w:val="FC0014"/>
          <w:strike w:val="1"/>
        </w:rPr>
        <w:t xml:space="preserve"> </w:t>
      </w:r>
      <w:r>
        <w:rPr>
          <w:rFonts w:ascii="Arial" w:cs="Arial" w:eastAsia="Arial" w:hAnsi="Arial"/>
          <w:sz w:val="17"/>
          <w:szCs w:val="17"/>
          <w:b w:val="1"/>
          <w:bCs w:val="1"/>
          <w:u w:val="single" w:color="auto"/>
          <w:color w:val="0000FF"/>
          <w:strike w:val="1"/>
        </w:rPr>
        <w:t>elected for a one-year term expiring at the next annual meeting of stockholders and until their successors are elected and qualified or until their earlier death, resignation, retirement, disqualification or removal from office. From and after the 2024 Annual Meeting, the classification of the directors shall cease and all directors</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shall be elected for a</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u w:val="single" w:color="auto"/>
          <w:color w:val="0000FF"/>
          <w:strike w:val="1"/>
        </w:rPr>
        <w:t>one-year</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term expiring at the</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C0014"/>
          <w:strike w:val="1"/>
        </w:rPr>
        <w:t>third succeeding</w:t>
      </w:r>
      <w:r>
        <w:rPr>
          <w:rFonts w:ascii="Arial" w:cs="Arial" w:eastAsia="Arial" w:hAnsi="Arial"/>
          <w:sz w:val="17"/>
          <w:szCs w:val="17"/>
          <w:b w:val="1"/>
          <w:bCs w:val="1"/>
          <w:u w:val="single" w:color="auto"/>
          <w:color w:val="0000FF"/>
          <w:strike w:val="1"/>
        </w:rPr>
        <w:t>next</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annual meeting of</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 xml:space="preserve">stockholders </w:t>
      </w:r>
      <w:r>
        <w:rPr>
          <w:rFonts w:ascii="Arial" w:cs="Arial" w:eastAsia="Arial" w:hAnsi="Arial"/>
          <w:sz w:val="17"/>
          <w:szCs w:val="17"/>
          <w:b w:val="1"/>
          <w:bCs w:val="1"/>
          <w:u w:val="single" w:color="auto"/>
          <w:color w:val="0000FF"/>
          <w:strike w:val="1"/>
        </w:rPr>
        <w:t>or until their earlier death, resignation, retirement disqualification or removal from office</w:t>
      </w:r>
      <w:r>
        <w:rPr>
          <w:rFonts w:ascii="Arial" w:cs="Arial" w:eastAsia="Arial" w:hAnsi="Arial"/>
          <w:sz w:val="17"/>
          <w:szCs w:val="17"/>
          <w:color w:val="000000"/>
          <w:strike w:val="1"/>
        </w:rPr>
        <w:t xml:space="preserve">. If the number of such directors is changed </w:t>
      </w:r>
      <w:r>
        <w:rPr>
          <w:rFonts w:ascii="Arial" w:cs="Arial" w:eastAsia="Arial" w:hAnsi="Arial"/>
          <w:sz w:val="17"/>
          <w:szCs w:val="17"/>
          <w:b w:val="1"/>
          <w:bCs w:val="1"/>
          <w:u w:val="single" w:color="auto"/>
          <w:color w:val="0000FF"/>
          <w:strike w:val="1"/>
        </w:rPr>
        <w:t>prior to the 2024 Annual Meeting</w:t>
      </w:r>
      <w:r>
        <w:rPr>
          <w:rFonts w:ascii="Arial" w:cs="Arial" w:eastAsia="Arial" w:hAnsi="Arial"/>
          <w:sz w:val="17"/>
          <w:szCs w:val="17"/>
          <w:color w:val="000000"/>
          <w:strike w:val="1"/>
        </w:rPr>
        <w:t>, any increase or decrease shall be apportioned among the classes so as to maintain the number of directors in each class as nearly equal as possible</w:t>
      </w:r>
      <w:r>
        <w:rPr>
          <w:rFonts w:ascii="Arial" w:cs="Arial" w:eastAsia="Arial" w:hAnsi="Arial"/>
          <w:sz w:val="17"/>
          <w:szCs w:val="17"/>
          <w:b w:val="1"/>
          <w:bCs w:val="1"/>
          <w:color w:val="FC0014"/>
          <w:strike w:val="1"/>
        </w:rPr>
        <w:t>,</w:t>
      </w:r>
      <w:r>
        <w:rPr>
          <w:rFonts w:ascii="Arial" w:cs="Arial" w:eastAsia="Arial" w:hAnsi="Arial"/>
          <w:sz w:val="17"/>
          <w:szCs w:val="17"/>
          <w:color w:val="000000"/>
          <w:strike w:val="1"/>
        </w:rPr>
        <w:t xml:space="preserve"> </w:t>
      </w:r>
      <w:r>
        <w:rPr>
          <w:rFonts w:ascii="Arial" w:cs="Arial" w:eastAsia="Arial" w:hAnsi="Arial"/>
          <w:sz w:val="17"/>
          <w:szCs w:val="17"/>
          <w:b w:val="1"/>
          <w:bCs w:val="1"/>
          <w:color w:val="FC0014"/>
          <w:strike w:val="1"/>
        </w:rPr>
        <w:t>and any such additional director of any class elected to fill a newly created directorship resulting from an increase in such class shall hold office for a term that shall coincide with the remaining term of that class, but in</w:t>
      </w:r>
      <w:r>
        <w:rPr>
          <w:rFonts w:ascii="Arial" w:cs="Arial" w:eastAsia="Arial" w:hAnsi="Arial"/>
          <w:sz w:val="17"/>
          <w:szCs w:val="17"/>
          <w:b w:val="1"/>
          <w:bCs w:val="1"/>
          <w:u w:val="single" w:color="auto"/>
          <w:color w:val="0000FF"/>
          <w:strike w:val="1"/>
        </w:rPr>
        <w:t>. In</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no case shall a decrease in the number of directors remove or shorten the term of any incumbent director.</w:t>
      </w:r>
    </w:p>
    <w:p>
      <w:pPr>
        <w:spacing w:after="0" w:line="2"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b w:val="1"/>
          <w:bCs w:val="1"/>
          <w:color w:val="FC0014"/>
          <w:strike w:val="1"/>
        </w:rPr>
        <w:t>Subject to the terms of the Stockholders Agreement (as defined below), any such director shall hold office until the annual meeting at which his or her term expires and until his or her successor shall be elected and qualified, or his or her death, resignation, retirement, disqualification or removal from office. The Board of Directors is authorized to assign members of the Board of Directors already in office prior to the IPO Date to their respective class.</w:t>
      </w:r>
    </w:p>
    <w:p>
      <w:pPr>
        <w:spacing w:after="0" w:line="97"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8"/>
          <w:szCs w:val="18"/>
          <w:color w:val="auto"/>
        </w:rPr>
        <w:t>B. Subject to the rights granted to the holders of any one or more series of Preferred Stock then outstanding or the rights granted pursuant to the Stockholders Agreement, dated as of October 30, 2017 (as the same may be amended, supplemented, restated or otherwise modified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by and among the Corporation, certain affiliates of Kohlberg Kravis Roberts &amp; Co. L.P. (together with its affiliates and subsidiaries and its and their successors and assigns (other than the Corporation and its subsidiaries), collectively, “</w:t>
      </w:r>
      <w:r>
        <w:rPr>
          <w:rFonts w:ascii="Arial" w:cs="Arial" w:eastAsia="Arial" w:hAnsi="Arial"/>
          <w:sz w:val="18"/>
          <w:szCs w:val="18"/>
          <w:u w:val="single" w:color="auto"/>
          <w:color w:val="auto"/>
        </w:rPr>
        <w:t>KKR</w:t>
      </w:r>
      <w:r>
        <w:rPr>
          <w:rFonts w:ascii="Arial" w:cs="Arial" w:eastAsia="Arial" w:hAnsi="Arial"/>
          <w:sz w:val="18"/>
          <w:szCs w:val="18"/>
          <w:color w:val="auto"/>
        </w:rPr>
        <w:t>”) and private equity funds managed by Berkshire Partners LLC (together with its affiliates and subsidiaries and its and their successors and assigns (other than the Corporation and its subsidiaries), collectively, “</w:t>
      </w:r>
      <w:r>
        <w:rPr>
          <w:rFonts w:ascii="Arial" w:cs="Arial" w:eastAsia="Arial" w:hAnsi="Arial"/>
          <w:sz w:val="18"/>
          <w:szCs w:val="18"/>
          <w:u w:val="single" w:color="auto"/>
          <w:color w:val="auto"/>
        </w:rPr>
        <w:t>Berkshire</w:t>
      </w:r>
      <w:r>
        <w:rPr>
          <w:rFonts w:ascii="Arial" w:cs="Arial" w:eastAsia="Arial" w:hAnsi="Arial"/>
          <w:sz w:val="18"/>
          <w:szCs w:val="18"/>
          <w:color w:val="auto"/>
        </w:rPr>
        <w:t>”), any newly-created directorship on the Board of Directors that results from an increase in the number of directors and any vacancy occurring on the Board of Directors (whether by death, resignation, retirement, disqualification, removal or other cause) shall be filled by a majority of the directors then in office, even if less than a quorum, by a sole remaining director or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220345</wp:posOffset>
            </wp:positionV>
            <wp:extent cx="300355" cy="2400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69</w:t>
            </w:r>
          </w:p>
        </w:tc>
      </w:tr>
      <w:tr>
        <w:trPr>
          <w:trHeight w:val="432"/>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B</w:t>
      </w:r>
    </w:p>
    <w:p>
      <w:pPr>
        <w:spacing w:after="0" w:line="229"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at any time when KKR and Berkshire beneficially own collectively, in the aggregate,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40% in voting power of the stock of the Corporation entitled to vote generally in the election of directors, any newly-created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even if less than a quorum, or by a sole remaining director (and not by the stockholders). Any director elected to fill a vacancy or newly created directorship shall hold office until</w:t>
      </w:r>
      <w:r>
        <w:rPr>
          <w:rFonts w:ascii="Arial" w:cs="Arial" w:eastAsia="Arial" w:hAnsi="Arial"/>
          <w:sz w:val="18"/>
          <w:szCs w:val="18"/>
          <w:b w:val="1"/>
          <w:bCs w:val="1"/>
          <w:u w:val="single" w:color="auto"/>
          <w:color w:val="0000FF"/>
        </w:rPr>
        <w:t>, if prior to the 2024 Annual Meeting,</w:t>
      </w:r>
      <w:r>
        <w:rPr>
          <w:rFonts w:ascii="Arial" w:cs="Arial" w:eastAsia="Arial" w:hAnsi="Arial"/>
          <w:sz w:val="18"/>
          <w:szCs w:val="18"/>
          <w:color w:val="auto"/>
        </w:rPr>
        <w:t xml:space="preserve"> the next election of the class </w:t>
      </w:r>
      <w:r>
        <w:rPr>
          <w:rFonts w:ascii="Arial" w:cs="Arial" w:eastAsia="Arial" w:hAnsi="Arial"/>
          <w:sz w:val="18"/>
          <w:szCs w:val="18"/>
          <w:b w:val="1"/>
          <w:bCs w:val="1"/>
          <w:color w:val="FC0014"/>
          <w:strike w:val="1"/>
        </w:rPr>
        <w:t>for</w:t>
      </w:r>
      <w:r>
        <w:rPr>
          <w:rFonts w:ascii="Arial" w:cs="Arial" w:eastAsia="Arial" w:hAnsi="Arial"/>
          <w:sz w:val="18"/>
          <w:szCs w:val="18"/>
          <w:b w:val="1"/>
          <w:bCs w:val="1"/>
          <w:u w:val="single" w:color="auto"/>
          <w:color w:val="0000FF"/>
        </w:rPr>
        <w:t>into</w:t>
      </w:r>
      <w:r>
        <w:rPr>
          <w:rFonts w:ascii="Arial" w:cs="Arial" w:eastAsia="Arial" w:hAnsi="Arial"/>
          <w:sz w:val="18"/>
          <w:szCs w:val="18"/>
          <w:color w:val="auto"/>
        </w:rPr>
        <w:t xml:space="preserve"> which such director shall have been </w:t>
      </w:r>
      <w:r>
        <w:rPr>
          <w:rFonts w:ascii="Arial" w:cs="Arial" w:eastAsia="Arial" w:hAnsi="Arial"/>
          <w:sz w:val="18"/>
          <w:szCs w:val="18"/>
          <w:b w:val="1"/>
          <w:bCs w:val="1"/>
          <w:color w:val="FC0014"/>
          <w:strike w:val="1"/>
        </w:rPr>
        <w:t>chosen and</w:t>
      </w:r>
      <w:r>
        <w:rPr>
          <w:rFonts w:ascii="Arial" w:cs="Arial" w:eastAsia="Arial" w:hAnsi="Arial"/>
          <w:sz w:val="18"/>
          <w:szCs w:val="18"/>
          <w:b w:val="1"/>
          <w:bCs w:val="1"/>
          <w:u w:val="single" w:color="auto"/>
          <w:color w:val="0000FF"/>
        </w:rPr>
        <w:t>elected or placed or, if from and after the 2024 Annual Meeting, the next annual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meeting of stockholders, and, in each case,</w:t>
      </w:r>
      <w:r>
        <w:rPr>
          <w:rFonts w:ascii="Arial" w:cs="Arial" w:eastAsia="Arial" w:hAnsi="Arial"/>
          <w:sz w:val="18"/>
          <w:szCs w:val="18"/>
          <w:b w:val="1"/>
          <w:bCs w:val="1"/>
          <w:color w:val="0000FF"/>
        </w:rPr>
        <w:t xml:space="preserve"> </w:t>
      </w:r>
      <w:r>
        <w:rPr>
          <w:rFonts w:ascii="Arial" w:cs="Arial" w:eastAsia="Arial" w:hAnsi="Arial"/>
          <w:sz w:val="18"/>
          <w:szCs w:val="18"/>
          <w:color w:val="000000"/>
        </w:rPr>
        <w:t>until his or her successor shall be elected and qualified, or until his or</w:t>
      </w:r>
      <w:r>
        <w:rPr>
          <w:rFonts w:ascii="Arial" w:cs="Arial" w:eastAsia="Arial" w:hAnsi="Arial"/>
          <w:sz w:val="18"/>
          <w:szCs w:val="18"/>
          <w:b w:val="1"/>
          <w:bCs w:val="1"/>
          <w:color w:val="0000FF"/>
        </w:rPr>
        <w:t xml:space="preserve"> </w:t>
      </w:r>
      <w:r>
        <w:rPr>
          <w:rFonts w:ascii="Arial" w:cs="Arial" w:eastAsia="Arial" w:hAnsi="Arial"/>
          <w:sz w:val="18"/>
          <w:szCs w:val="18"/>
          <w:color w:val="000000"/>
        </w:rPr>
        <w:t>her earlier death, resignation, retirement, disqualification or removal.</w:t>
      </w:r>
    </w:p>
    <w:p>
      <w:pPr>
        <w:spacing w:after="0" w:line="95" w:lineRule="exact"/>
        <w:rPr>
          <w:sz w:val="20"/>
          <w:szCs w:val="20"/>
          <w:color w:val="auto"/>
        </w:rPr>
      </w:pPr>
    </w:p>
    <w:p>
      <w:pPr>
        <w:jc w:val="both"/>
        <w:ind w:left="760"/>
        <w:spacing w:after="0" w:line="249" w:lineRule="auto"/>
        <w:rPr>
          <w:sz w:val="20"/>
          <w:szCs w:val="20"/>
          <w:color w:val="auto"/>
        </w:rPr>
      </w:pPr>
      <w:r>
        <w:rPr>
          <w:rFonts w:ascii="Arial" w:cs="Arial" w:eastAsia="Arial" w:hAnsi="Arial"/>
          <w:sz w:val="17"/>
          <w:szCs w:val="17"/>
          <w:color w:val="auto"/>
        </w:rPr>
        <w:t xml:space="preserve">C. Subject to rights granted to KKR and Berkshire under the Stockholders Agreement,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w:t>
      </w:r>
      <w:r>
        <w:rPr>
          <w:rFonts w:ascii="Arial" w:cs="Arial" w:eastAsia="Arial" w:hAnsi="Arial"/>
          <w:sz w:val="17"/>
          <w:szCs w:val="17"/>
          <w:b w:val="1"/>
          <w:bCs w:val="1"/>
          <w:u w:val="single" w:color="auto"/>
          <w:color w:val="0000FF"/>
        </w:rPr>
        <w:t>the holders of</w:t>
      </w:r>
      <w:r>
        <w:rPr>
          <w:rFonts w:ascii="Arial" w:cs="Arial" w:eastAsia="Arial" w:hAnsi="Arial"/>
          <w:sz w:val="17"/>
          <w:szCs w:val="17"/>
          <w:color w:val="auto"/>
        </w:rPr>
        <w:t xml:space="preserve"> a majority in voting power of all outstanding shares of stock of the Corporation entitled to vote thereon, voting as a single class; </w:t>
      </w:r>
      <w:r>
        <w:rPr>
          <w:rFonts w:ascii="Arial" w:cs="Arial" w:eastAsia="Arial" w:hAnsi="Arial"/>
          <w:sz w:val="17"/>
          <w:szCs w:val="17"/>
          <w:i w:val="1"/>
          <w:iCs w:val="1"/>
          <w:color w:val="auto"/>
        </w:rPr>
        <w:t>provided, however, that at any time when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KKR and Berkshire beneficially own collectively, in the aggregate, less than 40% in voting power of the stock of the Corporation entitled to vote generally in the election of directors, </w:t>
      </w:r>
      <w:r>
        <w:rPr>
          <w:rFonts w:ascii="Arial" w:cs="Arial" w:eastAsia="Arial" w:hAnsi="Arial"/>
          <w:sz w:val="17"/>
          <w:szCs w:val="17"/>
          <w:b w:val="1"/>
          <w:bCs w:val="1"/>
          <w:color w:val="FC0014"/>
          <w:strike w:val="1"/>
        </w:rPr>
        <w:t>any such</w:t>
      </w:r>
      <w:r>
        <w:rPr>
          <w:rFonts w:ascii="Arial" w:cs="Arial" w:eastAsia="Arial" w:hAnsi="Arial"/>
          <w:sz w:val="17"/>
          <w:szCs w:val="17"/>
          <w:i w:val="1"/>
          <w:iCs w:val="1"/>
          <w:color w:val="auto"/>
        </w:rPr>
        <w:t xml:space="preserve"> </w:t>
      </w:r>
      <w:r>
        <w:rPr>
          <w:rFonts w:ascii="Arial" w:cs="Arial" w:eastAsia="Arial" w:hAnsi="Arial"/>
          <w:sz w:val="17"/>
          <w:szCs w:val="17"/>
          <w:b w:val="1"/>
          <w:bCs w:val="1"/>
          <w:u w:val="single" w:color="auto"/>
          <w:color w:val="0000FF"/>
        </w:rPr>
        <w:t>(i) prior to the 2024 Annual Meeting,</w:t>
      </w:r>
      <w:r>
        <w:rPr>
          <w:rFonts w:ascii="Arial" w:cs="Arial" w:eastAsia="Arial" w:hAnsi="Arial"/>
          <w:sz w:val="17"/>
          <w:szCs w:val="17"/>
          <w:i w:val="1"/>
          <w:iCs w:val="1"/>
          <w:color w:val="auto"/>
        </w:rPr>
        <w:t xml:space="preserve"> </w:t>
      </w:r>
      <w:r>
        <w:rPr>
          <w:rFonts w:ascii="Arial" w:cs="Arial" w:eastAsia="Arial" w:hAnsi="Arial"/>
          <w:sz w:val="17"/>
          <w:szCs w:val="17"/>
          <w:b w:val="1"/>
          <w:bCs w:val="1"/>
          <w:u w:val="single" w:color="auto"/>
          <w:color w:val="0000FF"/>
        </w:rPr>
        <w:t>any</w:t>
      </w:r>
      <w:r>
        <w:rPr>
          <w:rFonts w:ascii="Arial" w:cs="Arial" w:eastAsia="Arial" w:hAnsi="Arial"/>
          <w:sz w:val="17"/>
          <w:szCs w:val="17"/>
          <w:b w:val="1"/>
          <w:bCs w:val="1"/>
          <w:color w:val="0000FF"/>
        </w:rPr>
        <w:t xml:space="preserve"> </w:t>
      </w:r>
      <w:r>
        <w:rPr>
          <w:rFonts w:ascii="Arial" w:cs="Arial" w:eastAsia="Arial" w:hAnsi="Arial"/>
          <w:sz w:val="17"/>
          <w:szCs w:val="17"/>
          <w:i w:val="1"/>
          <w:iCs w:val="1"/>
          <w:color w:val="000000"/>
        </w:rPr>
        <w:t>director</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C0014"/>
          <w:strike w:val="1"/>
        </w:rPr>
        <w:t>or all such directors</w:t>
      </w:r>
      <w:r>
        <w:rPr>
          <w:rFonts w:ascii="Arial" w:cs="Arial" w:eastAsia="Arial" w:hAnsi="Arial"/>
          <w:sz w:val="17"/>
          <w:szCs w:val="17"/>
          <w:b w:val="1"/>
          <w:bCs w:val="1"/>
          <w:color w:val="0000FF"/>
        </w:rPr>
        <w:t xml:space="preserve"> </w:t>
      </w:r>
      <w:r>
        <w:rPr>
          <w:rFonts w:ascii="Arial" w:cs="Arial" w:eastAsia="Arial" w:hAnsi="Arial"/>
          <w:sz w:val="17"/>
          <w:szCs w:val="17"/>
          <w:i w:val="1"/>
          <w:iCs w:val="1"/>
          <w:color w:val="000000"/>
        </w:rPr>
        <w:t>may be removed only for cause and only by the affirmative vote of the holders of</w:t>
      </w:r>
      <w:r>
        <w:rPr>
          <w:rFonts w:ascii="Arial" w:cs="Arial" w:eastAsia="Arial" w:hAnsi="Arial"/>
          <w:sz w:val="17"/>
          <w:szCs w:val="17"/>
          <w:b w:val="1"/>
          <w:bCs w:val="1"/>
          <w:color w:val="0000FF"/>
        </w:rPr>
        <w:t xml:space="preserve"> </w:t>
      </w:r>
      <w:r>
        <w:rPr>
          <w:rFonts w:ascii="Arial" w:cs="Arial" w:eastAsia="Arial" w:hAnsi="Arial"/>
          <w:sz w:val="17"/>
          <w:szCs w:val="17"/>
          <w:i w:val="1"/>
          <w:iCs w:val="1"/>
          <w:color w:val="000000"/>
        </w:rPr>
        <w:t>at least 66</w:t>
      </w:r>
      <w:r>
        <w:rPr>
          <w:rFonts w:ascii="Arial" w:cs="Arial" w:eastAsia="Arial" w:hAnsi="Arial"/>
          <w:sz w:val="24"/>
          <w:szCs w:val="24"/>
          <w:i w:val="1"/>
          <w:iCs w:val="1"/>
          <w:color w:val="000000"/>
          <w:vertAlign w:val="superscript"/>
        </w:rPr>
        <w:t>2</w:t>
      </w:r>
      <w:r>
        <w:rPr>
          <w:rFonts w:ascii="Arial" w:cs="Arial" w:eastAsia="Arial" w:hAnsi="Arial"/>
          <w:sz w:val="17"/>
          <w:szCs w:val="17"/>
          <w:i w:val="1"/>
          <w:iCs w:val="1"/>
          <w:color w:val="000000"/>
        </w:rPr>
        <w:t>⁄</w:t>
      </w:r>
      <w:r>
        <w:rPr>
          <w:rFonts w:ascii="Arial" w:cs="Arial" w:eastAsia="Arial" w:hAnsi="Arial"/>
          <w:sz w:val="12"/>
          <w:szCs w:val="12"/>
          <w:i w:val="1"/>
          <w:iCs w:val="1"/>
          <w:color w:val="000000"/>
        </w:rPr>
        <w:t>3</w:t>
      </w:r>
      <w:r>
        <w:rPr>
          <w:rFonts w:ascii="Arial" w:cs="Arial" w:eastAsia="Arial" w:hAnsi="Arial"/>
          <w:sz w:val="17"/>
          <w:szCs w:val="17"/>
          <w:i w:val="1"/>
          <w:iCs w:val="1"/>
          <w:color w:val="000000"/>
        </w:rPr>
        <w:t>% in voting power of all the then-outstanding shares of stock of the Corporation entitled to vote thereon, voting together as a single class</w:t>
      </w:r>
      <w:r>
        <w:rPr>
          <w:rFonts w:ascii="Arial" w:cs="Arial" w:eastAsia="Arial" w:hAnsi="Arial"/>
          <w:sz w:val="17"/>
          <w:szCs w:val="17"/>
          <w:b w:val="1"/>
          <w:bCs w:val="1"/>
          <w:color w:val="FC0014"/>
          <w:strike w:val="1"/>
        </w:rPr>
        <w:t>.</w:t>
      </w:r>
      <w:r>
        <w:rPr>
          <w:rFonts w:ascii="Arial" w:cs="Arial" w:eastAsia="Arial" w:hAnsi="Arial"/>
          <w:sz w:val="17"/>
          <w:szCs w:val="17"/>
          <w:b w:val="1"/>
          <w:bCs w:val="1"/>
          <w:u w:val="single" w:color="auto"/>
          <w:color w:val="0000FF"/>
        </w:rPr>
        <w:t>, (ii) from and after the 2024 Annual Meeting, any director may be</w:t>
      </w:r>
      <w:r>
        <w:rPr>
          <w:rFonts w:ascii="Arial" w:cs="Arial" w:eastAsia="Arial" w:hAnsi="Arial"/>
          <w:sz w:val="17"/>
          <w:szCs w:val="17"/>
          <w:i w:val="1"/>
          <w:iCs w:val="1"/>
          <w:color w:val="000000"/>
        </w:rPr>
        <w:t xml:space="preserve"> </w:t>
      </w:r>
      <w:r>
        <w:rPr>
          <w:rFonts w:ascii="Arial" w:cs="Arial" w:eastAsia="Arial" w:hAnsi="Arial"/>
          <w:sz w:val="17"/>
          <w:szCs w:val="17"/>
          <w:b w:val="1"/>
          <w:bCs w:val="1"/>
          <w:u w:val="single" w:color="auto"/>
          <w:color w:val="0000FF"/>
        </w:rPr>
        <w:t>removed with or without cause by the affirmative vote of the holders of at least 66</w:t>
      </w:r>
      <w:r>
        <w:rPr>
          <w:rFonts w:ascii="Arial" w:cs="Arial" w:eastAsia="Arial" w:hAnsi="Arial"/>
          <w:sz w:val="24"/>
          <w:szCs w:val="24"/>
          <w:b w:val="1"/>
          <w:bCs w:val="1"/>
          <w:u w:val="single" w:color="auto"/>
          <w:color w:val="0000FF"/>
          <w:vertAlign w:val="superscript"/>
        </w:rPr>
        <w:t>2</w:t>
      </w:r>
      <w:r>
        <w:rPr>
          <w:rFonts w:ascii="Arial" w:cs="Arial" w:eastAsia="Arial" w:hAnsi="Arial"/>
          <w:sz w:val="17"/>
          <w:szCs w:val="17"/>
          <w:b w:val="1"/>
          <w:bCs w:val="1"/>
          <w:u w:val="single" w:color="auto"/>
          <w:color w:val="0000FF"/>
        </w:rPr>
        <w:t>⁄</w:t>
      </w:r>
      <w:r>
        <w:rPr>
          <w:rFonts w:ascii="Arial" w:cs="Arial" w:eastAsia="Arial" w:hAnsi="Arial"/>
          <w:sz w:val="12"/>
          <w:szCs w:val="12"/>
          <w:b w:val="1"/>
          <w:bCs w:val="1"/>
          <w:u w:val="single" w:color="auto"/>
          <w:color w:val="0000FF"/>
        </w:rPr>
        <w:t>3</w:t>
      </w:r>
      <w:r>
        <w:rPr>
          <w:rFonts w:ascii="Arial" w:cs="Arial" w:eastAsia="Arial" w:hAnsi="Arial"/>
          <w:sz w:val="17"/>
          <w:szCs w:val="17"/>
          <w:b w:val="1"/>
          <w:bCs w:val="1"/>
          <w:u w:val="single" w:color="auto"/>
          <w:color w:val="0000FF"/>
        </w:rPr>
        <w:t>% in voting power of all</w:t>
      </w:r>
    </w:p>
    <w:p>
      <w:pPr>
        <w:spacing w:after="0" w:line="5"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b w:val="1"/>
          <w:bCs w:val="1"/>
          <w:u w:val="single" w:color="auto"/>
          <w:color w:val="0000FF"/>
        </w:rPr>
        <w:t>the then-outstanding shares of stock of the Corporation entitled to vote thereon,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70</w:t>
      </w:r>
      <w:r>
        <w:rPr>
          <w:sz w:val="20"/>
          <w:szCs w:val="20"/>
          <w:color w:val="auto"/>
        </w:rPr>
        <w:tab/>
      </w:r>
      <w:r>
        <w:rPr>
          <w:sz w:val="1"/>
          <w:szCs w:val="1"/>
          <w:color w:val="auto"/>
        </w:rPr>
        <w:drawing>
          <wp:inline distT="0" distB="0" distL="0" distR="0">
            <wp:extent cx="299720" cy="24003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803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C</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APPENDIX C</w:t>
      </w:r>
    </w:p>
    <w:p>
      <w:pPr>
        <w:spacing w:after="0" w:line="216" w:lineRule="exact"/>
        <w:rPr>
          <w:sz w:val="20"/>
          <w:szCs w:val="20"/>
          <w:color w:val="auto"/>
        </w:rPr>
      </w:pPr>
    </w:p>
    <w:p>
      <w:pPr>
        <w:ind w:left="760" w:right="1660"/>
        <w:spacing w:after="0" w:line="261" w:lineRule="auto"/>
        <w:rPr>
          <w:sz w:val="20"/>
          <w:szCs w:val="20"/>
          <w:color w:val="auto"/>
        </w:rPr>
      </w:pPr>
      <w:r>
        <w:rPr>
          <w:rFonts w:ascii="Arial" w:cs="Arial" w:eastAsia="Arial" w:hAnsi="Arial"/>
          <w:sz w:val="22"/>
          <w:szCs w:val="22"/>
          <w:b w:val="1"/>
          <w:bCs w:val="1"/>
          <w:color w:val="3C5896"/>
        </w:rPr>
        <w:t>PROPOSED AMENDMENTS TO THE NATIONAL VISION HOLDINGS, INC.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77"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color w:val="auto"/>
        </w:rPr>
        <w:t>Subject to approval by the requisite vote of stockholders of the Company, the following sections of the Second Amended and Restated Certificate of Incorporation would be amended as follows, with additions indicated by underlining and deletions indicated by strike-outs: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Article V of the Second Amended and Restated Certificate of</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THE CERTIFICATE OF INCORPORATION AND BYLAWS</w:t>
      </w:r>
    </w:p>
    <w:p>
      <w:pPr>
        <w:spacing w:after="0" w:line="95" w:lineRule="exact"/>
        <w:rPr>
          <w:sz w:val="20"/>
          <w:szCs w:val="20"/>
          <w:color w:val="auto"/>
        </w:rPr>
      </w:pPr>
    </w:p>
    <w:p>
      <w:pPr>
        <w:jc w:val="both"/>
        <w:ind w:left="760" w:right="760"/>
        <w:spacing w:after="0" w:line="275"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FC0014"/>
          <w:strike w:val="1"/>
        </w:rPr>
        <w:t>For so long as KKR and Berkshire (each as defined below) beneficially own collectively, in the aggregate,</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at least 40% in voting power of the stock of the Corporation entitled to vote generally in the election of directors, in</w:t>
      </w:r>
      <w:r>
        <w:rPr>
          <w:rFonts w:ascii="Arial" w:cs="Arial" w:eastAsia="Arial" w:hAnsi="Arial"/>
          <w:sz w:val="17"/>
          <w:szCs w:val="17"/>
          <w:b w:val="1"/>
          <w:bCs w:val="1"/>
          <w:u w:val="single" w:color="auto"/>
          <w:color w:val="0000FF"/>
          <w:strike w:val="1"/>
        </w:rPr>
        <w:t>In</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addition to any vote required by applicable law, this Second Amended and Restated Certificate of</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Incorporation may be amended, altered, repealed or rescinded, in whole or in part, or any provision inconsistent therewith or herewith may be adopted, by the affirmative vote of the holders of a majority in voting power of all the then-outstanding shares of stock of the Corporation entitled to vote thereon, voting together as a single class.</w:t>
      </w:r>
    </w:p>
    <w:p>
      <w:pPr>
        <w:spacing w:after="0" w:line="60" w:lineRule="exact"/>
        <w:rPr>
          <w:sz w:val="20"/>
          <w:szCs w:val="20"/>
          <w:color w:val="auto"/>
        </w:rPr>
      </w:pPr>
    </w:p>
    <w:p>
      <w:pPr>
        <w:jc w:val="both"/>
        <w:ind w:left="760" w:right="760"/>
        <w:spacing w:after="0" w:line="246" w:lineRule="auto"/>
        <w:rPr>
          <w:sz w:val="20"/>
          <w:szCs w:val="20"/>
          <w:color w:val="auto"/>
        </w:rPr>
      </w:pPr>
      <w:r>
        <w:rPr>
          <w:rFonts w:ascii="Arial" w:cs="Arial" w:eastAsia="Arial" w:hAnsi="Arial"/>
          <w:sz w:val="18"/>
          <w:szCs w:val="18"/>
          <w:b w:val="1"/>
          <w:bCs w:val="1"/>
          <w:color w:val="FC0014"/>
          <w:strike w:val="1"/>
        </w:rPr>
        <w:t>Notwithstanding anything contained in this Second Amended and Restated Certificate of Incorporation to the contrary, at any time when KKR and Berkshire (each as defined below) beneficially own collectively, in the aggregate, less than 40% in voting power of the stock of the Corporation entitled to vote generally in the election of directors, in addition to any vote required by applicable law, the following provisions in this Second Amended and Restated Certificate of Incorporation may be amended, altered, repealed or rescinded, in whole or in part, or any provision inconsistent therewith or herewith may be adopted, only by the affirmative vote of the holders of at least 66</w:t>
      </w:r>
      <w:r>
        <w:rPr>
          <w:rFonts w:ascii="Arial" w:cs="Arial" w:eastAsia="Arial" w:hAnsi="Arial"/>
          <w:sz w:val="25"/>
          <w:szCs w:val="25"/>
          <w:b w:val="1"/>
          <w:bCs w:val="1"/>
          <w:color w:val="FC0014"/>
          <w:strike w:val="1"/>
          <w:vertAlign w:val="superscript"/>
        </w:rPr>
        <w:t>2</w:t>
      </w:r>
      <w:r>
        <w:rPr>
          <w:rFonts w:ascii="Arial" w:cs="Arial" w:eastAsia="Arial" w:hAnsi="Arial"/>
          <w:sz w:val="18"/>
          <w:szCs w:val="18"/>
          <w:b w:val="1"/>
          <w:bCs w:val="1"/>
          <w:color w:val="FC0014"/>
          <w:strike w:val="1"/>
        </w:rPr>
        <w:t>⁄</w:t>
      </w:r>
      <w:r>
        <w:rPr>
          <w:rFonts w:ascii="Arial" w:cs="Arial" w:eastAsia="Arial" w:hAnsi="Arial"/>
          <w:sz w:val="12"/>
          <w:szCs w:val="12"/>
          <w:b w:val="1"/>
          <w:bCs w:val="1"/>
          <w:color w:val="FC0014"/>
          <w:strike w:val="1"/>
        </w:rPr>
        <w:t>3</w:t>
      </w:r>
      <w:r>
        <w:rPr>
          <w:rFonts w:ascii="Arial" w:cs="Arial" w:eastAsia="Arial" w:hAnsi="Arial"/>
          <w:sz w:val="18"/>
          <w:szCs w:val="18"/>
          <w:b w:val="1"/>
          <w:bCs w:val="1"/>
          <w:color w:val="FC0014"/>
          <w:strike w:val="1"/>
        </w:rPr>
        <w:t>% in voting power of all the then-outstanding shares of stock of the Corporation entitled to vote thereon, voting together as a single class: this Article V, Article VI, Article VII, Article VIII, Article IX and Article X. For the purposes of this Second Amended and Restated Certificate of Incorporation, beneficial ownership of shares shall be determined in accordance with Rule 13d-3 promulgated under the Securities Exchange Act of 1934, as amended (the “Exchange Act”).</w:t>
      </w:r>
    </w:p>
    <w:p>
      <w:pPr>
        <w:spacing w:after="0" w:line="103" w:lineRule="exact"/>
        <w:rPr>
          <w:sz w:val="20"/>
          <w:szCs w:val="20"/>
          <w:color w:val="auto"/>
        </w:rPr>
      </w:pPr>
    </w:p>
    <w:p>
      <w:pPr>
        <w:jc w:val="both"/>
        <w:ind w:left="760" w:right="760"/>
        <w:spacing w:after="0" w:line="260"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amended and restated bylaws of the Corporation (as in effect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xml:space="preserve">”) without the assent or vote of the stockholders in any manner not inconsistent with the laws of the State of Delaware or this Second Amended and Restated Certificate of Incorporation. </w:t>
      </w:r>
      <w:r>
        <w:rPr>
          <w:rFonts w:ascii="Arial" w:cs="Arial" w:eastAsia="Arial" w:hAnsi="Arial"/>
          <w:sz w:val="17"/>
          <w:szCs w:val="17"/>
          <w:b w:val="1"/>
          <w:bCs w:val="1"/>
          <w:color w:val="FC0014"/>
          <w:strike w:val="1"/>
        </w:rPr>
        <w:t>For so long as KKR and Berkshire (each as defined below)</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beneficially own collectively, in the aggregate, at least 40% in voting power of the stock of the Corporation entitled to vote generally in the election of directors, in</w:t>
      </w:r>
      <w:r>
        <w:rPr>
          <w:rFonts w:ascii="Arial" w:cs="Arial" w:eastAsia="Arial" w:hAnsi="Arial"/>
          <w:sz w:val="17"/>
          <w:szCs w:val="17"/>
          <w:b w:val="1"/>
          <w:bCs w:val="1"/>
          <w:u w:val="single" w:color="auto"/>
          <w:color w:val="0000FF"/>
          <w:strike w:val="1"/>
        </w:rPr>
        <w:t>In</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addition to any vote of the holders of any class or</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 xml:space="preserve">series of capital stock of the Corporation required herein (including any certificate of designation relating to any series of Preferred Stock), by the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 </w:t>
      </w:r>
      <w:r>
        <w:rPr>
          <w:rFonts w:ascii="Arial" w:cs="Arial" w:eastAsia="Arial" w:hAnsi="Arial"/>
          <w:sz w:val="17"/>
          <w:szCs w:val="17"/>
          <w:b w:val="1"/>
          <w:bCs w:val="1"/>
          <w:color w:val="FC0014"/>
          <w:strike w:val="1"/>
        </w:rPr>
        <w:t>Notwithstanding</w:t>
      </w:r>
      <w:r>
        <w:rPr>
          <w:rFonts w:ascii="Arial" w:cs="Arial" w:eastAsia="Arial" w:hAnsi="Arial"/>
          <w:sz w:val="17"/>
          <w:szCs w:val="17"/>
          <w:color w:val="000000"/>
          <w:strike w:val="1"/>
        </w:rPr>
        <w:t xml:space="preserve"> </w:t>
      </w:r>
      <w:r>
        <w:rPr>
          <w:rFonts w:ascii="Arial" w:cs="Arial" w:eastAsia="Arial" w:hAnsi="Arial"/>
          <w:sz w:val="17"/>
          <w:szCs w:val="17"/>
          <w:b w:val="1"/>
          <w:bCs w:val="1"/>
          <w:color w:val="FC0014"/>
          <w:strike w:val="1"/>
        </w:rPr>
        <w:t>anything to the contrary contained in this Second Amended and Restated Certificate of Incorporation or any provision of law which might otherwise permit a lesser vote of the stockholders, at any time when KKR and Berkshire (each as defined below) beneficially own collectively,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at least 66</w:t>
      </w:r>
      <w:r>
        <w:rPr>
          <w:rFonts w:ascii="Arial" w:cs="Arial" w:eastAsia="Arial" w:hAnsi="Arial"/>
          <w:sz w:val="24"/>
          <w:szCs w:val="24"/>
          <w:b w:val="1"/>
          <w:bCs w:val="1"/>
          <w:color w:val="FC0014"/>
          <w:strike w:val="1"/>
          <w:vertAlign w:val="superscript"/>
        </w:rPr>
        <w:t>2</w:t>
      </w:r>
      <w:r>
        <w:rPr>
          <w:rFonts w:ascii="Arial" w:cs="Arial" w:eastAsia="Arial" w:hAnsi="Arial"/>
          <w:sz w:val="17"/>
          <w:szCs w:val="17"/>
          <w:b w:val="1"/>
          <w:bCs w:val="1"/>
          <w:color w:val="FC0014"/>
          <w:strike w:val="1"/>
        </w:rPr>
        <w:t>⁄</w:t>
      </w:r>
      <w:r>
        <w:rPr>
          <w:rFonts w:ascii="Arial" w:cs="Arial" w:eastAsia="Arial" w:hAnsi="Arial"/>
          <w:sz w:val="12"/>
          <w:szCs w:val="12"/>
          <w:b w:val="1"/>
          <w:bCs w:val="1"/>
          <w:color w:val="FC0014"/>
          <w:strike w:val="1"/>
        </w:rPr>
        <w:t>3</w:t>
      </w:r>
      <w:r>
        <w:rPr>
          <w:rFonts w:ascii="Arial" w:cs="Arial" w:eastAsia="Arial" w:hAnsi="Arial"/>
          <w:sz w:val="17"/>
          <w:szCs w:val="17"/>
          <w:b w:val="1"/>
          <w:bCs w:val="1"/>
          <w:color w:val="FC0014"/>
          <w:strike w:val="1"/>
        </w:rPr>
        <w:t>% in voting power of all the then-outstanding shares of stock</w:t>
      </w:r>
    </w:p>
    <w:p>
      <w:pPr>
        <w:spacing w:after="0" w:line="3" w:lineRule="exact"/>
        <w:rPr>
          <w:sz w:val="20"/>
          <w:szCs w:val="20"/>
          <w:color w:val="auto"/>
        </w:rPr>
      </w:pPr>
    </w:p>
    <w:p>
      <w:pPr>
        <w:jc w:val="both"/>
        <w:ind w:left="760" w:right="760"/>
        <w:spacing w:after="0" w:line="256" w:lineRule="auto"/>
        <w:rPr>
          <w:sz w:val="20"/>
          <w:szCs w:val="20"/>
          <w:color w:val="auto"/>
        </w:rPr>
      </w:pPr>
      <w:r>
        <w:rPr>
          <w:rFonts w:ascii="Arial" w:cs="Arial" w:eastAsia="Arial" w:hAnsi="Arial"/>
          <w:sz w:val="18"/>
          <w:szCs w:val="18"/>
          <w:b w:val="1"/>
          <w:bCs w:val="1"/>
          <w:color w:val="FC0014"/>
          <w:strike w:val="1"/>
        </w:rPr>
        <w:t>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214630</wp:posOffset>
            </wp:positionV>
            <wp:extent cx="300355" cy="2400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71</w:t>
            </w:r>
          </w:p>
        </w:tc>
      </w:tr>
      <w:tr>
        <w:trPr>
          <w:trHeight w:val="418"/>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C</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Sections A, B, and C of Article VI of the Second Amended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VI</w:t>
      </w:r>
    </w:p>
    <w:p>
      <w:pPr>
        <w:spacing w:after="0" w:line="1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04" w:lineRule="exact"/>
        <w:rPr>
          <w:sz w:val="20"/>
          <w:szCs w:val="20"/>
          <w:color w:val="auto"/>
        </w:rPr>
      </w:pPr>
    </w:p>
    <w:p>
      <w:pPr>
        <w:jc w:val="both"/>
        <w:ind w:left="760"/>
        <w:spacing w:after="0" w:line="250" w:lineRule="auto"/>
        <w:rPr>
          <w:sz w:val="20"/>
          <w:szCs w:val="20"/>
          <w:color w:val="auto"/>
        </w:rPr>
      </w:pPr>
      <w:r>
        <w:rPr>
          <w:rFonts w:ascii="Arial" w:cs="Arial" w:eastAsia="Arial" w:hAnsi="Arial"/>
          <w:sz w:val="18"/>
          <w:szCs w:val="18"/>
          <w:color w:val="auto"/>
        </w:rPr>
        <w:t>A. Except as otherwise provided in this Second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Arial" w:cs="Arial" w:eastAsia="Arial" w:hAnsi="Arial"/>
          <w:sz w:val="18"/>
          <w:szCs w:val="18"/>
          <w:u w:val="single" w:color="auto"/>
          <w:color w:val="auto"/>
        </w:rPr>
        <w:t>IPO Date</w:t>
      </w:r>
      <w:r>
        <w:rPr>
          <w:rFonts w:ascii="Arial" w:cs="Arial" w:eastAsia="Arial" w:hAnsi="Arial"/>
          <w:sz w:val="18"/>
          <w:szCs w:val="18"/>
          <w:color w:val="auto"/>
        </w:rPr>
        <w:t xml:space="preserve">”), Class II directors shall initially serve for a term expiring at the second annual meeting of stockholders following the IPO Date and Class III directors shall initially serve for a term expiring at the third annual meeting of stockholders following the IPO Date.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w:t>
      </w:r>
      <w:r>
        <w:rPr>
          <w:rFonts w:ascii="Arial" w:cs="Arial" w:eastAsia="Arial" w:hAnsi="Arial"/>
          <w:sz w:val="18"/>
          <w:szCs w:val="18"/>
          <w:b w:val="1"/>
          <w:bCs w:val="1"/>
          <w:color w:val="FC0014"/>
          <w:strike w:val="1"/>
        </w:rPr>
        <w:t>Subject to</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the terms of the Stockholders Agreement (as defined below), any</w:t>
      </w:r>
      <w:r>
        <w:rPr>
          <w:rFonts w:ascii="Arial" w:cs="Arial" w:eastAsia="Arial" w:hAnsi="Arial"/>
          <w:sz w:val="18"/>
          <w:szCs w:val="18"/>
          <w:b w:val="1"/>
          <w:bCs w:val="1"/>
          <w:u w:val="single" w:color="auto"/>
          <w:color w:val="0000FF"/>
        </w:rPr>
        <w:t>Any</w:t>
      </w:r>
      <w:r>
        <w:rPr>
          <w:rFonts w:ascii="Arial" w:cs="Arial" w:eastAsia="Arial" w:hAnsi="Arial"/>
          <w:sz w:val="18"/>
          <w:szCs w:val="18"/>
          <w:b w:val="1"/>
          <w:bCs w:val="1"/>
          <w:color w:val="FC0014"/>
        </w:rPr>
        <w:t xml:space="preserve"> </w:t>
      </w:r>
      <w:r>
        <w:rPr>
          <w:rFonts w:ascii="Arial" w:cs="Arial" w:eastAsia="Arial" w:hAnsi="Arial"/>
          <w:sz w:val="18"/>
          <w:szCs w:val="18"/>
          <w:color w:val="000000"/>
        </w:rPr>
        <w:t>such director shall hold office until the</w:t>
      </w:r>
      <w:r>
        <w:rPr>
          <w:rFonts w:ascii="Arial" w:cs="Arial" w:eastAsia="Arial" w:hAnsi="Arial"/>
          <w:sz w:val="18"/>
          <w:szCs w:val="18"/>
          <w:b w:val="1"/>
          <w:bCs w:val="1"/>
          <w:color w:val="FC0014"/>
        </w:rPr>
        <w:t xml:space="preserve"> </w:t>
      </w:r>
      <w:r>
        <w:rPr>
          <w:rFonts w:ascii="Arial" w:cs="Arial" w:eastAsia="Arial" w:hAnsi="Arial"/>
          <w:sz w:val="18"/>
          <w:szCs w:val="18"/>
          <w:color w:val="000000"/>
        </w:rPr>
        <w:t>annual meeting at which his or her term expires and until his or her successor shall be elected and qualified, or his or her death, resignation, retirement, disqualification or removal from office. The Board of Directors is authorized to assign members of the Board of Directors already in office prior to the IPO Date to their respective class.</w:t>
      </w:r>
    </w:p>
    <w:p>
      <w:pPr>
        <w:spacing w:after="0" w:line="95"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 xml:space="preserve">B. Subject to the rights granted to the holders of any one or more series of Preferred Stock then outstanding </w:t>
      </w:r>
      <w:r>
        <w:rPr>
          <w:rFonts w:ascii="Arial" w:cs="Arial" w:eastAsia="Arial" w:hAnsi="Arial"/>
          <w:sz w:val="18"/>
          <w:szCs w:val="18"/>
          <w:b w:val="1"/>
          <w:bCs w:val="1"/>
          <w:color w:val="FC0014"/>
          <w:strike w:val="1"/>
        </w:rPr>
        <w:t>or the</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rights granted pursuant to the Stockholders Agreement, dated as of October 30, 2017 (as the same may be amended, supplemented, restated or otherwise modified from time to time, the “Stockholders Agreement”), by and among the Corporation, certain affiliates of Kohlberg Kravis Roberts &amp; Co. L.P. (together with its affiliates and subsidiaries and its and their successors and assigns (other than the Corporation and its subsidiaries), collectively, “KKR”) and private equity funds managed by Berkshire Partners LLC (together with its affiliates and subsidiaries and its and their successors and assigns (other than the Corporation and its subsidiaries), collectively, “Berkshire”)</w:t>
      </w:r>
      <w:r>
        <w:rPr>
          <w:rFonts w:ascii="Arial" w:cs="Arial" w:eastAsia="Arial" w:hAnsi="Arial"/>
          <w:sz w:val="18"/>
          <w:szCs w:val="18"/>
          <w:color w:val="000000"/>
          <w:strike w:val="1"/>
        </w:rPr>
        <w:t>, any newly-created directorship on the Board of Directors that results</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from an increase in the number of directors and any vacancy occurring on the Board of Directors (whether by death, resignation, retirement, disqualification, removal or other cause) shall be filled by a majority of the directors then in office, even if less than a quorum, by a sole remaining director or by the stockholders</w:t>
      </w:r>
      <w:r>
        <w:rPr>
          <w:rFonts w:ascii="Arial" w:cs="Arial" w:eastAsia="Arial" w:hAnsi="Arial"/>
          <w:sz w:val="18"/>
          <w:szCs w:val="18"/>
          <w:b w:val="1"/>
          <w:bCs w:val="1"/>
          <w:color w:val="FC0014"/>
          <w:strike w:val="1"/>
        </w:rPr>
        <w:t>;</w:t>
      </w:r>
      <w:r>
        <w:rPr>
          <w:rFonts w:ascii="Arial" w:cs="Arial" w:eastAsia="Arial" w:hAnsi="Arial"/>
          <w:sz w:val="18"/>
          <w:szCs w:val="18"/>
          <w:color w:val="000000"/>
          <w:strike w:val="1"/>
        </w:rPr>
        <w:t xml:space="preserve"> </w:t>
      </w:r>
      <w:r>
        <w:rPr>
          <w:rFonts w:ascii="Arial" w:cs="Arial" w:eastAsia="Arial" w:hAnsi="Arial"/>
          <w:sz w:val="18"/>
          <w:szCs w:val="18"/>
          <w:i w:val="1"/>
          <w:iCs w:val="1"/>
          <w:color w:val="FC0014"/>
          <w:strike w:val="1"/>
        </w:rPr>
        <w:t>provided</w:t>
      </w:r>
      <w:r>
        <w:rPr>
          <w:rFonts w:ascii="Arial" w:cs="Arial" w:eastAsia="Arial" w:hAnsi="Arial"/>
          <w:sz w:val="18"/>
          <w:szCs w:val="18"/>
          <w:b w:val="1"/>
          <w:bCs w:val="1"/>
          <w:color w:val="FC0014"/>
          <w:strike w:val="1"/>
        </w:rPr>
        <w:t>,</w:t>
      </w:r>
      <w:r>
        <w:rPr>
          <w:rFonts w:ascii="Arial" w:cs="Arial" w:eastAsia="Arial" w:hAnsi="Arial"/>
          <w:sz w:val="18"/>
          <w:szCs w:val="18"/>
          <w:color w:val="000000"/>
          <w:strike w:val="1"/>
        </w:rPr>
        <w:t xml:space="preserve"> </w:t>
      </w:r>
      <w:r>
        <w:rPr>
          <w:rFonts w:ascii="Arial" w:cs="Arial" w:eastAsia="Arial" w:hAnsi="Arial"/>
          <w:sz w:val="18"/>
          <w:szCs w:val="18"/>
          <w:i w:val="1"/>
          <w:iCs w:val="1"/>
          <w:color w:val="FC0014"/>
          <w:strike w:val="1"/>
        </w:rPr>
        <w:t>however</w:t>
      </w:r>
      <w:r>
        <w:rPr>
          <w:rFonts w:ascii="Arial" w:cs="Arial" w:eastAsia="Arial" w:hAnsi="Arial"/>
          <w:sz w:val="18"/>
          <w:szCs w:val="18"/>
          <w:b w:val="1"/>
          <w:bCs w:val="1"/>
          <w:color w:val="FC0014"/>
          <w:strike w:val="1"/>
        </w:rPr>
        <w:t>, that at</w:t>
      </w:r>
      <w:r>
        <w:rPr>
          <w:rFonts w:ascii="Arial" w:cs="Arial" w:eastAsia="Arial" w:hAnsi="Arial"/>
          <w:sz w:val="18"/>
          <w:szCs w:val="18"/>
          <w:color w:val="000000"/>
          <w:strike w:val="1"/>
        </w:rPr>
        <w:t xml:space="preserve"> </w:t>
      </w:r>
      <w:r>
        <w:rPr>
          <w:rFonts w:ascii="Arial" w:cs="Arial" w:eastAsia="Arial" w:hAnsi="Arial"/>
          <w:sz w:val="18"/>
          <w:szCs w:val="18"/>
          <w:b w:val="1"/>
          <w:bCs w:val="1"/>
          <w:color w:val="FC0014"/>
          <w:strike w:val="1"/>
        </w:rPr>
        <w:t>any time when KKR and Berkshire beneficially own collectively, in the aggregate, less than 40% in voting power of the stock of the Corporation entitled to vote generally in the election of directors, any newly-created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even if less than a quorum, or by a sole remaining director (and not by the stockholders)</w:t>
      </w:r>
      <w:r>
        <w:rPr>
          <w:rFonts w:ascii="Arial" w:cs="Arial" w:eastAsia="Arial" w:hAnsi="Arial"/>
          <w:sz w:val="18"/>
          <w:szCs w:val="18"/>
          <w:color w:val="000000"/>
          <w:strike w:val="1"/>
        </w:rPr>
        <w:t>. Any director elected to fill a vacancy or newly</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81" w:lineRule="exact"/>
        <w:rPr>
          <w:sz w:val="20"/>
          <w:szCs w:val="20"/>
          <w:color w:val="auto"/>
        </w:rPr>
      </w:pPr>
    </w:p>
    <w:p>
      <w:pPr>
        <w:jc w:val="both"/>
        <w:ind w:left="760"/>
        <w:spacing w:after="0" w:line="274"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b w:val="1"/>
          <w:bCs w:val="1"/>
          <w:color w:val="FC0014"/>
          <w:strike w:val="1"/>
        </w:rPr>
        <w:t>Subject to rights granted to KKR and Berkshire under the Stockholders Agreement, any</w:t>
      </w:r>
      <w:r>
        <w:rPr>
          <w:rFonts w:ascii="Arial" w:cs="Arial" w:eastAsia="Arial" w:hAnsi="Arial"/>
          <w:sz w:val="17"/>
          <w:szCs w:val="17"/>
          <w:b w:val="1"/>
          <w:bCs w:val="1"/>
          <w:u w:val="single" w:color="auto"/>
          <w:color w:val="0000FF"/>
        </w:rPr>
        <w:t>Any</w:t>
      </w:r>
      <w:r>
        <w:rPr>
          <w:rFonts w:ascii="Arial" w:cs="Arial" w:eastAsia="Arial" w:hAnsi="Arial"/>
          <w:sz w:val="17"/>
          <w:szCs w:val="17"/>
          <w:color w:val="auto"/>
        </w:rPr>
        <w:t xml:space="preserve"> or all of the directors (other than the directors elected by the holders of any series of Preferred Stock of the Corporation, voting separately as a series or together with one or more other such series, as the case may be) </w:t>
      </w:r>
      <w:r>
        <w:rPr>
          <w:rFonts w:ascii="Arial" w:cs="Arial" w:eastAsia="Arial" w:hAnsi="Arial"/>
          <w:sz w:val="17"/>
          <w:szCs w:val="17"/>
          <w:b w:val="1"/>
          <w:bCs w:val="1"/>
          <w:color w:val="FC0014"/>
          <w:strike w:val="1"/>
        </w:rPr>
        <w:t>may be removed at any</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time either with or without cause by the affirmative vote of a majority in voting power of all outstanding shares of stock of the Corporation entitled to vote thereon, voting as a single class; provided, however, that at any time when KKR and Berkshire beneficially own collectively, in the aggregate, less than 40% in voting power of the stock of the Corporation entitled to vote generally in the election of directors, any such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-728345</wp:posOffset>
            </wp:positionV>
            <wp:extent cx="3111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83"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sz w:val="1"/>
          <w:szCs w:val="1"/>
          <w:color w:val="auto"/>
        </w:rPr>
        <w:drawing>
          <wp:inline distT="0" distB="0" distL="0" distR="0">
            <wp:extent cx="299720" cy="24003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C</w:t>
      </w:r>
    </w:p>
    <w:p>
      <w:pPr>
        <w:spacing w:after="0" w:line="225" w:lineRule="exact"/>
        <w:rPr>
          <w:sz w:val="20"/>
          <w:szCs w:val="20"/>
          <w:color w:val="auto"/>
        </w:rPr>
      </w:pPr>
    </w:p>
    <w:p>
      <w:pPr>
        <w:jc w:val="both"/>
        <w:ind w:left="760" w:right="760"/>
        <w:spacing w:after="0" w:line="220" w:lineRule="auto"/>
        <w:rPr>
          <w:sz w:val="20"/>
          <w:szCs w:val="20"/>
          <w:color w:val="auto"/>
        </w:rPr>
      </w:pPr>
      <w:r>
        <w:rPr>
          <w:rFonts w:ascii="Arial" w:cs="Arial" w:eastAsia="Arial" w:hAnsi="Arial"/>
          <w:sz w:val="18"/>
          <w:szCs w:val="18"/>
          <w:b w:val="1"/>
          <w:bCs w:val="1"/>
          <w:color w:val="FC0014"/>
          <w:strike w:val="1"/>
        </w:rPr>
        <w:t>or all such directors</w:t>
      </w:r>
      <w:r>
        <w:rPr>
          <w:rFonts w:ascii="Arial" w:cs="Arial" w:eastAsia="Arial" w:hAnsi="Arial"/>
          <w:sz w:val="18"/>
          <w:szCs w:val="18"/>
          <w:b w:val="1"/>
          <w:bCs w:val="1"/>
          <w:color w:val="FC0014"/>
        </w:rPr>
        <w:t xml:space="preserve"> </w:t>
      </w:r>
      <w:r>
        <w:rPr>
          <w:rFonts w:ascii="Arial" w:cs="Arial" w:eastAsia="Arial" w:hAnsi="Arial"/>
          <w:sz w:val="18"/>
          <w:szCs w:val="18"/>
          <w:color w:val="000000"/>
        </w:rPr>
        <w:t>may be removed only for cause and only by the affirmative vote of the holders of</w:t>
      </w:r>
      <w:r>
        <w:rPr>
          <w:rFonts w:ascii="Arial" w:cs="Arial" w:eastAsia="Arial" w:hAnsi="Arial"/>
          <w:sz w:val="18"/>
          <w:szCs w:val="18"/>
          <w:b w:val="1"/>
          <w:bCs w:val="1"/>
          <w:color w:val="FC0014"/>
        </w:rPr>
        <w:t xml:space="preserve"> </w:t>
      </w:r>
      <w:r>
        <w:rPr>
          <w:rFonts w:ascii="Arial" w:cs="Arial" w:eastAsia="Arial" w:hAnsi="Arial"/>
          <w:sz w:val="18"/>
          <w:szCs w:val="18"/>
          <w:b w:val="1"/>
          <w:bCs w:val="1"/>
          <w:color w:val="FC0014"/>
          <w:strike w:val="1"/>
        </w:rPr>
        <w:t>at least</w:t>
      </w:r>
      <w:r>
        <w:rPr>
          <w:rFonts w:ascii="Arial" w:cs="Arial" w:eastAsia="Arial" w:hAnsi="Arial"/>
          <w:sz w:val="18"/>
          <w:szCs w:val="18"/>
          <w:b w:val="1"/>
          <w:bCs w:val="1"/>
          <w:color w:val="FC0014"/>
        </w:rPr>
        <w:t xml:space="preserve"> </w:t>
      </w:r>
      <w:r>
        <w:rPr>
          <w:rFonts w:ascii="Arial" w:cs="Arial" w:eastAsia="Arial" w:hAnsi="Arial"/>
          <w:sz w:val="18"/>
          <w:szCs w:val="18"/>
          <w:b w:val="1"/>
          <w:bCs w:val="1"/>
          <w:color w:val="FC0014"/>
          <w:strike w:val="1"/>
        </w:rPr>
        <w:t>66</w:t>
      </w:r>
      <w:r>
        <w:rPr>
          <w:rFonts w:ascii="Arial" w:cs="Arial" w:eastAsia="Arial" w:hAnsi="Arial"/>
          <w:sz w:val="25"/>
          <w:szCs w:val="25"/>
          <w:b w:val="1"/>
          <w:bCs w:val="1"/>
          <w:color w:val="FC0014"/>
          <w:strike w:val="1"/>
          <w:vertAlign w:val="superscript"/>
        </w:rPr>
        <w:t>2</w:t>
      </w:r>
      <w:r>
        <w:rPr>
          <w:rFonts w:ascii="Arial" w:cs="Arial" w:eastAsia="Arial" w:hAnsi="Arial"/>
          <w:sz w:val="18"/>
          <w:szCs w:val="18"/>
          <w:b w:val="1"/>
          <w:bCs w:val="1"/>
          <w:color w:val="FC0014"/>
          <w:strike w:val="1"/>
        </w:rPr>
        <w:t>⁄</w:t>
      </w:r>
      <w:r>
        <w:rPr>
          <w:rFonts w:ascii="Arial" w:cs="Arial" w:eastAsia="Arial" w:hAnsi="Arial"/>
          <w:sz w:val="12"/>
          <w:szCs w:val="12"/>
          <w:b w:val="1"/>
          <w:bCs w:val="1"/>
          <w:color w:val="FC0014"/>
          <w:strike w:val="1"/>
        </w:rPr>
        <w:t>3</w:t>
      </w:r>
      <w:r>
        <w:rPr>
          <w:rFonts w:ascii="Arial" w:cs="Arial" w:eastAsia="Arial" w:hAnsi="Arial"/>
          <w:sz w:val="18"/>
          <w:szCs w:val="18"/>
          <w:b w:val="1"/>
          <w:bCs w:val="1"/>
          <w:color w:val="FC0014"/>
          <w:strike w:val="1"/>
        </w:rPr>
        <w:t>%</w:t>
      </w:r>
      <w:r>
        <w:rPr>
          <w:rFonts w:ascii="Arial" w:cs="Arial" w:eastAsia="Arial" w:hAnsi="Arial"/>
          <w:sz w:val="18"/>
          <w:szCs w:val="18"/>
          <w:b w:val="1"/>
          <w:bCs w:val="1"/>
          <w:color w:val="FC0014"/>
        </w:rPr>
        <w:t xml:space="preserve"> </w:t>
      </w:r>
      <w:r>
        <w:rPr>
          <w:rFonts w:ascii="Arial" w:cs="Arial" w:eastAsia="Arial" w:hAnsi="Arial"/>
          <w:sz w:val="18"/>
          <w:szCs w:val="18"/>
          <w:b w:val="1"/>
          <w:bCs w:val="1"/>
          <w:u w:val="single" w:color="auto"/>
          <w:color w:val="0000FF"/>
        </w:rPr>
        <w:t>a majority</w:t>
      </w:r>
      <w:r>
        <w:rPr>
          <w:rFonts w:ascii="Arial" w:cs="Arial" w:eastAsia="Arial" w:hAnsi="Arial"/>
          <w:sz w:val="18"/>
          <w:szCs w:val="18"/>
          <w:b w:val="1"/>
          <w:bCs w:val="1"/>
          <w:color w:val="FC0014"/>
        </w:rPr>
        <w:t xml:space="preserve"> </w:t>
      </w:r>
      <w:r>
        <w:rPr>
          <w:rFonts w:ascii="Arial" w:cs="Arial" w:eastAsia="Arial" w:hAnsi="Arial"/>
          <w:sz w:val="18"/>
          <w:szCs w:val="18"/>
          <w:color w:val="000000"/>
        </w:rPr>
        <w:t>in voting power of all the then-outstanding shares of stock of the Corporation entitled to vote</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thereon, voting together as a single class.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Sections A and B of Article VIII of the Second Amended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15240</wp:posOffset>
            </wp:positionV>
            <wp:extent cx="58375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36" w:lineRule="exact"/>
        <w:rPr>
          <w:sz w:val="20"/>
          <w:szCs w:val="20"/>
          <w:color w:val="auto"/>
        </w:rPr>
      </w:pPr>
    </w:p>
    <w:p>
      <w:pPr>
        <w:jc w:val="both"/>
        <w:ind w:left="760" w:right="760"/>
        <w:spacing w:after="0" w:line="287" w:lineRule="auto"/>
        <w:rPr>
          <w:sz w:val="20"/>
          <w:szCs w:val="20"/>
          <w:color w:val="auto"/>
        </w:rPr>
      </w:pPr>
      <w:r>
        <w:rPr>
          <w:rFonts w:ascii="Arial" w:cs="Arial" w:eastAsia="Arial" w:hAnsi="Arial"/>
          <w:sz w:val="18"/>
          <w:szCs w:val="18"/>
          <w:b w:val="1"/>
          <w:bCs w:val="1"/>
          <w:u w:val="single" w:color="auto"/>
          <w:color w:val="auto"/>
        </w:rPr>
        <w:t>CONSENT OF STOCKHOLDERS IN LIEU OF MEETING, ANNUAL AND SPECIAL MEETINGS OF STOCKHOLDERS</w:t>
      </w:r>
    </w:p>
    <w:p>
      <w:pPr>
        <w:spacing w:after="0" w:line="45" w:lineRule="exact"/>
        <w:rPr>
          <w:sz w:val="20"/>
          <w:szCs w:val="20"/>
          <w:color w:val="auto"/>
        </w:rPr>
      </w:pPr>
    </w:p>
    <w:p>
      <w:pPr>
        <w:jc w:val="both"/>
        <w:ind w:left="760" w:right="760"/>
        <w:spacing w:after="0" w:line="251"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FC0014"/>
          <w:strike w:val="1"/>
        </w:rPr>
        <w:t>At any time when KKR and Berkshire beneficially own collectively, in the aggregate, at least 40% in voting</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KKR and Berkshire beneficially own collectively, in the aggregate, less than 40% in voting power of the stock of the Corporation entitled to vote generally in the election of directors, any</w:t>
      </w:r>
      <w:r>
        <w:rPr>
          <w:rFonts w:ascii="Arial" w:cs="Arial" w:eastAsia="Arial" w:hAnsi="Arial"/>
          <w:sz w:val="17"/>
          <w:szCs w:val="17"/>
          <w:b w:val="1"/>
          <w:bCs w:val="1"/>
          <w:u w:val="single" w:color="auto"/>
          <w:color w:val="0000FF"/>
          <w:strike w:val="1"/>
        </w:rPr>
        <w:t>Any</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action required or permitted to be taken by the stockholders of</w:t>
      </w:r>
      <w:r>
        <w:rPr>
          <w:rFonts w:ascii="Arial" w:cs="Arial" w:eastAsia="Arial" w:hAnsi="Arial"/>
          <w:sz w:val="17"/>
          <w:szCs w:val="17"/>
          <w:b w:val="1"/>
          <w:bCs w:val="1"/>
          <w:color w:val="FC0014"/>
          <w:strike w:val="1"/>
        </w:rPr>
        <w:t xml:space="preserve"> </w:t>
      </w:r>
      <w:r>
        <w:rPr>
          <w:rFonts w:ascii="Arial" w:cs="Arial" w:eastAsia="Arial" w:hAnsi="Arial"/>
          <w:sz w:val="17"/>
          <w:szCs w:val="17"/>
          <w:color w:val="000000"/>
          <w:strike w:val="1"/>
        </w:rPr>
        <w:t xml:space="preserve">the Corporation must be effected at a duly called annual or special meeting of such holders and may not be effected by any consent in writing by such holders; </w:t>
      </w:r>
      <w:r>
        <w:rPr>
          <w:rFonts w:ascii="Arial" w:cs="Arial" w:eastAsia="Arial" w:hAnsi="Arial"/>
          <w:sz w:val="17"/>
          <w:szCs w:val="17"/>
          <w:i w:val="1"/>
          <w:iCs w:val="1"/>
          <w:color w:val="000000"/>
          <w:strike w:val="1"/>
        </w:rPr>
        <w:t>provided</w:t>
      </w:r>
      <w:r>
        <w:rPr>
          <w:rFonts w:ascii="Arial" w:cs="Arial" w:eastAsia="Arial" w:hAnsi="Arial"/>
          <w:sz w:val="17"/>
          <w:szCs w:val="17"/>
          <w:color w:val="000000"/>
          <w:strike w:val="1"/>
        </w:rPr>
        <w:t xml:space="preserve">, </w:t>
      </w:r>
      <w:r>
        <w:rPr>
          <w:rFonts w:ascii="Arial" w:cs="Arial" w:eastAsia="Arial" w:hAnsi="Arial"/>
          <w:sz w:val="17"/>
          <w:szCs w:val="17"/>
          <w:i w:val="1"/>
          <w:iCs w:val="1"/>
          <w:color w:val="000000"/>
          <w:strike w:val="1"/>
        </w:rPr>
        <w:t>however</w:t>
      </w:r>
      <w:r>
        <w:rPr>
          <w:rFonts w:ascii="Arial" w:cs="Arial" w:eastAsia="Arial" w:hAnsi="Arial"/>
          <w:sz w:val="17"/>
          <w:szCs w:val="17"/>
          <w:color w:val="000000"/>
          <w:strike w:val="1"/>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300" w:lineRule="exact"/>
        <w:rPr>
          <w:sz w:val="20"/>
          <w:szCs w:val="20"/>
          <w:color w:val="auto"/>
        </w:rPr>
      </w:pPr>
    </w:p>
    <w:p>
      <w:pPr>
        <w:jc w:val="both"/>
        <w:ind w:left="760" w:right="760"/>
        <w:spacing w:after="0" w:line="236" w:lineRule="auto"/>
        <w:rPr>
          <w:sz w:val="20"/>
          <w:szCs w:val="20"/>
          <w:color w:val="auto"/>
        </w:rPr>
      </w:pPr>
      <w:r>
        <w:rPr>
          <w:rFonts w:ascii="Arial" w:cs="Arial" w:eastAsia="Arial" w:hAnsi="Arial"/>
          <w:sz w:val="18"/>
          <w:szCs w:val="18"/>
          <w:color w:val="auto"/>
        </w:rPr>
        <w:t>B. 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w:t>
      </w:r>
      <w:r>
        <w:rPr>
          <w:rFonts w:ascii="Arial" w:cs="Arial" w:eastAsia="Arial" w:hAnsi="Arial"/>
          <w:sz w:val="18"/>
          <w:szCs w:val="18"/>
          <w:b w:val="1"/>
          <w:bCs w:val="1"/>
          <w:color w:val="FC0014"/>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FC0014"/>
          <w:strike w:val="1"/>
        </w:rPr>
        <w:t>provided</w:t>
      </w:r>
      <w:r>
        <w:rPr>
          <w:rFonts w:ascii="Arial" w:cs="Arial" w:eastAsia="Arial" w:hAnsi="Arial"/>
          <w:sz w:val="18"/>
          <w:szCs w:val="18"/>
          <w:b w:val="1"/>
          <w:bCs w:val="1"/>
          <w:color w:val="FC0014"/>
          <w:strike w:val="1"/>
        </w:rPr>
        <w:t>,</w:t>
      </w:r>
      <w:r>
        <w:rPr>
          <w:rFonts w:ascii="Arial" w:cs="Arial" w:eastAsia="Arial" w:hAnsi="Arial"/>
          <w:sz w:val="18"/>
          <w:szCs w:val="18"/>
          <w:color w:val="auto"/>
        </w:rPr>
        <w:t xml:space="preserve"> </w:t>
      </w:r>
      <w:r>
        <w:rPr>
          <w:rFonts w:ascii="Arial" w:cs="Arial" w:eastAsia="Arial" w:hAnsi="Arial"/>
          <w:sz w:val="18"/>
          <w:szCs w:val="18"/>
          <w:i w:val="1"/>
          <w:iCs w:val="1"/>
          <w:color w:val="FC0014"/>
          <w:strike w:val="1"/>
        </w:rPr>
        <w:t>however</w:t>
      </w:r>
      <w:r>
        <w:rPr>
          <w:rFonts w:ascii="Arial" w:cs="Arial" w:eastAsia="Arial" w:hAnsi="Arial"/>
          <w:sz w:val="18"/>
          <w:szCs w:val="18"/>
          <w:b w:val="1"/>
          <w:bCs w:val="1"/>
          <w:color w:val="FC0014"/>
          <w:strike w:val="1"/>
        </w:rPr>
        <w:t>, that at</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any time when KKR and Berkshire beneficially own collectively, in the aggregate, at least 40% in voting power of the stock of the Corporation entitled to vote generally in the election of directors, special meetings of the stockholders of the Corporation for any purpose or purposes shall also be called by or at the direction of the Board of Directors or the Chairman of the Board of Directors at the request of either KKR or Berkshire.</w:t>
      </w:r>
      <w:r>
        <w:rPr>
          <w:rFonts w:ascii="Arial" w:cs="Arial" w:eastAsia="Arial" w:hAnsi="Arial"/>
          <w:sz w:val="18"/>
          <w:szCs w:val="18"/>
          <w:color w:val="000000"/>
          <w:strike w:val="1"/>
        </w:rPr>
        <w: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Sections A and B of Article IX of the Second Amended and</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COMPETITION AND CORPORATE OPPORTUNITIES</w:t>
      </w:r>
    </w:p>
    <w:p>
      <w:pPr>
        <w:spacing w:after="0" w:line="82" w:lineRule="exact"/>
        <w:rPr>
          <w:sz w:val="20"/>
          <w:szCs w:val="20"/>
          <w:color w:val="auto"/>
        </w:rPr>
      </w:pPr>
    </w:p>
    <w:p>
      <w:pPr>
        <w:jc w:val="both"/>
        <w:ind w:left="760" w:right="760"/>
        <w:spacing w:after="0" w:line="243" w:lineRule="auto"/>
        <w:rPr>
          <w:sz w:val="20"/>
          <w:szCs w:val="20"/>
          <w:color w:val="auto"/>
        </w:rPr>
      </w:pPr>
      <w:r>
        <w:rPr>
          <w:rFonts w:ascii="Arial" w:cs="Arial" w:eastAsia="Arial" w:hAnsi="Arial"/>
          <w:sz w:val="18"/>
          <w:szCs w:val="18"/>
          <w:color w:val="auto"/>
        </w:rPr>
        <w:t xml:space="preserve">A. In recognition and anticipation that </w:t>
      </w:r>
      <w:r>
        <w:rPr>
          <w:rFonts w:ascii="Arial" w:cs="Arial" w:eastAsia="Arial" w:hAnsi="Arial"/>
          <w:sz w:val="18"/>
          <w:szCs w:val="18"/>
          <w:b w:val="1"/>
          <w:bCs w:val="1"/>
          <w:color w:val="FC0014"/>
          <w:strike w:val="1"/>
        </w:rPr>
        <w:t>(i) certain directors, principals, members, officers, associated funds,</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employees and/or other representatives of Kohlberg Kravis Roberts &amp; Co. L.P., Berkshire Partners LLC and their respective Affiliates (as defined below) may serve as directors, officers or agents of the Corporation,</w:t>
      </w:r>
    </w:p>
    <w:p>
      <w:pPr>
        <w:spacing w:after="0" w:line="1" w:lineRule="exact"/>
        <w:rPr>
          <w:sz w:val="20"/>
          <w:szCs w:val="20"/>
          <w:color w:val="auto"/>
        </w:rPr>
      </w:pPr>
    </w:p>
    <w:p>
      <w:pPr>
        <w:jc w:val="both"/>
        <w:ind w:left="760" w:right="760" w:firstLine="2"/>
        <w:spacing w:after="0" w:line="236" w:lineRule="auto"/>
        <w:tabs>
          <w:tab w:leader="none" w:pos="1060" w:val="left"/>
        </w:tabs>
        <w:numPr>
          <w:ilvl w:val="0"/>
          <w:numId w:val="66"/>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 xml:space="preserve">Kohlberg Kravis Roberts &amp; Co. L.P., Berkshire Partners LLC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w:t>
      </w:r>
      <w:r>
        <w:rPr>
          <w:rFonts w:ascii="Arial" w:cs="Arial" w:eastAsia="Arial" w:hAnsi="Arial"/>
          <w:sz w:val="18"/>
          <w:szCs w:val="18"/>
          <w:color w:val="000000"/>
          <w:strike w:val="1"/>
        </w:rPr>
        <w:t>members of the</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Board of Directors who are not employees of the Corporation (“</w:t>
      </w:r>
      <w:r>
        <w:rPr>
          <w:rFonts w:ascii="Arial" w:cs="Arial" w:eastAsia="Arial" w:hAnsi="Arial"/>
          <w:sz w:val="18"/>
          <w:szCs w:val="18"/>
          <w:u w:val="single" w:color="auto"/>
          <w:color w:val="000000"/>
          <w:strike w:val="1"/>
        </w:rPr>
        <w:t>Non-Employee Directors</w:t>
      </w:r>
      <w:r>
        <w:rPr>
          <w:rFonts w:ascii="Arial" w:cs="Arial" w:eastAsia="Arial" w:hAnsi="Arial"/>
          <w:sz w:val="18"/>
          <w:szCs w:val="18"/>
          <w:color w:val="000000"/>
          <w:strike w:val="1"/>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w:t>
      </w:r>
      <w:r>
        <w:rPr>
          <w:rFonts w:ascii="Arial" w:cs="Arial" w:eastAsia="Arial" w:hAnsi="Arial"/>
          <w:sz w:val="18"/>
          <w:szCs w:val="18"/>
          <w:b w:val="1"/>
          <w:bCs w:val="1"/>
          <w:color w:val="FC0014"/>
          <w:strike w:val="1"/>
        </w:rPr>
        <w:t>Kohlberg Kravis Roberts &amp; Co. L.P.,</w:t>
      </w:r>
      <w:r>
        <w:rPr>
          <w:rFonts w:ascii="Arial" w:cs="Arial" w:eastAsia="Arial" w:hAnsi="Arial"/>
          <w:sz w:val="18"/>
          <w:szCs w:val="18"/>
          <w:color w:val="000000"/>
          <w:strike w:val="1"/>
        </w:rPr>
        <w:t xml:space="preserve"> </w:t>
      </w:r>
      <w:r>
        <w:rPr>
          <w:rFonts w:ascii="Arial" w:cs="Arial" w:eastAsia="Arial" w:hAnsi="Arial"/>
          <w:sz w:val="18"/>
          <w:szCs w:val="18"/>
          <w:b w:val="1"/>
          <w:bCs w:val="1"/>
          <w:color w:val="FC0014"/>
          <w:strike w:val="1"/>
        </w:rPr>
        <w:t xml:space="preserve">Berkshire Partners LLC, </w:t>
      </w:r>
      <w:r>
        <w:rPr>
          <w:rFonts w:ascii="Arial" w:cs="Arial" w:eastAsia="Arial" w:hAnsi="Arial"/>
          <w:sz w:val="18"/>
          <w:szCs w:val="18"/>
          <w:color w:val="000000"/>
          <w:strike w:val="1"/>
        </w:rPr>
        <w:t>the Non-Employee Directors or their respective Affiliates and the powers, rights, duties</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and liabilities of the Corporation and its directors, officers and stockholders in connection therewith</w:t>
      </w:r>
      <w:r>
        <w:rPr>
          <w:rFonts w:ascii="Arial" w:cs="Arial" w:eastAsia="Arial" w:hAnsi="Arial"/>
          <w:sz w:val="18"/>
          <w:szCs w:val="18"/>
          <w:b w:val="1"/>
          <w:bCs w:val="1"/>
          <w:color w:val="FC0014"/>
          <w:strike w:val="1"/>
        </w:rPr>
        <w:t>, subject to the</w:t>
      </w:r>
      <w:r>
        <w:rPr>
          <w:rFonts w:ascii="Arial" w:cs="Arial" w:eastAsia="Arial" w:hAnsi="Arial"/>
          <w:sz w:val="18"/>
          <w:szCs w:val="18"/>
          <w:color w:val="000000"/>
          <w:strike w:val="1"/>
        </w:rPr>
        <w:t xml:space="preserve"> </w:t>
      </w:r>
      <w:r>
        <w:rPr>
          <w:rFonts w:ascii="Arial" w:cs="Arial" w:eastAsia="Arial" w:hAnsi="Arial"/>
          <w:sz w:val="18"/>
          <w:szCs w:val="18"/>
          <w:b w:val="1"/>
          <w:bCs w:val="1"/>
          <w:color w:val="FC0014"/>
          <w:strike w:val="1"/>
        </w:rPr>
        <w:t>provisions set out in the Stockholders Agreement</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223520</wp:posOffset>
            </wp:positionV>
            <wp:extent cx="300355" cy="2400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73</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C</w:t>
      </w:r>
    </w:p>
    <w:p>
      <w:pPr>
        <w:spacing w:after="0" w:line="225" w:lineRule="exact"/>
        <w:rPr>
          <w:sz w:val="20"/>
          <w:szCs w:val="20"/>
          <w:color w:val="auto"/>
        </w:rPr>
      </w:pPr>
    </w:p>
    <w:p>
      <w:pPr>
        <w:jc w:val="both"/>
        <w:ind w:left="760"/>
        <w:spacing w:after="0" w:line="251" w:lineRule="auto"/>
        <w:rPr>
          <w:sz w:val="20"/>
          <w:szCs w:val="20"/>
          <w:color w:val="auto"/>
        </w:rPr>
      </w:pPr>
      <w:r>
        <w:rPr>
          <w:rFonts w:ascii="Arial" w:cs="Arial" w:eastAsia="Arial" w:hAnsi="Arial"/>
          <w:sz w:val="17"/>
          <w:szCs w:val="17"/>
          <w:color w:val="auto"/>
        </w:rPr>
        <w:t xml:space="preserve">B. None of </w:t>
      </w:r>
      <w:r>
        <w:rPr>
          <w:rFonts w:ascii="Arial" w:cs="Arial" w:eastAsia="Arial" w:hAnsi="Arial"/>
          <w:sz w:val="17"/>
          <w:szCs w:val="17"/>
          <w:b w:val="1"/>
          <w:bCs w:val="1"/>
          <w:color w:val="FC0014"/>
          <w:strike w:val="1"/>
        </w:rPr>
        <w:t>(i) Kohlberg Kravis Roberts &amp; Co. L.P., Berkshire Partners LLC or any of their respective Affiliates</w:t>
      </w:r>
      <w:r>
        <w:rPr>
          <w:rFonts w:ascii="Arial" w:cs="Arial" w:eastAsia="Arial" w:hAnsi="Arial"/>
          <w:sz w:val="17"/>
          <w:szCs w:val="17"/>
          <w:color w:val="auto"/>
        </w:rPr>
        <w:t xml:space="preserve"> </w:t>
      </w:r>
      <w:r>
        <w:rPr>
          <w:rFonts w:ascii="Arial" w:cs="Arial" w:eastAsia="Arial" w:hAnsi="Arial"/>
          <w:sz w:val="17"/>
          <w:szCs w:val="17"/>
          <w:b w:val="1"/>
          <w:bCs w:val="1"/>
          <w:color w:val="FC0014"/>
          <w:strike w:val="1"/>
        </w:rPr>
        <w:t>or (ii) any</w:t>
      </w:r>
      <w:r>
        <w:rPr>
          <w:rFonts w:ascii="Arial" w:cs="Arial" w:eastAsia="Arial" w:hAnsi="Arial"/>
          <w:sz w:val="17"/>
          <w:szCs w:val="17"/>
          <w:b w:val="1"/>
          <w:bCs w:val="1"/>
          <w:color w:val="FC0014"/>
        </w:rPr>
        <w:t xml:space="preserve"> </w:t>
      </w:r>
      <w:r>
        <w:rPr>
          <w:rFonts w:ascii="Arial" w:cs="Arial" w:eastAsia="Arial" w:hAnsi="Arial"/>
          <w:sz w:val="17"/>
          <w:szCs w:val="17"/>
          <w:b w:val="1"/>
          <w:bCs w:val="1"/>
          <w:u w:val="single" w:color="auto"/>
          <w:color w:val="0000FF"/>
        </w:rPr>
        <w:t>the</w:t>
      </w:r>
      <w:r>
        <w:rPr>
          <w:rFonts w:ascii="Arial" w:cs="Arial" w:eastAsia="Arial" w:hAnsi="Arial"/>
          <w:sz w:val="17"/>
          <w:szCs w:val="17"/>
          <w:b w:val="1"/>
          <w:bCs w:val="1"/>
          <w:color w:val="FC0014"/>
        </w:rPr>
        <w:t xml:space="preserve"> </w:t>
      </w:r>
      <w:r>
        <w:rPr>
          <w:rFonts w:ascii="Arial" w:cs="Arial" w:eastAsia="Arial" w:hAnsi="Arial"/>
          <w:sz w:val="17"/>
          <w:szCs w:val="17"/>
          <w:color w:val="000000"/>
        </w:rPr>
        <w:t>Non-Employee Director (including any Non-Employee Director who serves as an officer of the</w:t>
      </w:r>
      <w:r>
        <w:rPr>
          <w:rFonts w:ascii="Arial" w:cs="Arial" w:eastAsia="Arial" w:hAnsi="Arial"/>
          <w:sz w:val="17"/>
          <w:szCs w:val="17"/>
          <w:b w:val="1"/>
          <w:bCs w:val="1"/>
          <w:color w:val="FC0014"/>
        </w:rPr>
        <w:t xml:space="preserve"> </w:t>
      </w:r>
      <w:r>
        <w:rPr>
          <w:rFonts w:ascii="Arial" w:cs="Arial" w:eastAsia="Arial" w:hAnsi="Arial"/>
          <w:sz w:val="17"/>
          <w:szCs w:val="17"/>
          <w:color w:val="000000"/>
        </w:rPr>
        <w:t xml:space="preserve">Corporation in both his or her director and officer capacities) or his or her Affiliates (the Persons (as defined below) identified </w:t>
      </w:r>
      <w:r>
        <w:rPr>
          <w:rFonts w:ascii="Arial" w:cs="Arial" w:eastAsia="Arial" w:hAnsi="Arial"/>
          <w:sz w:val="17"/>
          <w:szCs w:val="17"/>
          <w:b w:val="1"/>
          <w:bCs w:val="1"/>
          <w:color w:val="FC0014"/>
          <w:strike w:val="1"/>
        </w:rPr>
        <w:t>in (i) and (ii)</w:t>
      </w:r>
      <w:r>
        <w:rPr>
          <w:rFonts w:ascii="Arial" w:cs="Arial" w:eastAsia="Arial" w:hAnsi="Arial"/>
          <w:sz w:val="17"/>
          <w:szCs w:val="17"/>
          <w:color w:val="000000"/>
        </w:rPr>
        <w:t xml:space="preserve"> above being referred to, collectively, as “</w:t>
      </w:r>
      <w:r>
        <w:rPr>
          <w:rFonts w:ascii="Arial" w:cs="Arial" w:eastAsia="Arial" w:hAnsi="Arial"/>
          <w:sz w:val="17"/>
          <w:szCs w:val="17"/>
          <w:u w:val="single" w:color="auto"/>
          <w:color w:val="000000"/>
        </w:rPr>
        <w:t>Identified Persons</w:t>
      </w:r>
      <w:r>
        <w:rPr>
          <w:rFonts w:ascii="Arial" w:cs="Arial" w:eastAsia="Arial" w:hAnsi="Arial"/>
          <w:sz w:val="17"/>
          <w:szCs w:val="17"/>
          <w:color w:val="000000"/>
        </w:rPr>
        <w:t>” and, individually, as an “</w:t>
      </w:r>
      <w:r>
        <w:rPr>
          <w:rFonts w:ascii="Arial" w:cs="Arial" w:eastAsia="Arial" w:hAnsi="Arial"/>
          <w:sz w:val="17"/>
          <w:szCs w:val="17"/>
          <w:u w:val="single" w:color="auto"/>
          <w:color w:val="000000"/>
        </w:rPr>
        <w:t>Identified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Person</w:t>
      </w:r>
      <w:r>
        <w:rPr>
          <w:rFonts w:ascii="Arial" w:cs="Arial" w:eastAsia="Arial" w:hAnsi="Arial"/>
          <w:sz w:val="17"/>
          <w:szCs w:val="17"/>
          <w:color w:val="000000"/>
        </w:rPr>
        <w:t>”) shall, to the fullest extent permitted by law, have any duty to refrain from directly or indirectly (</w:t>
      </w:r>
      <w:r>
        <w:rPr>
          <w:rFonts w:ascii="Arial" w:cs="Arial" w:eastAsia="Arial" w:hAnsi="Arial"/>
          <w:sz w:val="17"/>
          <w:szCs w:val="17"/>
          <w:b w:val="1"/>
          <w:bCs w:val="1"/>
          <w:color w:val="FC0014"/>
          <w:strike w:val="1"/>
        </w:rPr>
        <w:t>1</w:t>
      </w:r>
      <w:r>
        <w:rPr>
          <w:rFonts w:ascii="Arial" w:cs="Arial" w:eastAsia="Arial" w:hAnsi="Arial"/>
          <w:sz w:val="17"/>
          <w:szCs w:val="17"/>
          <w:b w:val="1"/>
          <w:bCs w:val="1"/>
          <w:u w:val="single" w:color="auto"/>
          <w:color w:val="0000FF"/>
        </w:rPr>
        <w:t>i</w:t>
      </w:r>
      <w:r>
        <w:rPr>
          <w:rFonts w:ascii="Arial" w:cs="Arial" w:eastAsia="Arial" w:hAnsi="Arial"/>
          <w:sz w:val="17"/>
          <w:szCs w:val="17"/>
          <w:color w:val="000000"/>
        </w:rPr>
        <w:t>) engaging in the same or similar business activities or lines of business in which the Corporation or any of its Affiliates now engages or proposes to engage or (</w:t>
      </w:r>
      <w:r>
        <w:rPr>
          <w:rFonts w:ascii="Arial" w:cs="Arial" w:eastAsia="Arial" w:hAnsi="Arial"/>
          <w:sz w:val="17"/>
          <w:szCs w:val="17"/>
          <w:b w:val="1"/>
          <w:bCs w:val="1"/>
          <w:color w:val="FC0014"/>
          <w:strike w:val="1"/>
        </w:rPr>
        <w:t>2</w:t>
      </w:r>
      <w:r>
        <w:rPr>
          <w:rFonts w:ascii="Arial" w:cs="Arial" w:eastAsia="Arial" w:hAnsi="Arial"/>
          <w:sz w:val="17"/>
          <w:szCs w:val="17"/>
          <w:b w:val="1"/>
          <w:bCs w:val="1"/>
          <w:u w:val="single" w:color="auto"/>
          <w:color w:val="0000FF"/>
        </w:rPr>
        <w:t>ii</w:t>
      </w:r>
      <w:r>
        <w:rPr>
          <w:rFonts w:ascii="Arial" w:cs="Arial" w:eastAsia="Arial" w:hAnsi="Arial"/>
          <w:sz w:val="17"/>
          <w:szCs w:val="17"/>
          <w:color w:val="000000"/>
        </w:rPr>
        <w:t>)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IX. Subject to said Section (D) 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w:t>
      </w:r>
    </w:p>
    <w:p>
      <w:pPr>
        <w:spacing w:after="0" w:line="368" w:lineRule="exact"/>
        <w:rPr>
          <w:sz w:val="20"/>
          <w:szCs w:val="20"/>
          <w:color w:val="auto"/>
        </w:rPr>
      </w:pPr>
    </w:p>
    <w:p>
      <w:pPr>
        <w:ind w:left="760" w:right="500"/>
        <w:spacing w:after="0" w:line="261" w:lineRule="auto"/>
        <w:rPr>
          <w:sz w:val="20"/>
          <w:szCs w:val="20"/>
          <w:color w:val="auto"/>
        </w:rPr>
      </w:pPr>
      <w:r>
        <w:rPr>
          <w:rFonts w:ascii="Arial" w:cs="Arial" w:eastAsia="Arial" w:hAnsi="Arial"/>
          <w:sz w:val="22"/>
          <w:szCs w:val="22"/>
          <w:b w:val="1"/>
          <w:bCs w:val="1"/>
          <w:color w:val="3C5896"/>
        </w:rPr>
        <w:t>Proposed amendment to Section F of Article IX of the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wp:posOffset>
            </wp:positionV>
            <wp:extent cx="58375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28"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F. For purposes of this Article IX, (i)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w:t>
      </w:r>
      <w:r>
        <w:rPr>
          <w:rFonts w:ascii="Arial" w:cs="Arial" w:eastAsia="Arial" w:hAnsi="Arial"/>
          <w:sz w:val="18"/>
          <w:szCs w:val="18"/>
          <w:b w:val="1"/>
          <w:bCs w:val="1"/>
          <w:color w:val="FC0014"/>
          <w:strike w:val="1"/>
        </w:rPr>
        <w:t>) in respect of Kohlberg Kravis Roberts &amp; Co. L.P.,</w:t>
      </w:r>
      <w:r>
        <w:rPr>
          <w:rFonts w:ascii="Arial" w:cs="Arial" w:eastAsia="Arial" w:hAnsi="Arial"/>
          <w:sz w:val="18"/>
          <w:szCs w:val="18"/>
          <w:color w:val="auto"/>
        </w:rPr>
        <w:t xml:space="preserve"> </w:t>
      </w:r>
      <w:r>
        <w:rPr>
          <w:rFonts w:ascii="Arial" w:cs="Arial" w:eastAsia="Arial" w:hAnsi="Arial"/>
          <w:sz w:val="18"/>
          <w:szCs w:val="18"/>
          <w:b w:val="1"/>
          <w:bCs w:val="1"/>
          <w:color w:val="FC0014"/>
          <w:strike w:val="1"/>
        </w:rPr>
        <w:t>any Person that, directly or indirectly, is controlled by Kohlberg Kravis Roberts &amp; Co. L.P., controls Kohlberg Kravis Roberts &amp; Co. L.P., or is under common control with Kohlberg Kravis Roberts &amp; Co. L.P., and shall include any principal, member, director, partner, stockholder, officer, employee or other representative of any of the foregoing (other than the Corporation and any Person that is controlled by the Corporation), (b) in respect of Berkshire Partners LLC, any Person that, directly or indirectly, is controlled by Berkshire Partners LLC, controls Berkshire Partners LLC, or is under common control with Berkshire Partners LLC, and shall include any principal, member, director, partner, stockholder, officer, employee or other representative of any of the foregoing (other than the Corporation and any entity that is controlled by the Corporation), (c</w:t>
      </w:r>
      <w:r>
        <w:rPr>
          <w:rFonts w:ascii="Arial" w:cs="Arial" w:eastAsia="Arial" w:hAnsi="Arial"/>
          <w:sz w:val="18"/>
          <w:szCs w:val="18"/>
          <w:b w:val="1"/>
          <w:bCs w:val="1"/>
          <w:u w:val="single" w:color="auto"/>
          <w:color w:val="0000FF"/>
          <w:strike w:val="1"/>
        </w:rPr>
        <w:t>)</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in</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respect of a Non-Employee Director, any Person that, directly or indirectly, is controlled by such Non-Employee Director (other than the Corporation and any entity that is controlled by the Corporation) and (</w:t>
      </w:r>
      <w:r>
        <w:rPr>
          <w:rFonts w:ascii="Arial" w:cs="Arial" w:eastAsia="Arial" w:hAnsi="Arial"/>
          <w:sz w:val="18"/>
          <w:szCs w:val="18"/>
          <w:b w:val="1"/>
          <w:bCs w:val="1"/>
          <w:color w:val="FC0014"/>
          <w:strike w:val="1"/>
        </w:rPr>
        <w:t>d</w:t>
      </w:r>
      <w:r>
        <w:rPr>
          <w:rFonts w:ascii="Arial" w:cs="Arial" w:eastAsia="Arial" w:hAnsi="Arial"/>
          <w:sz w:val="18"/>
          <w:szCs w:val="18"/>
          <w:b w:val="1"/>
          <w:bCs w:val="1"/>
          <w:u w:val="single" w:color="auto"/>
          <w:color w:val="0000FF"/>
          <w:strike w:val="1"/>
        </w:rPr>
        <w:t>b</w:t>
      </w:r>
      <w:r>
        <w:rPr>
          <w:rFonts w:ascii="Arial" w:cs="Arial" w:eastAsia="Arial" w:hAnsi="Arial"/>
          <w:sz w:val="18"/>
          <w:szCs w:val="18"/>
          <w:color w:val="000000"/>
          <w:strike w:val="1"/>
        </w:rPr>
        <w:t>) in respect of the Corporation, any Person that, directly or indirectly, is controlled by the Corporation; and (ii) “</w:t>
      </w:r>
      <w:r>
        <w:rPr>
          <w:rFonts w:ascii="Arial" w:cs="Arial" w:eastAsia="Arial" w:hAnsi="Arial"/>
          <w:sz w:val="18"/>
          <w:szCs w:val="18"/>
          <w:u w:val="single" w:color="auto"/>
          <w:color w:val="000000"/>
          <w:strike w:val="1"/>
        </w:rPr>
        <w:t>Person</w:t>
      </w:r>
      <w:r>
        <w:rPr>
          <w:rFonts w:ascii="Arial" w:cs="Arial" w:eastAsia="Arial" w:hAnsi="Arial"/>
          <w:sz w:val="18"/>
          <w:szCs w:val="18"/>
          <w:color w:val="000000"/>
          <w:strike w:val="1"/>
        </w:rPr>
        <w:t>” shall mean any individual, corporation, general or limited partnership, limited liability company, joint venture, trust, association or any other entity.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Proposed amendment to Article X of the Second Amended and Restated Certificate of</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23495</wp:posOffset>
            </wp:positionV>
            <wp:extent cx="58375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7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ARTICLE X</w:t>
      </w:r>
    </w:p>
    <w:p>
      <w:pPr>
        <w:spacing w:after="0" w:line="1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u w:val="single" w:color="auto"/>
          <w:color w:val="auto"/>
        </w:rPr>
        <w:t>DGCL SECTION 203 AND BUSINESS COMBINATIONS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117"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 xml:space="preserve">B. Notwithstanding the foregoing, the Corporation shall not engage in any business combination (as defined below), at any point in time at which the Corporation’s Common Stock is registered under Section 12(b) or 12(g) of the </w:t>
      </w:r>
      <w:r>
        <w:rPr>
          <w:rFonts w:ascii="Arial" w:cs="Arial" w:eastAsia="Arial" w:hAnsi="Arial"/>
          <w:sz w:val="18"/>
          <w:szCs w:val="18"/>
          <w:b w:val="1"/>
          <w:bCs w:val="1"/>
          <w:u w:val="single" w:color="auto"/>
          <w:color w:val="0000FF"/>
        </w:rPr>
        <w:t>Securities</w:t>
      </w:r>
      <w:r>
        <w:rPr>
          <w:rFonts w:ascii="Arial" w:cs="Arial" w:eastAsia="Arial" w:hAnsi="Arial"/>
          <w:sz w:val="18"/>
          <w:szCs w:val="18"/>
          <w:b w:val="1"/>
          <w:bCs w:val="1"/>
          <w:color w:val="0000FF"/>
        </w:rPr>
        <w:t xml:space="preserve"> </w:t>
      </w:r>
      <w:r>
        <w:rPr>
          <w:rFonts w:ascii="Arial" w:cs="Arial" w:eastAsia="Arial" w:hAnsi="Arial"/>
          <w:sz w:val="18"/>
          <w:szCs w:val="18"/>
          <w:color w:val="000000"/>
        </w:rPr>
        <w:t>Exchange Act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of 1934, as amended (the “Exchange Act”)</w:t>
      </w:r>
      <w:r>
        <w:rPr>
          <w:rFonts w:ascii="Arial" w:cs="Arial" w:eastAsia="Arial" w:hAnsi="Arial"/>
          <w:sz w:val="18"/>
          <w:szCs w:val="18"/>
          <w:color w:val="000000"/>
        </w:rPr>
        <w:t>, with any interested stockholder (as defined</w:t>
      </w:r>
      <w:r>
        <w:rPr>
          <w:rFonts w:ascii="Arial" w:cs="Arial" w:eastAsia="Arial" w:hAnsi="Arial"/>
          <w:sz w:val="18"/>
          <w:szCs w:val="18"/>
          <w:b w:val="1"/>
          <w:bCs w:val="1"/>
          <w:color w:val="0000FF"/>
        </w:rPr>
        <w:t xml:space="preserve"> </w:t>
      </w:r>
      <w:r>
        <w:rPr>
          <w:rFonts w:ascii="Arial" w:cs="Arial" w:eastAsia="Arial" w:hAnsi="Arial"/>
          <w:sz w:val="18"/>
          <w:szCs w:val="18"/>
          <w:color w:val="000000"/>
        </w:rPr>
        <w:t>below) for a period of three (3) years following the time that such stockholder became an interested stockholder, unless:</w:t>
      </w:r>
    </w:p>
    <w:p>
      <w:pPr>
        <w:spacing w:after="0" w:line="94" w:lineRule="exact"/>
        <w:rPr>
          <w:sz w:val="20"/>
          <w:szCs w:val="20"/>
          <w:color w:val="auto"/>
        </w:rPr>
      </w:pPr>
    </w:p>
    <w:p>
      <w:pPr>
        <w:ind w:left="1480" w:hanging="358"/>
        <w:spacing w:after="0" w:line="261" w:lineRule="auto"/>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89" w:lineRule="exact"/>
        <w:rPr>
          <w:rFonts w:ascii="Arial" w:cs="Arial" w:eastAsia="Arial" w:hAnsi="Arial"/>
          <w:sz w:val="18"/>
          <w:szCs w:val="18"/>
          <w:color w:val="auto"/>
        </w:rPr>
      </w:pPr>
    </w:p>
    <w:p>
      <w:pPr>
        <w:jc w:val="both"/>
        <w:ind w:left="1480" w:hanging="358"/>
        <w:spacing w:after="0" w:line="256" w:lineRule="auto"/>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(as defined below) of the Corporation</w:t>
      </w:r>
    </w:p>
    <w:p>
      <w:pPr>
        <w:spacing w:after="0" w:line="304"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sz w:val="1"/>
          <w:szCs w:val="1"/>
          <w:color w:val="auto"/>
        </w:rPr>
        <w:drawing>
          <wp:inline distT="0" distB="0" distL="0" distR="0">
            <wp:extent cx="299720" cy="24003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C</w:t>
      </w:r>
    </w:p>
    <w:p>
      <w:pPr>
        <w:spacing w:after="0" w:line="247" w:lineRule="exact"/>
        <w:rPr>
          <w:sz w:val="20"/>
          <w:szCs w:val="20"/>
          <w:color w:val="auto"/>
        </w:rPr>
      </w:pPr>
    </w:p>
    <w:p>
      <w:pPr>
        <w:ind w:left="1480" w:right="760"/>
        <w:spacing w:after="0" w:line="248" w:lineRule="auto"/>
        <w:rPr>
          <w:sz w:val="20"/>
          <w:szCs w:val="20"/>
          <w:color w:val="auto"/>
        </w:rPr>
      </w:pPr>
      <w:r>
        <w:rPr>
          <w:rFonts w:ascii="Arial" w:cs="Arial" w:eastAsia="Arial" w:hAnsi="Arial"/>
          <w:sz w:val="17"/>
          <w:szCs w:val="17"/>
          <w:color w:val="auto"/>
        </w:rPr>
        <w:t>outstanding at the time the transaction commenced, excluding for purposes of determining the voting stock outstanding (but not the outstanding voting stock owned by the interested stockholder) those shares owned</w:t>
      </w:r>
    </w:p>
    <w:p>
      <w:pPr>
        <w:spacing w:after="0" w:line="1" w:lineRule="exact"/>
        <w:rPr>
          <w:sz w:val="20"/>
          <w:szCs w:val="20"/>
          <w:color w:val="auto"/>
        </w:rPr>
      </w:pPr>
    </w:p>
    <w:p>
      <w:pPr>
        <w:jc w:val="both"/>
        <w:ind w:left="1480" w:right="760" w:firstLine="2"/>
        <w:spacing w:after="0"/>
        <w:tabs>
          <w:tab w:leader="none" w:pos="1733" w:val="left"/>
        </w:tabs>
        <w:numPr>
          <w:ilvl w:val="2"/>
          <w:numId w:val="68"/>
        </w:numPr>
        <w:rPr>
          <w:rFonts w:ascii="Arial" w:cs="Arial" w:eastAsia="Arial" w:hAnsi="Arial"/>
          <w:sz w:val="18"/>
          <w:szCs w:val="18"/>
          <w:color w:val="auto"/>
        </w:rPr>
      </w:pPr>
      <w:r>
        <w:rPr>
          <w:rFonts w:ascii="Arial" w:cs="Arial" w:eastAsia="Arial" w:hAnsi="Arial"/>
          <w:sz w:val="18"/>
          <w:szCs w:val="18"/>
          <w:color w:val="auto"/>
        </w:rPr>
        <w:t>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4" w:lineRule="exact"/>
        <w:rPr>
          <w:rFonts w:ascii="Arial" w:cs="Arial" w:eastAsia="Arial" w:hAnsi="Arial"/>
          <w:sz w:val="18"/>
          <w:szCs w:val="18"/>
          <w:color w:val="auto"/>
        </w:rPr>
      </w:pPr>
    </w:p>
    <w:p>
      <w:pPr>
        <w:jc w:val="both"/>
        <w:ind w:left="1480" w:right="760" w:hanging="358"/>
        <w:spacing w:after="0" w:line="232"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at or subsequent to such time, the business combination is approved by the Board of Directors and authorized at an annual or special meeting of stockholders, and not by written consent, by the affirmative vote of at least </w:t>
      </w:r>
      <w:r>
        <w:rPr>
          <w:rFonts w:ascii="Arial" w:cs="Arial" w:eastAsia="Arial" w:hAnsi="Arial"/>
          <w:sz w:val="18"/>
          <w:szCs w:val="18"/>
          <w:b w:val="1"/>
          <w:bCs w:val="1"/>
          <w:color w:val="FC0014"/>
          <w:strike w:val="1"/>
        </w:rPr>
        <w:t>66</w:t>
      </w:r>
      <w:r>
        <w:rPr>
          <w:rFonts w:ascii="Arial" w:cs="Arial" w:eastAsia="Arial" w:hAnsi="Arial"/>
          <w:sz w:val="25"/>
          <w:szCs w:val="25"/>
          <w:b w:val="1"/>
          <w:bCs w:val="1"/>
          <w:color w:val="FC0014"/>
          <w:strike w:val="1"/>
          <w:vertAlign w:val="superscript"/>
        </w:rPr>
        <w:t>2</w:t>
      </w:r>
      <w:r>
        <w:rPr>
          <w:rFonts w:ascii="Arial" w:cs="Arial" w:eastAsia="Arial" w:hAnsi="Arial"/>
          <w:sz w:val="18"/>
          <w:szCs w:val="18"/>
          <w:b w:val="1"/>
          <w:bCs w:val="1"/>
          <w:color w:val="FC0014"/>
          <w:strike w:val="1"/>
        </w:rPr>
        <w:t>⁄</w:t>
      </w:r>
      <w:r>
        <w:rPr>
          <w:rFonts w:ascii="Arial" w:cs="Arial" w:eastAsia="Arial" w:hAnsi="Arial"/>
          <w:sz w:val="12"/>
          <w:szCs w:val="12"/>
          <w:b w:val="1"/>
          <w:bCs w:val="1"/>
          <w:color w:val="FC0014"/>
          <w:strike w:val="1"/>
        </w:rPr>
        <w:t>3</w:t>
      </w:r>
      <w:r>
        <w:rPr>
          <w:rFonts w:ascii="Arial" w:cs="Arial" w:eastAsia="Arial" w:hAnsi="Arial"/>
          <w:sz w:val="18"/>
          <w:szCs w:val="18"/>
          <w:b w:val="1"/>
          <w:bCs w:val="1"/>
          <w:color w:val="FC0014"/>
          <w:strike w:val="1"/>
        </w:rPr>
        <w:t>%</w:t>
      </w:r>
      <w:r>
        <w:rPr>
          <w:rFonts w:ascii="Arial" w:cs="Arial" w:eastAsia="Arial" w:hAnsi="Arial"/>
          <w:sz w:val="18"/>
          <w:szCs w:val="18"/>
          <w:b w:val="1"/>
          <w:bCs w:val="1"/>
          <w:u w:val="single" w:color="auto"/>
          <w:color w:val="0000FF"/>
        </w:rPr>
        <w:t>a majority</w:t>
      </w:r>
      <w:r>
        <w:rPr>
          <w:rFonts w:ascii="Arial" w:cs="Arial" w:eastAsia="Arial" w:hAnsi="Arial"/>
          <w:sz w:val="18"/>
          <w:szCs w:val="18"/>
          <w:color w:val="auto"/>
        </w:rPr>
        <w:t xml:space="preserve"> of the outstanding voting stock of the Corporation which is not owned by the interested stockholder.</w:t>
      </w:r>
    </w:p>
    <w:p>
      <w:pPr>
        <w:spacing w:after="0" w:line="107" w:lineRule="exact"/>
        <w:rPr>
          <w:rFonts w:ascii="Arial" w:cs="Arial" w:eastAsia="Arial" w:hAnsi="Arial"/>
          <w:sz w:val="18"/>
          <w:szCs w:val="18"/>
          <w:color w:val="auto"/>
        </w:rPr>
      </w:pPr>
    </w:p>
    <w:p>
      <w:pPr>
        <w:ind w:left="1000" w:hanging="23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103" w:lineRule="exact"/>
        <w:rPr>
          <w:rFonts w:ascii="Arial" w:cs="Arial" w:eastAsia="Arial" w:hAnsi="Arial"/>
          <w:sz w:val="18"/>
          <w:szCs w:val="18"/>
          <w:color w:val="auto"/>
        </w:rPr>
      </w:pPr>
    </w:p>
    <w:p>
      <w:pPr>
        <w:ind w:left="1480" w:right="760" w:hanging="358"/>
        <w:spacing w:after="0" w:line="261"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89" w:lineRule="exact"/>
        <w:rPr>
          <w:rFonts w:ascii="Arial" w:cs="Arial" w:eastAsia="Arial" w:hAnsi="Arial"/>
          <w:sz w:val="18"/>
          <w:szCs w:val="18"/>
          <w:color w:val="auto"/>
        </w:rPr>
      </w:pPr>
    </w:p>
    <w:p>
      <w:pPr>
        <w:jc w:val="both"/>
        <w:ind w:left="1480" w:right="760" w:hanging="358"/>
        <w:spacing w:after="0" w:line="252"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7" w:lineRule="exact"/>
        <w:rPr>
          <w:rFonts w:ascii="Arial" w:cs="Arial" w:eastAsia="Arial" w:hAnsi="Arial"/>
          <w:sz w:val="18"/>
          <w:szCs w:val="18"/>
          <w:color w:val="auto"/>
        </w:rPr>
      </w:pPr>
    </w:p>
    <w:p>
      <w:pPr>
        <w:jc w:val="both"/>
        <w:ind w:left="1480" w:right="760" w:hanging="358"/>
        <w:spacing w:after="0" w:line="257" w:lineRule="auto"/>
        <w:tabs>
          <w:tab w:leader="none" w:pos="1480" w:val="left"/>
        </w:tabs>
        <w:numPr>
          <w:ilvl w:val="1"/>
          <w:numId w:val="70"/>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“KKR/Berkshire Direct Transferee” means any person that acquires (other than in a registered public offering or through a broker’s transaction executed on any securities exchange or other over-the-counter market) directly from any of KKR, Berkshire or any of their respective affiliates or successors or any “group,” or any member of any such group, of which such persons are a party under Rule 13d-5 of the Exchange Act beneficial ownership of 5% or more of the then-outstanding voting stock of the Corporation</w:t>
      </w:r>
      <w:r>
        <w:rPr>
          <w:rFonts w:ascii="Arial" w:cs="Arial" w:eastAsia="Arial" w:hAnsi="Arial"/>
          <w:sz w:val="18"/>
          <w:szCs w:val="18"/>
          <w:color w:val="000000"/>
          <w:strike w:val="1"/>
        </w:rPr>
        <w:t>.</w:t>
      </w:r>
    </w:p>
    <w:p>
      <w:pPr>
        <w:spacing w:after="0" w:line="74" w:lineRule="exact"/>
        <w:rPr>
          <w:rFonts w:ascii="Arial" w:cs="Arial" w:eastAsia="Arial" w:hAnsi="Arial"/>
          <w:sz w:val="18"/>
          <w:szCs w:val="18"/>
          <w:b w:val="1"/>
          <w:bCs w:val="1"/>
          <w:color w:val="FC0014"/>
          <w:strike w:val="1"/>
        </w:rPr>
      </w:pPr>
    </w:p>
    <w:p>
      <w:pPr>
        <w:jc w:val="both"/>
        <w:ind w:left="1480" w:right="760" w:hanging="358"/>
        <w:spacing w:after="0" w:line="259" w:lineRule="auto"/>
        <w:tabs>
          <w:tab w:leader="none" w:pos="1480" w:val="left"/>
        </w:tabs>
        <w:numPr>
          <w:ilvl w:val="1"/>
          <w:numId w:val="70"/>
        </w:numPr>
        <w:rPr>
          <w:rFonts w:ascii="Arial" w:cs="Arial" w:eastAsia="Arial" w:hAnsi="Arial"/>
          <w:sz w:val="18"/>
          <w:szCs w:val="18"/>
          <w:b w:val="1"/>
          <w:bCs w:val="1"/>
          <w:color w:val="FC0014"/>
          <w:strike w:val="1"/>
        </w:rPr>
      </w:pPr>
      <w:r>
        <w:rPr>
          <w:rFonts w:ascii="Arial" w:cs="Arial" w:eastAsia="Arial" w:hAnsi="Arial"/>
          <w:sz w:val="18"/>
          <w:szCs w:val="18"/>
          <w:b w:val="1"/>
          <w:bCs w:val="1"/>
          <w:color w:val="FC0014"/>
          <w:strike w:val="1"/>
        </w:rPr>
        <w:t>“KKR/Berkshire Indirect Transferee” means any person that acquires (other than in a registered public offering or through a broker’s transaction executed on any securities exchange or other over-the-counter market) directly from any KKR/Berkshire Direct Transferee or any other KKR/Berkshire Indirect Transferee beneficial ownership of 5% or more of the then-outstanding voting stock of the Corporation</w:t>
      </w:r>
      <w:r>
        <w:rPr>
          <w:rFonts w:ascii="Arial" w:cs="Arial" w:eastAsia="Arial" w:hAnsi="Arial"/>
          <w:sz w:val="18"/>
          <w:szCs w:val="18"/>
          <w:color w:val="000000"/>
          <w:strike w:val="1"/>
        </w:rPr>
        <w:t>.</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C0014"/>
          <w:strike w:val="1"/>
        </w:rPr>
        <w:t>5</w:t>
      </w:r>
      <w:r>
        <w:rPr>
          <w:rFonts w:ascii="Arial" w:cs="Arial" w:eastAsia="Arial" w:hAnsi="Arial"/>
          <w:sz w:val="18"/>
          <w:szCs w:val="18"/>
          <w:b w:val="1"/>
          <w:bCs w:val="1"/>
          <w:u w:val="single" w:color="auto"/>
          <w:color w:val="0000FF"/>
        </w:rPr>
        <w:t>3</w:t>
      </w:r>
      <w:r>
        <w:rPr>
          <w:rFonts w:ascii="Arial" w:cs="Arial" w:eastAsia="Arial" w:hAnsi="Arial"/>
          <w:sz w:val="18"/>
          <w:szCs w:val="18"/>
          <w:color w:val="000000"/>
        </w:rPr>
        <w:t>. “</w:t>
      </w:r>
      <w:r>
        <w:rPr>
          <w:rFonts w:ascii="Arial" w:cs="Arial" w:eastAsia="Arial" w:hAnsi="Arial"/>
          <w:sz w:val="18"/>
          <w:szCs w:val="18"/>
          <w:u w:val="single" w:color="auto"/>
          <w:color w:val="000000"/>
        </w:rPr>
        <w:t>business combination</w:t>
      </w:r>
      <w:r>
        <w:rPr>
          <w:rFonts w:ascii="Arial" w:cs="Arial" w:eastAsia="Arial" w:hAnsi="Arial"/>
          <w:sz w:val="18"/>
          <w:szCs w:val="18"/>
          <w:color w:val="000000"/>
        </w:rPr>
        <w:t>,” when used in reference to the Corporation and any interested stockholder of the</w:t>
      </w:r>
    </w:p>
    <w:p>
      <w:pPr>
        <w:spacing w:after="0" w:line="3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Corporation, means:</w:t>
      </w:r>
    </w:p>
    <w:p>
      <w:pPr>
        <w:spacing w:after="0" w:line="104" w:lineRule="exact"/>
        <w:rPr>
          <w:sz w:val="20"/>
          <w:szCs w:val="20"/>
          <w:color w:val="auto"/>
        </w:rPr>
      </w:pPr>
    </w:p>
    <w:p>
      <w:pPr>
        <w:jc w:val="both"/>
        <w:ind w:left="1840" w:right="760" w:hanging="358"/>
        <w:spacing w:after="0" w:line="253" w:lineRule="auto"/>
        <w:tabs>
          <w:tab w:leader="none" w:pos="1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spacing w:after="0" w:line="97" w:lineRule="exact"/>
        <w:rPr>
          <w:rFonts w:ascii="Arial" w:cs="Arial" w:eastAsia="Arial" w:hAnsi="Arial"/>
          <w:sz w:val="18"/>
          <w:szCs w:val="18"/>
          <w:color w:val="auto"/>
        </w:rPr>
      </w:pPr>
    </w:p>
    <w:p>
      <w:pPr>
        <w:jc w:val="both"/>
        <w:ind w:left="1840" w:right="760" w:hanging="358"/>
        <w:spacing w:after="0" w:line="252" w:lineRule="auto"/>
        <w:tabs>
          <w:tab w:leader="none" w:pos="1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98" w:lineRule="exact"/>
        <w:rPr>
          <w:rFonts w:ascii="Arial" w:cs="Arial" w:eastAsia="Arial" w:hAnsi="Arial"/>
          <w:sz w:val="18"/>
          <w:szCs w:val="18"/>
          <w:color w:val="auto"/>
        </w:rPr>
      </w:pPr>
    </w:p>
    <w:p>
      <w:pPr>
        <w:jc w:val="both"/>
        <w:ind w:left="1840" w:right="760" w:hanging="358"/>
        <w:spacing w:after="0" w:line="250" w:lineRule="auto"/>
        <w:tabs>
          <w:tab w:leader="none" w:pos="1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w:t>
      </w:r>
    </w:p>
    <w:p>
      <w:pPr>
        <w:spacing w:after="0" w:line="1" w:lineRule="exact"/>
        <w:rPr>
          <w:rFonts w:ascii="Arial" w:cs="Arial" w:eastAsia="Arial" w:hAnsi="Arial"/>
          <w:sz w:val="18"/>
          <w:szCs w:val="18"/>
          <w:color w:val="auto"/>
        </w:rPr>
      </w:pPr>
    </w:p>
    <w:p>
      <w:pPr>
        <w:jc w:val="both"/>
        <w:ind w:left="1840" w:right="760"/>
        <w:spacing w:after="0" w:line="252" w:lineRule="auto"/>
        <w:rPr>
          <w:rFonts w:ascii="Arial" w:cs="Arial" w:eastAsia="Arial" w:hAnsi="Arial"/>
          <w:sz w:val="18"/>
          <w:szCs w:val="18"/>
          <w:color w:val="auto"/>
        </w:rPr>
      </w:pPr>
      <w:r>
        <w:rPr>
          <w:rFonts w:ascii="Arial" w:cs="Arial" w:eastAsia="Arial" w:hAnsi="Arial"/>
          <w:sz w:val="18"/>
          <w:szCs w:val="18"/>
          <w:color w:val="auto"/>
        </w:rPr>
        <w:t>(b)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226695</wp:posOffset>
            </wp:positionV>
            <wp:extent cx="300355" cy="2317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0355" cy="23177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75</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C</w:t>
      </w:r>
    </w:p>
    <w:p>
      <w:pPr>
        <w:spacing w:after="0" w:line="229" w:lineRule="exact"/>
        <w:rPr>
          <w:sz w:val="20"/>
          <w:szCs w:val="20"/>
          <w:color w:val="auto"/>
        </w:rPr>
      </w:pPr>
    </w:p>
    <w:p>
      <w:pPr>
        <w:jc w:val="both"/>
        <w:ind w:left="1840"/>
        <w:spacing w:after="0" w:line="258" w:lineRule="auto"/>
        <w:rPr>
          <w:sz w:val="20"/>
          <w:szCs w:val="20"/>
          <w:color w:val="auto"/>
        </w:rPr>
      </w:pPr>
      <w:r>
        <w:rPr>
          <w:rFonts w:ascii="Arial" w:cs="Arial" w:eastAsia="Arial" w:hAnsi="Arial"/>
          <w:sz w:val="18"/>
          <w:szCs w:val="18"/>
          <w:color w:val="auto"/>
        </w:rPr>
        <w:t xml:space="preserve">to all holders of said stock; or (e) any issuance or transfer of stock by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case under items (c) —(e) of this subsection (iii) shall there be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interested stockholder’s proportionate share of the stock of any class or series of the Corporation or of the voting stock of the Corporation (except as a result of immaterial changes due to fractional share adjustments);</w:t>
      </w:r>
    </w:p>
    <w:p>
      <w:pPr>
        <w:spacing w:after="0" w:line="93" w:lineRule="exact"/>
        <w:rPr>
          <w:sz w:val="20"/>
          <w:szCs w:val="20"/>
          <w:color w:val="auto"/>
        </w:rPr>
      </w:pPr>
    </w:p>
    <w:p>
      <w:pPr>
        <w:jc w:val="both"/>
        <w:ind w:left="1840" w:hanging="358"/>
        <w:spacing w:after="0" w:line="252" w:lineRule="auto"/>
        <w:tabs>
          <w:tab w:leader="none" w:pos="1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13" w:lineRule="exact"/>
        <w:rPr>
          <w:rFonts w:ascii="Arial" w:cs="Arial" w:eastAsia="Arial" w:hAnsi="Arial"/>
          <w:sz w:val="18"/>
          <w:szCs w:val="18"/>
          <w:color w:val="auto"/>
        </w:rPr>
      </w:pPr>
    </w:p>
    <w:p>
      <w:pPr>
        <w:jc w:val="both"/>
        <w:ind w:left="1840" w:hanging="358"/>
        <w:spacing w:after="0" w:line="254" w:lineRule="auto"/>
        <w:tabs>
          <w:tab w:leader="none" w:pos="1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 —(iv) above) provided by or through the Corporation or any direct or indirect majority-owned subsidiary.</w:t>
      </w:r>
    </w:p>
    <w:p>
      <w:pPr>
        <w:spacing w:after="0" w:line="74" w:lineRule="exact"/>
        <w:rPr>
          <w:sz w:val="20"/>
          <w:szCs w:val="20"/>
          <w:color w:val="auto"/>
        </w:rPr>
      </w:pPr>
    </w:p>
    <w:p>
      <w:pPr>
        <w:jc w:val="both"/>
        <w:ind w:left="1480" w:hanging="359"/>
        <w:spacing w:after="0" w:line="255" w:lineRule="auto"/>
        <w:rPr>
          <w:sz w:val="20"/>
          <w:szCs w:val="20"/>
          <w:color w:val="auto"/>
        </w:rPr>
      </w:pPr>
      <w:r>
        <w:rPr>
          <w:rFonts w:ascii="Arial" w:cs="Arial" w:eastAsia="Arial" w:hAnsi="Arial"/>
          <w:sz w:val="18"/>
          <w:szCs w:val="18"/>
          <w:b w:val="1"/>
          <w:bCs w:val="1"/>
          <w:color w:val="FC0014"/>
          <w:strike w:val="1"/>
        </w:rPr>
        <w:t>6</w:t>
      </w:r>
      <w:r>
        <w:rPr>
          <w:rFonts w:ascii="Arial" w:cs="Arial" w:eastAsia="Arial" w:hAnsi="Arial"/>
          <w:sz w:val="18"/>
          <w:szCs w:val="18"/>
          <w:b w:val="1"/>
          <w:bCs w:val="1"/>
          <w:u w:val="single" w:color="auto"/>
          <w:color w:val="0000FF"/>
        </w:rPr>
        <w:t>4</w:t>
      </w:r>
      <w:r>
        <w:rPr>
          <w:rFonts w:ascii="Arial" w:cs="Arial" w:eastAsia="Arial" w:hAnsi="Arial"/>
          <w:sz w:val="18"/>
          <w:szCs w:val="18"/>
          <w:color w:val="000000"/>
        </w:rPr>
        <w:t>. “</w:t>
      </w:r>
      <w:r>
        <w:rPr>
          <w:rFonts w:ascii="Arial" w:cs="Arial" w:eastAsia="Arial" w:hAnsi="Arial"/>
          <w:sz w:val="18"/>
          <w:szCs w:val="18"/>
          <w:u w:val="single" w:color="auto"/>
          <w:color w:val="000000"/>
        </w:rPr>
        <w:t>control</w:t>
      </w:r>
      <w:r>
        <w:rPr>
          <w:rFonts w:ascii="Arial" w:cs="Arial" w:eastAsia="Arial" w:hAnsi="Arial"/>
          <w:sz w:val="18"/>
          <w:szCs w:val="18"/>
          <w:color w:val="000000"/>
        </w:rPr>
        <w:t>,” including the terms “</w:t>
      </w:r>
      <w:r>
        <w:rPr>
          <w:rFonts w:ascii="Arial" w:cs="Arial" w:eastAsia="Arial" w:hAnsi="Arial"/>
          <w:sz w:val="18"/>
          <w:szCs w:val="18"/>
          <w:u w:val="single" w:color="auto"/>
          <w:color w:val="000000"/>
        </w:rPr>
        <w:t>controlling</w:t>
      </w:r>
      <w:r>
        <w:rPr>
          <w:rFonts w:ascii="Arial" w:cs="Arial" w:eastAsia="Arial" w:hAnsi="Arial"/>
          <w:sz w:val="18"/>
          <w:szCs w:val="18"/>
          <w:color w:val="000000"/>
        </w:rPr>
        <w:t>,” “</w:t>
      </w:r>
      <w:r>
        <w:rPr>
          <w:rFonts w:ascii="Arial" w:cs="Arial" w:eastAsia="Arial" w:hAnsi="Arial"/>
          <w:sz w:val="18"/>
          <w:szCs w:val="18"/>
          <w:u w:val="single" w:color="auto"/>
          <w:color w:val="000000"/>
        </w:rPr>
        <w:t>controlled by</w:t>
      </w:r>
      <w:r>
        <w:rPr>
          <w:rFonts w:ascii="Arial" w:cs="Arial" w:eastAsia="Arial" w:hAnsi="Arial"/>
          <w:sz w:val="18"/>
          <w:szCs w:val="18"/>
          <w:color w:val="000000"/>
        </w:rPr>
        <w:t>” and “</w:t>
      </w:r>
      <w:r>
        <w:rPr>
          <w:rFonts w:ascii="Arial" w:cs="Arial" w:eastAsia="Arial" w:hAnsi="Arial"/>
          <w:sz w:val="18"/>
          <w:szCs w:val="18"/>
          <w:u w:val="single" w:color="auto"/>
          <w:color w:val="000000"/>
        </w:rPr>
        <w:t>under common control with</w:t>
      </w:r>
      <w:r>
        <w:rPr>
          <w:rFonts w:ascii="Arial" w:cs="Arial" w:eastAsia="Arial" w:hAnsi="Arial"/>
          <w:sz w:val="18"/>
          <w:szCs w:val="18"/>
          <w:color w:val="000000"/>
        </w:rPr>
        <w:t>,” means the</w:t>
      </w:r>
      <w:r>
        <w:rPr>
          <w:rFonts w:ascii="Arial" w:cs="Arial" w:eastAsia="Arial" w:hAnsi="Arial"/>
          <w:sz w:val="18"/>
          <w:szCs w:val="18"/>
          <w:b w:val="1"/>
          <w:bCs w:val="1"/>
          <w:color w:val="FC0014"/>
        </w:rPr>
        <w:t xml:space="preserve"> </w:t>
      </w:r>
      <w:r>
        <w:rPr>
          <w:rFonts w:ascii="Arial" w:cs="Arial" w:eastAsia="Arial" w:hAnsi="Arial"/>
          <w:sz w:val="18"/>
          <w:szCs w:val="18"/>
          <w:color w:val="000000"/>
        </w:rPr>
        <w:t>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73" w:lineRule="exact"/>
        <w:rPr>
          <w:sz w:val="20"/>
          <w:szCs w:val="20"/>
          <w:color w:val="auto"/>
        </w:rPr>
      </w:pPr>
    </w:p>
    <w:p>
      <w:pPr>
        <w:jc w:val="both"/>
        <w:ind w:left="1480" w:hanging="359"/>
        <w:spacing w:after="0" w:line="254" w:lineRule="auto"/>
        <w:rPr>
          <w:sz w:val="20"/>
          <w:szCs w:val="20"/>
          <w:color w:val="auto"/>
        </w:rPr>
      </w:pPr>
      <w:r>
        <w:rPr>
          <w:rFonts w:ascii="Arial" w:cs="Arial" w:eastAsia="Arial" w:hAnsi="Arial"/>
          <w:sz w:val="18"/>
          <w:szCs w:val="18"/>
          <w:b w:val="1"/>
          <w:bCs w:val="1"/>
          <w:color w:val="FC0014"/>
          <w:strike w:val="1"/>
        </w:rPr>
        <w:t>7</w:t>
      </w:r>
      <w:r>
        <w:rPr>
          <w:rFonts w:ascii="Arial" w:cs="Arial" w:eastAsia="Arial" w:hAnsi="Arial"/>
          <w:sz w:val="18"/>
          <w:szCs w:val="18"/>
          <w:b w:val="1"/>
          <w:bCs w:val="1"/>
          <w:u w:val="single" w:color="auto"/>
          <w:color w:val="0000FF"/>
        </w:rPr>
        <w:t>5</w:t>
      </w:r>
      <w:r>
        <w:rPr>
          <w:rFonts w:ascii="Arial" w:cs="Arial" w:eastAsia="Arial" w:hAnsi="Arial"/>
          <w:sz w:val="18"/>
          <w:szCs w:val="18"/>
          <w:color w:val="000000"/>
        </w:rPr>
        <w:t>. “</w:t>
      </w:r>
      <w:r>
        <w:rPr>
          <w:rFonts w:ascii="Arial" w:cs="Arial" w:eastAsia="Arial" w:hAnsi="Arial"/>
          <w:sz w:val="18"/>
          <w:szCs w:val="18"/>
          <w:u w:val="single" w:color="auto"/>
          <w:color w:val="000000"/>
        </w:rPr>
        <w:t>interested stockholder</w:t>
      </w:r>
      <w:r>
        <w:rPr>
          <w:rFonts w:ascii="Arial" w:cs="Arial" w:eastAsia="Arial" w:hAnsi="Arial"/>
          <w:sz w:val="18"/>
          <w:szCs w:val="18"/>
          <w:color w:val="000000"/>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or be deemed to include, in any case, </w:t>
      </w:r>
      <w:r>
        <w:rPr>
          <w:rFonts w:ascii="Arial" w:cs="Arial" w:eastAsia="Arial" w:hAnsi="Arial"/>
          <w:sz w:val="18"/>
          <w:szCs w:val="18"/>
          <w:b w:val="1"/>
          <w:bCs w:val="1"/>
          <w:color w:val="FC0014"/>
          <w:strike w:val="1"/>
        </w:rPr>
        <w:t>(a) KKR, Berkshire, any KKR/Berkshire Direct Transferee, any</w:t>
      </w:r>
    </w:p>
    <w:p>
      <w:pPr>
        <w:spacing w:after="0" w:line="1" w:lineRule="exact"/>
        <w:rPr>
          <w:sz w:val="20"/>
          <w:szCs w:val="20"/>
          <w:color w:val="auto"/>
        </w:rPr>
      </w:pPr>
    </w:p>
    <w:p>
      <w:pPr>
        <w:jc w:val="both"/>
        <w:ind w:left="1480"/>
        <w:spacing w:after="0" w:line="251" w:lineRule="auto"/>
        <w:rPr>
          <w:sz w:val="20"/>
          <w:szCs w:val="20"/>
          <w:color w:val="auto"/>
        </w:rPr>
      </w:pPr>
      <w:r>
        <w:rPr>
          <w:rFonts w:ascii="Arial" w:cs="Arial" w:eastAsia="Arial" w:hAnsi="Arial"/>
          <w:sz w:val="18"/>
          <w:szCs w:val="18"/>
          <w:b w:val="1"/>
          <w:bCs w:val="1"/>
          <w:color w:val="FC0014"/>
          <w:strike w:val="1"/>
        </w:rPr>
        <w:t>KKR/Berkshire Indirect Transferee or any of their respective affiliates or successors or any “group,” or any member of any such group, to which such persons are a party under Rule 13d-5 of the Exchange Act, or (b) any</w:t>
      </w:r>
      <w:r>
        <w:rPr>
          <w:rFonts w:ascii="Arial" w:cs="Arial" w:eastAsia="Arial" w:hAnsi="Arial"/>
          <w:sz w:val="18"/>
          <w:szCs w:val="18"/>
          <w:b w:val="1"/>
          <w:bCs w:val="1"/>
          <w:u w:val="single" w:color="auto"/>
          <w:color w:val="0000FF"/>
          <w:strike w:val="1"/>
        </w:rPr>
        <w:t>any</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person whose ownership of shares in excess of the 15% limitation set forth</w:t>
      </w:r>
      <w:r>
        <w:rPr>
          <w:rFonts w:ascii="Arial" w:cs="Arial" w:eastAsia="Arial" w:hAnsi="Arial"/>
          <w:sz w:val="18"/>
          <w:szCs w:val="18"/>
          <w:b w:val="1"/>
          <w:bCs w:val="1"/>
          <w:color w:val="FC0014"/>
          <w:strike w:val="1"/>
        </w:rPr>
        <w:t xml:space="preserve"> </w:t>
      </w:r>
      <w:r>
        <w:rPr>
          <w:rFonts w:ascii="Arial" w:cs="Arial" w:eastAsia="Arial" w:hAnsi="Arial"/>
          <w:sz w:val="18"/>
          <w:szCs w:val="18"/>
          <w:color w:val="000000"/>
          <w:strike w:val="1"/>
        </w:rPr>
        <w:t xml:space="preserve">herein is the result of any action taken solely by the Corporation, </w:t>
      </w:r>
      <w:r>
        <w:rPr>
          <w:rFonts w:ascii="Arial" w:cs="Arial" w:eastAsia="Arial" w:hAnsi="Arial"/>
          <w:sz w:val="18"/>
          <w:szCs w:val="18"/>
          <w:i w:val="1"/>
          <w:iCs w:val="1"/>
          <w:color w:val="000000"/>
          <w:strike w:val="1"/>
        </w:rPr>
        <w:t>provided</w:t>
      </w:r>
      <w:r>
        <w:rPr>
          <w:rFonts w:ascii="Arial" w:cs="Arial" w:eastAsia="Arial" w:hAnsi="Arial"/>
          <w:sz w:val="18"/>
          <w:szCs w:val="18"/>
          <w:color w:val="000000"/>
          <w:strike w:val="1"/>
        </w:rPr>
        <w:t xml:space="preserve">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94" w:lineRule="exact"/>
        <w:rPr>
          <w:sz w:val="20"/>
          <w:szCs w:val="20"/>
          <w:color w:val="auto"/>
        </w:rPr>
      </w:pPr>
    </w:p>
    <w:p>
      <w:pPr>
        <w:ind w:left="1480" w:right="20" w:hanging="359"/>
        <w:spacing w:after="0" w:line="287" w:lineRule="auto"/>
        <w:rPr>
          <w:sz w:val="20"/>
          <w:szCs w:val="20"/>
          <w:color w:val="auto"/>
        </w:rPr>
      </w:pPr>
      <w:r>
        <w:rPr>
          <w:rFonts w:ascii="Arial" w:cs="Arial" w:eastAsia="Arial" w:hAnsi="Arial"/>
          <w:sz w:val="18"/>
          <w:szCs w:val="18"/>
          <w:b w:val="1"/>
          <w:bCs w:val="1"/>
          <w:color w:val="FC0014"/>
          <w:strike w:val="1"/>
        </w:rPr>
        <w:t>8</w:t>
      </w:r>
      <w:r>
        <w:rPr>
          <w:rFonts w:ascii="Arial" w:cs="Arial" w:eastAsia="Arial" w:hAnsi="Arial"/>
          <w:sz w:val="18"/>
          <w:szCs w:val="18"/>
          <w:b w:val="1"/>
          <w:bCs w:val="1"/>
          <w:u w:val="single" w:color="auto"/>
          <w:color w:val="0000FF"/>
        </w:rPr>
        <w:t>6</w:t>
      </w:r>
      <w:r>
        <w:rPr>
          <w:rFonts w:ascii="Arial" w:cs="Arial" w:eastAsia="Arial" w:hAnsi="Arial"/>
          <w:sz w:val="18"/>
          <w:szCs w:val="18"/>
          <w:color w:val="000000"/>
        </w:rPr>
        <w:t>. “</w:t>
      </w:r>
      <w:r>
        <w:rPr>
          <w:rFonts w:ascii="Arial" w:cs="Arial" w:eastAsia="Arial" w:hAnsi="Arial"/>
          <w:sz w:val="18"/>
          <w:szCs w:val="18"/>
          <w:u w:val="single" w:color="auto"/>
          <w:color w:val="000000"/>
        </w:rPr>
        <w:t>owner</w:t>
      </w:r>
      <w:r>
        <w:rPr>
          <w:rFonts w:ascii="Arial" w:cs="Arial" w:eastAsia="Arial" w:hAnsi="Arial"/>
          <w:sz w:val="18"/>
          <w:szCs w:val="18"/>
          <w:color w:val="000000"/>
        </w:rPr>
        <w:t>,” including the terms “</w:t>
      </w:r>
      <w:r>
        <w:rPr>
          <w:rFonts w:ascii="Arial" w:cs="Arial" w:eastAsia="Arial" w:hAnsi="Arial"/>
          <w:sz w:val="18"/>
          <w:szCs w:val="18"/>
          <w:u w:val="single" w:color="auto"/>
          <w:color w:val="000000"/>
        </w:rPr>
        <w:t>own</w:t>
      </w:r>
      <w:r>
        <w:rPr>
          <w:rFonts w:ascii="Arial" w:cs="Arial" w:eastAsia="Arial" w:hAnsi="Arial"/>
          <w:sz w:val="18"/>
          <w:szCs w:val="18"/>
          <w:color w:val="000000"/>
        </w:rPr>
        <w:t>” and “</w:t>
      </w:r>
      <w:r>
        <w:rPr>
          <w:rFonts w:ascii="Arial" w:cs="Arial" w:eastAsia="Arial" w:hAnsi="Arial"/>
          <w:sz w:val="18"/>
          <w:szCs w:val="18"/>
          <w:u w:val="single" w:color="auto"/>
          <w:color w:val="000000"/>
        </w:rPr>
        <w:t>owned</w:t>
      </w:r>
      <w:r>
        <w:rPr>
          <w:rFonts w:ascii="Arial" w:cs="Arial" w:eastAsia="Arial" w:hAnsi="Arial"/>
          <w:sz w:val="18"/>
          <w:szCs w:val="18"/>
          <w:color w:val="000000"/>
        </w:rPr>
        <w:t>,” when used with respect to any stock, means a person that</w:t>
      </w:r>
      <w:r>
        <w:rPr>
          <w:rFonts w:ascii="Arial" w:cs="Arial" w:eastAsia="Arial" w:hAnsi="Arial"/>
          <w:sz w:val="18"/>
          <w:szCs w:val="18"/>
          <w:b w:val="1"/>
          <w:bCs w:val="1"/>
          <w:color w:val="FC0014"/>
        </w:rPr>
        <w:t xml:space="preserve"> </w:t>
      </w:r>
      <w:r>
        <w:rPr>
          <w:rFonts w:ascii="Arial" w:cs="Arial" w:eastAsia="Arial" w:hAnsi="Arial"/>
          <w:sz w:val="18"/>
          <w:szCs w:val="18"/>
          <w:color w:val="000000"/>
        </w:rPr>
        <w:t>individually or with or through any of its affiliates or associates:</w:t>
      </w:r>
    </w:p>
    <w:p>
      <w:pPr>
        <w:spacing w:after="0" w:line="67" w:lineRule="exact"/>
        <w:rPr>
          <w:sz w:val="20"/>
          <w:szCs w:val="20"/>
          <w:color w:val="auto"/>
        </w:rPr>
      </w:pPr>
    </w:p>
    <w:p>
      <w:pPr>
        <w:ind w:left="1840" w:hanging="358"/>
        <w:spacing w:after="0"/>
        <w:tabs>
          <w:tab w:leader="none" w:pos="1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jc w:val="both"/>
        <w:ind w:left="1840" w:hanging="358"/>
        <w:spacing w:after="0" w:line="252" w:lineRule="auto"/>
        <w:tabs>
          <w:tab w:leader="none" w:pos="1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person shall not be deemed the owner of any stock because of such person’s</w:t>
      </w:r>
    </w:p>
    <w:p>
      <w:pPr>
        <w:spacing w:after="0" w:line="321" w:lineRule="exact"/>
        <w:rPr>
          <w:sz w:val="20"/>
          <w:szCs w:val="20"/>
          <w:color w:val="auto"/>
        </w:rPr>
      </w:pPr>
    </w:p>
    <w:p>
      <w:pPr>
        <w:ind w:left="760"/>
        <w:spacing w:after="0"/>
        <w:tabs>
          <w:tab w:leader="none" w:pos="1104" w:val="left"/>
        </w:tabs>
        <w:rPr>
          <w:sz w:val="20"/>
          <w:szCs w:val="20"/>
          <w:color w:val="auto"/>
        </w:rPr>
      </w:pPr>
      <w:r>
        <w:rPr>
          <w:rFonts w:ascii="Arial" w:cs="Arial" w:eastAsia="Arial" w:hAnsi="Arial"/>
          <w:sz w:val="16"/>
          <w:szCs w:val="16"/>
          <w:b w:val="1"/>
          <w:bCs w:val="1"/>
          <w:color w:val="auto"/>
        </w:rPr>
        <w:t>76</w:t>
      </w:r>
      <w:r>
        <w:rPr>
          <w:sz w:val="20"/>
          <w:szCs w:val="20"/>
          <w:color w:val="auto"/>
        </w:rPr>
        <w:tab/>
      </w:r>
      <w:r>
        <w:rPr>
          <w:sz w:val="1"/>
          <w:szCs w:val="1"/>
          <w:color w:val="auto"/>
        </w:rPr>
        <w:drawing>
          <wp:inline distT="0" distB="0" distL="0" distR="0">
            <wp:extent cx="299720" cy="23114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99720" cy="231140"/>
                    </a:xfrm>
                    <a:prstGeom prst="rect">
                      <a:avLst/>
                    </a:prstGeom>
                    <a:noFill/>
                    <a:ln>
                      <a:noFill/>
                    </a:ln>
                  </pic:spPr>
                </pic:pic>
              </a:graphicData>
            </a:graphic>
          </wp:inline>
        </w:drawing>
      </w:r>
      <w:r>
        <w:rPr>
          <w:rFonts w:ascii="Arial" w:cs="Arial" w:eastAsia="Arial" w:hAnsi="Arial"/>
          <w:sz w:val="16"/>
          <w:szCs w:val="16"/>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1" w:right="1359"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168910</wp:posOffset>
            </wp:positionV>
            <wp:extent cx="5837555" cy="1797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04"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C</w:t>
      </w:r>
    </w:p>
    <w:p>
      <w:pPr>
        <w:spacing w:after="0" w:line="247" w:lineRule="exact"/>
        <w:rPr>
          <w:sz w:val="20"/>
          <w:szCs w:val="20"/>
          <w:color w:val="auto"/>
        </w:rPr>
      </w:pPr>
    </w:p>
    <w:p>
      <w:pPr>
        <w:jc w:val="both"/>
        <w:ind w:left="1840" w:right="760"/>
        <w:spacing w:after="0" w:line="256" w:lineRule="auto"/>
        <w:rPr>
          <w:sz w:val="20"/>
          <w:szCs w:val="20"/>
          <w:color w:val="auto"/>
        </w:rPr>
      </w:pPr>
      <w:r>
        <w:rPr>
          <w:rFonts w:ascii="Arial" w:cs="Arial" w:eastAsia="Arial" w:hAnsi="Arial"/>
          <w:sz w:val="18"/>
          <w:szCs w:val="18"/>
          <w:color w:val="auto"/>
        </w:rPr>
        <w:t>right to vote such stock if the agreement, arrangement or understanding to vote such stock arises solely from a revocable proxy or consent given in response to a proxy or consent solicitation made to ten (10) or more persons; or</w:t>
      </w:r>
    </w:p>
    <w:p>
      <w:pPr>
        <w:spacing w:after="0" w:line="94" w:lineRule="exact"/>
        <w:rPr>
          <w:sz w:val="20"/>
          <w:szCs w:val="20"/>
          <w:color w:val="auto"/>
        </w:rPr>
      </w:pPr>
    </w:p>
    <w:p>
      <w:pPr>
        <w:jc w:val="both"/>
        <w:ind w:left="1840" w:right="760" w:hanging="358"/>
        <w:spacing w:after="0" w:line="254" w:lineRule="auto"/>
        <w:tabs>
          <w:tab w:leader="none" w:pos="1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74" w:lineRule="exact"/>
        <w:rPr>
          <w:sz w:val="20"/>
          <w:szCs w:val="20"/>
          <w:color w:val="auto"/>
        </w:rPr>
      </w:pPr>
    </w:p>
    <w:p>
      <w:pPr>
        <w:ind w:left="1120"/>
        <w:spacing w:after="0"/>
        <w:tabs>
          <w:tab w:leader="none" w:pos="1540" w:val="left"/>
        </w:tabs>
        <w:rPr>
          <w:sz w:val="20"/>
          <w:szCs w:val="20"/>
          <w:color w:val="auto"/>
        </w:rPr>
      </w:pPr>
      <w:r>
        <w:rPr>
          <w:rFonts w:ascii="Arial" w:cs="Arial" w:eastAsia="Arial" w:hAnsi="Arial"/>
          <w:sz w:val="18"/>
          <w:szCs w:val="18"/>
          <w:b w:val="1"/>
          <w:bCs w:val="1"/>
          <w:color w:val="FC0014"/>
          <w:strike w:val="1"/>
        </w:rPr>
        <w:t>9</w:t>
      </w:r>
      <w:r>
        <w:rPr>
          <w:rFonts w:ascii="Arial" w:cs="Arial" w:eastAsia="Arial" w:hAnsi="Arial"/>
          <w:sz w:val="18"/>
          <w:szCs w:val="18"/>
          <w:b w:val="1"/>
          <w:bCs w:val="1"/>
          <w:u w:val="single" w:color="auto"/>
          <w:color w:val="0000FF"/>
        </w:rPr>
        <w:t>7</w:t>
      </w:r>
      <w:r>
        <w:rPr>
          <w:rFonts w:ascii="Arial" w:cs="Arial" w:eastAsia="Arial" w:hAnsi="Arial"/>
          <w:sz w:val="18"/>
          <w:szCs w:val="18"/>
          <w:color w:val="000000"/>
        </w:rPr>
        <w:t>.</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partnership, unincorporated association or other entity.</w:t>
      </w:r>
    </w:p>
    <w:p>
      <w:pPr>
        <w:spacing w:after="0" w:line="117" w:lineRule="exact"/>
        <w:rPr>
          <w:sz w:val="20"/>
          <w:szCs w:val="20"/>
          <w:color w:val="auto"/>
        </w:rPr>
      </w:pPr>
    </w:p>
    <w:p>
      <w:pPr>
        <w:ind w:left="1560" w:right="760" w:hanging="431"/>
        <w:spacing w:after="0" w:line="287" w:lineRule="auto"/>
        <w:rPr>
          <w:sz w:val="20"/>
          <w:szCs w:val="20"/>
          <w:color w:val="auto"/>
        </w:rPr>
      </w:pPr>
      <w:r>
        <w:rPr>
          <w:rFonts w:ascii="Arial" w:cs="Arial" w:eastAsia="Arial" w:hAnsi="Arial"/>
          <w:sz w:val="18"/>
          <w:szCs w:val="18"/>
          <w:b w:val="1"/>
          <w:bCs w:val="1"/>
          <w:color w:val="FC0014"/>
          <w:strike w:val="1"/>
        </w:rPr>
        <w:t>10</w:t>
      </w:r>
      <w:r>
        <w:rPr>
          <w:rFonts w:ascii="Arial" w:cs="Arial" w:eastAsia="Arial" w:hAnsi="Arial"/>
          <w:sz w:val="18"/>
          <w:szCs w:val="18"/>
          <w:b w:val="1"/>
          <w:bCs w:val="1"/>
          <w:u w:val="single" w:color="auto"/>
          <w:color w:val="0000FF"/>
        </w:rPr>
        <w:t>8</w:t>
      </w:r>
      <w:r>
        <w:rPr>
          <w:rFonts w:ascii="Arial" w:cs="Arial" w:eastAsia="Arial" w:hAnsi="Arial"/>
          <w:sz w:val="18"/>
          <w:szCs w:val="18"/>
          <w:color w:val="000000"/>
        </w:rPr>
        <w:t>. “</w:t>
      </w:r>
      <w:r>
        <w:rPr>
          <w:rFonts w:ascii="Arial" w:cs="Arial" w:eastAsia="Arial" w:hAnsi="Arial"/>
          <w:sz w:val="18"/>
          <w:szCs w:val="18"/>
          <w:u w:val="single" w:color="auto"/>
          <w:color w:val="000000"/>
        </w:rPr>
        <w:t>stock</w:t>
      </w:r>
      <w:r>
        <w:rPr>
          <w:rFonts w:ascii="Arial" w:cs="Arial" w:eastAsia="Arial" w:hAnsi="Arial"/>
          <w:sz w:val="18"/>
          <w:szCs w:val="18"/>
          <w:color w:val="000000"/>
        </w:rPr>
        <w:t>” means, with respect to any corporation, capital stock and, with respect to any other entity, any</w:t>
      </w:r>
      <w:r>
        <w:rPr>
          <w:rFonts w:ascii="Arial" w:cs="Arial" w:eastAsia="Arial" w:hAnsi="Arial"/>
          <w:sz w:val="18"/>
          <w:szCs w:val="18"/>
          <w:b w:val="1"/>
          <w:bCs w:val="1"/>
          <w:color w:val="FC0014"/>
        </w:rPr>
        <w:t xml:space="preserve"> </w:t>
      </w:r>
      <w:r>
        <w:rPr>
          <w:rFonts w:ascii="Arial" w:cs="Arial" w:eastAsia="Arial" w:hAnsi="Arial"/>
          <w:sz w:val="18"/>
          <w:szCs w:val="18"/>
          <w:color w:val="000000"/>
        </w:rPr>
        <w:t>equity interest.</w:t>
      </w:r>
    </w:p>
    <w:p>
      <w:pPr>
        <w:spacing w:after="0" w:line="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C0014"/>
          <w:strike w:val="1"/>
        </w:rPr>
        <w:t>11</w:t>
      </w:r>
      <w:r>
        <w:rPr>
          <w:rFonts w:ascii="Arial" w:cs="Arial" w:eastAsia="Arial" w:hAnsi="Arial"/>
          <w:sz w:val="18"/>
          <w:szCs w:val="18"/>
          <w:b w:val="1"/>
          <w:bCs w:val="1"/>
          <w:u w:val="single" w:color="auto"/>
          <w:color w:val="0000FF"/>
        </w:rPr>
        <w:t>9</w:t>
      </w:r>
      <w:r>
        <w:rPr>
          <w:rFonts w:ascii="Arial" w:cs="Arial" w:eastAsia="Arial" w:hAnsi="Arial"/>
          <w:sz w:val="18"/>
          <w:szCs w:val="18"/>
          <w:color w:val="000000"/>
        </w:rPr>
        <w:t>. “</w:t>
      </w:r>
      <w:r>
        <w:rPr>
          <w:rFonts w:ascii="Arial" w:cs="Arial" w:eastAsia="Arial" w:hAnsi="Arial"/>
          <w:sz w:val="18"/>
          <w:szCs w:val="18"/>
          <w:u w:val="single" w:color="auto"/>
          <w:color w:val="000000"/>
        </w:rPr>
        <w:t>voting stock</w:t>
      </w:r>
      <w:r>
        <w:rPr>
          <w:rFonts w:ascii="Arial" w:cs="Arial" w:eastAsia="Arial" w:hAnsi="Arial"/>
          <w:sz w:val="18"/>
          <w:szCs w:val="18"/>
          <w:color w:val="000000"/>
        </w:rPr>
        <w:t>” means stock of any class or series entitled to vote generally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6038215</wp:posOffset>
            </wp:positionV>
            <wp:extent cx="300355" cy="2400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7320"/>
              <w:spacing w:after="0"/>
              <w:rPr>
                <w:sz w:val="20"/>
                <w:szCs w:val="20"/>
                <w:color w:val="auto"/>
              </w:rPr>
            </w:pPr>
            <w:r>
              <w:rPr>
                <w:rFonts w:ascii="Arial" w:cs="Arial" w:eastAsia="Arial" w:hAnsi="Arial"/>
                <w:sz w:val="16"/>
                <w:szCs w:val="16"/>
                <w:color w:val="auto"/>
              </w:rPr>
              <w:t>2021 Proxy Statement</w:t>
            </w:r>
          </w:p>
        </w:tc>
        <w:tc>
          <w:tcPr>
            <w:tcW w:w="1400" w:type="dxa"/>
            <w:vAlign w:val="bottom"/>
          </w:tcPr>
          <w:p>
            <w:pPr>
              <w:jc w:val="right"/>
              <w:ind w:right="719"/>
              <w:spacing w:after="0"/>
              <w:rPr>
                <w:sz w:val="20"/>
                <w:szCs w:val="20"/>
                <w:color w:val="auto"/>
              </w:rPr>
            </w:pPr>
            <w:r>
              <w:rPr>
                <w:rFonts w:ascii="Arial" w:cs="Arial" w:eastAsia="Arial" w:hAnsi="Arial"/>
                <w:sz w:val="16"/>
                <w:szCs w:val="16"/>
                <w:b w:val="1"/>
                <w:bCs w:val="1"/>
                <w:color w:val="auto"/>
              </w:rPr>
              <w:t>77</w:t>
            </w:r>
          </w:p>
        </w:tc>
      </w:tr>
      <w:tr>
        <w:trPr>
          <w:trHeight w:val="431"/>
        </w:trPr>
        <w:tc>
          <w:tcPr>
            <w:tcW w:w="9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40"/>
        <w:spacing w:after="0"/>
        <w:rPr>
          <w:sz w:val="20"/>
          <w:szCs w:val="20"/>
          <w:color w:val="auto"/>
        </w:rPr>
      </w:pPr>
      <w:r>
        <w:rPr>
          <w:rFonts w:ascii="Arial" w:cs="Arial" w:eastAsia="Arial" w:hAnsi="Arial"/>
          <w:sz w:val="54"/>
          <w:szCs w:val="54"/>
          <w:b w:val="1"/>
          <w:bCs w:val="1"/>
          <w:color w:val="3C5896"/>
        </w:rPr>
        <w:t>Thank You</w:t>
      </w:r>
    </w:p>
    <w:p>
      <w:pPr>
        <w:spacing w:after="0" w:line="148" w:lineRule="exact"/>
        <w:rPr>
          <w:sz w:val="20"/>
          <w:szCs w:val="20"/>
          <w:color w:val="auto"/>
        </w:rPr>
      </w:pPr>
    </w:p>
    <w:p>
      <w:pPr>
        <w:jc w:val="right"/>
        <w:ind w:right="2359"/>
        <w:spacing w:after="0"/>
        <w:rPr>
          <w:sz w:val="20"/>
          <w:szCs w:val="20"/>
          <w:color w:val="auto"/>
        </w:rPr>
      </w:pPr>
      <w:r>
        <w:rPr>
          <w:rFonts w:ascii="Arial" w:cs="Arial" w:eastAsia="Arial" w:hAnsi="Arial"/>
          <w:sz w:val="40"/>
          <w:szCs w:val="40"/>
          <w:b w:val="1"/>
          <w:bCs w:val="1"/>
          <w:color w:val="3C5896"/>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1047115</wp:posOffset>
            </wp:positionV>
            <wp:extent cx="2863215" cy="2194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863215" cy="219456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3953510</wp:posOffset>
            </wp:positionV>
            <wp:extent cx="5580380" cy="16198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58038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xml:space="preserve">Learn more at </w:t>
      </w:r>
      <w:r>
        <w:rPr>
          <w:rFonts w:ascii="Arial" w:cs="Arial" w:eastAsia="Arial" w:hAnsi="Arial"/>
          <w:sz w:val="18"/>
          <w:szCs w:val="18"/>
          <w:color w:val="3C5896"/>
        </w:rPr>
        <w:t>www.nationalvision.com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1553845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-19050</wp:posOffset>
            </wp:positionV>
            <wp:extent cx="12065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0650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2251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-36830</wp:posOffset>
            </wp:positionV>
            <wp:extent cx="6831965" cy="82340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82340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-36830</wp:posOffset>
            </wp:positionV>
            <wp:extent cx="6831965" cy="82340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82340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-36830</wp:posOffset>
            </wp:positionV>
            <wp:extent cx="6831965" cy="82251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lvl w:ilvl="1">
      <w:lvlJc w:val="left"/>
      <w:lvlText w:val="(%2)"/>
      <w:numFmt w:val="decimal"/>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3"/>
    </w:lvl>
  </w:abstractNum>
  <w:abstractNum w:abstractNumId="12">
    <w:nsid w:val="1D4ED43B"/>
    <w:multiLevelType w:val="hybridMultilevel"/>
    <w:lvl w:ilvl="0">
      <w:lvlJc w:val="left"/>
      <w:lvlText w:val="(%1)"/>
      <w:numFmt w:val="decimal"/>
      <w:start w:val="4"/>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decimal"/>
      <w:start w:val="1"/>
    </w:lvl>
    <w:lvl w:ilvl="1">
      <w:lvlJc w:val="left"/>
      <w:lvlText w:val="(%2)"/>
      <w:numFmt w:val="lowerRoman"/>
      <w:start w:val="2"/>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2"/>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lvl>
    <w:lvl w:ilvl="1">
      <w:lvlJc w:val="left"/>
      <w:lvlText w:val="•"/>
      <w:numFmt w:val="bullet"/>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decimal"/>
      <w:start w:val="7"/>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3"/>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2"/>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decimal"/>
      <w:start w:val="2"/>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1"/>
    </w:lvl>
    <w:lvl w:ilvl="1">
      <w:lvlJc w:val="left"/>
      <w:lvlText w:val="(%2)"/>
      <w:numFmt w:val="lowerLetter"/>
      <w:start w:val="2"/>
    </w:lvl>
  </w:abstractNum>
  <w:abstractNum w:abstractNumId="65">
    <w:nsid w:val="5F5E7FD0"/>
    <w:multiLevelType w:val="hybridMultilevel"/>
    <w:lvl w:ilvl="0">
      <w:lvlJc w:val="left"/>
      <w:lvlText w:val="(%1)"/>
      <w:numFmt w:val="lowerRoman"/>
      <w:start w:val="2"/>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8">
    <w:nsid w:val="6B94764"/>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69">
    <w:nsid w:val="42C296BD"/>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70">
    <w:nsid w:val="168E121F"/>
    <w:multiLevelType w:val="hybridMultilevel"/>
    <w:lvl w:ilvl="0">
      <w:lvlJc w:val="left"/>
      <w:lvlText w:val="(%1)"/>
      <w:numFmt w:val="lowerRoman"/>
      <w:start w:val="1"/>
    </w:lvl>
  </w:abstractNum>
  <w:abstractNum w:abstractNumId="71">
    <w:nsid w:val="1EBA5D23"/>
    <w:multiLevelType w:val="hybridMultilevel"/>
    <w:lvl w:ilvl="0">
      <w:lvlJc w:val="left"/>
      <w:lvlText w:val="(%1)"/>
      <w:numFmt w:val="lowerRoman"/>
      <w:start w:val="4"/>
    </w:lvl>
  </w:abstractNum>
  <w:abstractNum w:abstractNumId="72">
    <w:nsid w:val="661E3F1E"/>
    <w:multiLevelType w:val="hybridMultilevel"/>
    <w:lvl w:ilvl="0">
      <w:lvlJc w:val="left"/>
      <w:lvlText w:val="(%1)"/>
      <w:numFmt w:val="lowerRoman"/>
      <w:start w:val="1"/>
    </w:lvl>
  </w:abstractNum>
  <w:abstractNum w:abstractNumId="73">
    <w:nsid w:val="5DC79EA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2021-04-20T16:04:57Z</dcterms:created>
  <dcterms:modified xsi:type="dcterms:W3CDTF">2021-04-20T16:04:57Z</dcterms:modified>
</cp:coreProperties>
</file>