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947"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Berkshire Partners Holdings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40" w:type="dxa"/>
            <w:vAlign w:val="bottom"/>
            <w:gridSpan w:val="11"/>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National Vision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EYE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6"/>
            <w:vMerge w:val="restart"/>
          </w:tcPr>
          <w:p>
            <w:pPr>
              <w:spacing w:after="0"/>
              <w:rPr>
                <w:sz w:val="20"/>
                <w:szCs w:val="20"/>
                <w:color w:val="auto"/>
              </w:rPr>
            </w:pPr>
            <w:r>
              <w:rPr>
                <w:rFonts w:ascii="Arial" w:cs="Arial" w:eastAsia="Arial" w:hAnsi="Arial"/>
                <w:sz w:val="14"/>
                <w:szCs w:val="14"/>
                <w:color w:val="auto"/>
              </w:rPr>
              <w:t>(Check all applicable)</w:t>
            </w: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440" w:type="dxa"/>
            <w:vAlign w:val="bottom"/>
          </w:tcPr>
          <w:p>
            <w:pPr>
              <w:spacing w:after="0"/>
              <w:rPr>
                <w:sz w:val="2"/>
                <w:szCs w:val="2"/>
                <w:color w:val="auto"/>
              </w:rPr>
            </w:pP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00" w:type="dxa"/>
            <w:vAlign w:val="bottom"/>
            <w:gridSpan w:val="3"/>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48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2"/>
          </w:tcPr>
          <w:p>
            <w:pPr>
              <w:ind w:left="560"/>
              <w:spacing w:after="0"/>
              <w:rPr>
                <w:sz w:val="20"/>
                <w:szCs w:val="20"/>
                <w:color w:val="auto"/>
              </w:rPr>
            </w:pPr>
            <w:r>
              <w:rPr>
                <w:rFonts w:ascii="Arial" w:cs="Arial" w:eastAsia="Arial" w:hAnsi="Arial"/>
                <w:sz w:val="14"/>
                <w:szCs w:val="14"/>
                <w:color w:val="auto"/>
              </w:rPr>
              <w:t>(First)</w:t>
            </w:r>
          </w:p>
        </w:tc>
        <w:tc>
          <w:tcPr>
            <w:tcW w:w="1260" w:type="dxa"/>
            <w:vAlign w:val="bottom"/>
            <w:gridSpan w:val="4"/>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200 CLARENDON STREET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7"/>
          </w:tcPr>
          <w:p>
            <w:pPr>
              <w:ind w:left="160"/>
              <w:spacing w:after="0"/>
              <w:rPr>
                <w:sz w:val="20"/>
                <w:szCs w:val="20"/>
                <w:color w:val="auto"/>
              </w:rPr>
            </w:pPr>
            <w:r>
              <w:rPr>
                <w:rFonts w:ascii="Arial" w:cs="Arial" w:eastAsia="Arial" w:hAnsi="Arial"/>
                <w:sz w:val="18"/>
                <w:szCs w:val="18"/>
                <w:color w:val="0000FF"/>
              </w:rPr>
              <w:t>03/19/2018</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0000FF"/>
              </w:rPr>
              <w:t>35TH FLOOR</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40" w:type="dxa"/>
            <w:vAlign w:val="bottom"/>
            <w:gridSpan w:val="11"/>
            <w:vMerge w:val="restart"/>
          </w:tcPr>
          <w:p>
            <w:pPr>
              <w:spacing w:after="0"/>
              <w:rPr>
                <w:sz w:val="20"/>
                <w:szCs w:val="20"/>
                <w:color w:val="auto"/>
              </w:rPr>
            </w:pPr>
            <w:r>
              <w:rPr>
                <w:rFonts w:ascii="Arial" w:cs="Arial" w:eastAsia="Arial" w:hAnsi="Arial"/>
                <w:sz w:val="14"/>
                <w:szCs w:val="14"/>
                <w:color w:val="auto"/>
                <w:w w:val="95"/>
              </w:rPr>
              <w:t>4. If Amendment, Date of Original Filed (Month/Day/Year)</w:t>
            </w: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3360" w:type="dxa"/>
            <w:vAlign w:val="bottom"/>
            <w:gridSpan w:val="10"/>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40" w:type="dxa"/>
            <w:vAlign w:val="bottom"/>
            <w:gridSpan w:val="11"/>
            <w:vMerge w:val="continue"/>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9A9A9A"/>
            </w:tcBorders>
          </w:tcPr>
          <w:p>
            <w:pPr>
              <w:spacing w:after="0"/>
              <w:rPr>
                <w:sz w:val="2"/>
                <w:szCs w:val="2"/>
                <w:color w:val="auto"/>
              </w:rPr>
            </w:pPr>
          </w:p>
        </w:tc>
        <w:tc>
          <w:tcPr>
            <w:tcW w:w="720" w:type="dxa"/>
            <w:vAlign w:val="bottom"/>
            <w:tcBorders>
              <w:bottom w:val="single" w:sz="8" w:color="9A9A9A"/>
            </w:tcBorders>
          </w:tcPr>
          <w:p>
            <w:pPr>
              <w:spacing w:after="0"/>
              <w:rPr>
                <w:sz w:val="2"/>
                <w:szCs w:val="2"/>
                <w:color w:val="auto"/>
              </w:rPr>
            </w:pPr>
          </w:p>
        </w:tc>
        <w:tc>
          <w:tcPr>
            <w:tcW w:w="1100" w:type="dxa"/>
            <w:vAlign w:val="bottom"/>
            <w:tcBorders>
              <w:bottom w:val="single" w:sz="8" w:color="9A9A9A"/>
            </w:tcBorders>
          </w:tcPr>
          <w:p>
            <w:pPr>
              <w:spacing w:after="0"/>
              <w:rPr>
                <w:sz w:val="2"/>
                <w:szCs w:val="2"/>
                <w:color w:val="auto"/>
              </w:rPr>
            </w:pPr>
          </w:p>
        </w:tc>
        <w:tc>
          <w:tcPr>
            <w:tcW w:w="26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1240" w:type="dxa"/>
            <w:vAlign w:val="bottom"/>
            <w:gridSpan w:val="7"/>
            <w:vMerge w:val="restart"/>
          </w:tcPr>
          <w:p>
            <w:pPr>
              <w:ind w:left="160"/>
              <w:spacing w:after="0"/>
              <w:rPr>
                <w:sz w:val="20"/>
                <w:szCs w:val="20"/>
                <w:color w:val="auto"/>
              </w:rPr>
            </w:pPr>
            <w:r>
              <w:rPr>
                <w:rFonts w:ascii="Arial" w:cs="Arial" w:eastAsia="Arial" w:hAnsi="Arial"/>
                <w:sz w:val="18"/>
                <w:szCs w:val="18"/>
                <w:color w:val="0000FF"/>
              </w:rPr>
              <w:t>03/21/2018</w:t>
            </w: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7"/>
            <w:vMerge w:val="continue"/>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3020" w:type="dxa"/>
            <w:vAlign w:val="bottom"/>
            <w:gridSpan w:val="7"/>
            <w:vMerge w:val="restart"/>
          </w:tcPr>
          <w:p>
            <w:pPr>
              <w:ind w:left="2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2"/>
          </w:tcPr>
          <w:p>
            <w:pPr>
              <w:ind w:left="560"/>
              <w:spacing w:after="0"/>
              <w:rPr>
                <w:sz w:val="20"/>
                <w:szCs w:val="20"/>
                <w:color w:val="auto"/>
              </w:rPr>
            </w:pPr>
            <w:r>
              <w:rPr>
                <w:rFonts w:ascii="Arial" w:cs="Arial" w:eastAsia="Arial" w:hAnsi="Arial"/>
                <w:sz w:val="18"/>
                <w:szCs w:val="18"/>
                <w:color w:val="0000FF"/>
              </w:rPr>
              <w:t>MA</w:t>
            </w:r>
          </w:p>
        </w:tc>
        <w:tc>
          <w:tcPr>
            <w:tcW w:w="1200" w:type="dxa"/>
            <w:vAlign w:val="bottom"/>
            <w:gridSpan w:val="3"/>
          </w:tcPr>
          <w:p>
            <w:pPr>
              <w:spacing w:after="0"/>
              <w:rPr>
                <w:sz w:val="20"/>
                <w:szCs w:val="20"/>
                <w:color w:val="auto"/>
              </w:rPr>
            </w:pPr>
            <w:r>
              <w:rPr>
                <w:rFonts w:ascii="Arial" w:cs="Arial" w:eastAsia="Arial" w:hAnsi="Arial"/>
                <w:sz w:val="18"/>
                <w:szCs w:val="18"/>
                <w:color w:val="0000FF"/>
              </w:rPr>
              <w:t>02116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vMerge w:val="restart"/>
          </w:tcPr>
          <w:p>
            <w:pPr>
              <w:ind w:left="100"/>
              <w:spacing w:after="0"/>
              <w:rPr>
                <w:sz w:val="20"/>
                <w:szCs w:val="20"/>
                <w:color w:val="auto"/>
              </w:rPr>
            </w:pPr>
            <w:r>
              <w:rPr>
                <w:rFonts w:ascii="Arial" w:cs="Arial" w:eastAsia="Arial" w:hAnsi="Arial"/>
                <w:sz w:val="18"/>
                <w:szCs w:val="18"/>
                <w:color w:val="0000FF"/>
                <w:w w:val="99"/>
              </w:rPr>
              <w:t>X</w:t>
            </w:r>
          </w:p>
        </w:tc>
        <w:tc>
          <w:tcPr>
            <w:tcW w:w="3020" w:type="dxa"/>
            <w:vAlign w:val="bottom"/>
            <w:gridSpan w:val="7"/>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860" w:type="dxa"/>
            <w:vAlign w:val="bottom"/>
            <w:gridSpan w:val="2"/>
            <w:vMerge w:val="restart"/>
          </w:tcPr>
          <w:p>
            <w:pPr>
              <w:ind w:left="220"/>
              <w:spacing w:after="0"/>
              <w:rPr>
                <w:sz w:val="20"/>
                <w:szCs w:val="20"/>
                <w:color w:val="auto"/>
              </w:rPr>
            </w:pPr>
            <w:r>
              <w:rPr>
                <w:rFonts w:ascii="Arial" w:cs="Arial" w:eastAsia="Arial" w:hAnsi="Arial"/>
                <w:sz w:val="14"/>
                <w:szCs w:val="14"/>
                <w:color w:val="auto"/>
              </w:rPr>
              <w:t>Person</w:t>
            </w: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4"/>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2"/>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3"/>
          </w:tcPr>
          <w:p>
            <w:pPr>
              <w:spacing w:after="0"/>
              <w:rPr>
                <w:sz w:val="11"/>
                <w:szCs w:val="11"/>
                <w:color w:val="auto"/>
              </w:rPr>
            </w:pPr>
          </w:p>
        </w:tc>
        <w:tc>
          <w:tcPr>
            <w:tcW w:w="1520" w:type="dxa"/>
            <w:vAlign w:val="bottom"/>
            <w:tcBorders>
              <w:bottom w:val="single" w:sz="8" w:color="2C2C2C"/>
            </w:tcBorders>
            <w:gridSpan w:val="3"/>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gridSpan w:val="3"/>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25"/>
          </w:tcPr>
          <w:p>
            <w:pPr>
              <w:jc w:val="center"/>
              <w:ind w:left="52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4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60" w:type="dxa"/>
            <w:vAlign w:val="bottom"/>
          </w:tcPr>
          <w:p>
            <w:pPr>
              <w:spacing w:after="0"/>
              <w:rPr>
                <w:sz w:val="15"/>
                <w:szCs w:val="15"/>
                <w:color w:val="auto"/>
              </w:rPr>
            </w:pPr>
          </w:p>
        </w:tc>
        <w:tc>
          <w:tcPr>
            <w:tcW w:w="100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20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32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gridSpan w:val="9"/>
          </w:tcPr>
          <w:p>
            <w:pPr>
              <w:ind w:left="8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rPr>
                <w:sz w:val="11"/>
                <w:szCs w:val="11"/>
                <w:color w:val="auto"/>
              </w:rPr>
            </w:pP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gridSpan w:val="3"/>
          </w:tcPr>
          <w:p>
            <w:pPr>
              <w:ind w:left="100"/>
              <w:spacing w:after="0"/>
              <w:rPr>
                <w:sz w:val="20"/>
                <w:szCs w:val="20"/>
                <w:color w:val="auto"/>
              </w:rPr>
            </w:pPr>
            <w:r>
              <w:rPr>
                <w:rFonts w:ascii="Arial" w:cs="Arial" w:eastAsia="Arial" w:hAnsi="Arial"/>
                <w:sz w:val="18"/>
                <w:szCs w:val="18"/>
                <w:color w:val="0000FF"/>
              </w:rPr>
              <w:t>By Berkshire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100" w:type="dxa"/>
            <w:vAlign w:val="bottom"/>
          </w:tcPr>
          <w:p>
            <w:pPr>
              <w:spacing w:after="0"/>
              <w:rPr>
                <w:sz w:val="18"/>
                <w:szCs w:val="18"/>
                <w:color w:val="auto"/>
              </w:rPr>
            </w:pPr>
          </w:p>
        </w:tc>
        <w:tc>
          <w:tcPr>
            <w:tcW w:w="1260" w:type="dxa"/>
            <w:vAlign w:val="bottom"/>
            <w:gridSpan w:val="4"/>
            <w:vMerge w:val="restart"/>
          </w:tcPr>
          <w:p>
            <w:pPr>
              <w:ind w:left="440"/>
              <w:spacing w:after="0"/>
              <w:rPr>
                <w:sz w:val="20"/>
                <w:szCs w:val="20"/>
                <w:color w:val="auto"/>
              </w:rPr>
            </w:pPr>
            <w:r>
              <w:rPr>
                <w:rFonts w:ascii="Arial" w:cs="Arial" w:eastAsia="Arial" w:hAnsi="Arial"/>
                <w:sz w:val="18"/>
                <w:szCs w:val="18"/>
                <w:color w:val="0000FF"/>
                <w:w w:val="88"/>
              </w:rPr>
              <w:t>03/19/2018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Pr>
          <w:p>
            <w:pPr>
              <w:spacing w:after="0"/>
              <w:rPr>
                <w:sz w:val="18"/>
                <w:szCs w:val="18"/>
                <w:color w:val="auto"/>
              </w:rPr>
            </w:pPr>
          </w:p>
        </w:tc>
        <w:tc>
          <w:tcPr>
            <w:tcW w:w="102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0000FF"/>
                <w:w w:val="83"/>
              </w:rPr>
              <w:t>2,213,077</w:t>
            </w:r>
            <w:r>
              <w:rPr>
                <w:rFonts w:ascii="Arial" w:cs="Arial" w:eastAsia="Arial" w:hAnsi="Arial"/>
                <w:sz w:val="22"/>
                <w:szCs w:val="22"/>
                <w:color w:val="008000"/>
                <w:w w:val="83"/>
                <w:vertAlign w:val="superscript"/>
              </w:rPr>
              <w:t>(1)</w:t>
            </w:r>
          </w:p>
        </w:tc>
        <w:tc>
          <w:tcPr>
            <w:tcW w:w="50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54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31.68</w:t>
            </w:r>
          </w:p>
        </w:tc>
        <w:tc>
          <w:tcPr>
            <w:tcW w:w="1200" w:type="dxa"/>
            <w:vAlign w:val="bottom"/>
            <w:gridSpan w:val="5"/>
            <w:vMerge w:val="restart"/>
          </w:tcPr>
          <w:p>
            <w:pPr>
              <w:jc w:val="center"/>
              <w:spacing w:after="0"/>
              <w:rPr>
                <w:sz w:val="20"/>
                <w:szCs w:val="20"/>
                <w:color w:val="auto"/>
              </w:rPr>
            </w:pPr>
            <w:r>
              <w:rPr>
                <w:rFonts w:ascii="Arial" w:cs="Arial" w:eastAsia="Arial" w:hAnsi="Arial"/>
                <w:sz w:val="18"/>
                <w:szCs w:val="18"/>
                <w:color w:val="0000FF"/>
                <w:w w:val="87"/>
              </w:rPr>
              <w:t>7,775,821</w:t>
            </w:r>
          </w:p>
        </w:tc>
        <w:tc>
          <w:tcPr>
            <w:tcW w:w="440" w:type="dxa"/>
            <w:vAlign w:val="bottom"/>
          </w:tcPr>
          <w:p>
            <w:pPr>
              <w:spacing w:after="0"/>
              <w:rPr>
                <w:sz w:val="18"/>
                <w:szCs w:val="18"/>
                <w:color w:val="auto"/>
              </w:rPr>
            </w:pPr>
          </w:p>
        </w:tc>
        <w:tc>
          <w:tcPr>
            <w:tcW w:w="480" w:type="dxa"/>
            <w:vAlign w:val="bottom"/>
            <w:vMerge w:val="restart"/>
          </w:tcPr>
          <w:p>
            <w:pPr>
              <w:jc w:val="center"/>
              <w:ind w:right="352"/>
              <w:spacing w:after="0"/>
              <w:rPr>
                <w:sz w:val="20"/>
                <w:szCs w:val="20"/>
                <w:color w:val="auto"/>
              </w:rPr>
            </w:pPr>
            <w:r>
              <w:rPr>
                <w:rFonts w:ascii="Arial" w:cs="Arial" w:eastAsia="Arial" w:hAnsi="Arial"/>
                <w:sz w:val="18"/>
                <w:szCs w:val="18"/>
                <w:color w:val="0000FF"/>
              </w:rPr>
              <w:t>I</w:t>
            </w:r>
          </w:p>
        </w:tc>
        <w:tc>
          <w:tcPr>
            <w:tcW w:w="1240" w:type="dxa"/>
            <w:vAlign w:val="bottom"/>
            <w:gridSpan w:val="3"/>
          </w:tcPr>
          <w:p>
            <w:pPr>
              <w:ind w:left="100"/>
              <w:spacing w:after="0"/>
              <w:rPr>
                <w:sz w:val="20"/>
                <w:szCs w:val="20"/>
                <w:color w:val="auto"/>
              </w:rPr>
            </w:pPr>
            <w:r>
              <w:rPr>
                <w:rFonts w:ascii="Arial" w:cs="Arial" w:eastAsia="Arial" w:hAnsi="Arial"/>
                <w:sz w:val="18"/>
                <w:szCs w:val="18"/>
                <w:color w:val="0000FF"/>
              </w:rPr>
              <w:t>Fund VI,</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20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8"/>
                <w:szCs w:val="18"/>
                <w:color w:val="0000FF"/>
              </w:rPr>
              <w:t>Limited</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gridSpan w:val="3"/>
          </w:tcPr>
          <w:p>
            <w:pPr>
              <w:ind w:left="100"/>
              <w:spacing w:after="0"/>
              <w:rPr>
                <w:sz w:val="20"/>
                <w:szCs w:val="20"/>
                <w:color w:val="auto"/>
              </w:rPr>
            </w:pPr>
            <w:r>
              <w:rPr>
                <w:rFonts w:ascii="Arial" w:cs="Arial" w:eastAsia="Arial" w:hAnsi="Arial"/>
                <w:sz w:val="18"/>
                <w:szCs w:val="18"/>
                <w:color w:val="0000FF"/>
                <w:w w:val="87"/>
              </w:rPr>
              <w:t>Partnership</w:t>
            </w:r>
            <w:r>
              <w:rPr>
                <w:rFonts w:ascii="Arial" w:cs="Arial" w:eastAsia="Arial" w:hAnsi="Arial"/>
                <w:sz w:val="22"/>
                <w:szCs w:val="22"/>
                <w:color w:val="008000"/>
                <w:w w:val="87"/>
                <w:vertAlign w:val="superscript"/>
              </w:rPr>
              <w:t>(2)(3)</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00" w:type="dxa"/>
            <w:vAlign w:val="bottom"/>
            <w:tcBorders>
              <w:top w:val="single" w:sz="8" w:color="2C2C2C"/>
              <w:bottom w:val="single" w:sz="8" w:color="2C2C2C"/>
            </w:tcBorders>
          </w:tcPr>
          <w:p>
            <w:pPr>
              <w:spacing w:after="0"/>
              <w:rPr>
                <w:sz w:val="24"/>
                <w:szCs w:val="24"/>
                <w:color w:val="auto"/>
              </w:rPr>
            </w:pPr>
          </w:p>
        </w:tc>
        <w:tc>
          <w:tcPr>
            <w:tcW w:w="1260" w:type="dxa"/>
            <w:vAlign w:val="bottom"/>
            <w:tcBorders>
              <w:top w:val="single" w:sz="8" w:color="2C2C2C"/>
              <w:bottom w:val="single" w:sz="8" w:color="2C2C2C"/>
            </w:tcBorders>
            <w:gridSpan w:val="4"/>
          </w:tcPr>
          <w:p>
            <w:pPr>
              <w:ind w:left="440"/>
              <w:spacing w:after="0"/>
              <w:rPr>
                <w:sz w:val="20"/>
                <w:szCs w:val="20"/>
                <w:color w:val="auto"/>
              </w:rPr>
            </w:pPr>
            <w:r>
              <w:rPr>
                <w:rFonts w:ascii="Arial" w:cs="Arial" w:eastAsia="Arial" w:hAnsi="Arial"/>
                <w:sz w:val="18"/>
                <w:szCs w:val="18"/>
                <w:color w:val="0000FF"/>
                <w:w w:val="88"/>
              </w:rPr>
              <w:t>03/19/2018</w:t>
            </w: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Borders>
              <w:top w:val="single" w:sz="8" w:color="2C2C2C"/>
              <w:bottom w:val="single" w:sz="8" w:color="2C2C2C"/>
            </w:tcBorders>
          </w:tcPr>
          <w:p>
            <w:pPr>
              <w:spacing w:after="0"/>
              <w:rPr>
                <w:sz w:val="24"/>
                <w:szCs w:val="24"/>
                <w:color w:val="auto"/>
              </w:rPr>
            </w:pPr>
          </w:p>
        </w:tc>
        <w:tc>
          <w:tcPr>
            <w:tcW w:w="1020" w:type="dxa"/>
            <w:vAlign w:val="bottom"/>
            <w:tcBorders>
              <w:top w:val="single" w:sz="8" w:color="2C2C2C"/>
              <w:bottom w:val="single" w:sz="8" w:color="2C2C2C"/>
            </w:tcBorders>
            <w:gridSpan w:val="2"/>
          </w:tcPr>
          <w:p>
            <w:pPr>
              <w:jc w:val="center"/>
              <w:ind w:right="40"/>
              <w:spacing w:after="0"/>
              <w:rPr>
                <w:sz w:val="20"/>
                <w:szCs w:val="20"/>
                <w:color w:val="auto"/>
              </w:rPr>
            </w:pPr>
            <w:r>
              <w:rPr>
                <w:rFonts w:ascii="Arial" w:cs="Arial" w:eastAsia="Arial" w:hAnsi="Arial"/>
                <w:sz w:val="18"/>
                <w:szCs w:val="18"/>
                <w:color w:val="0000FF"/>
                <w:w w:val="84"/>
              </w:rPr>
              <w:t>28,753</w:t>
            </w:r>
            <w:r>
              <w:rPr>
                <w:rFonts w:ascii="Arial" w:cs="Arial" w:eastAsia="Arial" w:hAnsi="Arial"/>
                <w:sz w:val="22"/>
                <w:szCs w:val="22"/>
                <w:color w:val="008000"/>
                <w:w w:val="84"/>
                <w:vertAlign w:val="superscript"/>
              </w:rPr>
              <w:t>(1)</w:t>
            </w:r>
          </w:p>
        </w:tc>
        <w:tc>
          <w:tcPr>
            <w:tcW w:w="500" w:type="dxa"/>
            <w:vAlign w:val="bottom"/>
            <w:tcBorders>
              <w:top w:val="single" w:sz="8" w:color="2C2C2C"/>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540" w:type="dxa"/>
            <w:vAlign w:val="bottom"/>
            <w:tcBorders>
              <w:top w:val="single" w:sz="8" w:color="2C2C2C"/>
              <w:bottom w:val="single" w:sz="8" w:color="2C2C2C"/>
            </w:tcBorders>
            <w:gridSpan w:val="2"/>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31.68</w:t>
            </w:r>
          </w:p>
        </w:tc>
        <w:tc>
          <w:tcPr>
            <w:tcW w:w="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gridSpan w:val="2"/>
          </w:tcPr>
          <w:p>
            <w:pPr>
              <w:jc w:val="center"/>
              <w:ind w:right="199"/>
              <w:spacing w:after="0"/>
              <w:rPr>
                <w:sz w:val="20"/>
                <w:szCs w:val="20"/>
                <w:color w:val="auto"/>
              </w:rPr>
            </w:pPr>
            <w:r>
              <w:rPr>
                <w:rFonts w:ascii="Arial" w:cs="Arial" w:eastAsia="Arial" w:hAnsi="Arial"/>
                <w:sz w:val="18"/>
                <w:szCs w:val="18"/>
                <w:color w:val="0000FF"/>
                <w:w w:val="86"/>
              </w:rPr>
              <w:t>101,027</w:t>
            </w:r>
          </w:p>
        </w:tc>
        <w:tc>
          <w:tcPr>
            <w:tcW w:w="920" w:type="dxa"/>
            <w:vAlign w:val="bottom"/>
            <w:tcBorders>
              <w:top w:val="single" w:sz="8" w:color="2C2C2C"/>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FF"/>
                <w:w w:val="91"/>
                <w:vertAlign w:val="subscript"/>
              </w:rPr>
              <w:t>D</w:t>
            </w:r>
            <w:r>
              <w:rPr>
                <w:rFonts w:ascii="Arial" w:cs="Arial" w:eastAsia="Arial" w:hAnsi="Arial"/>
                <w:sz w:val="11"/>
                <w:szCs w:val="11"/>
                <w:color w:val="008000"/>
                <w:w w:val="91"/>
              </w:rPr>
              <w:t>(3)(4)</w:t>
            </w:r>
          </w:p>
        </w:tc>
        <w:tc>
          <w:tcPr>
            <w:tcW w:w="4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4"/>
          </w:tcPr>
          <w:p>
            <w:pPr>
              <w:ind w:left="440"/>
              <w:spacing w:after="0"/>
              <w:rPr>
                <w:sz w:val="20"/>
                <w:szCs w:val="20"/>
                <w:color w:val="auto"/>
              </w:rPr>
            </w:pPr>
            <w:r>
              <w:rPr>
                <w:rFonts w:ascii="Arial" w:cs="Arial" w:eastAsia="Arial" w:hAnsi="Arial"/>
                <w:sz w:val="18"/>
                <w:szCs w:val="18"/>
                <w:color w:val="0000FF"/>
                <w:w w:val="88"/>
              </w:rPr>
              <w:t>03/19/2018</w:t>
            </w: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8"/>
                <w:szCs w:val="18"/>
                <w:color w:val="0000FF"/>
                <w:w w:val="84"/>
              </w:rPr>
              <w:t>11,712</w:t>
            </w:r>
            <w:r>
              <w:rPr>
                <w:rFonts w:ascii="Arial" w:cs="Arial" w:eastAsia="Arial" w:hAnsi="Arial"/>
                <w:sz w:val="22"/>
                <w:szCs w:val="22"/>
                <w:color w:val="008000"/>
                <w:w w:val="84"/>
                <w:vertAlign w:val="superscript"/>
              </w:rPr>
              <w:t>(1)</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5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31.68</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41,151</w:t>
            </w:r>
          </w:p>
        </w:tc>
        <w:tc>
          <w:tcPr>
            <w:tcW w:w="3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FF"/>
                <w:w w:val="91"/>
                <w:vertAlign w:val="subscript"/>
              </w:rPr>
              <w:t>D</w:t>
            </w:r>
            <w:r>
              <w:rPr>
                <w:rFonts w:ascii="Arial" w:cs="Arial" w:eastAsia="Arial" w:hAnsi="Arial"/>
                <w:sz w:val="11"/>
                <w:szCs w:val="11"/>
                <w:color w:val="008000"/>
                <w:w w:val="91"/>
              </w:rPr>
              <w:t>(3)(5)</w:t>
            </w: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24"/>
          </w:tcPr>
          <w:p>
            <w:pPr>
              <w:jc w:val="center"/>
              <w:ind w:left="86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60" w:type="dxa"/>
            <w:vAlign w:val="bottom"/>
            <w:gridSpan w:val="2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4"/>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gridSpan w:val="6"/>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5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6"/>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4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Berkshire Partners Holdings LLC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200 CLARENDON STREET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72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MA</w:t>
            </w:r>
          </w:p>
        </w:tc>
        <w:tc>
          <w:tcPr>
            <w:tcW w:w="1200" w:type="dxa"/>
            <w:vAlign w:val="bottom"/>
            <w:gridSpan w:val="3"/>
          </w:tcPr>
          <w:p>
            <w:pPr>
              <w:ind w:left="380"/>
              <w:spacing w:after="0"/>
              <w:rPr>
                <w:sz w:val="20"/>
                <w:szCs w:val="20"/>
                <w:color w:val="auto"/>
              </w:rPr>
            </w:pPr>
            <w:r>
              <w:rPr>
                <w:rFonts w:ascii="Arial" w:cs="Arial" w:eastAsia="Arial" w:hAnsi="Arial"/>
                <w:sz w:val="18"/>
                <w:szCs w:val="18"/>
                <w:color w:val="0000FF"/>
              </w:rPr>
              <w:t>02116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7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Sixth Berkshire Associates LLC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200 CLARENDON STREET, 35TH FLOOR</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72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MA</w:t>
            </w:r>
          </w:p>
        </w:tc>
        <w:tc>
          <w:tcPr>
            <w:tcW w:w="1200" w:type="dxa"/>
            <w:vAlign w:val="bottom"/>
            <w:gridSpan w:val="3"/>
          </w:tcPr>
          <w:p>
            <w:pPr>
              <w:ind w:left="380"/>
              <w:spacing w:after="0"/>
              <w:rPr>
                <w:sz w:val="20"/>
                <w:szCs w:val="20"/>
                <w:color w:val="auto"/>
              </w:rPr>
            </w:pPr>
            <w:r>
              <w:rPr>
                <w:rFonts w:ascii="Arial" w:cs="Arial" w:eastAsia="Arial" w:hAnsi="Arial"/>
                <w:sz w:val="18"/>
                <w:szCs w:val="18"/>
                <w:color w:val="0000FF"/>
              </w:rPr>
              <w:t>02116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7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sz w:val="1"/>
          <w:szCs w:val="1"/>
          <w:color w:val="auto"/>
        </w:rPr>
        <w:drawing>
          <wp:inline distT="0" distB="0" distL="0" distR="0">
            <wp:extent cx="34290" cy="203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4290" cy="203200"/>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47"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BERKSHIRE FUND VI, LTD PARTNERSHIP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8879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4175" cy="887984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8"/>
                <w:szCs w:val="18"/>
                <w:color w:val="0000FF"/>
              </w:rPr>
              <w:t>200 CLARENDON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660" w:type="dxa"/>
            <w:vAlign w:val="bottom"/>
            <w:gridSpan w:val="3"/>
          </w:tcPr>
          <w:p>
            <w:pPr>
              <w:ind w:left="200"/>
              <w:spacing w:after="0"/>
              <w:rPr>
                <w:sz w:val="20"/>
                <w:szCs w:val="20"/>
                <w:color w:val="auto"/>
              </w:rPr>
            </w:pPr>
            <w:r>
              <w:rPr>
                <w:rFonts w:ascii="Arial" w:cs="Arial" w:eastAsia="Arial" w:hAnsi="Arial"/>
                <w:sz w:val="18"/>
                <w:szCs w:val="18"/>
                <w:color w:val="0000FF"/>
              </w:rPr>
              <w:t>MA</w:t>
            </w:r>
          </w:p>
        </w:tc>
        <w:tc>
          <w:tcPr>
            <w:tcW w:w="1420" w:type="dxa"/>
            <w:vAlign w:val="bottom"/>
          </w:tcPr>
          <w:p>
            <w:pPr>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260" w:type="dxa"/>
            <w:vAlign w:val="bottom"/>
            <w:gridSpan w:val="2"/>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BPSP, L.P.</w:t>
              </w:r>
            </w:hyperlink>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8"/>
                <w:szCs w:val="18"/>
                <w:color w:val="0000FF"/>
              </w:rPr>
              <w:t>200 CLARENDON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660" w:type="dxa"/>
            <w:vAlign w:val="bottom"/>
            <w:gridSpan w:val="3"/>
          </w:tcPr>
          <w:p>
            <w:pPr>
              <w:ind w:left="200"/>
              <w:spacing w:after="0"/>
              <w:rPr>
                <w:sz w:val="20"/>
                <w:szCs w:val="20"/>
                <w:color w:val="auto"/>
              </w:rPr>
            </w:pPr>
            <w:r>
              <w:rPr>
                <w:rFonts w:ascii="Arial" w:cs="Arial" w:eastAsia="Arial" w:hAnsi="Arial"/>
                <w:sz w:val="18"/>
                <w:szCs w:val="18"/>
                <w:color w:val="0000FF"/>
              </w:rPr>
              <w:t>MA</w:t>
            </w:r>
          </w:p>
        </w:tc>
        <w:tc>
          <w:tcPr>
            <w:tcW w:w="1420" w:type="dxa"/>
            <w:vAlign w:val="bottom"/>
          </w:tcPr>
          <w:p>
            <w:pPr>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Berkshire Partners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8"/>
                <w:szCs w:val="18"/>
                <w:color w:val="0000FF"/>
              </w:rPr>
              <w:t>200 CLARENDON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660" w:type="dxa"/>
            <w:vAlign w:val="bottom"/>
            <w:gridSpan w:val="3"/>
          </w:tcPr>
          <w:p>
            <w:pPr>
              <w:ind w:left="200"/>
              <w:spacing w:after="0"/>
              <w:rPr>
                <w:sz w:val="20"/>
                <w:szCs w:val="20"/>
                <w:color w:val="auto"/>
              </w:rPr>
            </w:pPr>
            <w:r>
              <w:rPr>
                <w:rFonts w:ascii="Arial" w:cs="Arial" w:eastAsia="Arial" w:hAnsi="Arial"/>
                <w:sz w:val="18"/>
                <w:szCs w:val="18"/>
                <w:color w:val="0000FF"/>
              </w:rPr>
              <w:t>MA</w:t>
            </w:r>
          </w:p>
        </w:tc>
        <w:tc>
          <w:tcPr>
            <w:tcW w:w="1420" w:type="dxa"/>
            <w:vAlign w:val="bottom"/>
          </w:tcPr>
          <w:p>
            <w:pPr>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5"/>
          </w:tcPr>
          <w:p>
            <w:pPr>
              <w:spacing w:after="0" w:line="224" w:lineRule="exact"/>
              <w:rPr>
                <w:rFonts w:ascii="Arial" w:cs="Arial" w:eastAsia="Arial" w:hAnsi="Arial"/>
                <w:sz w:val="22"/>
                <w:szCs w:val="22"/>
                <w:color w:val="0000EE"/>
                <w:w w:val="94"/>
              </w:rPr>
            </w:pPr>
            <w:hyperlink r:id="rId20">
              <w:r>
                <w:rPr>
                  <w:rFonts w:ascii="Arial" w:cs="Arial" w:eastAsia="Arial" w:hAnsi="Arial"/>
                  <w:sz w:val="22"/>
                  <w:szCs w:val="22"/>
                  <w:color w:val="0000EE"/>
                  <w:w w:val="94"/>
                </w:rPr>
                <w:t>BERKSHIRE INVESTORS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8"/>
                <w:szCs w:val="18"/>
                <w:color w:val="0000FF"/>
              </w:rPr>
              <w:t>200 CLARENDON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660" w:type="dxa"/>
            <w:vAlign w:val="bottom"/>
            <w:gridSpan w:val="3"/>
          </w:tcPr>
          <w:p>
            <w:pPr>
              <w:ind w:left="200"/>
              <w:spacing w:after="0"/>
              <w:rPr>
                <w:sz w:val="20"/>
                <w:szCs w:val="20"/>
                <w:color w:val="auto"/>
              </w:rPr>
            </w:pPr>
            <w:r>
              <w:rPr>
                <w:rFonts w:ascii="Arial" w:cs="Arial" w:eastAsia="Arial" w:hAnsi="Arial"/>
                <w:sz w:val="18"/>
                <w:szCs w:val="18"/>
                <w:color w:val="0000FF"/>
              </w:rPr>
              <w:t>MA</w:t>
            </w:r>
          </w:p>
        </w:tc>
        <w:tc>
          <w:tcPr>
            <w:tcW w:w="1420" w:type="dxa"/>
            <w:vAlign w:val="bottom"/>
          </w:tcPr>
          <w:p>
            <w:pPr>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gridSpan w:val="5"/>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Berkshire Investors III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8"/>
                <w:szCs w:val="18"/>
                <w:color w:val="0000FF"/>
              </w:rPr>
              <w:t>200 CLARENDON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660" w:type="dxa"/>
            <w:vAlign w:val="bottom"/>
            <w:gridSpan w:val="3"/>
          </w:tcPr>
          <w:p>
            <w:pPr>
              <w:ind w:left="200"/>
              <w:spacing w:after="0"/>
              <w:rPr>
                <w:sz w:val="20"/>
                <w:szCs w:val="20"/>
                <w:color w:val="auto"/>
              </w:rPr>
            </w:pPr>
            <w:r>
              <w:rPr>
                <w:rFonts w:ascii="Arial" w:cs="Arial" w:eastAsia="Arial" w:hAnsi="Arial"/>
                <w:sz w:val="18"/>
                <w:szCs w:val="18"/>
                <w:color w:val="0000FF"/>
              </w:rPr>
              <w:t>MA</w:t>
            </w:r>
          </w:p>
        </w:tc>
        <w:tc>
          <w:tcPr>
            <w:tcW w:w="1420" w:type="dxa"/>
            <w:vAlign w:val="bottom"/>
          </w:tcPr>
          <w:p>
            <w:pPr>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20" w:firstLine="9"/>
        <w:spacing w:after="0" w:line="230"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 connection with the secondary offering (the "Secondary Offering") of common stock, par value $0.01 per share (the "Common Stock") of the Issuer by certain selling shareholders to Merrill Lynch, Pierce, Fenner &amp; Smith Incorporated, Citigroup Global Markets Inc., Goldman Sachs &amp; Co. LLC, Jefferies LLC and KKR Capital Markets LLC pursuant to an underwriting agreement and final prospectus, each dated March 14, 2018, Fund VI (as defined below), Berkshire Investors (as defined below) and Berkshire Investors III (as defined below), as selling shareholders, sold 2,213,077; 28,753 and 11,712 shares of Common Stock, respectively, at $31.68 per share. The Secondary Offering closed on March 19, 2018.</w:t>
      </w:r>
    </w:p>
    <w:p>
      <w:pPr>
        <w:spacing w:after="0" w:line="31" w:lineRule="exact"/>
        <w:rPr>
          <w:rFonts w:ascii="Arial" w:cs="Arial" w:eastAsia="Arial" w:hAnsi="Arial"/>
          <w:sz w:val="14"/>
          <w:szCs w:val="14"/>
          <w:color w:val="008000"/>
        </w:rPr>
      </w:pPr>
    </w:p>
    <w:p>
      <w:pPr>
        <w:ind w:left="2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held by Berkshire Fund VI, Limited Partnership ("Fund VI"). Sixth Berkshire Associates LLC ("6BA") is the general partner of Fund VI, and Berkshire Partners LLC ("Berkshire Partners") is the investment adviser to Fund VI. Berkshire Partners Holdings LLC ("BPH") is the general partner of BPSP, L.P. ("BPSP"), which is the managing member of Berkshire Partners. As a result, each of BPH, BPSP, Berkshire Partners and 6BA may be deemed to indirectly beneficially own the shares held by Fund VI. Each of the Reporting Persons disclaims beneficial ownership of the shares held by Fund VI, except to the extent of its pecuniary interest therein, and the inclusion of these securities in this report shall not be deemed an admission of beneficial ownership of the reported securities for purposes of Section 16 or for any other purpose.</w:t>
      </w:r>
    </w:p>
    <w:p>
      <w:pPr>
        <w:spacing w:after="0" w:line="32" w:lineRule="exact"/>
        <w:rPr>
          <w:rFonts w:ascii="Arial" w:cs="Arial" w:eastAsia="Arial" w:hAnsi="Arial"/>
          <w:sz w:val="14"/>
          <w:szCs w:val="14"/>
          <w:color w:val="008000"/>
        </w:rPr>
      </w:pPr>
    </w:p>
    <w:p>
      <w:pPr>
        <w:ind w:left="20" w:right="38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BPH, BPSP, Berkshire Partners, Fund VI, 6BA, Berkshire Investors LLC ("Berkshire Investors") and Berkshire Investors III LLC ("Berkshire Investors III") may be deemed to constitute a "group" for purposes of Section 13(d) of the Exchange Act although they do not admit to being part of a group nor have they agreed to act as part of a group.</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held by Berkshire Investors.</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held by Berkshire Investors III.</w:t>
      </w:r>
    </w:p>
    <w:p>
      <w:pPr>
        <w:sectPr>
          <w:pgSz w:w="11900" w:h="16838" w:orient="portrait"/>
          <w:cols w:equalWidth="0" w:num="1">
            <w:col w:w="11340"/>
          </w:cols>
          <w:pgMar w:left="260" w:top="118" w:right="29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line="239" w:lineRule="auto"/>
        <w:rPr>
          <w:sz w:val="20"/>
          <w:szCs w:val="20"/>
          <w:color w:val="auto"/>
        </w:rPr>
      </w:pPr>
      <w:r>
        <w:rPr>
          <w:rFonts w:ascii="Arial" w:cs="Arial" w:eastAsia="Arial" w:hAnsi="Arial"/>
          <w:sz w:val="14"/>
          <w:szCs w:val="14"/>
          <w:color w:val="008000"/>
        </w:rPr>
        <w:t>The original Form 4 filed on March 21, 2018 is amended by this Form 4 Amendment to correctly reflect the number of shares of Common Stock sold by the Reporting Persons and the amount of shares of Common Stock beneficially owned by the Reporting Persons following such sales.</w:t>
      </w:r>
    </w:p>
    <w:p>
      <w:pPr>
        <w:sectPr>
          <w:pgSz w:w="11900" w:h="16838" w:orient="portrait"/>
          <w:cols w:equalWidth="0" w:num="1">
            <w:col w:w="11020"/>
          </w:cols>
          <w:pgMar w:left="280" w:top="121" w:right="599" w:bottom="1440" w:gutter="0" w:footer="0" w:header="0"/>
        </w:sectPr>
      </w:pP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38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21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Berkshire Partners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30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210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21082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38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 Sixth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50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Berkshire 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6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17665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38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 Sixth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50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Berkshire Associates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84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general partner of Berkshire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534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2534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Fund VI,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6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385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21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Berkshire Partners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30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23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223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BPSP,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4768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476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385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21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Berkshire Partners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30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23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2223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BPSP, L.P.,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36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13665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member of Berkshire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0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2108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21082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385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21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Berkshire Investors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087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10871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385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21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Berkshire Investors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47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0000FF"/>
        </w:rPr>
        <w:t>03/28/2018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03/28/2018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03/28/2018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03/28/2018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03/28/2018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03/28/2018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03/28/2018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80" w:space="140"/>
            <w:col w:w="1900"/>
          </w:cols>
          <w:pgMar w:left="280" w:top="121" w:right="599" w:bottom="1440" w:gutter="0" w:footer="0" w:header="0"/>
          <w:type w:val="continuous"/>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2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20"/>
      </w:cols>
      <w:pgMar w:left="280" w:top="121"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12" Type="http://schemas.openxmlformats.org/officeDocument/2006/relationships/hyperlink" Target="http://www.sec.gov/cgi-bin/browse-edgar?action=getcompany&amp;CIK=0001597786" TargetMode="External"/><Relationship Id="rId13" Type="http://schemas.openxmlformats.org/officeDocument/2006/relationships/hyperlink" Target="http://www.sec.gov/cgi-bin/browse-edgar?action=getcompany&amp;CIK=0001710155" TargetMode="External"/><Relationship Id="rId14" Type="http://schemas.openxmlformats.org/officeDocument/2006/relationships/hyperlink" Target="http://www.sec.gov/cgi-bin/browse-edgar?action=getcompany&amp;CIK=0001376601" TargetMode="External"/><Relationship Id="rId16" Type="http://schemas.openxmlformats.org/officeDocument/2006/relationships/hyperlink" Target="http://www.sec.gov/cgi-bin/browse-edgar?action=getcompany&amp;CIK=0001223654" TargetMode="External"/><Relationship Id="rId18" Type="http://schemas.openxmlformats.org/officeDocument/2006/relationships/hyperlink" Target="http://www.sec.gov/cgi-bin/browse-edgar?action=getcompany&amp;CIK=0001597787" TargetMode="External"/><Relationship Id="rId19" Type="http://schemas.openxmlformats.org/officeDocument/2006/relationships/hyperlink" Target="http://www.sec.gov/cgi-bin/browse-edgar?action=getcompany&amp;CIK=0001312988" TargetMode="External"/><Relationship Id="rId20" Type="http://schemas.openxmlformats.org/officeDocument/2006/relationships/hyperlink" Target="http://www.sec.gov/cgi-bin/browse-edgar?action=getcompany&amp;CIK=0001122645" TargetMode="External"/><Relationship Id="rId21" Type="http://schemas.openxmlformats.org/officeDocument/2006/relationships/hyperlink" Target="http://www.sec.gov/cgi-bin/browse-edgar?action=getcompany&amp;CIK=00015051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2019-12-23T16:25:00Z</dcterms:created>
  <dcterms:modified xsi:type="dcterms:W3CDTF">2019-12-23T16:25:00Z</dcterms:modified>
</cp:coreProperties>
</file>