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2" w:lineRule="exact"/>
        <w:rPr>
          <w:sz w:val="24"/>
          <w:szCs w:val="24"/>
          <w:color w:val="auto"/>
        </w:rPr>
      </w:pPr>
    </w:p>
    <w:p>
      <w:pPr>
        <w:jc w:val="center"/>
        <w:ind w:right="-460"/>
        <w:spacing w:after="0"/>
        <w:rPr>
          <w:sz w:val="20"/>
          <w:szCs w:val="20"/>
          <w:color w:val="auto"/>
        </w:rPr>
      </w:pPr>
      <w:r>
        <w:rPr>
          <w:rFonts w:ascii="Arial" w:cs="Arial" w:eastAsia="Arial" w:hAnsi="Arial"/>
          <w:sz w:val="29"/>
          <w:szCs w:val="29"/>
          <w:b w:val="1"/>
          <w:bCs w:val="1"/>
          <w:color w:val="auto"/>
        </w:rPr>
        <w:t>UNITED STATES</w:t>
      </w:r>
    </w:p>
    <w:p>
      <w:pPr>
        <w:jc w:val="center"/>
        <w:ind w:right="-540"/>
        <w:spacing w:after="0" w:line="225"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WASHINGTON, D.C. 20549</w:t>
      </w:r>
    </w:p>
    <w:p>
      <w:pPr>
        <w:spacing w:after="0" w:line="159" w:lineRule="exact"/>
        <w:rPr>
          <w:sz w:val="24"/>
          <w:szCs w:val="24"/>
          <w:color w:val="auto"/>
        </w:rPr>
      </w:pPr>
    </w:p>
    <w:p>
      <w:pPr>
        <w:jc w:val="center"/>
        <w:ind w:right="-540"/>
        <w:spacing w:after="0"/>
        <w:rPr>
          <w:sz w:val="20"/>
          <w:szCs w:val="20"/>
          <w:color w:val="auto"/>
        </w:rPr>
      </w:pPr>
      <w:r>
        <w:rPr>
          <w:rFonts w:ascii="Arial" w:cs="Arial" w:eastAsia="Arial" w:hAnsi="Arial"/>
          <w:sz w:val="29"/>
          <w:szCs w:val="29"/>
          <w:b w:val="1"/>
          <w:bCs w:val="1"/>
          <w:color w:val="auto"/>
        </w:rPr>
        <w:t>SCHEDULE 14A</w:t>
      </w:r>
    </w:p>
    <w:p>
      <w:pPr>
        <w:spacing w:after="0" w:line="2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480"/>
        <w:spacing w:after="0" w:line="203" w:lineRule="auto"/>
        <w:rPr>
          <w:sz w:val="20"/>
          <w:szCs w:val="20"/>
          <w:color w:val="auto"/>
        </w:rPr>
      </w:pPr>
      <w:r>
        <w:rPr>
          <w:rFonts w:ascii="Arial" w:cs="Arial" w:eastAsia="Arial" w:hAnsi="Arial"/>
          <w:sz w:val="18"/>
          <w:szCs w:val="18"/>
          <w:b w:val="1"/>
          <w:bCs w:val="1"/>
          <w:color w:val="auto"/>
        </w:rPr>
        <w:t>Securities Exchange Act of 1934</w:t>
      </w:r>
    </w:p>
    <w:p>
      <w:pPr>
        <w:jc w:val="center"/>
        <w:ind w:right="-540"/>
        <w:spacing w:after="0"/>
        <w:rPr>
          <w:sz w:val="20"/>
          <w:szCs w:val="20"/>
          <w:color w:val="auto"/>
        </w:rPr>
      </w:pPr>
      <w:r>
        <w:rPr>
          <w:rFonts w:ascii="Arial" w:cs="Arial" w:eastAsia="Arial" w:hAnsi="Arial"/>
          <w:sz w:val="18"/>
          <w:szCs w:val="18"/>
          <w:b w:val="1"/>
          <w:bCs w:val="1"/>
          <w:color w:val="auto"/>
        </w:rPr>
        <w:t>(Amendment No. )</w:t>
      </w:r>
    </w:p>
    <w:p>
      <w:pPr>
        <w:spacing w:after="0" w:line="44" w:lineRule="exact"/>
        <w:rPr>
          <w:sz w:val="24"/>
          <w:szCs w:val="24"/>
          <w:color w:val="auto"/>
        </w:rPr>
      </w:pPr>
    </w:p>
    <w:p>
      <w:pPr>
        <w:ind w:left="1260"/>
        <w:spacing w:after="0" w:line="207" w:lineRule="exact"/>
        <w:tabs>
          <w:tab w:leader="none" w:pos="4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1600" w:hanging="332"/>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left="1600" w:hanging="332"/>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1600" w:hanging="332"/>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1600" w:hanging="332"/>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1" w:lineRule="exact"/>
        <w:rPr>
          <w:sz w:val="24"/>
          <w:szCs w:val="24"/>
          <w:color w:val="auto"/>
        </w:rPr>
      </w:pPr>
    </w:p>
    <w:p>
      <w:pPr>
        <w:jc w:val="center"/>
        <w:ind w:right="-440"/>
        <w:spacing w:after="0"/>
        <w:rPr>
          <w:sz w:val="20"/>
          <w:szCs w:val="20"/>
          <w:color w:val="auto"/>
        </w:rPr>
      </w:pPr>
      <w:r>
        <w:rPr>
          <w:rFonts w:ascii="Arial" w:cs="Arial" w:eastAsia="Arial" w:hAnsi="Arial"/>
          <w:sz w:val="32"/>
          <w:szCs w:val="32"/>
          <w:b w:val="1"/>
          <w:bCs w:val="1"/>
          <w:color w:val="auto"/>
        </w:rPr>
        <w:t>NATIONAL VISION HOLDINGS, INC.</w:t>
      </w:r>
    </w:p>
    <w:p>
      <w:pPr>
        <w:ind w:left="37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6"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1600" w:hanging="332"/>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1600" w:hanging="332"/>
        <w:spacing w:after="0"/>
        <w:tabs>
          <w:tab w:leader="none" w:pos="1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20" w:right="1119" w:hanging="327"/>
        <w:spacing w:after="0" w:line="256"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00" w:hanging="332"/>
        <w:spacing w:after="0"/>
        <w:tabs>
          <w:tab w:leader="none" w:pos="1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jc w:val="both"/>
        <w:ind w:left="1600" w:right="839" w:hanging="332"/>
        <w:spacing w:after="0" w:line="256" w:lineRule="auto"/>
        <w:tabs>
          <w:tab w:leader="none" w:pos="1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7" w:lineRule="exact"/>
        <w:rPr>
          <w:rFonts w:ascii="MS PGothic" w:cs="MS PGothic" w:eastAsia="MS PGothic" w:hAnsi="MS PGothic"/>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920" w:hanging="327"/>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1214120</wp:posOffset>
            </wp:positionH>
            <wp:positionV relativeFrom="paragraph">
              <wp:posOffset>-4144010</wp:posOffset>
            </wp:positionV>
            <wp:extent cx="48025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-3723640</wp:posOffset>
            </wp:positionV>
            <wp:extent cx="4802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-3037205</wp:posOffset>
            </wp:positionV>
            <wp:extent cx="48025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-2617470</wp:posOffset>
            </wp:positionV>
            <wp:extent cx="4802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-2197100</wp:posOffset>
            </wp:positionV>
            <wp:extent cx="48025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-1073785</wp:posOffset>
            </wp:positionV>
            <wp:extent cx="48025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-653415</wp:posOffset>
            </wp:positionV>
            <wp:extent cx="48025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-241935</wp:posOffset>
            </wp:positionV>
            <wp:extent cx="48025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177800</wp:posOffset>
            </wp:positionV>
            <wp:extent cx="4802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025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20"/>
        <w:spacing w:after="0"/>
        <w:rPr>
          <w:sz w:val="20"/>
          <w:szCs w:val="20"/>
          <w:color w:val="auto"/>
        </w:rPr>
      </w:pPr>
      <w:r>
        <w:rPr>
          <w:rFonts w:ascii="Arial" w:cs="Arial" w:eastAsia="Arial" w:hAnsi="Arial"/>
          <w:sz w:val="57"/>
          <w:szCs w:val="57"/>
          <w:b w:val="1"/>
          <w:bCs w:val="1"/>
          <w:color w:val="3C5896"/>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20"/>
        <w:spacing w:after="0"/>
        <w:rPr>
          <w:sz w:val="20"/>
          <w:szCs w:val="20"/>
          <w:color w:val="auto"/>
        </w:rPr>
      </w:pPr>
      <w:r>
        <w:rPr>
          <w:rFonts w:ascii="Arial" w:cs="Arial" w:eastAsia="Arial" w:hAnsi="Arial"/>
          <w:sz w:val="40"/>
          <w:szCs w:val="40"/>
          <w:color w:val="3C5896"/>
        </w:rPr>
        <w:t>2019 Proxy Statement</w:t>
      </w:r>
    </w:p>
    <w:p>
      <w:pPr>
        <w:jc w:val="center"/>
        <w:ind w:right="-520"/>
        <w:spacing w:after="0"/>
        <w:rPr>
          <w:sz w:val="20"/>
          <w:szCs w:val="20"/>
          <w:color w:val="auto"/>
        </w:rPr>
      </w:pPr>
      <w:r>
        <w:rPr>
          <w:rFonts w:ascii="Arial" w:cs="Arial" w:eastAsia="Arial" w:hAnsi="Arial"/>
          <w:sz w:val="40"/>
          <w:szCs w:val="40"/>
          <w:color w:val="3C5896"/>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1136015</wp:posOffset>
            </wp:positionV>
            <wp:extent cx="3018790" cy="2306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1879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20"/>
        <w:spacing w:after="0"/>
        <w:rPr>
          <w:sz w:val="20"/>
          <w:szCs w:val="20"/>
          <w:color w:val="auto"/>
        </w:rPr>
      </w:pPr>
      <w:r>
        <w:rPr>
          <w:rFonts w:ascii="Arial" w:cs="Arial" w:eastAsia="Arial" w:hAnsi="Arial"/>
          <w:sz w:val="40"/>
          <w:szCs w:val="40"/>
          <w:color w:val="3C5896"/>
        </w:rPr>
        <w:t>Tuesday, June 11, 2019</w:t>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32"/>
          <w:szCs w:val="32"/>
          <w:color w:val="auto"/>
        </w:rPr>
        <w:t>1:00 pm, Eastern Time</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40"/>
          <w:szCs w:val="40"/>
          <w:color w:val="3C5896"/>
        </w:rPr>
        <w:t>National Vision</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32"/>
          <w:szCs w:val="32"/>
          <w:color w:val="auto"/>
        </w:rPr>
        <w:t>2435 Commerce Avenue, Building 2200</w:t>
      </w:r>
    </w:p>
    <w:p>
      <w:pPr>
        <w:spacing w:after="0" w:line="51" w:lineRule="exact"/>
        <w:rPr>
          <w:sz w:val="20"/>
          <w:szCs w:val="20"/>
          <w:color w:val="auto"/>
        </w:rPr>
      </w:pPr>
    </w:p>
    <w:p>
      <w:pPr>
        <w:jc w:val="center"/>
        <w:ind w:right="-520"/>
        <w:spacing w:after="0"/>
        <w:rPr>
          <w:sz w:val="20"/>
          <w:szCs w:val="20"/>
          <w:color w:val="auto"/>
        </w:rPr>
      </w:pPr>
      <w:r>
        <w:rPr>
          <w:rFonts w:ascii="Arial" w:cs="Arial" w:eastAsia="Arial" w:hAnsi="Arial"/>
          <w:sz w:val="32"/>
          <w:szCs w:val="32"/>
          <w:color w:val="auto"/>
        </w:rPr>
        <w:t>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rPr>
          <w:sz w:val="20"/>
          <w:szCs w:val="20"/>
          <w:color w:val="auto"/>
        </w:rPr>
      </w:pPr>
      <w:r>
        <w:rPr>
          <w:rFonts w:ascii="Arial" w:cs="Arial" w:eastAsia="Arial" w:hAnsi="Arial"/>
          <w:sz w:val="32"/>
          <w:szCs w:val="32"/>
          <w:color w:val="auto"/>
        </w:rPr>
        <w:t>TABLE OF CONTENTS</w:t>
      </w:r>
    </w:p>
    <w:p>
      <w:pPr>
        <w:spacing w:after="0" w:line="105"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80" w:type="dxa"/>
            <w:vAlign w:val="bottom"/>
            <w:shd w:val="clear" w:color="auto" w:fill="CCEEFF"/>
          </w:tcPr>
          <w:p>
            <w:pPr>
              <w:spacing w:after="0"/>
              <w:rPr>
                <w:sz w:val="21"/>
                <w:szCs w:val="21"/>
                <w:color w:val="auto"/>
              </w:rPr>
            </w:pPr>
          </w:p>
        </w:tc>
        <w:tc>
          <w:tcPr>
            <w:tcW w:w="8840" w:type="dxa"/>
            <w:vAlign w:val="bottom"/>
            <w:gridSpan w:val="21"/>
            <w:shd w:val="clear" w:color="auto" w:fill="CCEEFF"/>
          </w:tcPr>
          <w:p>
            <w:pPr>
              <w:spacing w:after="0"/>
              <w:rPr>
                <w:rFonts w:ascii="Arial" w:cs="Arial" w:eastAsia="Arial" w:hAnsi="Arial"/>
                <w:sz w:val="22"/>
                <w:szCs w:val="22"/>
                <w:b w:val="1"/>
                <w:bCs w:val="1"/>
                <w:color w:val="3C5896"/>
              </w:rPr>
            </w:pPr>
            <w:hyperlink w:anchor="page3">
              <w:r>
                <w:rPr>
                  <w:rFonts w:ascii="Arial" w:cs="Arial" w:eastAsia="Arial" w:hAnsi="Arial"/>
                  <w:sz w:val="22"/>
                  <w:szCs w:val="22"/>
                  <w:b w:val="1"/>
                  <w:bCs w:val="1"/>
                  <w:color w:val="3C5896"/>
                </w:rPr>
                <w:t>Letter to Stockholders from our Chairman of the Board of Directors and</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7"/>
        </w:trPr>
        <w:tc>
          <w:tcPr>
            <w:tcW w:w="80" w:type="dxa"/>
            <w:vAlign w:val="bottom"/>
            <w:tcBorders>
              <w:top w:val="single" w:sz="8" w:color="CCEEFF"/>
              <w:bottom w:val="single" w:sz="8" w:color="auto"/>
            </w:tcBorders>
            <w:shd w:val="clear" w:color="auto" w:fill="CCEEFF"/>
          </w:tcPr>
          <w:p>
            <w:pPr>
              <w:spacing w:after="0"/>
              <w:rPr>
                <w:sz w:val="24"/>
                <w:szCs w:val="24"/>
                <w:color w:val="auto"/>
              </w:rPr>
            </w:pPr>
          </w:p>
        </w:tc>
        <w:tc>
          <w:tcPr>
            <w:tcW w:w="7340" w:type="dxa"/>
            <w:vAlign w:val="bottom"/>
            <w:tcBorders>
              <w:top w:val="single" w:sz="8" w:color="3C5896"/>
              <w:bottom w:val="single" w:sz="8" w:color="auto"/>
            </w:tcBorders>
            <w:gridSpan w:val="20"/>
            <w:shd w:val="clear" w:color="auto" w:fill="CCEEFF"/>
          </w:tcPr>
          <w:p>
            <w:pPr>
              <w:spacing w:after="0" w:line="197" w:lineRule="exact"/>
              <w:rPr>
                <w:rFonts w:ascii="Arial" w:cs="Arial" w:eastAsia="Arial" w:hAnsi="Arial"/>
                <w:sz w:val="22"/>
                <w:szCs w:val="22"/>
                <w:b w:val="1"/>
                <w:bCs w:val="1"/>
                <w:color w:val="3C5896"/>
              </w:rPr>
            </w:pPr>
            <w:hyperlink w:anchor="page3">
              <w:r>
                <w:rPr>
                  <w:rFonts w:ascii="Arial" w:cs="Arial" w:eastAsia="Arial" w:hAnsi="Arial"/>
                  <w:sz w:val="22"/>
                  <w:szCs w:val="22"/>
                  <w:b w:val="1"/>
                  <w:bCs w:val="1"/>
                  <w:color w:val="3C5896"/>
                </w:rPr>
                <w:t>Chief Executive Officer</w:t>
              </w:r>
            </w:hyperlink>
          </w:p>
        </w:tc>
        <w:tc>
          <w:tcPr>
            <w:tcW w:w="1500" w:type="dxa"/>
            <w:vAlign w:val="bottom"/>
            <w:tcBorders>
              <w:top w:val="single" w:sz="8" w:color="CCEEFF"/>
              <w:bottom w:val="single" w:sz="8" w:color="auto"/>
            </w:tcBorders>
            <w:shd w:val="clear" w:color="auto" w:fill="CCEEFF"/>
          </w:tcPr>
          <w:p>
            <w:pPr>
              <w:spacing w:after="0"/>
              <w:rPr>
                <w:sz w:val="24"/>
                <w:szCs w:val="24"/>
                <w:color w:val="auto"/>
              </w:rPr>
            </w:pPr>
          </w:p>
        </w:tc>
        <w:tc>
          <w:tcPr>
            <w:tcW w:w="200" w:type="dxa"/>
            <w:vAlign w:val="bottom"/>
            <w:tcBorders>
              <w:top w:val="single" w:sz="8" w:color="CCEEFF"/>
              <w:bottom w:val="single" w:sz="8" w:color="auto"/>
            </w:tcBorders>
            <w:gridSpan w:val="2"/>
            <w:shd w:val="clear" w:color="auto" w:fill="CCEEFF"/>
          </w:tcPr>
          <w:p>
            <w:pPr>
              <w:jc w:val="right"/>
              <w:spacing w:after="0" w:line="196" w:lineRule="exact"/>
              <w:rPr>
                <w:rFonts w:ascii="Arial" w:cs="Arial" w:eastAsia="Arial" w:hAnsi="Arial"/>
                <w:sz w:val="18"/>
                <w:szCs w:val="18"/>
                <w:b w:val="1"/>
                <w:bCs w:val="1"/>
                <w:color w:val="3C5896"/>
              </w:rPr>
            </w:pPr>
            <w:hyperlink w:anchor="page3">
              <w:r>
                <w:rPr>
                  <w:rFonts w:ascii="Arial" w:cs="Arial" w:eastAsia="Arial" w:hAnsi="Arial"/>
                  <w:sz w:val="18"/>
                  <w:szCs w:val="18"/>
                  <w:b w:val="1"/>
                  <w:bCs w:val="1"/>
                  <w:color w:val="3C5896"/>
                </w:rPr>
                <w:t>1</w:t>
              </w:r>
            </w:hyperlink>
          </w:p>
        </w:tc>
        <w:tc>
          <w:tcPr>
            <w:tcW w:w="80" w:type="dxa"/>
            <w:vAlign w:val="bottom"/>
            <w:tcBorders>
              <w:top w:val="single" w:sz="8" w:color="CCEEFF"/>
              <w:bottom w:val="single" w:sz="8" w:color="auto"/>
            </w:tcBorders>
            <w:shd w:val="clear" w:color="auto" w:fill="CCEEFF"/>
          </w:tcPr>
          <w:p>
            <w:pPr>
              <w:spacing w:after="0"/>
              <w:rPr>
                <w:sz w:val="24"/>
                <w:szCs w:val="24"/>
                <w:color w:val="auto"/>
              </w:rPr>
            </w:pPr>
          </w:p>
        </w:tc>
      </w:tr>
      <w:tr>
        <w:trPr>
          <w:trHeight w:val="500"/>
        </w:trPr>
        <w:tc>
          <w:tcPr>
            <w:tcW w:w="80" w:type="dxa"/>
            <w:vAlign w:val="bottom"/>
          </w:tcPr>
          <w:p>
            <w:pPr>
              <w:spacing w:after="0"/>
              <w:rPr>
                <w:sz w:val="24"/>
                <w:szCs w:val="24"/>
                <w:color w:val="auto"/>
              </w:rPr>
            </w:pPr>
          </w:p>
        </w:tc>
        <w:tc>
          <w:tcPr>
            <w:tcW w:w="8840" w:type="dxa"/>
            <w:vAlign w:val="bottom"/>
            <w:gridSpan w:val="21"/>
          </w:tcPr>
          <w:p>
            <w:pPr>
              <w:spacing w:after="0"/>
              <w:rPr>
                <w:sz w:val="20"/>
                <w:szCs w:val="20"/>
                <w:color w:val="auto"/>
              </w:rPr>
            </w:pPr>
            <w:r>
              <w:rPr>
                <w:rFonts w:ascii="Arial" w:cs="Arial" w:eastAsia="Arial" w:hAnsi="Arial"/>
                <w:sz w:val="22"/>
                <w:szCs w:val="22"/>
                <w:b w:val="1"/>
                <w:bCs w:val="1"/>
                <w:color w:val="3C5896"/>
              </w:rPr>
              <w:t>Notice of Annual Meeting of Stockholders</w:t>
            </w:r>
          </w:p>
        </w:tc>
        <w:tc>
          <w:tcPr>
            <w:tcW w:w="200" w:type="dxa"/>
            <w:vAlign w:val="bottom"/>
            <w:gridSpan w:val="2"/>
          </w:tcPr>
          <w:p>
            <w:pPr>
              <w:jc w:val="right"/>
              <w:spacing w:after="0"/>
              <w:rPr>
                <w:rFonts w:ascii="Arial" w:cs="Arial" w:eastAsia="Arial" w:hAnsi="Arial"/>
                <w:sz w:val="18"/>
                <w:szCs w:val="18"/>
                <w:b w:val="1"/>
                <w:bCs w:val="1"/>
                <w:color w:val="3C5896"/>
              </w:rPr>
            </w:pPr>
            <w:hyperlink w:anchor="page4">
              <w:r>
                <w:rPr>
                  <w:rFonts w:ascii="Arial" w:cs="Arial" w:eastAsia="Arial" w:hAnsi="Arial"/>
                  <w:sz w:val="18"/>
                  <w:szCs w:val="18"/>
                  <w:b w:val="1"/>
                  <w:bCs w:val="1"/>
                  <w:color w:val="3C5896"/>
                </w:rPr>
                <w:t>2</w:t>
              </w:r>
            </w:hyperlink>
          </w:p>
        </w:tc>
        <w:tc>
          <w:tcPr>
            <w:tcW w:w="80" w:type="dxa"/>
            <w:vAlign w:val="bottom"/>
          </w:tcPr>
          <w:p>
            <w:pPr>
              <w:spacing w:after="0"/>
              <w:rPr>
                <w:sz w:val="24"/>
                <w:szCs w:val="24"/>
                <w:color w:val="auto"/>
              </w:rPr>
            </w:pPr>
          </w:p>
        </w:tc>
      </w:tr>
      <w:tr>
        <w:trPr>
          <w:trHeight w:val="28"/>
        </w:trPr>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3C5896"/>
              <w:bottom w:val="single" w:sz="8" w:color="auto"/>
            </w:tcBorders>
          </w:tcPr>
          <w:p>
            <w:pPr>
              <w:spacing w:after="0"/>
              <w:rPr>
                <w:sz w:val="2"/>
                <w:szCs w:val="2"/>
                <w:color w:val="auto"/>
              </w:rPr>
            </w:pPr>
          </w:p>
        </w:tc>
        <w:tc>
          <w:tcPr>
            <w:tcW w:w="1220" w:type="dxa"/>
            <w:vAlign w:val="bottom"/>
            <w:tcBorders>
              <w:top w:val="single" w:sz="8" w:color="3C5896"/>
              <w:bottom w:val="single" w:sz="8" w:color="auto"/>
            </w:tcBorders>
          </w:tcPr>
          <w:p>
            <w:pPr>
              <w:spacing w:after="0"/>
              <w:rPr>
                <w:sz w:val="2"/>
                <w:szCs w:val="2"/>
                <w:color w:val="auto"/>
              </w:rPr>
            </w:pPr>
          </w:p>
        </w:tc>
        <w:tc>
          <w:tcPr>
            <w:tcW w:w="160" w:type="dxa"/>
            <w:vAlign w:val="bottom"/>
            <w:tcBorders>
              <w:top w:val="single" w:sz="8" w:color="3C5896"/>
              <w:bottom w:val="single" w:sz="8" w:color="auto"/>
            </w:tcBorders>
          </w:tcPr>
          <w:p>
            <w:pPr>
              <w:spacing w:after="0"/>
              <w:rPr>
                <w:sz w:val="2"/>
                <w:szCs w:val="2"/>
                <w:color w:val="auto"/>
              </w:rPr>
            </w:pPr>
          </w:p>
        </w:tc>
        <w:tc>
          <w:tcPr>
            <w:tcW w:w="520" w:type="dxa"/>
            <w:vAlign w:val="bottom"/>
            <w:tcBorders>
              <w:top w:val="single" w:sz="8" w:color="3C5896"/>
              <w:bottom w:val="single" w:sz="8" w:color="auto"/>
            </w:tcBorders>
          </w:tcPr>
          <w:p>
            <w:pPr>
              <w:spacing w:after="0"/>
              <w:rPr>
                <w:sz w:val="2"/>
                <w:szCs w:val="2"/>
                <w:color w:val="auto"/>
              </w:rPr>
            </w:pPr>
          </w:p>
        </w:tc>
        <w:tc>
          <w:tcPr>
            <w:tcW w:w="40" w:type="dxa"/>
            <w:vAlign w:val="bottom"/>
            <w:tcBorders>
              <w:top w:val="single" w:sz="8" w:color="3C5896"/>
              <w:bottom w:val="single" w:sz="8" w:color="auto"/>
            </w:tcBorders>
          </w:tcPr>
          <w:p>
            <w:pPr>
              <w:spacing w:after="0"/>
              <w:rPr>
                <w:sz w:val="2"/>
                <w:szCs w:val="2"/>
                <w:color w:val="auto"/>
              </w:rPr>
            </w:pPr>
          </w:p>
        </w:tc>
        <w:tc>
          <w:tcPr>
            <w:tcW w:w="40" w:type="dxa"/>
            <w:vAlign w:val="bottom"/>
            <w:tcBorders>
              <w:top w:val="single" w:sz="8" w:color="3C5896"/>
              <w:bottom w:val="single" w:sz="8" w:color="auto"/>
            </w:tcBorders>
          </w:tcPr>
          <w:p>
            <w:pPr>
              <w:spacing w:after="0"/>
              <w:rPr>
                <w:sz w:val="2"/>
                <w:szCs w:val="2"/>
                <w:color w:val="auto"/>
              </w:rPr>
            </w:pPr>
          </w:p>
        </w:tc>
        <w:tc>
          <w:tcPr>
            <w:tcW w:w="60" w:type="dxa"/>
            <w:vAlign w:val="bottom"/>
            <w:tcBorders>
              <w:top w:val="single" w:sz="8" w:color="3C5896"/>
              <w:bottom w:val="single" w:sz="8" w:color="auto"/>
            </w:tcBorders>
          </w:tcPr>
          <w:p>
            <w:pPr>
              <w:spacing w:after="0"/>
              <w:rPr>
                <w:sz w:val="2"/>
                <w:szCs w:val="2"/>
                <w:color w:val="auto"/>
              </w:rPr>
            </w:pPr>
          </w:p>
        </w:tc>
        <w:tc>
          <w:tcPr>
            <w:tcW w:w="80" w:type="dxa"/>
            <w:vAlign w:val="bottom"/>
            <w:tcBorders>
              <w:top w:val="single" w:sz="8" w:color="3C5896"/>
              <w:bottom w:val="single" w:sz="8" w:color="auto"/>
            </w:tcBorders>
          </w:tcPr>
          <w:p>
            <w:pPr>
              <w:spacing w:after="0"/>
              <w:rPr>
                <w:sz w:val="2"/>
                <w:szCs w:val="2"/>
                <w:color w:val="auto"/>
              </w:rPr>
            </w:pPr>
          </w:p>
        </w:tc>
        <w:tc>
          <w:tcPr>
            <w:tcW w:w="240" w:type="dxa"/>
            <w:vAlign w:val="bottom"/>
            <w:tcBorders>
              <w:top w:val="single" w:sz="8" w:color="3C5896"/>
              <w:bottom w:val="single" w:sz="8" w:color="auto"/>
            </w:tcBorders>
          </w:tcPr>
          <w:p>
            <w:pPr>
              <w:spacing w:after="0"/>
              <w:rPr>
                <w:sz w:val="2"/>
                <w:szCs w:val="2"/>
                <w:color w:val="auto"/>
              </w:rPr>
            </w:pPr>
          </w:p>
        </w:tc>
        <w:tc>
          <w:tcPr>
            <w:tcW w:w="60" w:type="dxa"/>
            <w:vAlign w:val="bottom"/>
            <w:tcBorders>
              <w:top w:val="single" w:sz="8" w:color="3C5896"/>
              <w:bottom w:val="single" w:sz="8" w:color="auto"/>
            </w:tcBorders>
          </w:tcPr>
          <w:p>
            <w:pPr>
              <w:spacing w:after="0"/>
              <w:rPr>
                <w:sz w:val="2"/>
                <w:szCs w:val="2"/>
                <w:color w:val="auto"/>
              </w:rPr>
            </w:pPr>
          </w:p>
        </w:tc>
        <w:tc>
          <w:tcPr>
            <w:tcW w:w="160" w:type="dxa"/>
            <w:vAlign w:val="bottom"/>
            <w:tcBorders>
              <w:top w:val="single" w:sz="8" w:color="3C5896"/>
              <w:bottom w:val="single" w:sz="8" w:color="auto"/>
            </w:tcBorders>
          </w:tcPr>
          <w:p>
            <w:pPr>
              <w:spacing w:after="0"/>
              <w:rPr>
                <w:sz w:val="2"/>
                <w:szCs w:val="2"/>
                <w:color w:val="auto"/>
              </w:rPr>
            </w:pPr>
          </w:p>
        </w:tc>
        <w:tc>
          <w:tcPr>
            <w:tcW w:w="200" w:type="dxa"/>
            <w:vAlign w:val="bottom"/>
            <w:tcBorders>
              <w:top w:val="single" w:sz="8" w:color="3C5896"/>
              <w:bottom w:val="single" w:sz="8" w:color="auto"/>
            </w:tcBorders>
          </w:tcPr>
          <w:p>
            <w:pPr>
              <w:spacing w:after="0"/>
              <w:rPr>
                <w:sz w:val="2"/>
                <w:szCs w:val="2"/>
                <w:color w:val="auto"/>
              </w:rPr>
            </w:pPr>
          </w:p>
        </w:tc>
        <w:tc>
          <w:tcPr>
            <w:tcW w:w="280" w:type="dxa"/>
            <w:vAlign w:val="bottom"/>
            <w:tcBorders>
              <w:top w:val="single" w:sz="8" w:color="3C5896"/>
              <w:bottom w:val="single" w:sz="8" w:color="auto"/>
            </w:tcBorders>
          </w:tcPr>
          <w:p>
            <w:pPr>
              <w:spacing w:after="0"/>
              <w:rPr>
                <w:sz w:val="2"/>
                <w:szCs w:val="2"/>
                <w:color w:val="auto"/>
              </w:rPr>
            </w:pPr>
          </w:p>
        </w:tc>
        <w:tc>
          <w:tcPr>
            <w:tcW w:w="140" w:type="dxa"/>
            <w:vAlign w:val="bottom"/>
            <w:tcBorders>
              <w:top w:val="single" w:sz="8" w:color="3C5896"/>
              <w:bottom w:val="single" w:sz="8" w:color="auto"/>
            </w:tcBorders>
          </w:tcPr>
          <w:p>
            <w:pPr>
              <w:spacing w:after="0"/>
              <w:rPr>
                <w:sz w:val="2"/>
                <w:szCs w:val="2"/>
                <w:color w:val="auto"/>
              </w:rPr>
            </w:pPr>
          </w:p>
        </w:tc>
        <w:tc>
          <w:tcPr>
            <w:tcW w:w="760" w:type="dxa"/>
            <w:vAlign w:val="bottom"/>
            <w:tcBorders>
              <w:top w:val="single" w:sz="8" w:color="3C5896"/>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top w:val="single" w:sz="8" w:color="3C5896"/>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547"/>
        </w:trPr>
        <w:tc>
          <w:tcPr>
            <w:tcW w:w="80" w:type="dxa"/>
            <w:vAlign w:val="bottom"/>
            <w:tcBorders>
              <w:bottom w:val="single" w:sz="8" w:color="auto"/>
            </w:tcBorders>
            <w:shd w:val="clear" w:color="auto" w:fill="CCEEFF"/>
          </w:tcPr>
          <w:p>
            <w:pPr>
              <w:spacing w:after="0"/>
              <w:rPr>
                <w:sz w:val="24"/>
                <w:szCs w:val="24"/>
                <w:color w:val="auto"/>
              </w:rPr>
            </w:pPr>
          </w:p>
        </w:tc>
        <w:tc>
          <w:tcPr>
            <w:tcW w:w="8840" w:type="dxa"/>
            <w:vAlign w:val="bottom"/>
            <w:tcBorders>
              <w:bottom w:val="single" w:sz="8" w:color="auto"/>
            </w:tcBorders>
            <w:gridSpan w:val="21"/>
            <w:shd w:val="clear" w:color="auto" w:fill="CCEEFF"/>
          </w:tcPr>
          <w:p>
            <w:pPr>
              <w:spacing w:after="0"/>
              <w:rPr>
                <w:sz w:val="20"/>
                <w:szCs w:val="20"/>
                <w:color w:val="auto"/>
              </w:rPr>
            </w:pPr>
            <w:r>
              <w:rPr>
                <w:rFonts w:ascii="Arial" w:cs="Arial" w:eastAsia="Arial" w:hAnsi="Arial"/>
                <w:sz w:val="22"/>
                <w:szCs w:val="22"/>
                <w:b w:val="1"/>
                <w:bCs w:val="1"/>
                <w:color w:val="3C5896"/>
              </w:rPr>
              <w:t>Proxy Voting Methods</w:t>
            </w:r>
          </w:p>
        </w:tc>
        <w:tc>
          <w:tcPr>
            <w:tcW w:w="200" w:type="dxa"/>
            <w:vAlign w:val="bottom"/>
            <w:tcBorders>
              <w:bottom w:val="single" w:sz="8" w:color="auto"/>
            </w:tcBorders>
            <w:gridSpan w:val="2"/>
            <w:shd w:val="clear" w:color="auto" w:fill="CCEEFF"/>
          </w:tcPr>
          <w:p>
            <w:pPr>
              <w:jc w:val="right"/>
              <w:spacing w:after="0"/>
              <w:rPr>
                <w:rFonts w:ascii="Arial" w:cs="Arial" w:eastAsia="Arial" w:hAnsi="Arial"/>
                <w:sz w:val="18"/>
                <w:szCs w:val="18"/>
                <w:b w:val="1"/>
                <w:bCs w:val="1"/>
                <w:color w:val="3C5896"/>
              </w:rPr>
            </w:pPr>
            <w:hyperlink w:anchor="page5">
              <w:r>
                <w:rPr>
                  <w:rFonts w:ascii="Arial" w:cs="Arial" w:eastAsia="Arial" w:hAnsi="Arial"/>
                  <w:sz w:val="18"/>
                  <w:szCs w:val="18"/>
                  <w:b w:val="1"/>
                  <w:bCs w:val="1"/>
                  <w:color w:val="3C5896"/>
                </w:rPr>
                <w:t>3</w:t>
              </w:r>
            </w:hyperlink>
          </w:p>
        </w:tc>
        <w:tc>
          <w:tcPr>
            <w:tcW w:w="80" w:type="dxa"/>
            <w:vAlign w:val="bottom"/>
            <w:tcBorders>
              <w:bottom w:val="single" w:sz="8" w:color="auto"/>
            </w:tcBorders>
            <w:shd w:val="clear" w:color="auto" w:fill="CCEEFF"/>
          </w:tcPr>
          <w:p>
            <w:pPr>
              <w:spacing w:after="0"/>
              <w:rPr>
                <w:sz w:val="24"/>
                <w:szCs w:val="24"/>
                <w:color w:val="auto"/>
              </w:rPr>
            </w:pPr>
          </w:p>
        </w:tc>
      </w:tr>
      <w:tr>
        <w:trPr>
          <w:trHeight w:val="500"/>
        </w:trPr>
        <w:tc>
          <w:tcPr>
            <w:tcW w:w="80" w:type="dxa"/>
            <w:vAlign w:val="bottom"/>
          </w:tcPr>
          <w:p>
            <w:pPr>
              <w:spacing w:after="0"/>
              <w:rPr>
                <w:sz w:val="24"/>
                <w:szCs w:val="24"/>
                <w:color w:val="auto"/>
              </w:rPr>
            </w:pPr>
          </w:p>
        </w:tc>
        <w:tc>
          <w:tcPr>
            <w:tcW w:w="8840" w:type="dxa"/>
            <w:vAlign w:val="bottom"/>
            <w:gridSpan w:val="21"/>
          </w:tcPr>
          <w:p>
            <w:pPr>
              <w:spacing w:after="0"/>
              <w:rPr>
                <w:sz w:val="20"/>
                <w:szCs w:val="20"/>
                <w:color w:val="auto"/>
              </w:rPr>
            </w:pPr>
            <w:r>
              <w:rPr>
                <w:rFonts w:ascii="Arial" w:cs="Arial" w:eastAsia="Arial" w:hAnsi="Arial"/>
                <w:sz w:val="22"/>
                <w:szCs w:val="22"/>
                <w:b w:val="1"/>
                <w:bCs w:val="1"/>
                <w:color w:val="3C5896"/>
              </w:rPr>
              <w:t>Proxy Statement</w:t>
            </w:r>
          </w:p>
        </w:tc>
        <w:tc>
          <w:tcPr>
            <w:tcW w:w="200" w:type="dxa"/>
            <w:vAlign w:val="bottom"/>
            <w:gridSpan w:val="2"/>
          </w:tcPr>
          <w:p>
            <w:pPr>
              <w:jc w:val="right"/>
              <w:spacing w:after="0"/>
              <w:rPr>
                <w:rFonts w:ascii="Arial" w:cs="Arial" w:eastAsia="Arial" w:hAnsi="Arial"/>
                <w:sz w:val="18"/>
                <w:szCs w:val="18"/>
                <w:b w:val="1"/>
                <w:bCs w:val="1"/>
                <w:color w:val="3C5896"/>
              </w:rPr>
            </w:pPr>
            <w:hyperlink w:anchor="page6">
              <w:r>
                <w:rPr>
                  <w:rFonts w:ascii="Arial" w:cs="Arial" w:eastAsia="Arial" w:hAnsi="Arial"/>
                  <w:sz w:val="18"/>
                  <w:szCs w:val="18"/>
                  <w:b w:val="1"/>
                  <w:bCs w:val="1"/>
                  <w:color w:val="3C5896"/>
                </w:rPr>
                <w:t>4</w:t>
              </w:r>
            </w:hyperlink>
          </w:p>
        </w:tc>
        <w:tc>
          <w:tcPr>
            <w:tcW w:w="80" w:type="dxa"/>
            <w:vAlign w:val="bottom"/>
          </w:tcPr>
          <w:p>
            <w:pPr>
              <w:spacing w:after="0"/>
              <w:rPr>
                <w:sz w:val="24"/>
                <w:szCs w:val="24"/>
                <w:color w:val="auto"/>
              </w:rPr>
            </w:pPr>
          </w:p>
        </w:tc>
      </w:tr>
      <w:tr>
        <w:trPr>
          <w:trHeight w:val="28"/>
        </w:trPr>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3C5896"/>
              <w:bottom w:val="single" w:sz="8" w:color="auto"/>
            </w:tcBorders>
          </w:tcPr>
          <w:p>
            <w:pPr>
              <w:spacing w:after="0"/>
              <w:rPr>
                <w:sz w:val="2"/>
                <w:szCs w:val="2"/>
                <w:color w:val="auto"/>
              </w:rPr>
            </w:pPr>
          </w:p>
        </w:tc>
        <w:tc>
          <w:tcPr>
            <w:tcW w:w="1220" w:type="dxa"/>
            <w:vAlign w:val="bottom"/>
            <w:tcBorders>
              <w:top w:val="single" w:sz="8" w:color="3C5896"/>
              <w:bottom w:val="single" w:sz="8" w:color="auto"/>
            </w:tcBorders>
          </w:tcPr>
          <w:p>
            <w:pPr>
              <w:spacing w:after="0"/>
              <w:rPr>
                <w:sz w:val="2"/>
                <w:szCs w:val="2"/>
                <w:color w:val="auto"/>
              </w:rPr>
            </w:pPr>
          </w:p>
        </w:tc>
        <w:tc>
          <w:tcPr>
            <w:tcW w:w="160" w:type="dxa"/>
            <w:vAlign w:val="bottom"/>
            <w:tcBorders>
              <w:top w:val="single" w:sz="8" w:color="3C5896"/>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top w:val="single" w:sz="8" w:color="3C5896"/>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0"/>
        </w:trPr>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3C5896"/>
            </w:tcBorders>
            <w:gridSpan w:val="13"/>
            <w:shd w:val="clear" w:color="auto" w:fill="CCEEFF"/>
          </w:tcPr>
          <w:p>
            <w:pPr>
              <w:spacing w:after="0"/>
              <w:rPr>
                <w:rFonts w:ascii="Arial" w:cs="Arial" w:eastAsia="Arial" w:hAnsi="Arial"/>
                <w:sz w:val="18"/>
                <w:szCs w:val="18"/>
                <w:b w:val="1"/>
                <w:bCs w:val="1"/>
                <w:color w:val="3C5896"/>
                <w:w w:val="99"/>
              </w:rPr>
            </w:pPr>
            <w:hyperlink w:anchor="page6">
              <w:r>
                <w:rPr>
                  <w:rFonts w:ascii="Arial" w:cs="Arial" w:eastAsia="Arial" w:hAnsi="Arial"/>
                  <w:sz w:val="18"/>
                  <w:szCs w:val="18"/>
                  <w:b w:val="1"/>
                  <w:bCs w:val="1"/>
                  <w:color w:val="3C5896"/>
                  <w:w w:val="99"/>
                </w:rPr>
                <w:t>Proposal No. 1—Election of Directors</w:t>
              </w:r>
            </w:hyperlink>
          </w:p>
        </w:tc>
        <w:tc>
          <w:tcPr>
            <w:tcW w:w="5320" w:type="dxa"/>
            <w:vAlign w:val="bottom"/>
            <w:tcBorders>
              <w:bottom w:val="single" w:sz="8" w:color="CCEEFF"/>
            </w:tcBorders>
            <w:gridSpan w:val="7"/>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2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of Directors and Certain Governance Matters</w:t>
              </w:r>
            </w:hyperlink>
          </w:p>
        </w:tc>
        <w:tc>
          <w:tcPr>
            <w:tcW w:w="20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80" w:type="dxa"/>
            <w:vAlign w:val="bottom"/>
          </w:tcPr>
          <w:p>
            <w:pPr>
              <w:spacing w:after="0"/>
              <w:rPr>
                <w:sz w:val="18"/>
                <w:szCs w:val="18"/>
                <w:color w:val="auto"/>
              </w:rPr>
            </w:pPr>
          </w:p>
        </w:tc>
      </w:tr>
      <w:tr>
        <w:trPr>
          <w:trHeight w:val="21"/>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520" w:type="dxa"/>
            <w:vAlign w:val="bottom"/>
            <w:gridSpan w:val="20"/>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Compensation of Directors</w:t>
              </w:r>
            </w:hyperlink>
          </w:p>
        </w:tc>
        <w:tc>
          <w:tcPr>
            <w:tcW w:w="280" w:type="dxa"/>
            <w:vAlign w:val="bottom"/>
            <w:gridSpan w:val="3"/>
            <w:shd w:val="clear" w:color="auto" w:fill="CCEEFF"/>
          </w:tcPr>
          <w:p>
            <w:pPr>
              <w:jc w:val="right"/>
              <w:ind w:right="8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20" w:type="dxa"/>
            <w:vAlign w:val="bottom"/>
            <w:gridSpan w:val="20"/>
          </w:tcPr>
          <w:p>
            <w:pPr>
              <w:spacing w:after="0"/>
              <w:rPr>
                <w:rFonts w:ascii="Arial" w:cs="Arial" w:eastAsia="Arial" w:hAnsi="Arial"/>
                <w:sz w:val="18"/>
                <w:szCs w:val="18"/>
                <w:b w:val="1"/>
                <w:bCs w:val="1"/>
                <w:color w:val="3C5896"/>
              </w:rPr>
            </w:pPr>
            <w:hyperlink w:anchor="page14">
              <w:r>
                <w:rPr>
                  <w:rFonts w:ascii="Arial" w:cs="Arial" w:eastAsia="Arial" w:hAnsi="Arial"/>
                  <w:sz w:val="18"/>
                  <w:szCs w:val="18"/>
                  <w:b w:val="1"/>
                  <w:bCs w:val="1"/>
                  <w:color w:val="3C5896"/>
                </w:rPr>
                <w:t>Proposal No. 2—Ratification of Independent Registered Public Accounting Firm</w:t>
              </w:r>
            </w:hyperlink>
          </w:p>
        </w:tc>
        <w:tc>
          <w:tcPr>
            <w:tcW w:w="280" w:type="dxa"/>
            <w:vAlign w:val="bottom"/>
            <w:gridSpan w:val="3"/>
          </w:tcPr>
          <w:p>
            <w:pPr>
              <w:jc w:val="right"/>
              <w:ind w:right="8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r>
      <w:tr>
        <w:trPr>
          <w:trHeight w:val="21"/>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3C5896"/>
            </w:tcBorders>
          </w:tcPr>
          <w:p>
            <w:pPr>
              <w:spacing w:after="0" w:line="20" w:lineRule="exact"/>
              <w:rPr>
                <w:sz w:val="1"/>
                <w:szCs w:val="1"/>
                <w:color w:val="auto"/>
              </w:rPr>
            </w:pPr>
          </w:p>
        </w:tc>
        <w:tc>
          <w:tcPr>
            <w:tcW w:w="160" w:type="dxa"/>
            <w:vAlign w:val="bottom"/>
            <w:tcBorders>
              <w:top w:val="single" w:sz="8" w:color="3C5896"/>
            </w:tcBorders>
          </w:tcPr>
          <w:p>
            <w:pPr>
              <w:spacing w:after="0" w:line="20" w:lineRule="exact"/>
              <w:rPr>
                <w:sz w:val="1"/>
                <w:szCs w:val="1"/>
                <w:color w:val="auto"/>
              </w:rPr>
            </w:pPr>
          </w:p>
        </w:tc>
        <w:tc>
          <w:tcPr>
            <w:tcW w:w="520" w:type="dxa"/>
            <w:vAlign w:val="bottom"/>
            <w:tcBorders>
              <w:top w:val="single" w:sz="8" w:color="3C5896"/>
            </w:tcBorders>
          </w:tcPr>
          <w:p>
            <w:pPr>
              <w:spacing w:after="0" w:line="20" w:lineRule="exact"/>
              <w:rPr>
                <w:sz w:val="1"/>
                <w:szCs w:val="1"/>
                <w:color w:val="auto"/>
              </w:rPr>
            </w:pPr>
          </w:p>
        </w:tc>
        <w:tc>
          <w:tcPr>
            <w:tcW w:w="40" w:type="dxa"/>
            <w:vAlign w:val="bottom"/>
            <w:tcBorders>
              <w:top w:val="single" w:sz="8" w:color="3C5896"/>
            </w:tcBorders>
          </w:tcPr>
          <w:p>
            <w:pPr>
              <w:spacing w:after="0" w:line="20" w:lineRule="exact"/>
              <w:rPr>
                <w:sz w:val="1"/>
                <w:szCs w:val="1"/>
                <w:color w:val="auto"/>
              </w:rPr>
            </w:pPr>
          </w:p>
        </w:tc>
        <w:tc>
          <w:tcPr>
            <w:tcW w:w="40" w:type="dxa"/>
            <w:vAlign w:val="bottom"/>
            <w:tcBorders>
              <w:top w:val="single" w:sz="8" w:color="3C5896"/>
            </w:tcBorders>
          </w:tcPr>
          <w:p>
            <w:pPr>
              <w:spacing w:after="0" w:line="20" w:lineRule="exact"/>
              <w:rPr>
                <w:sz w:val="1"/>
                <w:szCs w:val="1"/>
                <w:color w:val="auto"/>
              </w:rPr>
            </w:pPr>
          </w:p>
        </w:tc>
        <w:tc>
          <w:tcPr>
            <w:tcW w:w="60" w:type="dxa"/>
            <w:vAlign w:val="bottom"/>
            <w:tcBorders>
              <w:top w:val="single" w:sz="8" w:color="3C5896"/>
            </w:tcBorders>
          </w:tcPr>
          <w:p>
            <w:pPr>
              <w:spacing w:after="0" w:line="20" w:lineRule="exact"/>
              <w:rPr>
                <w:sz w:val="1"/>
                <w:szCs w:val="1"/>
                <w:color w:val="auto"/>
              </w:rPr>
            </w:pPr>
          </w:p>
        </w:tc>
        <w:tc>
          <w:tcPr>
            <w:tcW w:w="80" w:type="dxa"/>
            <w:vAlign w:val="bottom"/>
            <w:tcBorders>
              <w:top w:val="single" w:sz="8" w:color="3C5896"/>
            </w:tcBorders>
          </w:tcPr>
          <w:p>
            <w:pPr>
              <w:spacing w:after="0" w:line="20" w:lineRule="exact"/>
              <w:rPr>
                <w:sz w:val="1"/>
                <w:szCs w:val="1"/>
                <w:color w:val="auto"/>
              </w:rPr>
            </w:pPr>
          </w:p>
        </w:tc>
        <w:tc>
          <w:tcPr>
            <w:tcW w:w="240" w:type="dxa"/>
            <w:vAlign w:val="bottom"/>
            <w:tcBorders>
              <w:top w:val="single" w:sz="8" w:color="3C5896"/>
            </w:tcBorders>
          </w:tcPr>
          <w:p>
            <w:pPr>
              <w:spacing w:after="0" w:line="20" w:lineRule="exact"/>
              <w:rPr>
                <w:sz w:val="1"/>
                <w:szCs w:val="1"/>
                <w:color w:val="auto"/>
              </w:rPr>
            </w:pPr>
          </w:p>
        </w:tc>
        <w:tc>
          <w:tcPr>
            <w:tcW w:w="60" w:type="dxa"/>
            <w:vAlign w:val="bottom"/>
            <w:tcBorders>
              <w:top w:val="single" w:sz="8" w:color="3C5896"/>
            </w:tcBorders>
          </w:tcPr>
          <w:p>
            <w:pPr>
              <w:spacing w:after="0" w:line="20" w:lineRule="exact"/>
              <w:rPr>
                <w:sz w:val="1"/>
                <w:szCs w:val="1"/>
                <w:color w:val="auto"/>
              </w:rPr>
            </w:pPr>
          </w:p>
        </w:tc>
        <w:tc>
          <w:tcPr>
            <w:tcW w:w="160" w:type="dxa"/>
            <w:vAlign w:val="bottom"/>
            <w:tcBorders>
              <w:top w:val="single" w:sz="8" w:color="3C5896"/>
            </w:tcBorders>
          </w:tcPr>
          <w:p>
            <w:pPr>
              <w:spacing w:after="0" w:line="20" w:lineRule="exact"/>
              <w:rPr>
                <w:sz w:val="1"/>
                <w:szCs w:val="1"/>
                <w:color w:val="auto"/>
              </w:rPr>
            </w:pPr>
          </w:p>
        </w:tc>
        <w:tc>
          <w:tcPr>
            <w:tcW w:w="200" w:type="dxa"/>
            <w:vAlign w:val="bottom"/>
            <w:tcBorders>
              <w:top w:val="single" w:sz="8" w:color="3C5896"/>
            </w:tcBorders>
          </w:tcPr>
          <w:p>
            <w:pPr>
              <w:spacing w:after="0" w:line="20" w:lineRule="exact"/>
              <w:rPr>
                <w:sz w:val="1"/>
                <w:szCs w:val="1"/>
                <w:color w:val="auto"/>
              </w:rPr>
            </w:pPr>
          </w:p>
        </w:tc>
        <w:tc>
          <w:tcPr>
            <w:tcW w:w="280" w:type="dxa"/>
            <w:vAlign w:val="bottom"/>
            <w:tcBorders>
              <w:top w:val="single" w:sz="8" w:color="3C5896"/>
            </w:tcBorders>
          </w:tcPr>
          <w:p>
            <w:pPr>
              <w:spacing w:after="0" w:line="20" w:lineRule="exact"/>
              <w:rPr>
                <w:sz w:val="1"/>
                <w:szCs w:val="1"/>
                <w:color w:val="auto"/>
              </w:rPr>
            </w:pPr>
          </w:p>
        </w:tc>
        <w:tc>
          <w:tcPr>
            <w:tcW w:w="140" w:type="dxa"/>
            <w:vAlign w:val="bottom"/>
            <w:tcBorders>
              <w:top w:val="single" w:sz="8" w:color="3C5896"/>
            </w:tcBorders>
          </w:tcPr>
          <w:p>
            <w:pPr>
              <w:spacing w:after="0" w:line="20" w:lineRule="exact"/>
              <w:rPr>
                <w:sz w:val="1"/>
                <w:szCs w:val="1"/>
                <w:color w:val="auto"/>
              </w:rPr>
            </w:pPr>
          </w:p>
        </w:tc>
        <w:tc>
          <w:tcPr>
            <w:tcW w:w="760" w:type="dxa"/>
            <w:vAlign w:val="bottom"/>
            <w:tcBorders>
              <w:top w:val="single" w:sz="8" w:color="3C5896"/>
            </w:tcBorders>
          </w:tcPr>
          <w:p>
            <w:pPr>
              <w:spacing w:after="0" w:line="20" w:lineRule="exact"/>
              <w:rPr>
                <w:sz w:val="1"/>
                <w:szCs w:val="1"/>
                <w:color w:val="auto"/>
              </w:rPr>
            </w:pPr>
          </w:p>
        </w:tc>
        <w:tc>
          <w:tcPr>
            <w:tcW w:w="140" w:type="dxa"/>
            <w:vAlign w:val="bottom"/>
            <w:tcBorders>
              <w:top w:val="single" w:sz="8" w:color="3C5896"/>
            </w:tcBorders>
          </w:tcPr>
          <w:p>
            <w:pPr>
              <w:spacing w:after="0" w:line="20" w:lineRule="exact"/>
              <w:rPr>
                <w:sz w:val="1"/>
                <w:szCs w:val="1"/>
                <w:color w:val="auto"/>
              </w:rPr>
            </w:pPr>
          </w:p>
        </w:tc>
        <w:tc>
          <w:tcPr>
            <w:tcW w:w="540" w:type="dxa"/>
            <w:vAlign w:val="bottom"/>
            <w:tcBorders>
              <w:top w:val="single" w:sz="8" w:color="3C5896"/>
            </w:tcBorders>
          </w:tcPr>
          <w:p>
            <w:pPr>
              <w:spacing w:after="0" w:line="20" w:lineRule="exact"/>
              <w:rPr>
                <w:sz w:val="1"/>
                <w:szCs w:val="1"/>
                <w:color w:val="auto"/>
              </w:rPr>
            </w:pPr>
          </w:p>
        </w:tc>
        <w:tc>
          <w:tcPr>
            <w:tcW w:w="760" w:type="dxa"/>
            <w:vAlign w:val="bottom"/>
            <w:tcBorders>
              <w:top w:val="single" w:sz="8" w:color="3C5896"/>
            </w:tcBorders>
          </w:tcPr>
          <w:p>
            <w:pPr>
              <w:spacing w:after="0" w:line="20" w:lineRule="exact"/>
              <w:rPr>
                <w:sz w:val="1"/>
                <w:szCs w:val="1"/>
                <w:color w:val="auto"/>
              </w:rPr>
            </w:pPr>
          </w:p>
        </w:tc>
        <w:tc>
          <w:tcPr>
            <w:tcW w:w="1400" w:type="dxa"/>
            <w:vAlign w:val="bottom"/>
            <w:tcBorders>
              <w:top w:val="single" w:sz="8" w:color="3C589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20" w:type="dxa"/>
            <w:vAlign w:val="bottom"/>
            <w:gridSpan w:val="9"/>
            <w:shd w:val="clear" w:color="auto" w:fill="CCEEFF"/>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Report of the Audit Committee</w:t>
              </w:r>
            </w:hyperlink>
          </w:p>
        </w:tc>
        <w:tc>
          <w:tcPr>
            <w:tcW w:w="6100" w:type="dxa"/>
            <w:vAlign w:val="bottom"/>
            <w:gridSpan w:val="11"/>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20" w:type="dxa"/>
            <w:vAlign w:val="bottom"/>
            <w:gridSpan w:val="20"/>
          </w:tcPr>
          <w:p>
            <w:pPr>
              <w:spacing w:after="0"/>
              <w:rPr>
                <w:rFonts w:ascii="Arial" w:cs="Arial" w:eastAsia="Arial" w:hAnsi="Arial"/>
                <w:sz w:val="18"/>
                <w:szCs w:val="18"/>
                <w:b w:val="1"/>
                <w:bCs w:val="1"/>
                <w:color w:val="3C5896"/>
              </w:rPr>
            </w:pPr>
            <w:hyperlink w:anchor="page16">
              <w:r>
                <w:rPr>
                  <w:rFonts w:ascii="Arial" w:cs="Arial" w:eastAsia="Arial" w:hAnsi="Arial"/>
                  <w:sz w:val="18"/>
                  <w:szCs w:val="18"/>
                  <w:b w:val="1"/>
                  <w:bCs w:val="1"/>
                  <w:color w:val="3C5896"/>
                </w:rPr>
                <w:t>Proposal No. 3—Non-Binding Vote on Executive Compensation</w:t>
              </w:r>
            </w:hyperlink>
          </w:p>
        </w:tc>
        <w:tc>
          <w:tcPr>
            <w:tcW w:w="280" w:type="dxa"/>
            <w:vAlign w:val="bottom"/>
            <w:gridSpan w:val="3"/>
          </w:tcPr>
          <w:p>
            <w:pPr>
              <w:jc w:val="right"/>
              <w:ind w:right="8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r>
      <w:tr>
        <w:trPr>
          <w:trHeight w:val="21"/>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3C5896"/>
            </w:tcBorders>
          </w:tcPr>
          <w:p>
            <w:pPr>
              <w:spacing w:after="0" w:line="20" w:lineRule="exact"/>
              <w:rPr>
                <w:sz w:val="1"/>
                <w:szCs w:val="1"/>
                <w:color w:val="auto"/>
              </w:rPr>
            </w:pPr>
          </w:p>
        </w:tc>
        <w:tc>
          <w:tcPr>
            <w:tcW w:w="160" w:type="dxa"/>
            <w:vAlign w:val="bottom"/>
            <w:tcBorders>
              <w:top w:val="single" w:sz="8" w:color="3C5896"/>
            </w:tcBorders>
          </w:tcPr>
          <w:p>
            <w:pPr>
              <w:spacing w:after="0" w:line="20" w:lineRule="exact"/>
              <w:rPr>
                <w:sz w:val="1"/>
                <w:szCs w:val="1"/>
                <w:color w:val="auto"/>
              </w:rPr>
            </w:pPr>
          </w:p>
        </w:tc>
        <w:tc>
          <w:tcPr>
            <w:tcW w:w="520" w:type="dxa"/>
            <w:vAlign w:val="bottom"/>
            <w:tcBorders>
              <w:top w:val="single" w:sz="8" w:color="3C5896"/>
            </w:tcBorders>
          </w:tcPr>
          <w:p>
            <w:pPr>
              <w:spacing w:after="0" w:line="20" w:lineRule="exact"/>
              <w:rPr>
                <w:sz w:val="1"/>
                <w:szCs w:val="1"/>
                <w:color w:val="auto"/>
              </w:rPr>
            </w:pPr>
          </w:p>
        </w:tc>
        <w:tc>
          <w:tcPr>
            <w:tcW w:w="40" w:type="dxa"/>
            <w:vAlign w:val="bottom"/>
            <w:tcBorders>
              <w:top w:val="single" w:sz="8" w:color="3C5896"/>
            </w:tcBorders>
          </w:tcPr>
          <w:p>
            <w:pPr>
              <w:spacing w:after="0" w:line="20" w:lineRule="exact"/>
              <w:rPr>
                <w:sz w:val="1"/>
                <w:szCs w:val="1"/>
                <w:color w:val="auto"/>
              </w:rPr>
            </w:pPr>
          </w:p>
        </w:tc>
        <w:tc>
          <w:tcPr>
            <w:tcW w:w="40" w:type="dxa"/>
            <w:vAlign w:val="bottom"/>
            <w:tcBorders>
              <w:top w:val="single" w:sz="8" w:color="3C5896"/>
            </w:tcBorders>
          </w:tcPr>
          <w:p>
            <w:pPr>
              <w:spacing w:after="0" w:line="20" w:lineRule="exact"/>
              <w:rPr>
                <w:sz w:val="1"/>
                <w:szCs w:val="1"/>
                <w:color w:val="auto"/>
              </w:rPr>
            </w:pPr>
          </w:p>
        </w:tc>
        <w:tc>
          <w:tcPr>
            <w:tcW w:w="60" w:type="dxa"/>
            <w:vAlign w:val="bottom"/>
            <w:tcBorders>
              <w:top w:val="single" w:sz="8" w:color="3C5896"/>
            </w:tcBorders>
          </w:tcPr>
          <w:p>
            <w:pPr>
              <w:spacing w:after="0" w:line="20" w:lineRule="exact"/>
              <w:rPr>
                <w:sz w:val="1"/>
                <w:szCs w:val="1"/>
                <w:color w:val="auto"/>
              </w:rPr>
            </w:pPr>
          </w:p>
        </w:tc>
        <w:tc>
          <w:tcPr>
            <w:tcW w:w="80" w:type="dxa"/>
            <w:vAlign w:val="bottom"/>
            <w:tcBorders>
              <w:top w:val="single" w:sz="8" w:color="3C5896"/>
            </w:tcBorders>
          </w:tcPr>
          <w:p>
            <w:pPr>
              <w:spacing w:after="0" w:line="20" w:lineRule="exact"/>
              <w:rPr>
                <w:sz w:val="1"/>
                <w:szCs w:val="1"/>
                <w:color w:val="auto"/>
              </w:rPr>
            </w:pPr>
          </w:p>
        </w:tc>
        <w:tc>
          <w:tcPr>
            <w:tcW w:w="240" w:type="dxa"/>
            <w:vAlign w:val="bottom"/>
            <w:tcBorders>
              <w:top w:val="single" w:sz="8" w:color="3C5896"/>
            </w:tcBorders>
          </w:tcPr>
          <w:p>
            <w:pPr>
              <w:spacing w:after="0" w:line="20" w:lineRule="exact"/>
              <w:rPr>
                <w:sz w:val="1"/>
                <w:szCs w:val="1"/>
                <w:color w:val="auto"/>
              </w:rPr>
            </w:pPr>
          </w:p>
        </w:tc>
        <w:tc>
          <w:tcPr>
            <w:tcW w:w="60" w:type="dxa"/>
            <w:vAlign w:val="bottom"/>
            <w:tcBorders>
              <w:top w:val="single" w:sz="8" w:color="3C5896"/>
            </w:tcBorders>
          </w:tcPr>
          <w:p>
            <w:pPr>
              <w:spacing w:after="0" w:line="20" w:lineRule="exact"/>
              <w:rPr>
                <w:sz w:val="1"/>
                <w:szCs w:val="1"/>
                <w:color w:val="auto"/>
              </w:rPr>
            </w:pPr>
          </w:p>
        </w:tc>
        <w:tc>
          <w:tcPr>
            <w:tcW w:w="160" w:type="dxa"/>
            <w:vAlign w:val="bottom"/>
            <w:tcBorders>
              <w:top w:val="single" w:sz="8" w:color="3C5896"/>
            </w:tcBorders>
          </w:tcPr>
          <w:p>
            <w:pPr>
              <w:spacing w:after="0" w:line="20" w:lineRule="exact"/>
              <w:rPr>
                <w:sz w:val="1"/>
                <w:szCs w:val="1"/>
                <w:color w:val="auto"/>
              </w:rPr>
            </w:pPr>
          </w:p>
        </w:tc>
        <w:tc>
          <w:tcPr>
            <w:tcW w:w="200" w:type="dxa"/>
            <w:vAlign w:val="bottom"/>
            <w:tcBorders>
              <w:top w:val="single" w:sz="8" w:color="3C5896"/>
            </w:tcBorders>
          </w:tcPr>
          <w:p>
            <w:pPr>
              <w:spacing w:after="0" w:line="20" w:lineRule="exact"/>
              <w:rPr>
                <w:sz w:val="1"/>
                <w:szCs w:val="1"/>
                <w:color w:val="auto"/>
              </w:rPr>
            </w:pPr>
          </w:p>
        </w:tc>
        <w:tc>
          <w:tcPr>
            <w:tcW w:w="280" w:type="dxa"/>
            <w:vAlign w:val="bottom"/>
            <w:tcBorders>
              <w:top w:val="single" w:sz="8" w:color="3C5896"/>
            </w:tcBorders>
          </w:tcPr>
          <w:p>
            <w:pPr>
              <w:spacing w:after="0" w:line="20" w:lineRule="exact"/>
              <w:rPr>
                <w:sz w:val="1"/>
                <w:szCs w:val="1"/>
                <w:color w:val="auto"/>
              </w:rPr>
            </w:pPr>
          </w:p>
        </w:tc>
        <w:tc>
          <w:tcPr>
            <w:tcW w:w="140" w:type="dxa"/>
            <w:vAlign w:val="bottom"/>
            <w:tcBorders>
              <w:top w:val="single" w:sz="8" w:color="3C5896"/>
            </w:tcBorders>
          </w:tcPr>
          <w:p>
            <w:pPr>
              <w:spacing w:after="0" w:line="20" w:lineRule="exact"/>
              <w:rPr>
                <w:sz w:val="1"/>
                <w:szCs w:val="1"/>
                <w:color w:val="auto"/>
              </w:rPr>
            </w:pPr>
          </w:p>
        </w:tc>
        <w:tc>
          <w:tcPr>
            <w:tcW w:w="760" w:type="dxa"/>
            <w:vAlign w:val="bottom"/>
            <w:tcBorders>
              <w:top w:val="single" w:sz="8" w:color="3C5896"/>
            </w:tcBorders>
          </w:tcPr>
          <w:p>
            <w:pPr>
              <w:spacing w:after="0" w:line="20" w:lineRule="exact"/>
              <w:rPr>
                <w:sz w:val="1"/>
                <w:szCs w:val="1"/>
                <w:color w:val="auto"/>
              </w:rPr>
            </w:pPr>
          </w:p>
        </w:tc>
        <w:tc>
          <w:tcPr>
            <w:tcW w:w="140" w:type="dxa"/>
            <w:vAlign w:val="bottom"/>
            <w:tcBorders>
              <w:top w:val="single" w:sz="8" w:color="3C5896"/>
            </w:tcBorders>
          </w:tcPr>
          <w:p>
            <w:pPr>
              <w:spacing w:after="0" w:line="20" w:lineRule="exact"/>
              <w:rPr>
                <w:sz w:val="1"/>
                <w:szCs w:val="1"/>
                <w:color w:val="auto"/>
              </w:rPr>
            </w:pPr>
          </w:p>
        </w:tc>
        <w:tc>
          <w:tcPr>
            <w:tcW w:w="540" w:type="dxa"/>
            <w:vAlign w:val="bottom"/>
            <w:tcBorders>
              <w:top w:val="single" w:sz="8" w:color="3C5896"/>
            </w:tcBorders>
          </w:tcPr>
          <w:p>
            <w:pPr>
              <w:spacing w:after="0" w:line="20" w:lineRule="exact"/>
              <w:rPr>
                <w:sz w:val="1"/>
                <w:szCs w:val="1"/>
                <w:color w:val="auto"/>
              </w:rPr>
            </w:pPr>
          </w:p>
        </w:tc>
        <w:tc>
          <w:tcPr>
            <w:tcW w:w="760" w:type="dxa"/>
            <w:vAlign w:val="bottom"/>
            <w:tcBorders>
              <w:top w:val="single" w:sz="8" w:color="3C5896"/>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520" w:type="dxa"/>
            <w:vAlign w:val="bottom"/>
            <w:gridSpan w:val="20"/>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Executive Compensation</w:t>
              </w:r>
            </w:hyperlink>
          </w:p>
        </w:tc>
        <w:tc>
          <w:tcPr>
            <w:tcW w:w="280" w:type="dxa"/>
            <w:vAlign w:val="bottom"/>
            <w:gridSpan w:val="3"/>
            <w:shd w:val="clear" w:color="auto" w:fill="CCEEFF"/>
          </w:tcPr>
          <w:p>
            <w:pPr>
              <w:jc w:val="right"/>
              <w:ind w:right="8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2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Equity Compensation Plan Information</w:t>
              </w:r>
            </w:hyperlink>
          </w:p>
        </w:tc>
        <w:tc>
          <w:tcPr>
            <w:tcW w:w="280" w:type="dxa"/>
            <w:vAlign w:val="bottom"/>
            <w:gridSpan w:val="3"/>
          </w:tcPr>
          <w:p>
            <w:pPr>
              <w:jc w:val="right"/>
              <w:ind w:right="8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r>
      <w:tr>
        <w:trPr>
          <w:trHeight w:val="21"/>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CEO Pay Ratio</w:t>
              </w:r>
            </w:hyperlink>
          </w:p>
        </w:tc>
        <w:tc>
          <w:tcPr>
            <w:tcW w:w="7300" w:type="dxa"/>
            <w:vAlign w:val="bottom"/>
            <w:gridSpan w:val="19"/>
            <w:shd w:val="clear" w:color="auto" w:fill="CCEEFF"/>
          </w:tcPr>
          <w:p>
            <w:pPr>
              <w:spacing w:after="0"/>
              <w:rPr>
                <w:sz w:val="19"/>
                <w:szCs w:val="19"/>
                <w:color w:val="auto"/>
              </w:rPr>
            </w:pPr>
          </w:p>
        </w:tc>
        <w:tc>
          <w:tcPr>
            <w:tcW w:w="280" w:type="dxa"/>
            <w:vAlign w:val="bottom"/>
            <w:gridSpan w:val="3"/>
            <w:shd w:val="clear" w:color="auto" w:fill="CCEEFF"/>
          </w:tcPr>
          <w:p>
            <w:pPr>
              <w:jc w:val="right"/>
              <w:ind w:right="8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Section 16(a) Beneficial Ownership Reporting Compliance</w:t>
              </w:r>
            </w:hyperlink>
          </w:p>
        </w:tc>
        <w:tc>
          <w:tcPr>
            <w:tcW w:w="280" w:type="dxa"/>
            <w:vAlign w:val="bottom"/>
            <w:gridSpan w:val="3"/>
          </w:tcPr>
          <w:p>
            <w:pPr>
              <w:jc w:val="right"/>
              <w:ind w:right="8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r>
      <w:tr>
        <w:trPr>
          <w:trHeight w:val="21"/>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Ownership of Securities</w:t>
              </w:r>
            </w:hyperlink>
          </w:p>
        </w:tc>
        <w:tc>
          <w:tcPr>
            <w:tcW w:w="6620" w:type="dxa"/>
            <w:vAlign w:val="bottom"/>
            <w:gridSpan w:val="17"/>
            <w:shd w:val="clear" w:color="auto" w:fill="CCEEFF"/>
          </w:tcPr>
          <w:p>
            <w:pPr>
              <w:spacing w:after="0"/>
              <w:rPr>
                <w:sz w:val="19"/>
                <w:szCs w:val="19"/>
                <w:color w:val="auto"/>
              </w:rPr>
            </w:pPr>
          </w:p>
        </w:tc>
        <w:tc>
          <w:tcPr>
            <w:tcW w:w="280" w:type="dxa"/>
            <w:vAlign w:val="bottom"/>
            <w:gridSpan w:val="3"/>
            <w:shd w:val="clear" w:color="auto" w:fill="CCEEFF"/>
          </w:tcPr>
          <w:p>
            <w:pPr>
              <w:jc w:val="right"/>
              <w:ind w:right="8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2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Transactions with Related Persons</w:t>
              </w:r>
            </w:hyperlink>
          </w:p>
        </w:tc>
        <w:tc>
          <w:tcPr>
            <w:tcW w:w="280" w:type="dxa"/>
            <w:vAlign w:val="bottom"/>
            <w:gridSpan w:val="3"/>
          </w:tcPr>
          <w:p>
            <w:pPr>
              <w:jc w:val="right"/>
              <w:ind w:right="8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r>
      <w:tr>
        <w:trPr>
          <w:trHeight w:val="21"/>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520" w:type="dxa"/>
            <w:vAlign w:val="bottom"/>
            <w:gridSpan w:val="20"/>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Stockholder Proposals for the 2020 Annual Meeting</w:t>
              </w:r>
            </w:hyperlink>
          </w:p>
        </w:tc>
        <w:tc>
          <w:tcPr>
            <w:tcW w:w="280" w:type="dxa"/>
            <w:vAlign w:val="bottom"/>
            <w:gridSpan w:val="3"/>
            <w:shd w:val="clear" w:color="auto" w:fill="CCEEFF"/>
          </w:tcPr>
          <w:p>
            <w:pPr>
              <w:jc w:val="right"/>
              <w:ind w:right="8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Householding of Proxy Materials</w:t>
              </w:r>
            </w:hyperlink>
          </w:p>
        </w:tc>
        <w:tc>
          <w:tcPr>
            <w:tcW w:w="4420" w:type="dxa"/>
            <w:vAlign w:val="bottom"/>
            <w:gridSpan w:val="5"/>
          </w:tcPr>
          <w:p>
            <w:pPr>
              <w:spacing w:after="0"/>
              <w:rPr>
                <w:sz w:val="19"/>
                <w:szCs w:val="19"/>
                <w:color w:val="auto"/>
              </w:rPr>
            </w:pPr>
          </w:p>
        </w:tc>
        <w:tc>
          <w:tcPr>
            <w:tcW w:w="280" w:type="dxa"/>
            <w:vAlign w:val="bottom"/>
            <w:gridSpan w:val="3"/>
          </w:tcPr>
          <w:p>
            <w:pPr>
              <w:jc w:val="right"/>
              <w:ind w:right="8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r>
      <w:tr>
        <w:trPr>
          <w:trHeight w:val="21"/>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520" w:type="dxa"/>
            <w:vAlign w:val="bottom"/>
            <w:gridSpan w:val="20"/>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Business</w:t>
              </w:r>
            </w:hyperlink>
          </w:p>
        </w:tc>
        <w:tc>
          <w:tcPr>
            <w:tcW w:w="280" w:type="dxa"/>
            <w:vAlign w:val="bottom"/>
            <w:gridSpan w:val="3"/>
            <w:shd w:val="clear" w:color="auto" w:fill="CCEEFF"/>
          </w:tcPr>
          <w:p>
            <w:pPr>
              <w:jc w:val="right"/>
              <w:ind w:right="8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gridSpan w:val="8"/>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About the Meeting and Voting</w:t>
              </w:r>
            </w:hyperlink>
          </w:p>
        </w:tc>
        <w:tc>
          <w:tcPr>
            <w:tcW w:w="6160" w:type="dxa"/>
            <w:vAlign w:val="bottom"/>
            <w:gridSpan w:val="12"/>
          </w:tcPr>
          <w:p>
            <w:pPr>
              <w:spacing w:after="0"/>
              <w:rPr>
                <w:sz w:val="19"/>
                <w:szCs w:val="19"/>
                <w:color w:val="auto"/>
              </w:rPr>
            </w:pPr>
          </w:p>
        </w:tc>
        <w:tc>
          <w:tcPr>
            <w:tcW w:w="280" w:type="dxa"/>
            <w:vAlign w:val="bottom"/>
            <w:gridSpan w:val="3"/>
          </w:tcPr>
          <w:p>
            <w:pPr>
              <w:jc w:val="right"/>
              <w:ind w:right="8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r>
      <w:tr>
        <w:trPr>
          <w:trHeight w:val="20"/>
        </w:trPr>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259"/>
        <w:spacing w:after="0"/>
        <w:rPr>
          <w:sz w:val="20"/>
          <w:szCs w:val="20"/>
          <w:color w:val="auto"/>
        </w:rPr>
      </w:pPr>
      <w:r>
        <w:rPr>
          <w:rFonts w:ascii="Arial" w:cs="Arial" w:eastAsia="Arial" w:hAnsi="Arial"/>
          <w:sz w:val="16"/>
          <w:szCs w:val="16"/>
          <w:color w:val="auto"/>
        </w:rPr>
        <w:t xml:space="preserve">2019 Proxy Statement   </w:t>
      </w:r>
      <w:r>
        <w:rPr>
          <w:sz w:val="1"/>
          <w:szCs w:val="1"/>
          <w:color w:val="auto"/>
        </w:rPr>
        <w:drawing>
          <wp:inline distT="0" distB="0" distL="0" distR="0">
            <wp:extent cx="291465" cy="2228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b w:val="1"/>
          <w:bCs w:val="1"/>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468630</wp:posOffset>
            </wp:positionV>
            <wp:extent cx="1809750" cy="1389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jc w:val="both"/>
        <w:ind w:left="760" w:right="980"/>
        <w:spacing w:after="0" w:line="256" w:lineRule="auto"/>
        <w:rPr>
          <w:sz w:val="20"/>
          <w:szCs w:val="20"/>
          <w:color w:val="auto"/>
        </w:rPr>
      </w:pPr>
      <w:r>
        <w:rPr>
          <w:rFonts w:ascii="Arial" w:cs="Arial" w:eastAsia="Arial" w:hAnsi="Arial"/>
          <w:sz w:val="18"/>
          <w:szCs w:val="18"/>
          <w:color w:val="auto"/>
        </w:rPr>
        <w:t>We are pleased to invite you to attend the National Vision Holdings, Inc. 2019 Annual Meeting of Stockholders on Tuesday, June 11, 2019, at 1:00 p.m., Eastern Time. The meeting will be held at National Vision’s headquarters, located at 2435 Commerce Avenue, Building 2200, Duluth, Georgia 30096.</w:t>
      </w:r>
    </w:p>
    <w:p>
      <w:pPr>
        <w:spacing w:after="0" w:line="243" w:lineRule="exact"/>
        <w:rPr>
          <w:sz w:val="20"/>
          <w:szCs w:val="20"/>
          <w:color w:val="auto"/>
        </w:rPr>
      </w:pPr>
    </w:p>
    <w:p>
      <w:pPr>
        <w:ind w:left="760" w:right="780"/>
        <w:spacing w:after="0" w:line="230" w:lineRule="auto"/>
        <w:rPr>
          <w:sz w:val="20"/>
          <w:szCs w:val="20"/>
          <w:color w:val="auto"/>
        </w:rPr>
      </w:pPr>
      <w:r>
        <w:rPr>
          <w:rFonts w:ascii="Arial" w:cs="Arial" w:eastAsia="Arial" w:hAnsi="Arial"/>
          <w:sz w:val="18"/>
          <w:szCs w:val="18"/>
          <w:color w:val="auto"/>
        </w:rPr>
        <w:t>2018 was again filled with a number of highlights at National Vision. We delivered double-digit growth in net revenue in 2018, as well as our 68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consecutive quarter of positive comparable store sales growth. We opened 74 stores in 2018, ending the year with 1,082 stores, and continued to gain share in the attractive optical retail market. At National Vision, our optometrists and associates continue to work hard every day to make quality eye exams and eyewear more affordable to our patients and customers throughout the United States.</w:t>
      </w:r>
    </w:p>
    <w:p>
      <w:pPr>
        <w:spacing w:after="0" w:line="260" w:lineRule="exact"/>
        <w:rPr>
          <w:sz w:val="20"/>
          <w:szCs w:val="20"/>
          <w:color w:val="auto"/>
        </w:rPr>
      </w:pPr>
    </w:p>
    <w:p>
      <w:pPr>
        <w:ind w:left="760" w:right="900"/>
        <w:spacing w:after="0" w:line="262" w:lineRule="auto"/>
        <w:rPr>
          <w:sz w:val="20"/>
          <w:szCs w:val="20"/>
          <w:color w:val="auto"/>
        </w:rPr>
      </w:pPr>
      <w:r>
        <w:rPr>
          <w:rFonts w:ascii="Arial" w:cs="Arial" w:eastAsia="Arial" w:hAnsi="Arial"/>
          <w:sz w:val="18"/>
          <w:szCs w:val="18"/>
          <w:color w:val="auto"/>
        </w:rPr>
        <w:t>Whether you own a few shares or many, and whether or not you plan to attend the Annual Meeting in person, your vote is important to us. We encourage you to review the proxy materials and submit your vote today.</w:t>
      </w:r>
    </w:p>
    <w:p>
      <w:pPr>
        <w:spacing w:after="0" w:line="223" w:lineRule="exact"/>
        <w:rPr>
          <w:sz w:val="20"/>
          <w:szCs w:val="20"/>
          <w:color w:val="auto"/>
        </w:rPr>
      </w:pPr>
    </w:p>
    <w:p>
      <w:pPr>
        <w:ind w:left="760" w:right="1020"/>
        <w:spacing w:after="0" w:line="254" w:lineRule="auto"/>
        <w:rPr>
          <w:sz w:val="20"/>
          <w:szCs w:val="20"/>
          <w:color w:val="auto"/>
        </w:rPr>
      </w:pPr>
      <w:r>
        <w:rPr>
          <w:rFonts w:ascii="Arial" w:cs="Arial" w:eastAsia="Arial" w:hAnsi="Arial"/>
          <w:sz w:val="18"/>
          <w:szCs w:val="18"/>
          <w:color w:val="auto"/>
        </w:rPr>
        <w:t>Attached to this letter are a Notice of Annual Meeting of Stockholders and Proxy Statement, which describe the business to be conducted at the meeting. Instructions for voting your shares are set forth in the Proxy Statement. The Proxy Statement and the enclosed proxy card and annual report are first being sent to stockholders on or about April 25, 2019.</w:t>
      </w:r>
    </w:p>
    <w:p>
      <w:pPr>
        <w:spacing w:after="0" w:line="2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behalf of the Board of Directors and everyone at National Vision, we are grateful for your continued support.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Thank you for being a stockholder of National Vision Holdings, Inc.</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135255</wp:posOffset>
            </wp:positionV>
            <wp:extent cx="92646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6465" cy="31750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135255</wp:posOffset>
            </wp:positionV>
            <wp:extent cx="155194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47180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Nathaniel H. Taylor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4740" w:space="720"/>
            <w:col w:w="5280"/>
          </w:cols>
          <w:pgMar w:left="240" w:top="132" w:right="919" w:bottom="1440" w:gutter="0" w:footer="0" w:header="0"/>
          <w:type w:val="continuous"/>
        </w:sectPr>
      </w:pP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1464310</wp:posOffset>
            </wp:positionV>
            <wp:extent cx="29146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ind w:left="7500"/>
              <w:spacing w:after="0"/>
              <w:rPr>
                <w:sz w:val="20"/>
                <w:szCs w:val="20"/>
                <w:color w:val="auto"/>
              </w:rPr>
            </w:pPr>
            <w:r>
              <w:rPr>
                <w:rFonts w:ascii="Arial" w:cs="Arial" w:eastAsia="Arial" w:hAnsi="Arial"/>
                <w:sz w:val="16"/>
                <w:szCs w:val="16"/>
                <w:color w:val="auto"/>
              </w:rPr>
              <w:t>2019 Proxy Statement</w:t>
            </w:r>
          </w:p>
        </w:tc>
        <w:tc>
          <w:tcPr>
            <w:tcW w:w="1260" w:type="dxa"/>
            <w:vAlign w:val="bottom"/>
          </w:tcPr>
          <w:p>
            <w:pPr>
              <w:jc w:val="right"/>
              <w:ind w:right="699"/>
              <w:spacing w:after="0"/>
              <w:rPr>
                <w:sz w:val="20"/>
                <w:szCs w:val="20"/>
                <w:color w:val="auto"/>
              </w:rPr>
            </w:pPr>
            <w:r>
              <w:rPr>
                <w:rFonts w:ascii="Arial" w:cs="Arial" w:eastAsia="Arial" w:hAnsi="Arial"/>
                <w:sz w:val="16"/>
                <w:szCs w:val="16"/>
                <w:b w:val="1"/>
                <w:bCs w:val="1"/>
                <w:color w:val="auto"/>
              </w:rPr>
              <w:t>1</w:t>
            </w:r>
          </w:p>
        </w:tc>
      </w:tr>
      <w:tr>
        <w:trPr>
          <w:trHeight w:val="310"/>
        </w:trPr>
        <w:tc>
          <w:tcPr>
            <w:tcW w:w="9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NOTICE OF ANNUAL MEETING OF STOCKHOLDERS</w:t>
      </w:r>
    </w:p>
    <w:p>
      <w:pPr>
        <w:sectPr>
          <w:pgSz w:w="11900" w:h="16838" w:orient="portrait"/>
          <w:cols w:equalWidth="0" w:num="1">
            <w:col w:w="10219"/>
          </w:cols>
          <w:pgMar w:left="240" w:top="132" w:right="1440" w:bottom="1440" w:gutter="0" w:footer="0" w:header="0"/>
        </w:sectPr>
      </w:pPr>
    </w:p>
    <w:p>
      <w:pPr>
        <w:spacing w:after="0" w:line="199"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1:00 p.m., Eastern Time, on Tuesday, June 11, 2019</w:t>
      </w:r>
    </w:p>
    <w:p>
      <w:pPr>
        <w:spacing w:after="0" w:line="174" w:lineRule="exact"/>
        <w:rPr>
          <w:sz w:val="20"/>
          <w:szCs w:val="20"/>
          <w:color w:val="auto"/>
        </w:rPr>
      </w:pPr>
    </w:p>
    <w:p>
      <w:pPr>
        <w:sectPr>
          <w:pgSz w:w="11900" w:h="16838" w:orient="portrait"/>
          <w:cols w:equalWidth="0" w:num="2">
            <w:col w:w="2160" w:space="720"/>
            <w:col w:w="7339"/>
          </w:cols>
          <w:pgMar w:left="240" w:top="132" w:right="1440" w:bottom="1440" w:gutter="0" w:footer="0" w:header="0"/>
          <w:type w:val="continuous"/>
        </w:sectPr>
      </w:pPr>
    </w:p>
    <w:p>
      <w:pPr>
        <w:ind w:left="800"/>
        <w:spacing w:after="0"/>
        <w:rPr>
          <w:sz w:val="20"/>
          <w:szCs w:val="20"/>
          <w:color w:val="auto"/>
        </w:rPr>
      </w:pPr>
      <w:r>
        <w:rPr>
          <w:rFonts w:ascii="Arial" w:cs="Arial" w:eastAsia="Arial" w:hAnsi="Arial"/>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National Vision’s Headquarters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w:t>
      </w:r>
    </w:p>
    <w:p>
      <w:pPr>
        <w:spacing w:after="0" w:line="190" w:lineRule="exact"/>
        <w:rPr>
          <w:sz w:val="20"/>
          <w:szCs w:val="20"/>
          <w:color w:val="auto"/>
        </w:rPr>
      </w:pPr>
    </w:p>
    <w:p>
      <w:pPr>
        <w:sectPr>
          <w:pgSz w:w="11900" w:h="16838" w:orient="portrait"/>
          <w:cols w:equalWidth="0" w:num="2">
            <w:col w:w="2160" w:space="720"/>
            <w:col w:w="7339"/>
          </w:cols>
          <w:pgMar w:left="240" w:top="132" w:right="1440" w:bottom="1440" w:gutter="0" w:footer="0" w:header="0"/>
          <w:type w:val="continuous"/>
        </w:sectPr>
      </w:pPr>
    </w:p>
    <w:p>
      <w:pPr>
        <w:ind w:left="800"/>
        <w:spacing w:after="0"/>
        <w:rPr>
          <w:sz w:val="20"/>
          <w:szCs w:val="20"/>
          <w:color w:val="auto"/>
        </w:rPr>
      </w:pPr>
      <w:r>
        <w:rPr>
          <w:rFonts w:ascii="Arial" w:cs="Arial" w:eastAsia="Arial" w:hAnsi="Arial"/>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To elect the Class II director nominee listed in the Proxy Statement.</w:t>
      </w:r>
    </w:p>
    <w:p>
      <w:pPr>
        <w:spacing w:after="0" w:line="185" w:lineRule="exact"/>
        <w:rPr>
          <w:sz w:val="20"/>
          <w:szCs w:val="20"/>
          <w:color w:val="auto"/>
        </w:rPr>
      </w:pPr>
    </w:p>
    <w:p>
      <w:pPr>
        <w:sectPr>
          <w:pgSz w:w="11900" w:h="16838" w:orient="portrait"/>
          <w:cols w:equalWidth="0" w:num="2">
            <w:col w:w="2620" w:space="260"/>
            <w:col w:w="7339"/>
          </w:cols>
          <w:pgMar w:left="240" w:top="132" w:right="1440" w:bottom="1440" w:gutter="0" w:footer="0" w:header="0"/>
          <w:type w:val="continuous"/>
        </w:sectPr>
      </w:pPr>
    </w:p>
    <w:p>
      <w:pPr>
        <w:ind w:left="3200" w:right="579" w:hanging="319"/>
        <w:spacing w:after="0" w:line="262" w:lineRule="auto"/>
        <w:tabs>
          <w:tab w:leader="none" w:pos="3180" w:val="left"/>
        </w:tabs>
        <w:rPr>
          <w:sz w:val="20"/>
          <w:szCs w:val="20"/>
          <w:color w:val="auto"/>
        </w:rPr>
      </w:pPr>
      <w:r>
        <w:rPr>
          <w:rFonts w:ascii="Arial" w:cs="Arial" w:eastAsia="Arial" w:hAnsi="Arial"/>
          <w:sz w:val="18"/>
          <w:szCs w:val="18"/>
          <w:color w:val="auto"/>
        </w:rPr>
        <w:t>2.</w:t>
        <w:tab/>
        <w:t>To ratify the appointment of Deloitte &amp; Touche LLP as our independent registered public accounting firm for fiscal 2019.</w:t>
      </w:r>
    </w:p>
    <w:p>
      <w:pPr>
        <w:spacing w:after="0" w:line="169" w:lineRule="exact"/>
        <w:rPr>
          <w:sz w:val="20"/>
          <w:szCs w:val="20"/>
          <w:color w:val="auto"/>
        </w:rPr>
      </w:pPr>
    </w:p>
    <w:p>
      <w:pPr>
        <w:ind w:left="3200" w:right="639" w:hanging="319"/>
        <w:spacing w:after="0" w:line="262" w:lineRule="auto"/>
        <w:tabs>
          <w:tab w:leader="none" w:pos="3180" w:val="left"/>
        </w:tabs>
        <w:rPr>
          <w:sz w:val="20"/>
          <w:szCs w:val="20"/>
          <w:color w:val="auto"/>
        </w:rPr>
      </w:pPr>
      <w:r>
        <w:rPr>
          <w:rFonts w:ascii="Arial" w:cs="Arial" w:eastAsia="Arial" w:hAnsi="Arial"/>
          <w:sz w:val="18"/>
          <w:szCs w:val="18"/>
          <w:color w:val="auto"/>
        </w:rPr>
        <w:t>3.</w:t>
        <w:tab/>
        <w:t>To approve, in a non-binding advisory vote, the compensation paid to the named executive officers.</w:t>
      </w:r>
    </w:p>
    <w:p>
      <w:pPr>
        <w:spacing w:after="0" w:line="169" w:lineRule="exact"/>
        <w:rPr>
          <w:sz w:val="20"/>
          <w:szCs w:val="20"/>
          <w:color w:val="auto"/>
        </w:rPr>
      </w:pPr>
    </w:p>
    <w:p>
      <w:pPr>
        <w:ind w:left="3200" w:right="479" w:hanging="319"/>
        <w:spacing w:after="0" w:line="262" w:lineRule="auto"/>
        <w:tabs>
          <w:tab w:leader="none" w:pos="3180" w:val="left"/>
        </w:tabs>
        <w:rPr>
          <w:sz w:val="20"/>
          <w:szCs w:val="20"/>
          <w:color w:val="auto"/>
        </w:rPr>
      </w:pPr>
      <w:r>
        <w:rPr>
          <w:rFonts w:ascii="Arial" w:cs="Arial" w:eastAsia="Arial" w:hAnsi="Arial"/>
          <w:sz w:val="18"/>
          <w:szCs w:val="18"/>
          <w:color w:val="auto"/>
        </w:rPr>
        <w:t>4.</w:t>
        <w:tab/>
        <w:t>To consider such other business as may properly come before the Annual Meeting and any adjournments or postponements thereof.</w:t>
      </w:r>
    </w:p>
    <w:p>
      <w:pPr>
        <w:sectPr>
          <w:pgSz w:w="11900" w:h="16838" w:orient="portrait"/>
          <w:cols w:equalWidth="0" w:num="1">
            <w:col w:w="10219"/>
          </w:cols>
          <w:pgMar w:left="240" w:top="132" w:right="1440" w:bottom="1440" w:gutter="0" w:footer="0" w:header="0"/>
          <w:type w:val="continuous"/>
        </w:sectPr>
      </w:pPr>
    </w:p>
    <w:p>
      <w:pPr>
        <w:spacing w:after="0" w:line="147" w:lineRule="exact"/>
        <w:rPr>
          <w:sz w:val="20"/>
          <w:szCs w:val="20"/>
          <w:color w:val="auto"/>
        </w:rPr>
      </w:pPr>
    </w:p>
    <w:p>
      <w:pPr>
        <w:jc w:val="center"/>
        <w:ind w:left="740"/>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499"/>
        <w:spacing w:after="0" w:line="262" w:lineRule="auto"/>
        <w:rPr>
          <w:sz w:val="20"/>
          <w:szCs w:val="20"/>
          <w:color w:val="auto"/>
        </w:rPr>
      </w:pPr>
      <w:r>
        <w:rPr>
          <w:rFonts w:ascii="Arial" w:cs="Arial" w:eastAsia="Arial" w:hAnsi="Arial"/>
          <w:sz w:val="18"/>
          <w:szCs w:val="18"/>
          <w:color w:val="auto"/>
        </w:rPr>
        <w:t>You may vote at the Annual Meeting if you were a stockholder of record at the close of business on April 16, 2019.</w:t>
      </w:r>
    </w:p>
    <w:p>
      <w:pPr>
        <w:spacing w:after="0" w:line="147" w:lineRule="exact"/>
        <w:rPr>
          <w:sz w:val="20"/>
          <w:szCs w:val="20"/>
          <w:color w:val="auto"/>
        </w:rPr>
      </w:pPr>
    </w:p>
    <w:p>
      <w:pPr>
        <w:sectPr>
          <w:pgSz w:w="11900" w:h="16838" w:orient="portrait"/>
          <w:cols w:equalWidth="0" w:num="2">
            <w:col w:w="2160" w:space="720"/>
            <w:col w:w="7339"/>
          </w:cols>
          <w:pgMar w:left="240" w:top="132" w:right="1440" w:bottom="1440" w:gutter="0" w:footer="0" w:header="0"/>
          <w:type w:val="continuous"/>
        </w:sectPr>
      </w:pPr>
    </w:p>
    <w:p>
      <w:pPr>
        <w:ind w:left="800"/>
        <w:spacing w:after="0"/>
        <w:rPr>
          <w:sz w:val="20"/>
          <w:szCs w:val="20"/>
          <w:color w:val="auto"/>
        </w:rPr>
      </w:pPr>
      <w:r>
        <w:rPr>
          <w:rFonts w:ascii="Arial" w:cs="Arial" w:eastAsia="Arial" w:hAnsi="Arial"/>
          <w:sz w:val="17"/>
          <w:szCs w:val="17"/>
          <w:b w:val="1"/>
          <w:bCs w:val="1"/>
          <w:color w:val="auto"/>
        </w:rPr>
        <w:t>VOTING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19"/>
        <w:spacing w:after="0" w:line="252" w:lineRule="auto"/>
        <w:rPr>
          <w:sz w:val="20"/>
          <w:szCs w:val="20"/>
          <w:color w:val="auto"/>
        </w:rPr>
      </w:pPr>
      <w:r>
        <w:rPr>
          <w:rFonts w:ascii="Arial" w:cs="Arial" w:eastAsia="Arial" w:hAnsi="Arial"/>
          <w:sz w:val="18"/>
          <w:szCs w:val="18"/>
          <w:color w:val="auto"/>
        </w:rPr>
        <w:t>You may vote your shares on the Internet, by telephone or by completing, signing and promptly returning a proxy card or you may vote in person at the Annual Meeting. Voting online, by telephone or by returning your proxy card does not deprive you of your right to attend the Annual Meeting. If you do attend the Annual Meeting and wish to vote your shares personally, you may revoke your proxy at or prior to the Annual Meeting. Voting procedures are described on the following page and on the proxy card.</w:t>
      </w:r>
    </w:p>
    <w:p>
      <w:pPr>
        <w:spacing w:after="0" w:line="200" w:lineRule="exact"/>
        <w:rPr>
          <w:sz w:val="20"/>
          <w:szCs w:val="20"/>
          <w:color w:val="auto"/>
        </w:rPr>
      </w:pPr>
    </w:p>
    <w:p>
      <w:pPr>
        <w:sectPr>
          <w:pgSz w:w="11900" w:h="16838" w:orient="portrait"/>
          <w:cols w:equalWidth="0" w:num="2">
            <w:col w:w="2160" w:space="720"/>
            <w:col w:w="7339"/>
          </w:cols>
          <w:pgMar w:left="240" w:top="132" w:right="1440" w:bottom="1440" w:gutter="0" w:footer="0" w:header="0"/>
          <w:type w:val="continuous"/>
        </w:sectPr>
      </w:pPr>
    </w:p>
    <w:p>
      <w:pPr>
        <w:spacing w:after="0" w:line="13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99695</wp:posOffset>
            </wp:positionV>
            <wp:extent cx="1440815" cy="626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62611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Jared Brandman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176530</wp:posOffset>
            </wp:positionV>
            <wp:extent cx="5840095"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0095" cy="600075"/>
                    </a:xfrm>
                    <a:prstGeom prst="rect">
                      <a:avLst/>
                    </a:prstGeom>
                    <a:noFill/>
                  </pic:spPr>
                </pic:pic>
              </a:graphicData>
            </a:graphic>
          </wp:anchor>
        </w:drawing>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 Meeting</w:t>
      </w:r>
    </w:p>
    <w:p>
      <w:pPr>
        <w:spacing w:after="0" w:line="3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to Be Held on Tuesday, June 11, 2019: This Proxy Statement and our Annual Report</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i w:val="1"/>
          <w:iCs w:val="1"/>
          <w:color w:val="auto"/>
        </w:rPr>
        <w:t xml:space="preserve">are available free of charge at </w:t>
      </w:r>
      <w:r>
        <w:rPr>
          <w:rFonts w:ascii="Arial" w:cs="Arial" w:eastAsia="Arial" w:hAnsi="Arial"/>
          <w:sz w:val="18"/>
          <w:szCs w:val="18"/>
          <w:b w:val="1"/>
          <w:bCs w:val="1"/>
          <w:i w:val="1"/>
          <w:iCs w:val="1"/>
          <w:u w:val="single" w:color="auto"/>
          <w:color w:val="auto"/>
        </w:rPr>
        <w:t>www.edocumentview.com/EYE</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  </w:t>
      </w:r>
      <w:r>
        <w:rPr>
          <w:sz w:val="1"/>
          <w:szCs w:val="1"/>
          <w:color w:val="auto"/>
        </w:rPr>
        <w:drawing>
          <wp:inline distT="0" distB="0" distL="0" distR="0">
            <wp:extent cx="291465" cy="2228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VOTING METHODS</w:t>
      </w:r>
    </w:p>
    <w:p>
      <w:pPr>
        <w:spacing w:after="0" w:line="140" w:lineRule="exact"/>
        <w:rPr>
          <w:sz w:val="20"/>
          <w:szCs w:val="20"/>
          <w:color w:val="auto"/>
        </w:rPr>
      </w:pPr>
    </w:p>
    <w:p>
      <w:pPr>
        <w:ind w:left="760" w:right="860"/>
        <w:spacing w:after="0" w:line="252" w:lineRule="auto"/>
        <w:rPr>
          <w:sz w:val="20"/>
          <w:szCs w:val="20"/>
          <w:color w:val="auto"/>
        </w:rPr>
      </w:pPr>
      <w:r>
        <w:rPr>
          <w:rFonts w:ascii="Arial" w:cs="Arial" w:eastAsia="Arial" w:hAnsi="Arial"/>
          <w:sz w:val="18"/>
          <w:szCs w:val="18"/>
          <w:color w:val="auto"/>
        </w:rPr>
        <w:t>If at the close of business on April 16, 2019, you were a stockholder of record or held shares through a broker or bank, you may vote your shares by proxy at the Annual Meeting. If you were a stockholder of record, you may vote your shares over the Internet, by telephone or by mail, or you may vote in person at the Annual Meeting. You may also revoke your proxy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77" w:lineRule="exact"/>
        <w:rPr>
          <w:sz w:val="20"/>
          <w:szCs w:val="20"/>
          <w:color w:val="auto"/>
        </w:rPr>
      </w:pPr>
    </w:p>
    <w:p>
      <w:pPr>
        <w:ind w:left="760" w:right="820"/>
        <w:spacing w:after="0" w:line="269" w:lineRule="auto"/>
        <w:rPr>
          <w:sz w:val="20"/>
          <w:szCs w:val="20"/>
          <w:color w:val="auto"/>
        </w:rPr>
      </w:pPr>
      <w:r>
        <w:rPr>
          <w:rFonts w:ascii="Arial" w:cs="Arial" w:eastAsia="Arial" w:hAnsi="Arial"/>
          <w:sz w:val="18"/>
          <w:szCs w:val="18"/>
          <w:b w:val="1"/>
          <w:bCs w:val="1"/>
          <w:color w:val="auto"/>
        </w:rPr>
        <w:t>If you are a stockholder of record, your vote must be received by 11:59 p.m., Eastern Time, on June 10, 2019 to be counted. If you hold shares through a broker, bank or other nominee, please refer to information from your bank, broker or nominee for voting instructions.</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vote by proxy if you are a stockholder of record:</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91" w:lineRule="exact"/>
        <w:rPr>
          <w:sz w:val="20"/>
          <w:szCs w:val="20"/>
          <w:color w:val="auto"/>
        </w:rPr>
      </w:pPr>
    </w:p>
    <w:p>
      <w:pPr>
        <w:ind w:left="980" w:hanging="216"/>
        <w:spacing w:after="0"/>
        <w:tabs>
          <w:tab w:leader="none" w:pos="980" w:val="left"/>
        </w:tabs>
        <w:numPr>
          <w:ilvl w:val="0"/>
          <w:numId w:val="4"/>
        </w:numPr>
        <w:rPr>
          <w:rFonts w:ascii="Arial" w:cs="Arial" w:eastAsia="Arial" w:hAnsi="Arial"/>
          <w:sz w:val="18"/>
          <w:szCs w:val="18"/>
          <w:color w:val="3C5896"/>
        </w:rPr>
      </w:pPr>
      <w:r>
        <w:rPr>
          <w:rFonts w:ascii="Arial" w:cs="Arial" w:eastAsia="Arial" w:hAnsi="Arial"/>
          <w:sz w:val="18"/>
          <w:szCs w:val="18"/>
          <w:color w:val="auto"/>
        </w:rPr>
        <w:t xml:space="preserve">Go to the website </w:t>
      </w:r>
      <w:r>
        <w:rPr>
          <w:rFonts w:ascii="Arial" w:cs="Arial" w:eastAsia="Arial" w:hAnsi="Arial"/>
          <w:sz w:val="18"/>
          <w:szCs w:val="18"/>
          <w:u w:val="single" w:color="auto"/>
          <w:color w:val="auto"/>
        </w:rPr>
        <w:t>www.investorvote.com/EYE</w:t>
      </w:r>
      <w:r>
        <w:rPr>
          <w:rFonts w:ascii="Arial" w:cs="Arial" w:eastAsia="Arial" w:hAnsi="Arial"/>
          <w:sz w:val="18"/>
          <w:szCs w:val="18"/>
          <w:color w:val="auto"/>
        </w:rPr>
        <w:t xml:space="preserve"> and follow the instructions, 24 hours a day, seven days a week.</w:t>
      </w:r>
    </w:p>
    <w:p>
      <w:pPr>
        <w:spacing w:after="0" w:line="103" w:lineRule="exact"/>
        <w:rPr>
          <w:rFonts w:ascii="Arial" w:cs="Arial" w:eastAsia="Arial" w:hAnsi="Arial"/>
          <w:sz w:val="18"/>
          <w:szCs w:val="18"/>
          <w:color w:val="3C5896"/>
        </w:rPr>
      </w:pPr>
    </w:p>
    <w:p>
      <w:pPr>
        <w:ind w:left="980" w:right="880" w:hanging="216"/>
        <w:spacing w:after="0" w:line="262" w:lineRule="auto"/>
        <w:tabs>
          <w:tab w:leader="none" w:pos="980" w:val="left"/>
        </w:tabs>
        <w:numPr>
          <w:ilvl w:val="0"/>
          <w:numId w:val="4"/>
        </w:numPr>
        <w:rPr>
          <w:rFonts w:ascii="Arial" w:cs="Arial" w:eastAsia="Arial" w:hAnsi="Arial"/>
          <w:sz w:val="18"/>
          <w:szCs w:val="18"/>
          <w:color w:val="3C5896"/>
        </w:rPr>
      </w:pPr>
      <w:r>
        <w:rPr>
          <w:rFonts w:ascii="Arial" w:cs="Arial" w:eastAsia="Arial" w:hAnsi="Arial"/>
          <w:sz w:val="18"/>
          <w:szCs w:val="18"/>
          <w:color w:val="auto"/>
        </w:rPr>
        <w:t>You will need the 16-digit number included on your proxy card to obtain your records and to create an electronic voting instruction form.</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4" w:lineRule="exact"/>
        <w:rPr>
          <w:sz w:val="20"/>
          <w:szCs w:val="20"/>
          <w:color w:val="auto"/>
        </w:rPr>
      </w:pPr>
    </w:p>
    <w:p>
      <w:pPr>
        <w:ind w:left="980" w:right="860" w:hanging="216"/>
        <w:spacing w:after="0" w:line="262" w:lineRule="auto"/>
        <w:tabs>
          <w:tab w:leader="none" w:pos="980" w:val="left"/>
        </w:tabs>
        <w:numPr>
          <w:ilvl w:val="0"/>
          <w:numId w:val="5"/>
        </w:numPr>
        <w:rPr>
          <w:rFonts w:ascii="Arial" w:cs="Arial" w:eastAsia="Arial" w:hAnsi="Arial"/>
          <w:sz w:val="18"/>
          <w:szCs w:val="18"/>
          <w:color w:val="3C5896"/>
        </w:rPr>
      </w:pPr>
      <w:r>
        <w:rPr>
          <w:rFonts w:ascii="Arial" w:cs="Arial" w:eastAsia="Arial" w:hAnsi="Arial"/>
          <w:sz w:val="18"/>
          <w:szCs w:val="18"/>
          <w:color w:val="auto"/>
        </w:rPr>
        <w:t>From a touch-tone telephone, dial 1-800-652-VOTE (8683) and follow the recorded instructions, 24 hours a day, seven days a week.</w:t>
      </w:r>
    </w:p>
    <w:p>
      <w:pPr>
        <w:spacing w:after="0" w:line="61" w:lineRule="exact"/>
        <w:rPr>
          <w:rFonts w:ascii="Arial" w:cs="Arial" w:eastAsia="Arial" w:hAnsi="Arial"/>
          <w:sz w:val="18"/>
          <w:szCs w:val="18"/>
          <w:color w:val="3C5896"/>
        </w:rPr>
      </w:pPr>
    </w:p>
    <w:p>
      <w:pPr>
        <w:ind w:left="980" w:hanging="216"/>
        <w:spacing w:after="0"/>
        <w:tabs>
          <w:tab w:leader="none" w:pos="980" w:val="left"/>
        </w:tabs>
        <w:numPr>
          <w:ilvl w:val="0"/>
          <w:numId w:val="5"/>
        </w:numPr>
        <w:rPr>
          <w:rFonts w:ascii="Arial" w:cs="Arial" w:eastAsia="Arial" w:hAnsi="Arial"/>
          <w:sz w:val="18"/>
          <w:szCs w:val="18"/>
          <w:color w:val="3C5896"/>
        </w:rPr>
      </w:pPr>
      <w:r>
        <w:rPr>
          <w:rFonts w:ascii="Arial" w:cs="Arial" w:eastAsia="Arial" w:hAnsi="Arial"/>
          <w:sz w:val="18"/>
          <w:szCs w:val="18"/>
          <w:color w:val="auto"/>
        </w:rPr>
        <w:t>You will need the 16-digit number included on your proxy card in order to vote by telephone.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4" w:lineRule="exact"/>
        <w:rPr>
          <w:sz w:val="20"/>
          <w:szCs w:val="20"/>
          <w:color w:val="auto"/>
        </w:rPr>
      </w:pPr>
    </w:p>
    <w:p>
      <w:pPr>
        <w:ind w:left="980" w:hanging="216"/>
        <w:spacing w:after="0"/>
        <w:tabs>
          <w:tab w:leader="none" w:pos="98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Mark your selections on the proxy card.</w:t>
      </w:r>
    </w:p>
    <w:p>
      <w:pPr>
        <w:spacing w:after="0" w:line="90" w:lineRule="exact"/>
        <w:rPr>
          <w:rFonts w:ascii="Arial" w:cs="Arial" w:eastAsia="Arial" w:hAnsi="Arial"/>
          <w:sz w:val="18"/>
          <w:szCs w:val="18"/>
          <w:color w:val="3C5896"/>
        </w:rPr>
      </w:pPr>
    </w:p>
    <w:p>
      <w:pPr>
        <w:ind w:left="980" w:hanging="216"/>
        <w:spacing w:after="0"/>
        <w:tabs>
          <w:tab w:leader="none" w:pos="98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Date and sign your name exactly as it appears on your proxy card.</w:t>
      </w:r>
    </w:p>
    <w:p>
      <w:pPr>
        <w:spacing w:after="0" w:line="103" w:lineRule="exact"/>
        <w:rPr>
          <w:rFonts w:ascii="Arial" w:cs="Arial" w:eastAsia="Arial" w:hAnsi="Arial"/>
          <w:sz w:val="18"/>
          <w:szCs w:val="18"/>
          <w:color w:val="3C5896"/>
        </w:rPr>
      </w:pPr>
    </w:p>
    <w:p>
      <w:pPr>
        <w:ind w:left="980" w:hanging="216"/>
        <w:spacing w:after="0"/>
        <w:tabs>
          <w:tab w:leader="none" w:pos="98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Mail the proxy card in the enclosed postage-paid envelope provided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3101975</wp:posOffset>
            </wp:positionV>
            <wp:extent cx="29146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ind w:left="7500"/>
              <w:spacing w:after="0"/>
              <w:rPr>
                <w:sz w:val="20"/>
                <w:szCs w:val="20"/>
                <w:color w:val="auto"/>
              </w:rPr>
            </w:pPr>
            <w:r>
              <w:rPr>
                <w:rFonts w:ascii="Arial" w:cs="Arial" w:eastAsia="Arial" w:hAnsi="Arial"/>
                <w:sz w:val="16"/>
                <w:szCs w:val="16"/>
                <w:color w:val="auto"/>
              </w:rPr>
              <w:t>2019 Proxy Statement</w:t>
            </w:r>
          </w:p>
        </w:tc>
        <w:tc>
          <w:tcPr>
            <w:tcW w:w="1260" w:type="dxa"/>
            <w:vAlign w:val="bottom"/>
          </w:tcPr>
          <w:p>
            <w:pPr>
              <w:jc w:val="right"/>
              <w:ind w:right="699"/>
              <w:spacing w:after="0"/>
              <w:rPr>
                <w:sz w:val="20"/>
                <w:szCs w:val="20"/>
                <w:color w:val="auto"/>
              </w:rPr>
            </w:pPr>
            <w:r>
              <w:rPr>
                <w:rFonts w:ascii="Arial" w:cs="Arial" w:eastAsia="Arial" w:hAnsi="Arial"/>
                <w:sz w:val="16"/>
                <w:szCs w:val="16"/>
                <w:b w:val="1"/>
                <w:bCs w:val="1"/>
                <w:color w:val="auto"/>
              </w:rPr>
              <w:t>3</w:t>
            </w:r>
          </w:p>
        </w:tc>
      </w:tr>
      <w:tr>
        <w:trPr>
          <w:trHeight w:val="310"/>
        </w:trPr>
        <w:tc>
          <w:tcPr>
            <w:tcW w:w="9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Annual Meeting of Stockholders</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June 11, 2019</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PROPOSAL NO. 1—ELECTION OF DIRECTORS</w:t>
      </w:r>
    </w:p>
    <w:p>
      <w:pPr>
        <w:spacing w:after="0" w:line="114" w:lineRule="exact"/>
        <w:rPr>
          <w:sz w:val="20"/>
          <w:szCs w:val="20"/>
          <w:color w:val="auto"/>
        </w:rPr>
      </w:pPr>
    </w:p>
    <w:p>
      <w:pPr>
        <w:ind w:left="760" w:right="739"/>
        <w:spacing w:after="0" w:line="254" w:lineRule="auto"/>
        <w:rPr>
          <w:sz w:val="20"/>
          <w:szCs w:val="20"/>
          <w:color w:val="auto"/>
        </w:rPr>
      </w:pPr>
      <w:r>
        <w:rPr>
          <w:rFonts w:ascii="Arial" w:cs="Arial" w:eastAsia="Arial" w:hAnsi="Arial"/>
          <w:sz w:val="18"/>
          <w:szCs w:val="18"/>
          <w:color w:val="auto"/>
        </w:rPr>
        <w:t>Our Board of Directors (the “Board of Directors” or “Board”) manages or directs our business and affairs, as provided by Delaware law, and conducts its business through meetings of the Board and three standing committees: the audit committee, the nominating and corporate governance committee and the compensation committee. The Board is currently comprised of seven directors, six of whom are independent.</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Certificate of Incorporation provides for a classified Board, with two directors currently in Class I</w:t>
      </w:r>
    </w:p>
    <w:p>
      <w:pPr>
        <w:spacing w:after="0" w:line="9" w:lineRule="exact"/>
        <w:rPr>
          <w:sz w:val="20"/>
          <w:szCs w:val="20"/>
          <w:color w:val="auto"/>
        </w:rPr>
      </w:pPr>
    </w:p>
    <w:p>
      <w:pPr>
        <w:ind w:left="760" w:right="319"/>
        <w:spacing w:after="0" w:line="278" w:lineRule="auto"/>
        <w:rPr>
          <w:sz w:val="20"/>
          <w:szCs w:val="20"/>
          <w:color w:val="auto"/>
        </w:rPr>
      </w:pPr>
      <w:r>
        <w:rPr>
          <w:rFonts w:ascii="Arial" w:cs="Arial" w:eastAsia="Arial" w:hAnsi="Arial"/>
          <w:sz w:val="17"/>
          <w:szCs w:val="17"/>
          <w:color w:val="auto"/>
        </w:rPr>
        <w:t>(Messrs. N. Taylor and Fahs), two directors currently in Class II (Messrs. Peeler and Gernburd), and three directors currently in Class III (Messrs. Tehle and T. Taylor and Ms. Hepner). One class of directors stands for election at each of our Annual Meetings of Stockholders, with directors elected to serve for staggered three-year terms.</w:t>
      </w:r>
    </w:p>
    <w:p>
      <w:pPr>
        <w:spacing w:after="0" w:line="77" w:lineRule="exact"/>
        <w:rPr>
          <w:sz w:val="20"/>
          <w:szCs w:val="20"/>
          <w:color w:val="auto"/>
        </w:rPr>
      </w:pPr>
    </w:p>
    <w:p>
      <w:pPr>
        <w:ind w:left="760" w:right="319"/>
        <w:spacing w:after="0" w:line="253" w:lineRule="auto"/>
        <w:rPr>
          <w:sz w:val="20"/>
          <w:szCs w:val="20"/>
          <w:color w:val="auto"/>
        </w:rPr>
      </w:pPr>
      <w:r>
        <w:rPr>
          <w:rFonts w:ascii="Arial" w:cs="Arial" w:eastAsia="Arial" w:hAnsi="Arial"/>
          <w:sz w:val="18"/>
          <w:szCs w:val="18"/>
          <w:color w:val="auto"/>
        </w:rPr>
        <w:t>The terms of our two current Class II directors expire on the date of the Annual Meeting, subject to the election and qualification of their successors. Mr. Gernburd will not be standing for reelection and will complete his service on the Board immediately following the Annual Meeting. As a result, the size of the Board will be reduced from seven to six directors. Upon the recommendation of the nominating and corporate governance committee, the Board has nominated D. Randolph Peeler for election as a Class II director for a three-year term expiring in 2022.</w:t>
      </w:r>
    </w:p>
    <w:p>
      <w:pPr>
        <w:spacing w:after="0" w:line="97" w:lineRule="exact"/>
        <w:rPr>
          <w:sz w:val="20"/>
          <w:szCs w:val="20"/>
          <w:color w:val="auto"/>
        </w:rPr>
      </w:pPr>
    </w:p>
    <w:p>
      <w:pPr>
        <w:ind w:left="760" w:right="339"/>
        <w:spacing w:after="0" w:line="253"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D. Randolph Peeler. We have no reason to believe that Mr. Peeler will be unable or unwilling to serve if elected. If Mr. Peeler ceases to be a candidate for election by the time of the Annual Meeting (a contingency which the Board does not expect to occur), such proxies may be voted by the proxyholders in accordance with the recommendation of the Board.</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Nominee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8" w:lineRule="exact"/>
        <w:rPr>
          <w:sz w:val="20"/>
          <w:szCs w:val="20"/>
          <w:color w:val="auto"/>
        </w:rPr>
      </w:pPr>
    </w:p>
    <w:p>
      <w:pPr>
        <w:ind w:left="760" w:right="559"/>
        <w:spacing w:after="0" w:line="262" w:lineRule="auto"/>
        <w:rPr>
          <w:sz w:val="20"/>
          <w:szCs w:val="20"/>
          <w:color w:val="auto"/>
        </w:rPr>
      </w:pPr>
      <w:r>
        <w:rPr>
          <w:rFonts w:ascii="Arial" w:cs="Arial" w:eastAsia="Arial" w:hAnsi="Arial"/>
          <w:sz w:val="18"/>
          <w:szCs w:val="18"/>
          <w:color w:val="auto"/>
        </w:rPr>
        <w:t>Set forth below is certain information regarding the director nominee. Beneficial ownership of equity securities of the director nominee is shown under “Ownership of Securities” below.</w:t>
      </w:r>
    </w:p>
    <w:p>
      <w:pPr>
        <w:spacing w:after="0" w:line="273"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3C5896"/>
        </w:rPr>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-139065</wp:posOffset>
            </wp:positionV>
            <wp:extent cx="5788660" cy="1243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8660" cy="1243330"/>
                    </a:xfrm>
                    <a:prstGeom prst="rect">
                      <a:avLst/>
                    </a:prstGeom>
                    <a:noFill/>
                  </pic:spPr>
                </pic:pic>
              </a:graphicData>
            </a:graphic>
          </wp:anchor>
        </w:drawing>
      </w:r>
    </w:p>
    <w:p>
      <w:pPr>
        <w:spacing w:after="0" w:line="12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2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54</w:t>
      </w:r>
    </w:p>
    <w:p>
      <w:pPr>
        <w:spacing w:after="0" w:line="108"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60" w:right="359"/>
        <w:spacing w:after="0" w:line="244" w:lineRule="auto"/>
        <w:rPr>
          <w:sz w:val="20"/>
          <w:szCs w:val="20"/>
          <w:color w:val="auto"/>
        </w:rPr>
      </w:pPr>
      <w:r>
        <w:rPr>
          <w:rFonts w:ascii="Arial" w:cs="Arial" w:eastAsia="Arial" w:hAnsi="Arial"/>
          <w:sz w:val="14"/>
          <w:szCs w:val="14"/>
          <w:color w:val="auto"/>
        </w:rPr>
        <w:t>Mr. Peeler joined Berkshire Partners LLC (“Berkshire”) in 1996 and became a Managing 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Husky Injection Molding Systems Ltd. and Lightower Fiber Networks. Mr. Peeler has an A.B. from Duke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162560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479425</wp:posOffset>
            </wp:positionV>
            <wp:extent cx="5840095" cy="454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i w:val="1"/>
          <w:iCs w:val="1"/>
          <w:color w:val="3C5896"/>
        </w:rPr>
        <w:t>YOUR BOARD OF DIRECTORS RECOMMENDS THAT YOU VOTE “FOR” THE ELECTION</w:t>
      </w:r>
    </w:p>
    <w:p>
      <w:pPr>
        <w:spacing w:after="0" w:line="32"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i w:val="1"/>
          <w:iCs w:val="1"/>
          <w:color w:val="3C5896"/>
        </w:rPr>
        <w:t>OF THE DIRECTOR NOMINEE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  </w:t>
      </w:r>
      <w:r>
        <w:rPr>
          <w:sz w:val="1"/>
          <w:szCs w:val="1"/>
          <w:color w:val="auto"/>
        </w:rPr>
        <w:drawing>
          <wp:inline distT="0" distB="0" distL="0" distR="0">
            <wp:extent cx="291465" cy="2228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FFFFFF"/>
        </w:rPr>
        <w:t>PROPOSAL NO. 1—ELECTION OF DIRECTORS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23" w:lineRule="exact"/>
        <w:rPr>
          <w:sz w:val="20"/>
          <w:szCs w:val="20"/>
          <w:color w:val="auto"/>
        </w:rPr>
      </w:pPr>
    </w:p>
    <w:p>
      <w:pPr>
        <w:ind w:left="760" w:right="1120"/>
        <w:spacing w:after="0" w:line="256" w:lineRule="auto"/>
        <w:rPr>
          <w:sz w:val="20"/>
          <w:szCs w:val="20"/>
          <w:color w:val="auto"/>
        </w:rPr>
      </w:pPr>
      <w:r>
        <w:rPr>
          <w:rFonts w:ascii="Arial" w:cs="Arial" w:eastAsia="Arial" w:hAnsi="Arial"/>
          <w:sz w:val="18"/>
          <w:szCs w:val="18"/>
          <w:color w:val="auto"/>
        </w:rPr>
        <w:t>Set forth below is certain information regarding each director whose term continues beyond the Annual Meeting and who is not subject to election this year. Beneficial ownership of equity securities for these directors is also shown under “Ownership of Securities” below.</w:t>
      </w:r>
    </w:p>
    <w:p>
      <w:pPr>
        <w:spacing w:after="0" w:line="278"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3C5896"/>
        </w:rPr>
        <w:t>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-139065</wp:posOffset>
            </wp:positionV>
            <wp:extent cx="5788660" cy="1243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8660" cy="1243330"/>
                    </a:xfrm>
                    <a:prstGeom prst="rect">
                      <a:avLst/>
                    </a:prstGeom>
                    <a:noFill/>
                  </pic:spPr>
                </pic:pic>
              </a:graphicData>
            </a:graphic>
          </wp:anchor>
        </w:drawing>
      </w:r>
    </w:p>
    <w:p>
      <w:pPr>
        <w:spacing w:after="0" w:line="12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2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58</w:t>
      </w:r>
    </w:p>
    <w:p>
      <w:pPr>
        <w:spacing w:after="0" w:line="108"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60" w:right="840"/>
        <w:spacing w:after="0" w:line="243" w:lineRule="auto"/>
        <w:rPr>
          <w:sz w:val="20"/>
          <w:szCs w:val="20"/>
          <w:color w:val="auto"/>
        </w:rPr>
      </w:pPr>
      <w:r>
        <w:rPr>
          <w:rFonts w:ascii="Arial" w:cs="Arial" w:eastAsia="Arial" w:hAnsi="Arial"/>
          <w:sz w:val="14"/>
          <w:szCs w:val="14"/>
          <w:color w:val="auto"/>
        </w:rPr>
        <w:t>Mr. Fahs has served as the Chief Executive Officer of National Vision, Inc. (“NVI”) since January 2003, having joined NVI in April 2002 as the 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5840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54"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3C5896"/>
        </w:rPr>
        <w:t>Nathaniel H.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-139065</wp:posOffset>
            </wp:positionV>
            <wp:extent cx="5780405" cy="1243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0405" cy="1243330"/>
                    </a:xfrm>
                    <a:prstGeom prst="rect">
                      <a:avLst/>
                    </a:prstGeom>
                    <a:noFill/>
                  </pic:spPr>
                </pic:pic>
              </a:graphicData>
            </a:graphic>
          </wp:anchor>
        </w:drawing>
      </w:r>
    </w:p>
    <w:p>
      <w:pPr>
        <w:spacing w:after="0" w:line="12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February 2014</w:t>
      </w:r>
    </w:p>
    <w:p>
      <w:pPr>
        <w:spacing w:after="0" w:line="2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42</w:t>
      </w:r>
    </w:p>
    <w:p>
      <w:pPr>
        <w:spacing w:after="0" w:line="9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60" w:right="820"/>
        <w:spacing w:after="0" w:line="244" w:lineRule="auto"/>
        <w:rPr>
          <w:sz w:val="20"/>
          <w:szCs w:val="20"/>
          <w:color w:val="auto"/>
        </w:rPr>
      </w:pPr>
      <w:r>
        <w:rPr>
          <w:rFonts w:ascii="Arial" w:cs="Arial" w:eastAsia="Arial" w:hAnsi="Arial"/>
          <w:sz w:val="14"/>
          <w:szCs w:val="14"/>
          <w:color w:val="auto"/>
        </w:rPr>
        <w:t>Mr. Taylor has served as Chairman of the Board since October 2017. Mr. Taylor joined KKR &amp; Co. Inc. (“KKR”) in 2005 and currently heads the Americas Consumer Retail team. Mr. Taylor also helped establish KKR’s Indian operations. Mr. Taylor has been involved with many investments at KKR and currently sits on the board of directors of Academy Sports + Outdoors, Mills Fleet Farm, and Nature’s Bounty Company. Before joining KKR,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128270</wp:posOffset>
            </wp:positionV>
            <wp:extent cx="58400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3C5896"/>
        </w:rPr>
        <w:t>David M. Tehle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-139065</wp:posOffset>
            </wp:positionV>
            <wp:extent cx="5780405" cy="1243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0405" cy="1243330"/>
                    </a:xfrm>
                    <a:prstGeom prst="rect">
                      <a:avLst/>
                    </a:prstGeom>
                    <a:noFill/>
                  </pic:spPr>
                </pic:pic>
              </a:graphicData>
            </a:graphic>
          </wp:anchor>
        </w:drawing>
      </w:r>
    </w:p>
    <w:p>
      <w:pPr>
        <w:spacing w:after="0" w:line="12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July 2017</w:t>
      </w:r>
    </w:p>
    <w:p>
      <w:pPr>
        <w:spacing w:after="0" w:line="2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9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60" w:right="800"/>
        <w:spacing w:after="0" w:line="244" w:lineRule="auto"/>
        <w:rPr>
          <w:sz w:val="20"/>
          <w:szCs w:val="20"/>
          <w:color w:val="auto"/>
        </w:rPr>
      </w:pPr>
      <w:r>
        <w:rPr>
          <w:rFonts w:ascii="Arial" w:cs="Arial" w:eastAsia="Arial" w:hAnsi="Arial"/>
          <w:sz w:val="14"/>
          <w:szCs w:val="14"/>
          <w:color w:val="auto"/>
        </w:rPr>
        <w:t>Mr. Tehle retired from Dollar General Corporation in July 2015 as 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Genesco, Inc. in 2016, serving on the audit committee, and the board of directors of US Foods Holding Corp. in 2016, serving on the audit and compensation committees. Mr. Tehle holds a B.S. from the University of Wisconsin-Oshkosh and an M.B.A. from the University of Michigan’s Ross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128270</wp:posOffset>
            </wp:positionV>
            <wp:extent cx="58400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3C5896"/>
        </w:rPr>
        <w:t>Virginia A. Hepner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-139065</wp:posOffset>
            </wp:positionV>
            <wp:extent cx="5780405" cy="1243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80405" cy="1243330"/>
                    </a:xfrm>
                    <a:prstGeom prst="rect">
                      <a:avLst/>
                    </a:prstGeom>
                    <a:noFill/>
                  </pic:spPr>
                </pic:pic>
              </a:graphicData>
            </a:graphic>
          </wp:anchor>
        </w:drawing>
      </w:r>
    </w:p>
    <w:p>
      <w:pPr>
        <w:spacing w:after="0" w:line="12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2018</w:t>
      </w:r>
    </w:p>
    <w:p>
      <w:pPr>
        <w:spacing w:after="0" w:line="2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p>
      <w:pPr>
        <w:spacing w:after="0" w:line="108"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60" w:right="860"/>
        <w:spacing w:after="0" w:line="243" w:lineRule="auto"/>
        <w:rPr>
          <w:sz w:val="20"/>
          <w:szCs w:val="20"/>
          <w:color w:val="auto"/>
        </w:rPr>
      </w:pPr>
      <w:r>
        <w:rPr>
          <w:rFonts w:ascii="Arial" w:cs="Arial" w:eastAsia="Arial" w:hAnsi="Arial"/>
          <w:sz w:val="14"/>
          <w:szCs w:val="14"/>
          <w:color w:val="auto"/>
        </w:rPr>
        <w:t>Ms. Hepner is the former President and Chief Executive Officer of The Woodruff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Ms. Hepner has been a member of the board of directors of Cadence Bancorporation since January 2019, serving on its audit committee, and had served as a director of State Bank Financial Corporation which merged with Cadence on January 1, 2019, serving on its audit committee and independent director committee, and as a director of its subsidiary bank, State Bank and Trust Company, from 2010 to 2019. Additionally, Ms. Hepner has been a member of the board of directors of Oxford Industries, Inc. since 2016, serving on its nominating, compensation and governance committee. Ms. Hepner holds a bachelor’s degree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16510</wp:posOffset>
            </wp:positionV>
            <wp:extent cx="58400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273685</wp:posOffset>
            </wp:positionV>
            <wp:extent cx="29146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ind w:left="7500"/>
              <w:spacing w:after="0"/>
              <w:rPr>
                <w:sz w:val="20"/>
                <w:szCs w:val="20"/>
                <w:color w:val="auto"/>
              </w:rPr>
            </w:pPr>
            <w:r>
              <w:rPr>
                <w:rFonts w:ascii="Arial" w:cs="Arial" w:eastAsia="Arial" w:hAnsi="Arial"/>
                <w:sz w:val="16"/>
                <w:szCs w:val="16"/>
                <w:color w:val="auto"/>
              </w:rPr>
              <w:t>2019 Proxy Statement</w:t>
            </w:r>
          </w:p>
        </w:tc>
        <w:tc>
          <w:tcPr>
            <w:tcW w:w="1260" w:type="dxa"/>
            <w:vAlign w:val="bottom"/>
          </w:tcPr>
          <w:p>
            <w:pPr>
              <w:jc w:val="right"/>
              <w:ind w:right="699"/>
              <w:spacing w:after="0"/>
              <w:rPr>
                <w:sz w:val="20"/>
                <w:szCs w:val="20"/>
                <w:color w:val="auto"/>
              </w:rPr>
            </w:pPr>
            <w:r>
              <w:rPr>
                <w:rFonts w:ascii="Arial" w:cs="Arial" w:eastAsia="Arial" w:hAnsi="Arial"/>
                <w:sz w:val="16"/>
                <w:szCs w:val="16"/>
                <w:b w:val="1"/>
                <w:bCs w:val="1"/>
                <w:color w:val="auto"/>
              </w:rPr>
              <w:t>5</w:t>
            </w:r>
          </w:p>
        </w:tc>
      </w:tr>
      <w:tr>
        <w:trPr>
          <w:trHeight w:val="310"/>
        </w:trPr>
        <w:tc>
          <w:tcPr>
            <w:tcW w:w="9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PROPOSAL NO. 1—ELECTION OF DIRECTORS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75"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3C5896"/>
        </w:rPr>
        <w:t>Thomas V.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-139065</wp:posOffset>
            </wp:positionV>
            <wp:extent cx="5780405" cy="1243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80405" cy="1243330"/>
                    </a:xfrm>
                    <a:prstGeom prst="rect">
                      <a:avLst/>
                    </a:prstGeom>
                    <a:noFill/>
                  </pic:spPr>
                </pic:pic>
              </a:graphicData>
            </a:graphic>
          </wp:anchor>
        </w:drawing>
      </w:r>
    </w:p>
    <w:p>
      <w:pPr>
        <w:spacing w:after="0" w:line="12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2018</w:t>
      </w:r>
    </w:p>
    <w:p>
      <w:pPr>
        <w:spacing w:after="0" w:line="2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53</w:t>
      </w:r>
    </w:p>
    <w:p>
      <w:pPr>
        <w:spacing w:after="0" w:line="9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ind w:left="2460" w:right="439"/>
        <w:spacing w:after="0" w:line="241" w:lineRule="auto"/>
        <w:rPr>
          <w:sz w:val="20"/>
          <w:szCs w:val="20"/>
          <w:color w:val="auto"/>
        </w:rPr>
      </w:pPr>
      <w:r>
        <w:rPr>
          <w:rFonts w:ascii="Arial" w:cs="Arial" w:eastAsia="Arial" w:hAnsi="Arial"/>
          <w:sz w:val="14"/>
          <w:szCs w:val="14"/>
          <w:color w:val="auto"/>
        </w:rPr>
        <w:t>Mr. Taylor has served as Floor &amp; Decor’s Chief Executive Officer and as a Director since December 2012, including during its 2017 IPO. Starting his retail career working at a Miami Home Depot store in 1983 at the age of 16,</w:t>
      </w:r>
    </w:p>
    <w:p>
      <w:pPr>
        <w:spacing w:after="0" w:line="1" w:lineRule="exact"/>
        <w:rPr>
          <w:sz w:val="20"/>
          <w:szCs w:val="20"/>
          <w:color w:val="auto"/>
        </w:rPr>
      </w:pPr>
    </w:p>
    <w:p>
      <w:pPr>
        <w:ind w:left="2460" w:right="339"/>
        <w:spacing w:after="0" w:line="245" w:lineRule="auto"/>
        <w:rPr>
          <w:sz w:val="20"/>
          <w:szCs w:val="20"/>
          <w:color w:val="auto"/>
        </w:rPr>
      </w:pPr>
      <w:r>
        <w:rPr>
          <w:rFonts w:ascii="Arial" w:cs="Arial" w:eastAsia="Arial" w:hAnsi="Arial"/>
          <w:sz w:val="14"/>
          <w:szCs w:val="14"/>
          <w:color w:val="auto"/>
        </w:rPr>
        <w:t>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24130</wp:posOffset>
            </wp:positionV>
            <wp:extent cx="58400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  </w:t>
      </w:r>
      <w:r>
        <w:rPr>
          <w:sz w:val="1"/>
          <w:szCs w:val="1"/>
          <w:color w:val="auto"/>
        </w:rPr>
        <w:drawing>
          <wp:inline distT="0" distB="0" distL="0" distR="0">
            <wp:extent cx="291465" cy="22288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FFFFFF"/>
        </w:rPr>
        <w:t>BOARD OF DIRECTORS AND CERTAIN GOVERNANCE MATTERS</w:t>
      </w:r>
    </w:p>
    <w:p>
      <w:pPr>
        <w:spacing w:after="0" w:line="263" w:lineRule="exact"/>
        <w:rPr>
          <w:sz w:val="20"/>
          <w:szCs w:val="20"/>
          <w:color w:val="auto"/>
        </w:rPr>
      </w:pPr>
    </w:p>
    <w:p>
      <w:pPr>
        <w:ind w:left="760" w:right="4040"/>
        <w:spacing w:after="0" w:line="242" w:lineRule="auto"/>
        <w:rPr>
          <w:sz w:val="20"/>
          <w:szCs w:val="20"/>
          <w:color w:val="auto"/>
        </w:rPr>
      </w:pPr>
      <w:r>
        <w:rPr>
          <w:rFonts w:ascii="Arial" w:cs="Arial" w:eastAsia="Arial" w:hAnsi="Arial"/>
          <w:sz w:val="32"/>
          <w:szCs w:val="32"/>
          <w:color w:val="auto"/>
        </w:rPr>
        <w:t>BOARD OF DIRECTORS AND CERTAIN GOVERNANCE MATTERS</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jc w:val="both"/>
        <w:ind w:left="760" w:right="1000"/>
        <w:spacing w:after="0" w:line="256" w:lineRule="auto"/>
        <w:rPr>
          <w:sz w:val="20"/>
          <w:szCs w:val="20"/>
          <w:color w:val="auto"/>
        </w:rPr>
      </w:pPr>
      <w:r>
        <w:rPr>
          <w:rFonts w:ascii="Arial" w:cs="Arial" w:eastAsia="Arial" w:hAnsi="Arial"/>
          <w:sz w:val="18"/>
          <w:szCs w:val="18"/>
          <w:color w:val="auto"/>
        </w:rPr>
        <w:t>Under our Corporate Governance Guidelines and the Nasdaq Listing Rules, a director is not independent unless the Board affirmatively determines that he or she does not have a relationship with us, which in the opinion of the Board, would interfere with the exercise of independent judgment in carrying out the responsibilities of a director.</w:t>
      </w:r>
    </w:p>
    <w:p>
      <w:pPr>
        <w:spacing w:after="0" w:line="94" w:lineRule="exact"/>
        <w:rPr>
          <w:sz w:val="20"/>
          <w:szCs w:val="20"/>
          <w:color w:val="auto"/>
        </w:rPr>
      </w:pPr>
    </w:p>
    <w:p>
      <w:pPr>
        <w:ind w:left="760" w:right="820"/>
        <w:spacing w:after="0" w:line="256" w:lineRule="auto"/>
        <w:rPr>
          <w:sz w:val="20"/>
          <w:szCs w:val="20"/>
          <w:color w:val="auto"/>
        </w:rPr>
      </w:pPr>
      <w:r>
        <w:rPr>
          <w:rFonts w:ascii="Arial" w:cs="Arial" w:eastAsia="Arial" w:hAnsi="Arial"/>
          <w:sz w:val="18"/>
          <w:szCs w:val="18"/>
          <w:color w:val="auto"/>
        </w:rPr>
        <w:t>Our Corporate Governance Guidelines define independence in accordance with the independence standards in the current Nasdaq corporate governance rules for listed companies. Our Corporate Governance Guidelines require the Board to review the independence of all directors at least annually.</w:t>
      </w:r>
    </w:p>
    <w:p>
      <w:pPr>
        <w:spacing w:after="0" w:line="94" w:lineRule="exact"/>
        <w:rPr>
          <w:sz w:val="20"/>
          <w:szCs w:val="20"/>
          <w:color w:val="auto"/>
        </w:rPr>
      </w:pPr>
    </w:p>
    <w:p>
      <w:pPr>
        <w:ind w:left="760" w:right="900"/>
        <w:spacing w:after="0" w:line="256" w:lineRule="auto"/>
        <w:rPr>
          <w:sz w:val="20"/>
          <w:szCs w:val="20"/>
          <w:color w:val="auto"/>
        </w:rPr>
      </w:pPr>
      <w:r>
        <w:rPr>
          <w:rFonts w:ascii="Arial" w:cs="Arial" w:eastAsia="Arial" w:hAnsi="Arial"/>
          <w:sz w:val="18"/>
          <w:szCs w:val="18"/>
          <w:color w:val="auto"/>
        </w:rPr>
        <w:t>Our Board has affirmatively determined that all of the directors and nominee for director, except Mr. Fahs, are independent under the guidelines for director independence set forth in the Corporate Governance Guidelines and under all applicable Nasdaq guidelines.</w:t>
      </w:r>
    </w:p>
    <w:p>
      <w:pPr>
        <w:spacing w:after="0" w:line="94" w:lineRule="exact"/>
        <w:rPr>
          <w:sz w:val="20"/>
          <w:szCs w:val="20"/>
          <w:color w:val="auto"/>
        </w:rPr>
      </w:pPr>
    </w:p>
    <w:p>
      <w:pPr>
        <w:ind w:left="760" w:right="1500"/>
        <w:spacing w:after="0" w:line="262" w:lineRule="auto"/>
        <w:rPr>
          <w:sz w:val="20"/>
          <w:szCs w:val="20"/>
          <w:color w:val="auto"/>
        </w:rPr>
      </w:pPr>
      <w:r>
        <w:rPr>
          <w:rFonts w:ascii="Arial" w:cs="Arial" w:eastAsia="Arial" w:hAnsi="Arial"/>
          <w:sz w:val="18"/>
          <w:szCs w:val="18"/>
          <w:color w:val="auto"/>
        </w:rPr>
        <w:t>In making its independence determinations, the Board considered and reviewed all information known to it, including information identified through annual directors’ questionnaires.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Controlled Company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60" w:right="780"/>
        <w:spacing w:after="0" w:line="253" w:lineRule="auto"/>
        <w:rPr>
          <w:sz w:val="20"/>
          <w:szCs w:val="20"/>
          <w:color w:val="auto"/>
        </w:rPr>
      </w:pPr>
      <w:r>
        <w:rPr>
          <w:rFonts w:ascii="Arial" w:cs="Arial" w:eastAsia="Arial" w:hAnsi="Arial"/>
          <w:sz w:val="18"/>
          <w:szCs w:val="18"/>
          <w:color w:val="auto"/>
        </w:rPr>
        <w:t>Immediately after our initial public offering (the “IPO”), affiliates of KKR and private equity funds managed by Berkshire (the “Sponsors”) beneficially owned shares representing more than 50% of the voting power of our shares eligible to vote in the election of directors. As a result, we were a “controlled company” within the meaning of the Nasdaq Listing Rules. As a “controlled company” we were entitled to, and elected to, utilize certain Nasdaq corporate governance exemptions. Effective July 30, 2018, we no longer qualified as a “controlled company”.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ind w:left="760" w:right="800"/>
        <w:spacing w:after="0" w:line="252" w:lineRule="auto"/>
        <w:rPr>
          <w:sz w:val="20"/>
          <w:szCs w:val="20"/>
          <w:color w:val="auto"/>
        </w:rPr>
      </w:pPr>
      <w:r>
        <w:rPr>
          <w:rFonts w:ascii="Arial" w:cs="Arial" w:eastAsia="Arial" w:hAnsi="Arial"/>
          <w:sz w:val="18"/>
          <w:szCs w:val="18"/>
          <w:color w:val="auto"/>
        </w:rPr>
        <w:t>At each Annual Meeting of Stockholders, the successors to directors whose terms then expire will be elected to serve from the time of election and qualification until the third Annual Meeting following election. Our Certificate of Incorporation provides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99" w:lineRule="exact"/>
        <w:rPr>
          <w:sz w:val="20"/>
          <w:szCs w:val="20"/>
          <w:color w:val="auto"/>
        </w:rPr>
      </w:pPr>
    </w:p>
    <w:p>
      <w:pPr>
        <w:ind w:left="760" w:right="920"/>
        <w:spacing w:after="0" w:line="250" w:lineRule="auto"/>
        <w:rPr>
          <w:sz w:val="20"/>
          <w:szCs w:val="20"/>
          <w:color w:val="auto"/>
        </w:rPr>
      </w:pPr>
      <w:r>
        <w:rPr>
          <w:rFonts w:ascii="Arial" w:cs="Arial" w:eastAsia="Arial" w:hAnsi="Arial"/>
          <w:sz w:val="18"/>
          <w:szCs w:val="18"/>
          <w:color w:val="auto"/>
        </w:rPr>
        <w:t>In addition, pursuant to a stockholders agreement entered into in connection with our IPO, KKR has the right to designate nominees to our Board of Directors subject to the maintenance of certain ownership requirements in us. Currently, Mr. N. Taylor and Mr. Gernburd, who were nominated by KKR, serve on our Board of Directors.</w:t>
      </w:r>
    </w:p>
    <w:p>
      <w:pPr>
        <w:spacing w:after="0" w:line="1" w:lineRule="exact"/>
        <w:rPr>
          <w:sz w:val="20"/>
          <w:szCs w:val="20"/>
          <w:color w:val="auto"/>
        </w:rPr>
      </w:pPr>
    </w:p>
    <w:p>
      <w:pPr>
        <w:ind w:left="760" w:right="1320"/>
        <w:spacing w:after="0" w:line="262" w:lineRule="auto"/>
        <w:rPr>
          <w:sz w:val="20"/>
          <w:szCs w:val="20"/>
          <w:color w:val="auto"/>
        </w:rPr>
      </w:pPr>
      <w:r>
        <w:rPr>
          <w:rFonts w:ascii="Arial" w:cs="Arial" w:eastAsia="Arial" w:hAnsi="Arial"/>
          <w:sz w:val="18"/>
          <w:szCs w:val="18"/>
          <w:color w:val="auto"/>
        </w:rPr>
        <w:t>Mr. Gernburd is not standing for reelection at the Annual Meeting. See “Transactions with Related Persons— Stockholders Agreement.”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60" w:right="840"/>
        <w:spacing w:after="0" w:line="251" w:lineRule="auto"/>
        <w:rPr>
          <w:sz w:val="20"/>
          <w:szCs w:val="20"/>
          <w:color w:val="auto"/>
        </w:rPr>
      </w:pPr>
      <w:r>
        <w:rPr>
          <w:rFonts w:ascii="Arial" w:cs="Arial" w:eastAsia="Arial" w:hAnsi="Arial"/>
          <w:sz w:val="18"/>
          <w:szCs w:val="18"/>
          <w:color w:val="auto"/>
        </w:rPr>
        <w:t>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and stockholders agreement.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integrity, accountability, skills, experience, independence and ability to work collegially with the other members of the Board of Directors. In addition, although the Board considers diversity of viewpoints, background and experiences, the Board does not have a formal diversity policy. The nominating and corporate governance committee may identify candidates for election to the Board of Directors on its own, or by considering recommendations from stockholders, officers and employees of the Company and other sources that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134620</wp:posOffset>
            </wp:positionV>
            <wp:extent cx="291465"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ind w:left="7500"/>
              <w:spacing w:after="0"/>
              <w:rPr>
                <w:sz w:val="20"/>
                <w:szCs w:val="20"/>
                <w:color w:val="auto"/>
              </w:rPr>
            </w:pPr>
            <w:r>
              <w:rPr>
                <w:rFonts w:ascii="Arial" w:cs="Arial" w:eastAsia="Arial" w:hAnsi="Arial"/>
                <w:sz w:val="16"/>
                <w:szCs w:val="16"/>
                <w:color w:val="auto"/>
              </w:rPr>
              <w:t>2019 Proxy Statement</w:t>
            </w:r>
          </w:p>
        </w:tc>
        <w:tc>
          <w:tcPr>
            <w:tcW w:w="1260" w:type="dxa"/>
            <w:vAlign w:val="bottom"/>
          </w:tcPr>
          <w:p>
            <w:pPr>
              <w:jc w:val="right"/>
              <w:ind w:right="699"/>
              <w:spacing w:after="0"/>
              <w:rPr>
                <w:sz w:val="20"/>
                <w:szCs w:val="20"/>
                <w:color w:val="auto"/>
              </w:rPr>
            </w:pPr>
            <w:r>
              <w:rPr>
                <w:rFonts w:ascii="Arial" w:cs="Arial" w:eastAsia="Arial" w:hAnsi="Arial"/>
                <w:sz w:val="16"/>
                <w:szCs w:val="16"/>
                <w:b w:val="1"/>
                <w:bCs w:val="1"/>
                <w:color w:val="auto"/>
              </w:rPr>
              <w:t>7</w:t>
            </w:r>
          </w:p>
        </w:tc>
      </w:tr>
      <w:tr>
        <w:trPr>
          <w:trHeight w:val="310"/>
        </w:trPr>
        <w:tc>
          <w:tcPr>
            <w:tcW w:w="9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61" w:lineRule="exact"/>
        <w:rPr>
          <w:sz w:val="20"/>
          <w:szCs w:val="20"/>
          <w:color w:val="auto"/>
        </w:rPr>
      </w:pPr>
    </w:p>
    <w:p>
      <w:pPr>
        <w:ind w:left="760" w:right="539"/>
        <w:spacing w:after="0" w:line="262" w:lineRule="auto"/>
        <w:rPr>
          <w:sz w:val="20"/>
          <w:szCs w:val="20"/>
          <w:color w:val="auto"/>
        </w:rPr>
      </w:pPr>
      <w:r>
        <w:rPr>
          <w:rFonts w:ascii="Arial" w:cs="Arial" w:eastAsia="Arial" w:hAnsi="Arial"/>
          <w:sz w:val="18"/>
          <w:szCs w:val="18"/>
          <w:color w:val="auto"/>
        </w:rPr>
        <w:t>deems appropriate. The nominating and corporate governance committee may retain a third-party search firm to assist in the identification of possible candidates for election to the Board of Directors.</w:t>
      </w:r>
    </w:p>
    <w:p>
      <w:pPr>
        <w:spacing w:after="0" w:line="88" w:lineRule="exact"/>
        <w:rPr>
          <w:sz w:val="20"/>
          <w:szCs w:val="20"/>
          <w:color w:val="auto"/>
        </w:rPr>
      </w:pPr>
    </w:p>
    <w:p>
      <w:pPr>
        <w:ind w:left="760" w:right="279"/>
        <w:spacing w:after="0" w:line="253" w:lineRule="auto"/>
        <w:rPr>
          <w:sz w:val="20"/>
          <w:szCs w:val="20"/>
          <w:color w:val="auto"/>
        </w:rPr>
      </w:pPr>
      <w:r>
        <w:rPr>
          <w:rFonts w:ascii="Arial" w:cs="Arial" w:eastAsia="Arial" w:hAnsi="Arial"/>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97" w:lineRule="exact"/>
        <w:rPr>
          <w:sz w:val="20"/>
          <w:szCs w:val="20"/>
          <w:color w:val="auto"/>
        </w:rPr>
      </w:pPr>
    </w:p>
    <w:p>
      <w:pPr>
        <w:ind w:left="760" w:right="739"/>
        <w:spacing w:after="0" w:line="262" w:lineRule="auto"/>
        <w:rPr>
          <w:sz w:val="20"/>
          <w:szCs w:val="20"/>
          <w:color w:val="auto"/>
        </w:rPr>
      </w:pPr>
      <w:r>
        <w:rPr>
          <w:rFonts w:ascii="Arial" w:cs="Arial" w:eastAsia="Arial" w:hAnsi="Arial"/>
          <w:sz w:val="18"/>
          <w:szCs w:val="18"/>
          <w:color w:val="auto"/>
        </w:rPr>
        <w:t>In particular, the members of our Board of Directors considered the following important characteristics, among others:</w:t>
      </w:r>
    </w:p>
    <w:p>
      <w:pPr>
        <w:spacing w:after="0" w:line="61" w:lineRule="exact"/>
        <w:rPr>
          <w:sz w:val="20"/>
          <w:szCs w:val="20"/>
          <w:color w:val="auto"/>
        </w:rPr>
      </w:pPr>
    </w:p>
    <w:p>
      <w:pPr>
        <w:ind w:left="1300" w:hanging="212"/>
        <w:spacing w:after="0"/>
        <w:tabs>
          <w:tab w:leader="none" w:pos="130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Mr. Fahs, our Chief Executive Officer, has many years of executive experience in the optical retail industry.</w:t>
      </w:r>
    </w:p>
    <w:p>
      <w:pPr>
        <w:spacing w:after="0" w:line="103" w:lineRule="exact"/>
        <w:rPr>
          <w:rFonts w:ascii="Arial" w:cs="Arial" w:eastAsia="Arial" w:hAnsi="Arial"/>
          <w:sz w:val="18"/>
          <w:szCs w:val="18"/>
          <w:color w:val="3C5896"/>
        </w:rPr>
      </w:pPr>
    </w:p>
    <w:p>
      <w:pPr>
        <w:ind w:left="1300" w:right="739" w:hanging="212"/>
        <w:spacing w:after="0" w:line="256" w:lineRule="auto"/>
        <w:tabs>
          <w:tab w:leader="none" w:pos="130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Mr. N. Taylor has significant financial, investment and operational experience from his involvement with numerous portfolio companies of KKR &amp; Co. and its affiliated funds and has played active roles in overseeing those businesses.</w:t>
      </w:r>
    </w:p>
    <w:p>
      <w:pPr>
        <w:spacing w:after="0" w:line="80" w:lineRule="exact"/>
        <w:rPr>
          <w:rFonts w:ascii="Arial" w:cs="Arial" w:eastAsia="Arial" w:hAnsi="Arial"/>
          <w:sz w:val="18"/>
          <w:szCs w:val="18"/>
          <w:color w:val="3C5896"/>
        </w:rPr>
      </w:pPr>
    </w:p>
    <w:p>
      <w:pPr>
        <w:ind w:left="1300" w:right="379" w:hanging="212"/>
        <w:spacing w:after="0" w:line="262" w:lineRule="auto"/>
        <w:tabs>
          <w:tab w:leader="none" w:pos="130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Mr. Peeler has significant experience and expertise in private equity investments through his involvement in Berkshire’s investments.</w:t>
      </w:r>
    </w:p>
    <w:p>
      <w:pPr>
        <w:spacing w:after="0" w:line="61" w:lineRule="exact"/>
        <w:rPr>
          <w:rFonts w:ascii="Arial" w:cs="Arial" w:eastAsia="Arial" w:hAnsi="Arial"/>
          <w:sz w:val="18"/>
          <w:szCs w:val="18"/>
          <w:color w:val="3C5896"/>
        </w:rPr>
      </w:pPr>
    </w:p>
    <w:p>
      <w:pPr>
        <w:ind w:left="1300" w:right="319" w:hanging="212"/>
        <w:spacing w:after="0" w:line="256" w:lineRule="auto"/>
        <w:tabs>
          <w:tab w:leader="none" w:pos="130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Mr. Tehle has many years of experience as the chief financial officer of a publicly held company and as a director of publicly held companies and has significant knowledge of financial reporting, internal controls and procedures and risk management.</w:t>
      </w:r>
    </w:p>
    <w:p>
      <w:pPr>
        <w:spacing w:after="0" w:line="80" w:lineRule="exact"/>
        <w:rPr>
          <w:rFonts w:ascii="Arial" w:cs="Arial" w:eastAsia="Arial" w:hAnsi="Arial"/>
          <w:sz w:val="18"/>
          <w:szCs w:val="18"/>
          <w:color w:val="3C5896"/>
        </w:rPr>
      </w:pPr>
    </w:p>
    <w:p>
      <w:pPr>
        <w:ind w:left="1300" w:right="259" w:hanging="212"/>
        <w:spacing w:after="0" w:line="256" w:lineRule="auto"/>
        <w:tabs>
          <w:tab w:leader="none" w:pos="130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Ms. Hepner has leadership experience as the president and chief executive officer of a nationally-esteemed arts center, has significant financial expertise in corporate banking and capital markets having served as a senior officer with financial oversight responsibilities and has served as a director of publicly held companies.</w:t>
      </w:r>
    </w:p>
    <w:p>
      <w:pPr>
        <w:spacing w:after="0" w:line="80" w:lineRule="exact"/>
        <w:rPr>
          <w:rFonts w:ascii="Arial" w:cs="Arial" w:eastAsia="Arial" w:hAnsi="Arial"/>
          <w:sz w:val="18"/>
          <w:szCs w:val="18"/>
          <w:color w:val="3C5896"/>
        </w:rPr>
      </w:pPr>
    </w:p>
    <w:p>
      <w:pPr>
        <w:ind w:left="1300" w:right="299" w:hanging="212"/>
        <w:spacing w:after="0" w:line="262" w:lineRule="auto"/>
        <w:tabs>
          <w:tab w:leader="none" w:pos="1300" w:val="left"/>
        </w:tabs>
        <w:numPr>
          <w:ilvl w:val="0"/>
          <w:numId w:val="7"/>
        </w:numPr>
        <w:rPr>
          <w:rFonts w:ascii="Arial" w:cs="Arial" w:eastAsia="Arial" w:hAnsi="Arial"/>
          <w:sz w:val="18"/>
          <w:szCs w:val="18"/>
          <w:color w:val="3C5896"/>
        </w:rPr>
      </w:pPr>
      <w:r>
        <w:rPr>
          <w:rFonts w:ascii="Arial" w:cs="Arial" w:eastAsia="Arial" w:hAnsi="Arial"/>
          <w:sz w:val="18"/>
          <w:szCs w:val="18"/>
          <w:color w:val="auto"/>
        </w:rPr>
        <w:t>Mr. T. Taylor has significant executive, financial and operational experience as the chief executive officer of a publicly held retail company.</w:t>
      </w:r>
    </w:p>
    <w:p>
      <w:pPr>
        <w:spacing w:after="0" w:line="88" w:lineRule="exact"/>
        <w:rPr>
          <w:sz w:val="20"/>
          <w:szCs w:val="20"/>
          <w:color w:val="auto"/>
        </w:rPr>
      </w:pPr>
    </w:p>
    <w:p>
      <w:pPr>
        <w:ind w:left="760" w:right="259"/>
        <w:spacing w:after="0" w:line="251"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information that would be required under the rules of the U.S. Securities and Exchange Commission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Stockholders also must satisfy the notification, timeliness, consent and information requirements set forth in our Bylaws. These requirements are also described under “Stockholder Proposals for the 2020 Annual Meeting.”</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Leadership Structure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60" w:right="279"/>
        <w:spacing w:after="0" w:line="252" w:lineRule="auto"/>
        <w:rPr>
          <w:sz w:val="20"/>
          <w:szCs w:val="20"/>
          <w:color w:val="auto"/>
        </w:rPr>
      </w:pPr>
      <w:r>
        <w:rPr>
          <w:rFonts w:ascii="Arial" w:cs="Arial" w:eastAsia="Arial" w:hAnsi="Arial"/>
          <w:sz w:val="18"/>
          <w:szCs w:val="18"/>
          <w:color w:val="auto"/>
        </w:rPr>
        <w:t>Our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Currently, these positions are separated, with Mr. N. Taylor serving as Chairman of the Board and Mr. Fahs serving as our Chief Executive Officer and also as a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jc w:val="both"/>
        <w:ind w:left="760" w:right="479"/>
        <w:spacing w:after="0" w:line="256" w:lineRule="auto"/>
        <w:rPr>
          <w:sz w:val="20"/>
          <w:szCs w:val="20"/>
          <w:color w:val="auto"/>
        </w:rPr>
      </w:pPr>
      <w:r>
        <w:rPr>
          <w:rFonts w:ascii="Arial" w:cs="Arial" w:eastAsia="Arial" w:hAnsi="Arial"/>
          <w:sz w:val="18"/>
          <w:szCs w:val="18"/>
          <w:color w:val="auto"/>
        </w:rPr>
        <w:t>Executive sessions, which are meetings of the non-management members of the Board, are regularly scheduled throughout the year. In addition, at least twice a year, the independent directors will meet in a private session that excludes management and any non-independent directors.</w:t>
      </w:r>
    </w:p>
    <w:p>
      <w:pPr>
        <w:spacing w:after="0" w:line="33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8  </w:t>
      </w:r>
      <w:r>
        <w:rPr>
          <w:sz w:val="1"/>
          <w:szCs w:val="1"/>
          <w:color w:val="auto"/>
        </w:rPr>
        <w:drawing>
          <wp:inline distT="0" distB="0" distL="0" distR="0">
            <wp:extent cx="291465" cy="22288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60" w:right="1100"/>
        <w:spacing w:after="0" w:line="252"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the chairman of our Board of Directors, the chairperson of any of the audit, compensation and nominating and corporate governance committees, or to the non-management or independent directors as a group, may do so by addressing such communications or concerns to the Secretary of the Company, 2435 Commerce Ave, Building 2200, Duluth, GA 30096, who will forward such communication to the appropriate party.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60" w:right="1600"/>
        <w:spacing w:after="0" w:line="262" w:lineRule="auto"/>
        <w:rPr>
          <w:sz w:val="20"/>
          <w:szCs w:val="20"/>
          <w:color w:val="auto"/>
        </w:rPr>
      </w:pPr>
      <w:r>
        <w:rPr>
          <w:rFonts w:ascii="Arial" w:cs="Arial" w:eastAsia="Arial" w:hAnsi="Arial"/>
          <w:sz w:val="18"/>
          <w:szCs w:val="18"/>
          <w:color w:val="auto"/>
        </w:rPr>
        <w:t>Our Board of Directors has an audit committee, a nominating and corporate governance committee and a compensation committee, each of which operates under a charter that has been approved by our Board.</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current membership of each of the Board’s Committees.</w:t>
      </w:r>
    </w:p>
    <w:p>
      <w:pPr>
        <w:spacing w:after="0" w:line="154"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2500" w:type="dxa"/>
            <w:vAlign w:val="bottom"/>
            <w:tcBorders>
              <w:left w:val="single" w:sz="8" w:color="3C5896"/>
              <w:right w:val="single" w:sz="8" w:color="9EACCA"/>
            </w:tcBorders>
            <w:shd w:val="clear" w:color="auto" w:fill="3C5896"/>
          </w:tcPr>
          <w:p>
            <w:pPr>
              <w:spacing w:after="0"/>
              <w:rPr>
                <w:sz w:val="17"/>
                <w:szCs w:val="17"/>
                <w:color w:val="auto"/>
              </w:rPr>
            </w:pPr>
          </w:p>
        </w:tc>
        <w:tc>
          <w:tcPr>
            <w:tcW w:w="19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2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Nominating and Corporate</w:t>
            </w:r>
          </w:p>
        </w:tc>
        <w:tc>
          <w:tcPr>
            <w:tcW w:w="194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Compensation</w:t>
            </w:r>
          </w:p>
        </w:tc>
      </w:tr>
      <w:tr>
        <w:trPr>
          <w:trHeight w:val="241"/>
        </w:trPr>
        <w:tc>
          <w:tcPr>
            <w:tcW w:w="2500" w:type="dxa"/>
            <w:vAlign w:val="bottom"/>
            <w:tcBorders>
              <w:left w:val="single" w:sz="8" w:color="3C5896"/>
              <w:bottom w:val="single" w:sz="8" w:color="auto"/>
              <w:right w:val="single" w:sz="8" w:color="9EACCA"/>
            </w:tcBorders>
            <w:shd w:val="clear" w:color="auto" w:fill="3C5896"/>
          </w:tcPr>
          <w:p>
            <w:pPr>
              <w:spacing w:after="0"/>
              <w:rPr>
                <w:sz w:val="20"/>
                <w:szCs w:val="20"/>
                <w:color w:val="auto"/>
              </w:rPr>
            </w:pPr>
          </w:p>
        </w:tc>
        <w:tc>
          <w:tcPr>
            <w:tcW w:w="194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rPr>
              <w:t>Committee</w:t>
            </w:r>
          </w:p>
        </w:tc>
        <w:tc>
          <w:tcPr>
            <w:tcW w:w="282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Governance Committee</w:t>
            </w:r>
          </w:p>
        </w:tc>
        <w:tc>
          <w:tcPr>
            <w:tcW w:w="1940" w:type="dxa"/>
            <w:vAlign w:val="bottom"/>
            <w:tcBorders>
              <w:bottom w:val="single" w:sz="8" w:color="auto"/>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Committee</w:t>
            </w:r>
          </w:p>
        </w:tc>
      </w:tr>
      <w:tr>
        <w:trPr>
          <w:trHeight w:val="252"/>
        </w:trPr>
        <w:tc>
          <w:tcPr>
            <w:tcW w:w="250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L. Reade Fahs</w:t>
            </w:r>
          </w:p>
        </w:tc>
        <w:tc>
          <w:tcPr>
            <w:tcW w:w="1940" w:type="dxa"/>
            <w:vAlign w:val="bottom"/>
            <w:tcBorders>
              <w:right w:val="single" w:sz="8" w:color="9EACCA"/>
            </w:tcBorders>
          </w:tcPr>
          <w:p>
            <w:pPr>
              <w:spacing w:after="0"/>
              <w:rPr>
                <w:sz w:val="21"/>
                <w:szCs w:val="21"/>
                <w:color w:val="auto"/>
              </w:rPr>
            </w:pPr>
          </w:p>
        </w:tc>
        <w:tc>
          <w:tcPr>
            <w:tcW w:w="2820" w:type="dxa"/>
            <w:vAlign w:val="bottom"/>
            <w:tcBorders>
              <w:right w:val="single" w:sz="8" w:color="9EACCA"/>
            </w:tcBorders>
          </w:tcPr>
          <w:p>
            <w:pPr>
              <w:spacing w:after="0"/>
              <w:rPr>
                <w:sz w:val="21"/>
                <w:szCs w:val="21"/>
                <w:color w:val="auto"/>
              </w:rPr>
            </w:pPr>
          </w:p>
        </w:tc>
        <w:tc>
          <w:tcPr>
            <w:tcW w:w="1940" w:type="dxa"/>
            <w:vAlign w:val="bottom"/>
            <w:tcBorders>
              <w:right w:val="single" w:sz="8" w:color="3C5896"/>
            </w:tcBorders>
          </w:tcPr>
          <w:p>
            <w:pPr>
              <w:spacing w:after="0"/>
              <w:rPr>
                <w:sz w:val="21"/>
                <w:szCs w:val="21"/>
                <w:color w:val="auto"/>
              </w:rPr>
            </w:pPr>
          </w:p>
        </w:tc>
      </w:tr>
      <w:tr>
        <w:trPr>
          <w:trHeight w:val="257"/>
        </w:trPr>
        <w:tc>
          <w:tcPr>
            <w:tcW w:w="250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Nathaniel H. Taylor</w:t>
            </w:r>
          </w:p>
        </w:tc>
        <w:tc>
          <w:tcPr>
            <w:tcW w:w="1940" w:type="dxa"/>
            <w:vAlign w:val="bottom"/>
            <w:tcBorders>
              <w:right w:val="single" w:sz="8" w:color="9EACCA"/>
            </w:tcBorders>
            <w:shd w:val="clear" w:color="auto" w:fill="CCCCCC"/>
          </w:tcPr>
          <w:p>
            <w:pPr>
              <w:spacing w:after="0"/>
              <w:rPr>
                <w:sz w:val="22"/>
                <w:szCs w:val="22"/>
                <w:color w:val="auto"/>
              </w:rPr>
            </w:pPr>
          </w:p>
        </w:tc>
        <w:tc>
          <w:tcPr>
            <w:tcW w:w="28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1940" w:type="dxa"/>
            <w:vAlign w:val="bottom"/>
            <w:tcBorders>
              <w:right w:val="single" w:sz="8" w:color="3C5896"/>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250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Felix Gernburd</w:t>
            </w:r>
          </w:p>
        </w:tc>
        <w:tc>
          <w:tcPr>
            <w:tcW w:w="1940" w:type="dxa"/>
            <w:vAlign w:val="bottom"/>
            <w:tcBorders>
              <w:right w:val="single" w:sz="8" w:color="9EACCA"/>
            </w:tcBorders>
          </w:tcPr>
          <w:p>
            <w:pPr>
              <w:spacing w:after="0"/>
              <w:rPr>
                <w:sz w:val="22"/>
                <w:szCs w:val="22"/>
                <w:color w:val="auto"/>
              </w:rPr>
            </w:pPr>
          </w:p>
        </w:tc>
        <w:tc>
          <w:tcPr>
            <w:tcW w:w="2820" w:type="dxa"/>
            <w:vAlign w:val="bottom"/>
            <w:tcBorders>
              <w:right w:val="single" w:sz="8" w:color="9EACCA"/>
            </w:tcBorders>
          </w:tcPr>
          <w:p>
            <w:pPr>
              <w:spacing w:after="0"/>
              <w:rPr>
                <w:sz w:val="22"/>
                <w:szCs w:val="22"/>
                <w:color w:val="auto"/>
              </w:rPr>
            </w:pPr>
          </w:p>
        </w:tc>
        <w:tc>
          <w:tcPr>
            <w:tcW w:w="1940" w:type="dxa"/>
            <w:vAlign w:val="bottom"/>
            <w:tcBorders>
              <w:right w:val="single" w:sz="8" w:color="3C5896"/>
            </w:tcBorders>
          </w:tcPr>
          <w:p>
            <w:pPr>
              <w:spacing w:after="0"/>
              <w:rPr>
                <w:sz w:val="22"/>
                <w:szCs w:val="22"/>
                <w:color w:val="auto"/>
              </w:rPr>
            </w:pPr>
          </w:p>
        </w:tc>
      </w:tr>
      <w:tr>
        <w:trPr>
          <w:trHeight w:val="257"/>
        </w:trPr>
        <w:tc>
          <w:tcPr>
            <w:tcW w:w="250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Virginia A. Hepner</w:t>
            </w:r>
          </w:p>
        </w:tc>
        <w:tc>
          <w:tcPr>
            <w:tcW w:w="19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28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Chair</w:t>
            </w:r>
          </w:p>
        </w:tc>
        <w:tc>
          <w:tcPr>
            <w:tcW w:w="1940" w:type="dxa"/>
            <w:vAlign w:val="bottom"/>
            <w:tcBorders>
              <w:right w:val="single" w:sz="8" w:color="3C5896"/>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250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D. Randolph Peeler</w:t>
            </w:r>
          </w:p>
        </w:tc>
        <w:tc>
          <w:tcPr>
            <w:tcW w:w="1940" w:type="dxa"/>
            <w:vAlign w:val="bottom"/>
            <w:tcBorders>
              <w:right w:val="single" w:sz="8" w:color="9EACCA"/>
            </w:tcBorders>
          </w:tcPr>
          <w:p>
            <w:pPr>
              <w:spacing w:after="0"/>
              <w:rPr>
                <w:sz w:val="22"/>
                <w:szCs w:val="22"/>
                <w:color w:val="auto"/>
              </w:rPr>
            </w:pPr>
          </w:p>
        </w:tc>
        <w:tc>
          <w:tcPr>
            <w:tcW w:w="2820" w:type="dxa"/>
            <w:vAlign w:val="bottom"/>
            <w:tcBorders>
              <w:right w:val="single" w:sz="8" w:color="9EACCA"/>
            </w:tcBorders>
          </w:tcPr>
          <w:p>
            <w:pPr>
              <w:spacing w:after="0"/>
              <w:rPr>
                <w:sz w:val="22"/>
                <w:szCs w:val="22"/>
                <w:color w:val="auto"/>
              </w:rPr>
            </w:pPr>
          </w:p>
        </w:tc>
        <w:tc>
          <w:tcPr>
            <w:tcW w:w="1940" w:type="dxa"/>
            <w:vAlign w:val="bottom"/>
            <w:tcBorders>
              <w:right w:val="single" w:sz="8" w:color="3C5896"/>
            </w:tcBorders>
          </w:tcPr>
          <w:p>
            <w:pPr>
              <w:spacing w:after="0"/>
              <w:rPr>
                <w:sz w:val="22"/>
                <w:szCs w:val="22"/>
                <w:color w:val="auto"/>
              </w:rPr>
            </w:pPr>
          </w:p>
        </w:tc>
      </w:tr>
      <w:tr>
        <w:trPr>
          <w:trHeight w:val="257"/>
        </w:trPr>
        <w:tc>
          <w:tcPr>
            <w:tcW w:w="250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Thomas V. Taylor, Jr.</w:t>
            </w:r>
          </w:p>
        </w:tc>
        <w:tc>
          <w:tcPr>
            <w:tcW w:w="19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2820" w:type="dxa"/>
            <w:vAlign w:val="bottom"/>
            <w:tcBorders>
              <w:right w:val="single" w:sz="8" w:color="9EACCA"/>
            </w:tcBorders>
            <w:shd w:val="clear" w:color="auto" w:fill="CCCCCC"/>
          </w:tcPr>
          <w:p>
            <w:pPr>
              <w:spacing w:after="0"/>
              <w:rPr>
                <w:sz w:val="22"/>
                <w:szCs w:val="22"/>
                <w:color w:val="auto"/>
              </w:rPr>
            </w:pPr>
          </w:p>
        </w:tc>
        <w:tc>
          <w:tcPr>
            <w:tcW w:w="1940" w:type="dxa"/>
            <w:vAlign w:val="bottom"/>
            <w:tcBorders>
              <w:right w:val="single" w:sz="8" w:color="3C5896"/>
            </w:tcBorders>
            <w:shd w:val="clear" w:color="auto" w:fill="CCCCCC"/>
          </w:tcPr>
          <w:p>
            <w:pPr>
              <w:jc w:val="center"/>
              <w:spacing w:after="0"/>
              <w:rPr>
                <w:sz w:val="20"/>
                <w:szCs w:val="20"/>
                <w:color w:val="auto"/>
              </w:rPr>
            </w:pPr>
            <w:r>
              <w:rPr>
                <w:rFonts w:ascii="Arial" w:cs="Arial" w:eastAsia="Arial" w:hAnsi="Arial"/>
                <w:sz w:val="18"/>
                <w:szCs w:val="18"/>
                <w:color w:val="auto"/>
              </w:rPr>
              <w:t>Chair</w:t>
            </w:r>
          </w:p>
        </w:tc>
      </w:tr>
      <w:tr>
        <w:trPr>
          <w:trHeight w:val="257"/>
        </w:trPr>
        <w:tc>
          <w:tcPr>
            <w:tcW w:w="250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David M. Tehle</w:t>
            </w:r>
          </w:p>
        </w:tc>
        <w:tc>
          <w:tcPr>
            <w:tcW w:w="1940" w:type="dxa"/>
            <w:vAlign w:val="bottom"/>
            <w:tcBorders>
              <w:bottom w:val="single" w:sz="8" w:color="3C5896"/>
              <w:right w:val="single" w:sz="8" w:color="9EACCA"/>
            </w:tcBorders>
          </w:tcPr>
          <w:p>
            <w:pPr>
              <w:jc w:val="center"/>
              <w:spacing w:after="0"/>
              <w:rPr>
                <w:sz w:val="20"/>
                <w:szCs w:val="20"/>
                <w:color w:val="auto"/>
              </w:rPr>
            </w:pPr>
            <w:r>
              <w:rPr>
                <w:rFonts w:ascii="Arial" w:cs="Arial" w:eastAsia="Arial" w:hAnsi="Arial"/>
                <w:sz w:val="18"/>
                <w:szCs w:val="18"/>
                <w:color w:val="auto"/>
              </w:rPr>
              <w:t>Chair</w:t>
            </w:r>
          </w:p>
        </w:tc>
        <w:tc>
          <w:tcPr>
            <w:tcW w:w="2820" w:type="dxa"/>
            <w:vAlign w:val="bottom"/>
            <w:tcBorders>
              <w:bottom w:val="single" w:sz="8" w:color="3C5896"/>
              <w:right w:val="single" w:sz="8" w:color="9EACCA"/>
            </w:tcBorders>
          </w:tcPr>
          <w:p>
            <w:pPr>
              <w:spacing w:after="0"/>
              <w:rPr>
                <w:sz w:val="22"/>
                <w:szCs w:val="22"/>
                <w:color w:val="auto"/>
              </w:rPr>
            </w:pPr>
          </w:p>
        </w:tc>
        <w:tc>
          <w:tcPr>
            <w:tcW w:w="1940" w:type="dxa"/>
            <w:vAlign w:val="bottom"/>
            <w:tcBorders>
              <w:bottom w:val="single" w:sz="8" w:color="3C5896"/>
              <w:right w:val="single" w:sz="8" w:color="3C5896"/>
            </w:tcBorders>
          </w:tcPr>
          <w:p>
            <w:pPr>
              <w:spacing w:after="0"/>
              <w:rPr>
                <w:sz w:val="22"/>
                <w:szCs w:val="22"/>
                <w:color w:val="auto"/>
              </w:rPr>
            </w:pPr>
          </w:p>
        </w:tc>
      </w:tr>
    </w:tbl>
    <w:p>
      <w:pPr>
        <w:spacing w:after="0" w:line="94" w:lineRule="exact"/>
        <w:rPr>
          <w:sz w:val="20"/>
          <w:szCs w:val="20"/>
          <w:color w:val="auto"/>
        </w:rPr>
      </w:pPr>
    </w:p>
    <w:p>
      <w:pPr>
        <w:ind w:left="760" w:right="960"/>
        <w:spacing w:after="0" w:line="252" w:lineRule="auto"/>
        <w:rPr>
          <w:sz w:val="20"/>
          <w:szCs w:val="20"/>
          <w:color w:val="auto"/>
        </w:rPr>
      </w:pPr>
      <w:r>
        <w:rPr>
          <w:rFonts w:ascii="Arial" w:cs="Arial" w:eastAsia="Arial" w:hAnsi="Arial"/>
          <w:sz w:val="18"/>
          <w:szCs w:val="18"/>
          <w:color w:val="auto"/>
        </w:rPr>
        <w:t>All directors are expected to make every effort to attend all meetings of the Board of Directors, meetings of the committees of which they are members and the Annual Meeting of Stockholders. During the fiscal year ended December 29, 2018, the Board held six meetings, the audit committee held nine meetings and the compensation committee held five meetings. In addition, the Board, the audit committee and the compensation committee acted by unanimous written consent several times during fiscal year 2018. The nominating and corporate governance committee, which was constituted in December 2018, did not hold any meetings in 2018. In fiscal 2018, all of our directors attended at least 75% of the meetings of the Board of Directors and committees during the time in which he or she served as a member of the Board of Directors or such committee.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39" w:lineRule="exact"/>
        <w:rPr>
          <w:sz w:val="20"/>
          <w:szCs w:val="20"/>
          <w:color w:val="auto"/>
        </w:rPr>
      </w:pPr>
    </w:p>
    <w:p>
      <w:pPr>
        <w:ind w:left="760" w:right="920"/>
        <w:spacing w:after="0" w:line="253" w:lineRule="auto"/>
        <w:rPr>
          <w:sz w:val="20"/>
          <w:szCs w:val="20"/>
          <w:color w:val="auto"/>
        </w:rPr>
      </w:pPr>
      <w:r>
        <w:rPr>
          <w:rFonts w:ascii="Arial" w:cs="Arial" w:eastAsia="Arial" w:hAnsi="Arial"/>
          <w:sz w:val="18"/>
          <w:szCs w:val="18"/>
          <w:color w:val="auto"/>
        </w:rPr>
        <w:t>Our audit committee consists of David M. Tehle, who serves as the Chair, Virginia A. Hepner and Thomas Taylor, Jr. Mr. Tehle, Ms. Hepner and Mr. T. Taylor each qualifies as an independent director under Nasdaq corporate governance standards and the independence requirements of Rule 10A-3 of the Exchange Act. Our Board of Directors has determined that Mr. Tehle and Ms. Hepner each qualifies as an “audit committee financial expert” as such term is defined in Item 407(d)(5) of Regulation S-K.</w:t>
      </w:r>
    </w:p>
    <w:p>
      <w:pPr>
        <w:spacing w:after="0" w:line="97" w:lineRule="exact"/>
        <w:rPr>
          <w:sz w:val="20"/>
          <w:szCs w:val="20"/>
          <w:color w:val="auto"/>
        </w:rPr>
      </w:pPr>
    </w:p>
    <w:p>
      <w:pPr>
        <w:ind w:left="760" w:right="1060"/>
        <w:spacing w:after="0" w:line="265" w:lineRule="auto"/>
        <w:rPr>
          <w:sz w:val="20"/>
          <w:szCs w:val="20"/>
          <w:color w:val="auto"/>
        </w:rPr>
      </w:pPr>
      <w:r>
        <w:rPr>
          <w:rFonts w:ascii="Arial" w:cs="Arial" w:eastAsia="Arial" w:hAnsi="Arial"/>
          <w:sz w:val="17"/>
          <w:szCs w:val="17"/>
          <w:color w:val="auto"/>
        </w:rPr>
        <w:t>The audit committee is responsible for, among other things, preparing the audit committee report required by the SEC to be included in our proxy statement and assisting our Board of Directors with respect to its oversight of</w:t>
      </w:r>
    </w:p>
    <w:p>
      <w:pPr>
        <w:ind w:left="760" w:right="880" w:firstLine="4"/>
        <w:spacing w:after="0" w:line="250" w:lineRule="auto"/>
        <w:tabs>
          <w:tab w:leader="none" w:pos="103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risk management policies and procedures, (2) the audits and integrity of our financial statements, and the effectiveness of internal control over financial reporting, (3) our compliance with legal and regulatory requirements,</w:t>
      </w:r>
    </w:p>
    <w:p>
      <w:pPr>
        <w:ind w:left="760" w:right="1420" w:firstLine="4"/>
        <w:spacing w:after="0" w:line="262" w:lineRule="auto"/>
        <w:tabs>
          <w:tab w:leader="none" w:pos="10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qualifications, performance and independence of the outside auditors and (5) the performance of our internal audit function.</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39" w:lineRule="exact"/>
        <w:rPr>
          <w:sz w:val="20"/>
          <w:szCs w:val="20"/>
          <w:color w:val="auto"/>
        </w:rPr>
      </w:pPr>
    </w:p>
    <w:p>
      <w:pPr>
        <w:ind w:left="760" w:right="840"/>
        <w:spacing w:after="0" w:line="256" w:lineRule="auto"/>
        <w:rPr>
          <w:sz w:val="20"/>
          <w:szCs w:val="20"/>
          <w:color w:val="auto"/>
        </w:rPr>
      </w:pPr>
      <w:r>
        <w:rPr>
          <w:rFonts w:ascii="Arial" w:cs="Arial" w:eastAsia="Arial" w:hAnsi="Arial"/>
          <w:sz w:val="18"/>
          <w:szCs w:val="18"/>
          <w:color w:val="auto"/>
        </w:rPr>
        <w:t>Our nominating and corporate governance committee consists of Virginia Hepner, who serves as the Chair, and Nathaniel H. Taylor. Each member of the nominating and corporate governance committee has been determined to be independent under the applicable listing standards of Nasdaq and our Corporate Governance Guidelines.</w:t>
      </w:r>
    </w:p>
    <w:p>
      <w:pPr>
        <w:spacing w:after="0" w:line="94" w:lineRule="exact"/>
        <w:rPr>
          <w:sz w:val="20"/>
          <w:szCs w:val="20"/>
          <w:color w:val="auto"/>
        </w:rPr>
      </w:pPr>
    </w:p>
    <w:p>
      <w:pPr>
        <w:ind w:left="760" w:right="900"/>
        <w:spacing w:after="0" w:line="262" w:lineRule="auto"/>
        <w:rPr>
          <w:sz w:val="20"/>
          <w:szCs w:val="20"/>
          <w:color w:val="auto"/>
        </w:rPr>
      </w:pPr>
      <w:r>
        <w:rPr>
          <w:rFonts w:ascii="Arial" w:cs="Arial" w:eastAsia="Arial" w:hAnsi="Arial"/>
          <w:sz w:val="18"/>
          <w:szCs w:val="18"/>
          <w:color w:val="auto"/>
        </w:rPr>
        <w:t>The primary purpose of the nominating and corporate governance committee is to provide assistance to the Board of Directors by, among other things, determining the size, structure, composition, processes and practices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39370</wp:posOffset>
            </wp:positionV>
            <wp:extent cx="291465"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ind w:left="7500"/>
              <w:spacing w:after="0"/>
              <w:rPr>
                <w:sz w:val="20"/>
                <w:szCs w:val="20"/>
                <w:color w:val="auto"/>
              </w:rPr>
            </w:pPr>
            <w:r>
              <w:rPr>
                <w:rFonts w:ascii="Arial" w:cs="Arial" w:eastAsia="Arial" w:hAnsi="Arial"/>
                <w:sz w:val="16"/>
                <w:szCs w:val="16"/>
                <w:color w:val="auto"/>
              </w:rPr>
              <w:t>2019 Proxy Statement</w:t>
            </w:r>
          </w:p>
        </w:tc>
        <w:tc>
          <w:tcPr>
            <w:tcW w:w="1260" w:type="dxa"/>
            <w:vAlign w:val="bottom"/>
          </w:tcPr>
          <w:p>
            <w:pPr>
              <w:jc w:val="right"/>
              <w:ind w:right="699"/>
              <w:spacing w:after="0"/>
              <w:rPr>
                <w:sz w:val="20"/>
                <w:szCs w:val="20"/>
                <w:color w:val="auto"/>
              </w:rPr>
            </w:pPr>
            <w:r>
              <w:rPr>
                <w:rFonts w:ascii="Arial" w:cs="Arial" w:eastAsia="Arial" w:hAnsi="Arial"/>
                <w:sz w:val="16"/>
                <w:szCs w:val="16"/>
                <w:b w:val="1"/>
                <w:bCs w:val="1"/>
                <w:color w:val="auto"/>
              </w:rPr>
              <w:t>9</w:t>
            </w:r>
          </w:p>
        </w:tc>
      </w:tr>
      <w:tr>
        <w:trPr>
          <w:trHeight w:val="310"/>
        </w:trPr>
        <w:tc>
          <w:tcPr>
            <w:tcW w:w="9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61" w:lineRule="exact"/>
        <w:rPr>
          <w:sz w:val="20"/>
          <w:szCs w:val="20"/>
          <w:color w:val="auto"/>
        </w:rPr>
      </w:pPr>
    </w:p>
    <w:p>
      <w:pPr>
        <w:ind w:left="760" w:right="439"/>
        <w:spacing w:after="0" w:line="256" w:lineRule="auto"/>
        <w:rPr>
          <w:sz w:val="20"/>
          <w:szCs w:val="20"/>
          <w:color w:val="auto"/>
        </w:rPr>
      </w:pPr>
      <w:r>
        <w:rPr>
          <w:rFonts w:ascii="Arial" w:cs="Arial" w:eastAsia="Arial" w:hAnsi="Arial"/>
          <w:sz w:val="18"/>
          <w:szCs w:val="18"/>
          <w:color w:val="auto"/>
        </w:rPr>
        <w:t>Board and its committees and assessing director independence and qualifications. The Committee also identifies, recommends and assists the Board in recruiting individuals qualified to become Board members, and takes a leadership role in shaping the corporate governance of the Company.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ind w:left="760" w:right="419"/>
        <w:spacing w:after="0" w:line="256" w:lineRule="auto"/>
        <w:rPr>
          <w:sz w:val="20"/>
          <w:szCs w:val="20"/>
          <w:color w:val="auto"/>
        </w:rPr>
      </w:pPr>
      <w:r>
        <w:rPr>
          <w:rFonts w:ascii="Arial" w:cs="Arial" w:eastAsia="Arial" w:hAnsi="Arial"/>
          <w:sz w:val="18"/>
          <w:szCs w:val="18"/>
          <w:color w:val="auto"/>
        </w:rPr>
        <w:t>Our compensation committee consists of Thomas Taylor, Jr., who serves as the Chair, Nathaniel H. Taylor and Virginia Hepner. Each member of the compensation committee has been determined to be independent under the applicable listing standards of Nasdaq and our Corporate Governance Guidelines.</w:t>
      </w:r>
    </w:p>
    <w:p>
      <w:pPr>
        <w:spacing w:after="0" w:line="94" w:lineRule="exact"/>
        <w:rPr>
          <w:sz w:val="20"/>
          <w:szCs w:val="20"/>
          <w:color w:val="auto"/>
        </w:rPr>
      </w:pPr>
    </w:p>
    <w:p>
      <w:pPr>
        <w:ind w:left="760" w:right="299"/>
        <w:spacing w:after="0" w:line="253" w:lineRule="auto"/>
        <w:rPr>
          <w:sz w:val="20"/>
          <w:szCs w:val="20"/>
          <w:color w:val="auto"/>
        </w:rPr>
      </w:pPr>
      <w:r>
        <w:rPr>
          <w:rFonts w:ascii="Arial" w:cs="Arial" w:eastAsia="Arial" w:hAnsi="Arial"/>
          <w:sz w:val="18"/>
          <w:szCs w:val="18"/>
          <w:color w:val="auto"/>
        </w:rPr>
        <w:t>The primary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Committee Charters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60" w:right="319"/>
        <w:spacing w:after="0" w:line="253"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 of Directors’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w:t>
      </w:r>
    </w:p>
    <w:p>
      <w:pPr>
        <w:spacing w:after="0" w:line="97" w:lineRule="exact"/>
        <w:rPr>
          <w:sz w:val="20"/>
          <w:szCs w:val="20"/>
          <w:color w:val="auto"/>
        </w:rPr>
      </w:pPr>
    </w:p>
    <w:p>
      <w:pPr>
        <w:ind w:left="760" w:right="779"/>
        <w:spacing w:after="0" w:line="256" w:lineRule="auto"/>
        <w:rPr>
          <w:sz w:val="20"/>
          <w:szCs w:val="20"/>
          <w:color w:val="auto"/>
        </w:rPr>
      </w:pPr>
      <w:r>
        <w:rPr>
          <w:rFonts w:ascii="Arial" w:cs="Arial" w:eastAsia="Arial" w:hAnsi="Arial"/>
          <w:sz w:val="18"/>
          <w:szCs w:val="18"/>
          <w:color w:val="auto"/>
        </w:rPr>
        <w:t xml:space="preserve">Our Corporate Governance Guidelines, Audit, Nominating and Corporate Governance and Compensation Committee Charters, and other corporate governance information are available in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60" w:right="419"/>
        <w:spacing w:after="0" w:line="253" w:lineRule="auto"/>
        <w:rPr>
          <w:sz w:val="20"/>
          <w:szCs w:val="20"/>
          <w:color w:val="auto"/>
        </w:rPr>
      </w:pPr>
      <w:r>
        <w:rPr>
          <w:rFonts w:ascii="Arial" w:cs="Arial" w:eastAsia="Arial" w:hAnsi="Arial"/>
          <w:sz w:val="18"/>
          <w:szCs w:val="18"/>
          <w:color w:val="auto"/>
        </w:rPr>
        <w:t xml:space="preserve">We maintain a written code of ethics that applies to our directors, officers and employees, including our principal executive officer, principal financial officer, principal accounting officer or controller, or persons performing similar functions, which we call our Code of Conduct. Our Code of Conduct is a “code of ethics” as defined in item 406(b) of Regulation S-K under the Securities Act and is posted in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97" w:lineRule="exact"/>
        <w:rPr>
          <w:sz w:val="20"/>
          <w:szCs w:val="20"/>
          <w:color w:val="auto"/>
        </w:rPr>
      </w:pPr>
    </w:p>
    <w:p>
      <w:pPr>
        <w:ind w:left="760" w:right="279"/>
        <w:spacing w:after="0" w:line="262" w:lineRule="auto"/>
        <w:rPr>
          <w:sz w:val="20"/>
          <w:szCs w:val="20"/>
          <w:color w:val="auto"/>
        </w:rPr>
      </w:pPr>
      <w:r>
        <w:rPr>
          <w:rFonts w:ascii="Arial" w:cs="Arial" w:eastAsia="Arial" w:hAnsi="Arial"/>
          <w:sz w:val="18"/>
          <w:szCs w:val="18"/>
          <w:color w:val="auto"/>
        </w:rPr>
        <w:t>We intend to make any legally required disclosures regarding amendments to, or waivers of, provisions of our Code of Conduct on our website.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ind w:left="760" w:right="299"/>
        <w:spacing w:after="0" w:line="252" w:lineRule="auto"/>
        <w:rPr>
          <w:sz w:val="20"/>
          <w:szCs w:val="20"/>
          <w:color w:val="auto"/>
        </w:rPr>
      </w:pPr>
      <w:r>
        <w:rPr>
          <w:rFonts w:ascii="Arial" w:cs="Arial" w:eastAsia="Arial" w:hAnsi="Arial"/>
          <w:sz w:val="18"/>
          <w:szCs w:val="18"/>
          <w:color w:val="auto"/>
        </w:rPr>
        <w:t>Our Board of Directors has extensive involvement in the oversight of risk management. The Board and the audit committee receive regular reports from management to help ensure effective and efficient oversight of our activities and to assist in proper risk management, including with respect to cybersecurity, and the ongoing evaluation of management controls. Through its regular meetings with management, including the finance, legal, internal audit, and compliance functions, the audit committee reviews and discusses significant areas of our business, including areas of risk and appropriate mitigating factors. Internal audit reports functionally and administratively to our Chief Financial Officer and directly to the audit committee. We believe that the leadership structure of our Board of Directors provides appropriate risk oversight of our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10  </w:t>
      </w:r>
      <w:r>
        <w:rPr>
          <w:sz w:val="1"/>
          <w:szCs w:val="1"/>
          <w:color w:val="auto"/>
        </w:rPr>
        <w:drawing>
          <wp:inline distT="0" distB="0" distL="0" distR="0">
            <wp:extent cx="291465" cy="22288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FFFFFF"/>
        </w:rPr>
        <w:t>COMPENSATION OF DIRECTORS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COMPENSATION OF DIRECTORS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4" w:lineRule="exact"/>
        <w:rPr>
          <w:sz w:val="20"/>
          <w:szCs w:val="20"/>
          <w:color w:val="auto"/>
        </w:rPr>
      </w:pPr>
    </w:p>
    <w:p>
      <w:pPr>
        <w:ind w:left="760" w:right="1000"/>
        <w:spacing w:after="0" w:line="262" w:lineRule="auto"/>
        <w:rPr>
          <w:sz w:val="20"/>
          <w:szCs w:val="20"/>
          <w:color w:val="auto"/>
        </w:rPr>
      </w:pPr>
      <w:r>
        <w:rPr>
          <w:rFonts w:ascii="Arial" w:cs="Arial" w:eastAsia="Arial" w:hAnsi="Arial"/>
          <w:sz w:val="18"/>
          <w:szCs w:val="18"/>
          <w:color w:val="auto"/>
        </w:rPr>
        <w:t>Directors who are our employees or are associated with the Sponsors do not receive remuneration for serving on our Board. In 2018, director compensation consisted of the following:</w:t>
      </w:r>
    </w:p>
    <w:p>
      <w:pPr>
        <w:spacing w:after="0" w:line="75" w:lineRule="exact"/>
        <w:rPr>
          <w:sz w:val="20"/>
          <w:szCs w:val="20"/>
          <w:color w:val="auto"/>
        </w:rPr>
      </w:pPr>
    </w:p>
    <w:p>
      <w:pPr>
        <w:ind w:left="1140" w:hanging="214"/>
        <w:spacing w:after="0"/>
        <w:tabs>
          <w:tab w:leader="none" w:pos="1140" w:val="left"/>
        </w:tabs>
        <w:numPr>
          <w:ilvl w:val="0"/>
          <w:numId w:val="10"/>
        </w:numPr>
        <w:rPr>
          <w:rFonts w:ascii="Arial" w:cs="Arial" w:eastAsia="Arial" w:hAnsi="Arial"/>
          <w:sz w:val="18"/>
          <w:szCs w:val="18"/>
          <w:color w:val="3C5896"/>
        </w:rPr>
      </w:pPr>
      <w:r>
        <w:rPr>
          <w:rFonts w:ascii="Arial" w:cs="Arial" w:eastAsia="Arial" w:hAnsi="Arial"/>
          <w:sz w:val="18"/>
          <w:szCs w:val="18"/>
          <w:color w:val="auto"/>
        </w:rPr>
        <w:t>Non-employee directors received an annual cash retainer of $75,000, paid quarterly, in arrears.</w:t>
      </w:r>
    </w:p>
    <w:p>
      <w:pPr>
        <w:spacing w:after="0" w:line="103" w:lineRule="exact"/>
        <w:rPr>
          <w:rFonts w:ascii="Arial" w:cs="Arial" w:eastAsia="Arial" w:hAnsi="Arial"/>
          <w:sz w:val="18"/>
          <w:szCs w:val="18"/>
          <w:color w:val="3C5896"/>
        </w:rPr>
      </w:pPr>
    </w:p>
    <w:p>
      <w:pPr>
        <w:ind w:left="1140" w:right="1140" w:hanging="214"/>
        <w:spacing w:after="0" w:line="262" w:lineRule="auto"/>
        <w:tabs>
          <w:tab w:leader="none" w:pos="1140" w:val="left"/>
        </w:tabs>
        <w:numPr>
          <w:ilvl w:val="0"/>
          <w:numId w:val="10"/>
        </w:numPr>
        <w:rPr>
          <w:rFonts w:ascii="Arial" w:cs="Arial" w:eastAsia="Arial" w:hAnsi="Arial"/>
          <w:sz w:val="18"/>
          <w:szCs w:val="18"/>
          <w:color w:val="3C5896"/>
        </w:rPr>
      </w:pPr>
      <w:r>
        <w:rPr>
          <w:rFonts w:ascii="Arial" w:cs="Arial" w:eastAsia="Arial" w:hAnsi="Arial"/>
          <w:sz w:val="18"/>
          <w:szCs w:val="18"/>
          <w:color w:val="auto"/>
        </w:rPr>
        <w:t>The Chair of the audit committee received an additional annual cash retainer of $20,000, paid quarterly, in arrears.</w:t>
      </w:r>
    </w:p>
    <w:p>
      <w:pPr>
        <w:spacing w:after="0" w:line="61" w:lineRule="exact"/>
        <w:rPr>
          <w:rFonts w:ascii="Arial" w:cs="Arial" w:eastAsia="Arial" w:hAnsi="Arial"/>
          <w:sz w:val="18"/>
          <w:szCs w:val="18"/>
          <w:color w:val="3C5896"/>
        </w:rPr>
      </w:pPr>
    </w:p>
    <w:p>
      <w:pPr>
        <w:jc w:val="both"/>
        <w:ind w:left="1140" w:right="1020" w:hanging="214"/>
        <w:spacing w:after="0" w:line="256" w:lineRule="auto"/>
        <w:tabs>
          <w:tab w:leader="none" w:pos="1140" w:val="left"/>
        </w:tabs>
        <w:numPr>
          <w:ilvl w:val="0"/>
          <w:numId w:val="10"/>
        </w:numPr>
        <w:rPr>
          <w:rFonts w:ascii="Arial" w:cs="Arial" w:eastAsia="Arial" w:hAnsi="Arial"/>
          <w:sz w:val="18"/>
          <w:szCs w:val="18"/>
          <w:color w:val="3C5896"/>
        </w:rPr>
      </w:pPr>
      <w:r>
        <w:rPr>
          <w:rFonts w:ascii="Arial" w:cs="Arial" w:eastAsia="Arial" w:hAnsi="Arial"/>
          <w:sz w:val="18"/>
          <w:szCs w:val="18"/>
          <w:color w:val="auto"/>
        </w:rPr>
        <w:t>Each non-employee director (other than those associated with the Sponsors) received a $100,000 restricted stock grant, which will vest in three equal installments on each of the first, second and third anniversaries of the grant date, subject to continued service through the applicable vesting date.</w:t>
      </w:r>
    </w:p>
    <w:p>
      <w:pPr>
        <w:spacing w:after="0" w:line="94" w:lineRule="exact"/>
        <w:rPr>
          <w:sz w:val="20"/>
          <w:szCs w:val="20"/>
          <w:color w:val="auto"/>
        </w:rPr>
      </w:pPr>
    </w:p>
    <w:p>
      <w:pPr>
        <w:ind w:left="760" w:right="1020"/>
        <w:spacing w:after="0" w:line="262" w:lineRule="auto"/>
        <w:rPr>
          <w:sz w:val="20"/>
          <w:szCs w:val="20"/>
          <w:color w:val="auto"/>
        </w:rPr>
      </w:pPr>
      <w:r>
        <w:rPr>
          <w:rFonts w:ascii="Arial" w:cs="Arial" w:eastAsia="Arial" w:hAnsi="Arial"/>
          <w:sz w:val="18"/>
          <w:szCs w:val="18"/>
          <w:color w:val="auto"/>
        </w:rPr>
        <w:t>Our directors are not paid any fees for attending meetings. However, our directors are reimbursed for reasonable travel and related expenses associated with attendance at board or committee meetings.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reflects the fees earned by our non-employee directors for service in fiscal 2018:</w:t>
      </w:r>
    </w:p>
    <w:p>
      <w:pPr>
        <w:spacing w:after="0" w:line="154"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2220" w:type="dxa"/>
            <w:vAlign w:val="bottom"/>
            <w:tcBorders>
              <w:left w:val="single" w:sz="8" w:color="3C5896"/>
              <w:right w:val="single" w:sz="8" w:color="9EACCA"/>
            </w:tcBorders>
            <w:shd w:val="clear" w:color="auto" w:fill="3C5896"/>
          </w:tcPr>
          <w:p>
            <w:pPr>
              <w:spacing w:after="0"/>
              <w:rPr>
                <w:sz w:val="17"/>
                <w:szCs w:val="17"/>
                <w:color w:val="auto"/>
              </w:rPr>
            </w:pPr>
          </w:p>
        </w:tc>
        <w:tc>
          <w:tcPr>
            <w:tcW w:w="1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Fees earned or</w:t>
            </w:r>
          </w:p>
        </w:tc>
        <w:tc>
          <w:tcPr>
            <w:tcW w:w="1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Stock</w:t>
            </w:r>
          </w:p>
        </w:tc>
        <w:tc>
          <w:tcPr>
            <w:tcW w:w="1740" w:type="dxa"/>
            <w:vAlign w:val="bottom"/>
            <w:tcBorders>
              <w:right w:val="single" w:sz="8" w:color="9EACCA"/>
            </w:tcBorders>
            <w:shd w:val="clear" w:color="auto" w:fill="3C5896"/>
          </w:tcPr>
          <w:p>
            <w:pPr>
              <w:jc w:val="right"/>
              <w:ind w:right="450"/>
              <w:spacing w:after="0"/>
              <w:rPr>
                <w:sz w:val="20"/>
                <w:szCs w:val="20"/>
                <w:color w:val="auto"/>
              </w:rPr>
            </w:pPr>
            <w:r>
              <w:rPr>
                <w:rFonts w:ascii="Arial" w:cs="Arial" w:eastAsia="Arial" w:hAnsi="Arial"/>
                <w:sz w:val="18"/>
                <w:szCs w:val="18"/>
                <w:b w:val="1"/>
                <w:bCs w:val="1"/>
                <w:color w:val="FFFFFF"/>
              </w:rPr>
              <w:t>All other</w:t>
            </w:r>
          </w:p>
        </w:tc>
        <w:tc>
          <w:tcPr>
            <w:tcW w:w="1720" w:type="dxa"/>
            <w:vAlign w:val="bottom"/>
            <w:tcBorders>
              <w:right w:val="single" w:sz="8" w:color="3C5896"/>
            </w:tcBorders>
            <w:vMerge w:val="restart"/>
            <w:shd w:val="clear" w:color="auto" w:fill="3C5896"/>
          </w:tcPr>
          <w:p>
            <w:pPr>
              <w:jc w:val="right"/>
              <w:ind w:right="59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76"/>
        </w:trPr>
        <w:tc>
          <w:tcPr>
            <w:tcW w:w="2220" w:type="dxa"/>
            <w:vAlign w:val="bottom"/>
            <w:tcBorders>
              <w:left w:val="single" w:sz="8" w:color="3C5896"/>
              <w:right w:val="single" w:sz="8" w:color="9EACCA"/>
            </w:tcBorders>
            <w:vMerge w:val="restart"/>
            <w:shd w:val="clear" w:color="auto" w:fill="3C5896"/>
          </w:tcPr>
          <w:p>
            <w:pPr>
              <w:ind w:left="860"/>
              <w:spacing w:after="0"/>
              <w:rPr>
                <w:sz w:val="20"/>
                <w:szCs w:val="20"/>
                <w:color w:val="auto"/>
              </w:rPr>
            </w:pPr>
            <w:r>
              <w:rPr>
                <w:rFonts w:ascii="Arial" w:cs="Arial" w:eastAsia="Arial" w:hAnsi="Arial"/>
                <w:sz w:val="18"/>
                <w:szCs w:val="18"/>
                <w:b w:val="1"/>
                <w:bCs w:val="1"/>
                <w:color w:val="FFFFFF"/>
              </w:rPr>
              <w:t>Name</w:t>
            </w:r>
          </w:p>
        </w:tc>
        <w:tc>
          <w:tcPr>
            <w:tcW w:w="176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paid in cash</w:t>
            </w:r>
          </w:p>
        </w:tc>
        <w:tc>
          <w:tcPr>
            <w:tcW w:w="176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awards</w:t>
            </w:r>
          </w:p>
        </w:tc>
        <w:tc>
          <w:tcPr>
            <w:tcW w:w="1740" w:type="dxa"/>
            <w:vAlign w:val="bottom"/>
            <w:tcBorders>
              <w:right w:val="single" w:sz="8" w:color="9EACCA"/>
            </w:tcBorders>
            <w:shd w:val="clear" w:color="auto" w:fill="3C5896"/>
          </w:tcPr>
          <w:p>
            <w:pPr>
              <w:jc w:val="right"/>
              <w:ind w:right="210"/>
              <w:spacing w:after="0" w:line="176" w:lineRule="exact"/>
              <w:rPr>
                <w:sz w:val="20"/>
                <w:szCs w:val="20"/>
                <w:color w:val="auto"/>
              </w:rPr>
            </w:pPr>
            <w:r>
              <w:rPr>
                <w:rFonts w:ascii="Arial" w:cs="Arial" w:eastAsia="Arial" w:hAnsi="Arial"/>
                <w:sz w:val="18"/>
                <w:szCs w:val="18"/>
                <w:b w:val="1"/>
                <w:bCs w:val="1"/>
                <w:color w:val="FFFFFF"/>
              </w:rPr>
              <w:t>compensation</w:t>
            </w:r>
          </w:p>
        </w:tc>
        <w:tc>
          <w:tcPr>
            <w:tcW w:w="1720" w:type="dxa"/>
            <w:vAlign w:val="bottom"/>
            <w:tcBorders>
              <w:right w:val="single" w:sz="8" w:color="3C5896"/>
            </w:tcBorders>
            <w:vMerge w:val="continue"/>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20" w:type="dxa"/>
            <w:vAlign w:val="bottom"/>
            <w:tcBorders>
              <w:left w:val="single" w:sz="8" w:color="3C5896"/>
              <w:bottom w:val="single" w:sz="8" w:color="auto"/>
              <w:right w:val="single" w:sz="8" w:color="9EACCA"/>
            </w:tcBorders>
            <w:vMerge w:val="continue"/>
            <w:shd w:val="clear" w:color="auto" w:fill="3C5896"/>
          </w:tcPr>
          <w:p>
            <w:pPr>
              <w:spacing w:after="0"/>
              <w:rPr>
                <w:sz w:val="19"/>
                <w:szCs w:val="19"/>
                <w:color w:val="auto"/>
              </w:rPr>
            </w:pPr>
          </w:p>
        </w:tc>
        <w:tc>
          <w:tcPr>
            <w:tcW w:w="176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w:t>
            </w:r>
          </w:p>
        </w:tc>
        <w:tc>
          <w:tcPr>
            <w:tcW w:w="176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w:t>
            </w:r>
          </w:p>
        </w:tc>
        <w:tc>
          <w:tcPr>
            <w:tcW w:w="1740" w:type="dxa"/>
            <w:vAlign w:val="bottom"/>
            <w:tcBorders>
              <w:bottom w:val="single" w:sz="8" w:color="auto"/>
              <w:right w:val="single" w:sz="8" w:color="9EACCA"/>
            </w:tcBorders>
            <w:shd w:val="clear" w:color="auto" w:fill="3C5896"/>
          </w:tcPr>
          <w:p>
            <w:pPr>
              <w:jc w:val="right"/>
              <w:ind w:right="690"/>
              <w:spacing w:after="0"/>
              <w:rPr>
                <w:sz w:val="20"/>
                <w:szCs w:val="20"/>
                <w:color w:val="auto"/>
              </w:rPr>
            </w:pPr>
            <w:r>
              <w:rPr>
                <w:rFonts w:ascii="Arial" w:cs="Arial" w:eastAsia="Arial" w:hAnsi="Arial"/>
                <w:sz w:val="18"/>
                <w:szCs w:val="18"/>
                <w:b w:val="1"/>
                <w:bCs w:val="1"/>
                <w:color w:val="FFFFFF"/>
              </w:rPr>
              <w:t>($)</w:t>
            </w:r>
          </w:p>
        </w:tc>
        <w:tc>
          <w:tcPr>
            <w:tcW w:w="1720" w:type="dxa"/>
            <w:vAlign w:val="bottom"/>
            <w:tcBorders>
              <w:bottom w:val="single" w:sz="8" w:color="auto"/>
              <w:right w:val="single" w:sz="8" w:color="3C5896"/>
            </w:tcBorders>
            <w:shd w:val="clear" w:color="auto" w:fill="3C5896"/>
          </w:tcPr>
          <w:p>
            <w:pPr>
              <w:jc w:val="right"/>
              <w:ind w:right="67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23"/>
        </w:trPr>
        <w:tc>
          <w:tcPr>
            <w:tcW w:w="22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Nathaniel H. Taylor</w:t>
            </w:r>
          </w:p>
        </w:tc>
        <w:tc>
          <w:tcPr>
            <w:tcW w:w="1760" w:type="dxa"/>
            <w:vAlign w:val="bottom"/>
            <w:tcBorders>
              <w:right w:val="single" w:sz="8" w:color="9EACCA"/>
            </w:tcBorders>
          </w:tcPr>
          <w:p>
            <w:pPr>
              <w:jc w:val="right"/>
              <w:ind w:right="53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9EACCA"/>
            </w:tcBorders>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9EACCA"/>
            </w:tcBorders>
          </w:tcPr>
          <w:p>
            <w:pPr>
              <w:jc w:val="right"/>
              <w:ind w:right="71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Felix Gernburd</w:t>
            </w:r>
          </w:p>
        </w:tc>
        <w:tc>
          <w:tcPr>
            <w:tcW w:w="1760" w:type="dxa"/>
            <w:vAlign w:val="bottom"/>
            <w:tcBorders>
              <w:right w:val="single" w:sz="8" w:color="9EACCA"/>
            </w:tcBorders>
            <w:shd w:val="clear" w:color="auto" w:fill="CCCCCC"/>
          </w:tcPr>
          <w:p>
            <w:pPr>
              <w:jc w:val="right"/>
              <w:ind w:right="53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9EACCA"/>
            </w:tcBorders>
            <w:shd w:val="clear" w:color="auto" w:fill="CCCCCC"/>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9EACCA"/>
            </w:tcBorders>
            <w:shd w:val="clear" w:color="auto" w:fill="CCCCCC"/>
          </w:tcPr>
          <w:p>
            <w:pPr>
              <w:jc w:val="right"/>
              <w:ind w:right="71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3C5896"/>
            </w:tcBorders>
            <w:shd w:val="clear" w:color="auto" w:fill="CCCCCC"/>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Virginia A. Hepner</w:t>
            </w:r>
          </w:p>
        </w:tc>
        <w:tc>
          <w:tcPr>
            <w:tcW w:w="1760" w:type="dxa"/>
            <w:vAlign w:val="bottom"/>
            <w:tcBorders>
              <w:right w:val="single" w:sz="8" w:color="9EACCA"/>
            </w:tcBorders>
          </w:tcPr>
          <w:p>
            <w:pPr>
              <w:jc w:val="right"/>
              <w:ind w:right="530"/>
              <w:spacing w:after="0"/>
              <w:rPr>
                <w:sz w:val="20"/>
                <w:szCs w:val="20"/>
                <w:color w:val="auto"/>
              </w:rPr>
            </w:pPr>
            <w:r>
              <w:rPr>
                <w:rFonts w:ascii="Arial" w:cs="Arial" w:eastAsia="Arial" w:hAnsi="Arial"/>
                <w:sz w:val="18"/>
                <w:szCs w:val="18"/>
                <w:color w:val="auto"/>
              </w:rPr>
              <w:t>75,000</w:t>
            </w:r>
          </w:p>
        </w:tc>
        <w:tc>
          <w:tcPr>
            <w:tcW w:w="1760" w:type="dxa"/>
            <w:vAlign w:val="bottom"/>
            <w:tcBorders>
              <w:right w:val="single" w:sz="8" w:color="9EACCA"/>
            </w:tcBorders>
          </w:tcPr>
          <w:p>
            <w:pPr>
              <w:jc w:val="right"/>
              <w:ind w:right="310"/>
              <w:spacing w:after="0" w:line="230" w:lineRule="exact"/>
              <w:rPr>
                <w:sz w:val="20"/>
                <w:szCs w:val="20"/>
                <w:color w:val="auto"/>
              </w:rPr>
            </w:pPr>
            <w:r>
              <w:rPr>
                <w:rFonts w:ascii="Arial" w:cs="Arial" w:eastAsia="Arial" w:hAnsi="Arial"/>
                <w:sz w:val="17"/>
                <w:szCs w:val="17"/>
                <w:color w:val="auto"/>
              </w:rPr>
              <w:t>100,000</w:t>
            </w:r>
            <w:r>
              <w:rPr>
                <w:rFonts w:ascii="Arial" w:cs="Arial" w:eastAsia="Arial" w:hAnsi="Arial"/>
                <w:sz w:val="26"/>
                <w:szCs w:val="26"/>
                <w:color w:val="auto"/>
                <w:vertAlign w:val="superscript"/>
              </w:rPr>
              <w:t>(1)</w:t>
            </w:r>
          </w:p>
        </w:tc>
        <w:tc>
          <w:tcPr>
            <w:tcW w:w="1740" w:type="dxa"/>
            <w:vAlign w:val="bottom"/>
            <w:tcBorders>
              <w:right w:val="single" w:sz="8" w:color="9EACCA"/>
            </w:tcBorders>
          </w:tcPr>
          <w:p>
            <w:pPr>
              <w:jc w:val="right"/>
              <w:ind w:right="71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22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D. Randolph Peeler</w:t>
            </w:r>
          </w:p>
        </w:tc>
        <w:tc>
          <w:tcPr>
            <w:tcW w:w="1760" w:type="dxa"/>
            <w:vAlign w:val="bottom"/>
            <w:tcBorders>
              <w:right w:val="single" w:sz="8" w:color="9EACCA"/>
            </w:tcBorders>
            <w:shd w:val="clear" w:color="auto" w:fill="CCCCCC"/>
          </w:tcPr>
          <w:p>
            <w:pPr>
              <w:jc w:val="right"/>
              <w:ind w:right="530"/>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9EACCA"/>
            </w:tcBorders>
            <w:shd w:val="clear" w:color="auto" w:fill="CCCCCC"/>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9EACCA"/>
            </w:tcBorders>
            <w:shd w:val="clear" w:color="auto" w:fill="CCCCCC"/>
          </w:tcPr>
          <w:p>
            <w:pPr>
              <w:jc w:val="right"/>
              <w:ind w:right="71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3C5896"/>
            </w:tcBorders>
            <w:shd w:val="clear" w:color="auto" w:fill="CCCCCC"/>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20" w:type="dxa"/>
            <w:vAlign w:val="bottom"/>
            <w:tcBorders>
              <w:left w:val="single" w:sz="8" w:color="3C5896"/>
              <w:right w:val="single" w:sz="8" w:color="9EACCA"/>
            </w:tcBorders>
          </w:tcPr>
          <w:p>
            <w:pPr>
              <w:ind w:left="60"/>
              <w:spacing w:after="0" w:line="242" w:lineRule="exact"/>
              <w:rPr>
                <w:sz w:val="20"/>
                <w:szCs w:val="20"/>
                <w:color w:val="auto"/>
              </w:rPr>
            </w:pPr>
            <w:r>
              <w:rPr>
                <w:rFonts w:ascii="Arial" w:cs="Arial" w:eastAsia="Arial" w:hAnsi="Arial"/>
                <w:sz w:val="18"/>
                <w:szCs w:val="18"/>
                <w:color w:val="auto"/>
              </w:rPr>
              <w:t>Thomas V. Taylor, Jr.</w:t>
            </w:r>
            <w:r>
              <w:rPr>
                <w:rFonts w:ascii="Arial" w:cs="Arial" w:eastAsia="Arial" w:hAnsi="Arial"/>
                <w:sz w:val="27"/>
                <w:szCs w:val="27"/>
                <w:color w:val="auto"/>
                <w:vertAlign w:val="superscript"/>
              </w:rPr>
              <w:t>(2)</w:t>
            </w:r>
          </w:p>
        </w:tc>
        <w:tc>
          <w:tcPr>
            <w:tcW w:w="1760" w:type="dxa"/>
            <w:vAlign w:val="bottom"/>
            <w:tcBorders>
              <w:right w:val="single" w:sz="8" w:color="9EACCA"/>
            </w:tcBorders>
          </w:tcPr>
          <w:p>
            <w:pPr>
              <w:jc w:val="right"/>
              <w:ind w:right="530"/>
              <w:spacing w:after="0"/>
              <w:rPr>
                <w:sz w:val="20"/>
                <w:szCs w:val="20"/>
                <w:color w:val="auto"/>
              </w:rPr>
            </w:pPr>
            <w:r>
              <w:rPr>
                <w:rFonts w:ascii="Arial" w:cs="Arial" w:eastAsia="Arial" w:hAnsi="Arial"/>
                <w:sz w:val="18"/>
                <w:szCs w:val="18"/>
                <w:color w:val="auto"/>
              </w:rPr>
              <w:t>25,000</w:t>
            </w:r>
          </w:p>
        </w:tc>
        <w:tc>
          <w:tcPr>
            <w:tcW w:w="1760" w:type="dxa"/>
            <w:vAlign w:val="bottom"/>
            <w:tcBorders>
              <w:right w:val="single" w:sz="8" w:color="9EACCA"/>
            </w:tcBorders>
          </w:tcPr>
          <w:p>
            <w:pPr>
              <w:jc w:val="right"/>
              <w:ind w:right="310"/>
              <w:spacing w:after="0" w:line="242" w:lineRule="exact"/>
              <w:rPr>
                <w:sz w:val="20"/>
                <w:szCs w:val="20"/>
                <w:color w:val="auto"/>
              </w:rPr>
            </w:pPr>
            <w:r>
              <w:rPr>
                <w:rFonts w:ascii="Arial" w:cs="Arial" w:eastAsia="Arial" w:hAnsi="Arial"/>
                <w:sz w:val="18"/>
                <w:szCs w:val="18"/>
                <w:color w:val="auto"/>
              </w:rPr>
              <w:t>100,000</w:t>
            </w:r>
            <w:r>
              <w:rPr>
                <w:rFonts w:ascii="Arial" w:cs="Arial" w:eastAsia="Arial" w:hAnsi="Arial"/>
                <w:sz w:val="27"/>
                <w:szCs w:val="27"/>
                <w:color w:val="auto"/>
                <w:vertAlign w:val="superscript"/>
              </w:rPr>
              <w:t>(3)</w:t>
            </w:r>
          </w:p>
        </w:tc>
        <w:tc>
          <w:tcPr>
            <w:tcW w:w="1740" w:type="dxa"/>
            <w:vAlign w:val="bottom"/>
            <w:tcBorders>
              <w:right w:val="single" w:sz="8" w:color="9EACCA"/>
            </w:tcBorders>
          </w:tcPr>
          <w:p>
            <w:pPr>
              <w:jc w:val="right"/>
              <w:ind w:right="71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57"/>
        </w:trPr>
        <w:tc>
          <w:tcPr>
            <w:tcW w:w="2220" w:type="dxa"/>
            <w:vAlign w:val="bottom"/>
            <w:tcBorders>
              <w:left w:val="single" w:sz="8" w:color="3C5896"/>
              <w:bottom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David M. Tehle</w:t>
            </w:r>
          </w:p>
        </w:tc>
        <w:tc>
          <w:tcPr>
            <w:tcW w:w="1760" w:type="dxa"/>
            <w:vAlign w:val="bottom"/>
            <w:tcBorders>
              <w:bottom w:val="single" w:sz="8" w:color="3C5896"/>
              <w:right w:val="single" w:sz="8" w:color="9EACCA"/>
            </w:tcBorders>
            <w:shd w:val="clear" w:color="auto" w:fill="CCCCCC"/>
          </w:tcPr>
          <w:p>
            <w:pPr>
              <w:jc w:val="right"/>
              <w:ind w:right="530"/>
              <w:spacing w:after="0"/>
              <w:rPr>
                <w:sz w:val="20"/>
                <w:szCs w:val="20"/>
                <w:color w:val="auto"/>
              </w:rPr>
            </w:pPr>
            <w:r>
              <w:rPr>
                <w:rFonts w:ascii="Arial" w:cs="Arial" w:eastAsia="Arial" w:hAnsi="Arial"/>
                <w:sz w:val="18"/>
                <w:szCs w:val="18"/>
                <w:color w:val="auto"/>
              </w:rPr>
              <w:t>95,000</w:t>
            </w:r>
          </w:p>
        </w:tc>
        <w:tc>
          <w:tcPr>
            <w:tcW w:w="1760" w:type="dxa"/>
            <w:vAlign w:val="bottom"/>
            <w:tcBorders>
              <w:bottom w:val="single" w:sz="8" w:color="3C5896"/>
              <w:right w:val="single" w:sz="8" w:color="9EACCA"/>
            </w:tcBorders>
            <w:shd w:val="clear" w:color="auto" w:fill="CCCCCC"/>
          </w:tcPr>
          <w:p>
            <w:pPr>
              <w:jc w:val="right"/>
              <w:ind w:right="310"/>
              <w:spacing w:after="0" w:line="257" w:lineRule="exact"/>
              <w:rPr>
                <w:sz w:val="20"/>
                <w:szCs w:val="20"/>
                <w:color w:val="auto"/>
              </w:rPr>
            </w:pPr>
            <w:r>
              <w:rPr>
                <w:rFonts w:ascii="Arial" w:cs="Arial" w:eastAsia="Arial" w:hAnsi="Arial"/>
                <w:sz w:val="18"/>
                <w:szCs w:val="18"/>
                <w:color w:val="auto"/>
              </w:rPr>
              <w:t>100,000</w:t>
            </w:r>
            <w:r>
              <w:rPr>
                <w:rFonts w:ascii="Arial" w:cs="Arial" w:eastAsia="Arial" w:hAnsi="Arial"/>
                <w:sz w:val="27"/>
                <w:szCs w:val="27"/>
                <w:color w:val="auto"/>
                <w:vertAlign w:val="superscript"/>
              </w:rPr>
              <w:t>(4)</w:t>
            </w:r>
          </w:p>
        </w:tc>
        <w:tc>
          <w:tcPr>
            <w:tcW w:w="1740" w:type="dxa"/>
            <w:vAlign w:val="bottom"/>
            <w:tcBorders>
              <w:bottom w:val="single" w:sz="8" w:color="3C5896"/>
              <w:right w:val="single" w:sz="8" w:color="9EACCA"/>
            </w:tcBorders>
            <w:shd w:val="clear" w:color="auto" w:fill="CCCCCC"/>
          </w:tcPr>
          <w:p>
            <w:pPr>
              <w:jc w:val="right"/>
              <w:ind w:right="7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3C5896"/>
              <w:right w:val="single" w:sz="8" w:color="3C5896"/>
            </w:tcBorders>
            <w:shd w:val="clear" w:color="auto" w:fill="CCCCCC"/>
          </w:tcPr>
          <w:p>
            <w:pPr>
              <w:jc w:val="right"/>
              <w:ind w:right="45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080" w:right="880" w:hanging="316"/>
        <w:spacing w:after="0" w:line="233" w:lineRule="auto"/>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amount reported reflects the grant date fair value calculated in accordance with Financial Accounting Standards Board Accounting Standards Codification Topic 718, Compensation–Stock Compensation (“ASC Topic 718”) associated with the grant to Ms. Hepner of 2,363 shares of restricted stock on January 22, 2018 under the 2017 Omnibus Incentive Plan. As of December 29, 2018, Ms. Hepner held 2,363 shares of unvested restricted stock.</w:t>
      </w:r>
    </w:p>
    <w:p>
      <w:pPr>
        <w:spacing w:after="0" w:line="32" w:lineRule="exact"/>
        <w:rPr>
          <w:rFonts w:ascii="Arial" w:cs="Arial" w:eastAsia="Arial" w:hAnsi="Arial"/>
          <w:sz w:val="15"/>
          <w:szCs w:val="15"/>
          <w:color w:val="auto"/>
        </w:rPr>
      </w:pPr>
    </w:p>
    <w:p>
      <w:pPr>
        <w:ind w:left="1080" w:hanging="316"/>
        <w:spacing w:after="0"/>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 Taylor joined our Board on September 10, 2018 and his cash retainer was prorated for his partial year of service.</w:t>
      </w:r>
    </w:p>
    <w:p>
      <w:pPr>
        <w:spacing w:after="0" w:line="43" w:lineRule="exact"/>
        <w:rPr>
          <w:rFonts w:ascii="Arial" w:cs="Arial" w:eastAsia="Arial" w:hAnsi="Arial"/>
          <w:sz w:val="15"/>
          <w:szCs w:val="15"/>
          <w:color w:val="auto"/>
        </w:rPr>
      </w:pPr>
    </w:p>
    <w:p>
      <w:pPr>
        <w:ind w:left="1080" w:right="840" w:hanging="316"/>
        <w:spacing w:after="0" w:line="235" w:lineRule="auto"/>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amount reported reflects the grant date fair value calculated in accordance with ASC Topic 718 associated with the grant to Mr. Taylor of 2,197 shares of restricted stock on September 10, 2018 under the 2017 Omnibus Incentive Plan. As of December 29, 2018, Mr. Taylor held 2,197 shares of unvested restricted stock.</w:t>
      </w:r>
    </w:p>
    <w:p>
      <w:pPr>
        <w:spacing w:after="0" w:line="33" w:lineRule="exact"/>
        <w:rPr>
          <w:rFonts w:ascii="Arial" w:cs="Arial" w:eastAsia="Arial" w:hAnsi="Arial"/>
          <w:sz w:val="15"/>
          <w:szCs w:val="15"/>
          <w:color w:val="auto"/>
        </w:rPr>
      </w:pPr>
    </w:p>
    <w:p>
      <w:pPr>
        <w:ind w:left="1080" w:right="960" w:hanging="316"/>
        <w:spacing w:after="0" w:line="235" w:lineRule="auto"/>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amount reported reflects the grant date fair value calculated in accordance with ASC Topic 718 associated with the grant to Mr. Tehle of 2,633 shares of restricted stock on June 7, 2018 under the 2017 Omnibus Incentive Plan. As of December 29, 2018, Mr. Tehle held 6,871 shares of unvested restricted stock, and 1,118 vested shares.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Updates to Director Compensation in 2019</w:t>
      </w:r>
    </w:p>
    <w:p>
      <w:pPr>
        <w:spacing w:after="0" w:line="139" w:lineRule="exact"/>
        <w:rPr>
          <w:sz w:val="20"/>
          <w:szCs w:val="20"/>
          <w:color w:val="auto"/>
        </w:rPr>
      </w:pPr>
    </w:p>
    <w:p>
      <w:pPr>
        <w:ind w:left="760" w:right="860"/>
        <w:spacing w:after="0" w:line="253" w:lineRule="auto"/>
        <w:rPr>
          <w:sz w:val="20"/>
          <w:szCs w:val="20"/>
          <w:color w:val="auto"/>
        </w:rPr>
      </w:pPr>
      <w:r>
        <w:rPr>
          <w:rFonts w:ascii="Arial" w:cs="Arial" w:eastAsia="Arial" w:hAnsi="Arial"/>
          <w:sz w:val="18"/>
          <w:szCs w:val="18"/>
          <w:color w:val="auto"/>
        </w:rPr>
        <w:t>In connection with the establishment of the nominating and corporate governance committee in December 2018, the compensation committee, with assistance from its independent compensation consultant, reviewed the director compensation program and recommended certain updates regarding committee fees and the annual restricted stock grant for 2019, which were approved by the Board in December 2018. Beginning in 2019, director compensation will consist of the following elements:</w:t>
      </w:r>
    </w:p>
    <w:p>
      <w:pPr>
        <w:spacing w:after="0" w:line="84" w:lineRule="exact"/>
        <w:rPr>
          <w:sz w:val="20"/>
          <w:szCs w:val="20"/>
          <w:color w:val="auto"/>
        </w:rPr>
      </w:pPr>
    </w:p>
    <w:p>
      <w:pPr>
        <w:ind w:left="1140" w:right="1060" w:hanging="214"/>
        <w:spacing w:after="0" w:line="262" w:lineRule="auto"/>
        <w:tabs>
          <w:tab w:leader="none" w:pos="1140" w:val="left"/>
        </w:tabs>
        <w:numPr>
          <w:ilvl w:val="0"/>
          <w:numId w:val="12"/>
        </w:numPr>
        <w:rPr>
          <w:rFonts w:ascii="Arial" w:cs="Arial" w:eastAsia="Arial" w:hAnsi="Arial"/>
          <w:sz w:val="18"/>
          <w:szCs w:val="18"/>
          <w:color w:val="3C5896"/>
        </w:rPr>
      </w:pPr>
      <w:r>
        <w:rPr>
          <w:rFonts w:ascii="Arial" w:cs="Arial" w:eastAsia="Arial" w:hAnsi="Arial"/>
          <w:sz w:val="18"/>
          <w:szCs w:val="18"/>
          <w:color w:val="auto"/>
        </w:rPr>
        <w:t>Non-employee directors (other than those associated with the Sponsors) receive an annual cash retainer of $75,000, paid quarterly, in arrears.</w:t>
      </w:r>
    </w:p>
    <w:p>
      <w:pPr>
        <w:spacing w:after="0" w:line="74" w:lineRule="exact"/>
        <w:rPr>
          <w:rFonts w:ascii="Arial" w:cs="Arial" w:eastAsia="Arial" w:hAnsi="Arial"/>
          <w:sz w:val="18"/>
          <w:szCs w:val="18"/>
          <w:color w:val="3C5896"/>
        </w:rPr>
      </w:pPr>
    </w:p>
    <w:p>
      <w:pPr>
        <w:ind w:left="1140" w:right="920" w:hanging="214"/>
        <w:spacing w:after="0" w:line="253" w:lineRule="auto"/>
        <w:tabs>
          <w:tab w:leader="none" w:pos="1140" w:val="left"/>
        </w:tabs>
        <w:numPr>
          <w:ilvl w:val="0"/>
          <w:numId w:val="12"/>
        </w:numPr>
        <w:rPr>
          <w:rFonts w:ascii="Arial" w:cs="Arial" w:eastAsia="Arial" w:hAnsi="Arial"/>
          <w:sz w:val="18"/>
          <w:szCs w:val="18"/>
          <w:color w:val="3C5896"/>
        </w:rPr>
      </w:pPr>
      <w:r>
        <w:rPr>
          <w:rFonts w:ascii="Arial" w:cs="Arial" w:eastAsia="Arial" w:hAnsi="Arial"/>
          <w:sz w:val="18"/>
          <w:szCs w:val="18"/>
          <w:color w:val="auto"/>
        </w:rPr>
        <w:t>The Chair of the audit committee, compensation committee and nominating and corporate governance committee receive an additional annual cash retainer of $20,000, $15,000 and $10,000, respectively, paid quarterly, in arrears. In 2019, the chair of the nominating and corporate governance committee will receive an additional $10,000 stipend to account for the additional work anticipated during the committee’s initial year in existence.</w:t>
      </w:r>
    </w:p>
    <w:p>
      <w:pPr>
        <w:spacing w:after="0" w:line="70" w:lineRule="exact"/>
        <w:rPr>
          <w:rFonts w:ascii="Arial" w:cs="Arial" w:eastAsia="Arial" w:hAnsi="Arial"/>
          <w:sz w:val="18"/>
          <w:szCs w:val="18"/>
          <w:color w:val="3C5896"/>
        </w:rPr>
      </w:pPr>
    </w:p>
    <w:p>
      <w:pPr>
        <w:ind w:left="1140" w:right="820" w:hanging="214"/>
        <w:spacing w:after="0" w:line="256" w:lineRule="auto"/>
        <w:tabs>
          <w:tab w:leader="none" w:pos="1140" w:val="left"/>
        </w:tabs>
        <w:numPr>
          <w:ilvl w:val="0"/>
          <w:numId w:val="12"/>
        </w:numPr>
        <w:rPr>
          <w:rFonts w:ascii="Arial" w:cs="Arial" w:eastAsia="Arial" w:hAnsi="Arial"/>
          <w:sz w:val="18"/>
          <w:szCs w:val="18"/>
          <w:color w:val="3C5896"/>
        </w:rPr>
      </w:pPr>
      <w:r>
        <w:rPr>
          <w:rFonts w:ascii="Arial" w:cs="Arial" w:eastAsia="Arial" w:hAnsi="Arial"/>
          <w:sz w:val="18"/>
          <w:szCs w:val="18"/>
          <w:color w:val="auto"/>
        </w:rPr>
        <w:t>Each non-employee director (other than those associated with the Sponsors) will receive a $100,000 restricted stock grant, which will vest on the first anniversary of the grant date, subject to continued service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102870</wp:posOffset>
            </wp:positionV>
            <wp:extent cx="291465" cy="231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11</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PROPOSAL NO. 2—RATIFICATION OF INDEPENDENT REGISTERED PUBLIC ACCOUNTING FIRM</w:t>
      </w:r>
    </w:p>
    <w:p>
      <w:pPr>
        <w:spacing w:after="0" w:line="252" w:lineRule="exact"/>
        <w:rPr>
          <w:sz w:val="20"/>
          <w:szCs w:val="20"/>
          <w:color w:val="auto"/>
        </w:rPr>
      </w:pPr>
    </w:p>
    <w:p>
      <w:pPr>
        <w:ind w:left="760" w:right="1259"/>
        <w:spacing w:after="0" w:line="242" w:lineRule="auto"/>
        <w:rPr>
          <w:sz w:val="20"/>
          <w:szCs w:val="20"/>
          <w:color w:val="auto"/>
        </w:rPr>
      </w:pPr>
      <w:r>
        <w:rPr>
          <w:rFonts w:ascii="Arial" w:cs="Arial" w:eastAsia="Arial" w:hAnsi="Arial"/>
          <w:sz w:val="32"/>
          <w:szCs w:val="32"/>
          <w:color w:val="auto"/>
        </w:rPr>
        <w:t>PROPOSAL NO. 2—RATIFICATION OF INDEPENDENT REGISTERED PUBLIC ACCOUNTING FIRM</w:t>
      </w:r>
    </w:p>
    <w:p>
      <w:pPr>
        <w:spacing w:after="0" w:line="77" w:lineRule="exact"/>
        <w:rPr>
          <w:sz w:val="20"/>
          <w:szCs w:val="20"/>
          <w:color w:val="auto"/>
        </w:rPr>
      </w:pPr>
    </w:p>
    <w:p>
      <w:pPr>
        <w:ind w:left="760" w:right="359"/>
        <w:spacing w:after="0" w:line="262" w:lineRule="auto"/>
        <w:rPr>
          <w:sz w:val="20"/>
          <w:szCs w:val="20"/>
          <w:color w:val="auto"/>
        </w:rPr>
      </w:pPr>
      <w:r>
        <w:rPr>
          <w:rFonts w:ascii="Arial" w:cs="Arial" w:eastAsia="Arial" w:hAnsi="Arial"/>
          <w:sz w:val="18"/>
          <w:szCs w:val="18"/>
          <w:color w:val="auto"/>
        </w:rPr>
        <w:t>The audit committee has selected Deloitte &amp; Touche LLP to serve as our independent registered public accounting firm for fiscal 2019.</w:t>
      </w:r>
    </w:p>
    <w:p>
      <w:pPr>
        <w:spacing w:after="0" w:line="88" w:lineRule="exact"/>
        <w:rPr>
          <w:sz w:val="20"/>
          <w:szCs w:val="20"/>
          <w:color w:val="auto"/>
        </w:rPr>
      </w:pPr>
    </w:p>
    <w:p>
      <w:pPr>
        <w:ind w:left="760" w:right="319"/>
        <w:spacing w:after="0" w:line="252" w:lineRule="auto"/>
        <w:rPr>
          <w:sz w:val="20"/>
          <w:szCs w:val="20"/>
          <w:color w:val="auto"/>
        </w:rPr>
      </w:pPr>
      <w:r>
        <w:rPr>
          <w:rFonts w:ascii="Arial" w:cs="Arial" w:eastAsia="Arial" w:hAnsi="Arial"/>
          <w:sz w:val="18"/>
          <w:szCs w:val="18"/>
          <w:color w:val="auto"/>
        </w:rPr>
        <w:t>Although ratification is not required by our Bylaws or otherwise, the Board of Directors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of Directors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w:t>
      </w:r>
    </w:p>
    <w:p>
      <w:pPr>
        <w:spacing w:after="0" w:line="98" w:lineRule="exact"/>
        <w:rPr>
          <w:sz w:val="20"/>
          <w:szCs w:val="20"/>
          <w:color w:val="auto"/>
        </w:rPr>
      </w:pPr>
    </w:p>
    <w:p>
      <w:pPr>
        <w:ind w:left="760" w:right="359"/>
        <w:spacing w:after="0" w:line="262" w:lineRule="auto"/>
        <w:rPr>
          <w:sz w:val="20"/>
          <w:szCs w:val="20"/>
          <w:color w:val="auto"/>
        </w:rPr>
      </w:pPr>
      <w:r>
        <w:rPr>
          <w:rFonts w:ascii="Arial" w:cs="Arial" w:eastAsia="Arial" w:hAnsi="Arial"/>
          <w:sz w:val="18"/>
          <w:szCs w:val="18"/>
          <w:color w:val="auto"/>
        </w:rPr>
        <w:t>The shares represented by your proxy will be voted “FOR” the ratification of the selection of Deloitte &amp; Touche LLP unless you specify otherwise.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58400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4" w:lineRule="exact"/>
        <w:rPr>
          <w:sz w:val="20"/>
          <w:szCs w:val="20"/>
          <w:color w:val="auto"/>
        </w:rPr>
      </w:pPr>
    </w:p>
    <w:p>
      <w:pPr>
        <w:ind w:left="760" w:right="699"/>
        <w:spacing w:after="0" w:line="256" w:lineRule="auto"/>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Deloitte &amp; Touche LLP for the audit of our financial statements for 2018 and 2017 and for fees billed for other services rendered by Deloitte during those periods.</w:t>
      </w:r>
    </w:p>
    <w:p>
      <w:pPr>
        <w:spacing w:after="0" w:line="135" w:lineRule="exact"/>
        <w:rPr>
          <w:sz w:val="20"/>
          <w:szCs w:val="20"/>
          <w:color w:val="auto"/>
        </w:rPr>
      </w:pPr>
    </w:p>
    <w:tbl>
      <w:tblPr>
        <w:tblLayout w:type="fixed"/>
        <w:tblInd w:w="770" w:type="dxa"/>
        <w:tblCellMar>
          <w:top w:w="0" w:type="dxa"/>
          <w:left w:w="0" w:type="dxa"/>
          <w:bottom w:w="0" w:type="dxa"/>
          <w:right w:w="0" w:type="dxa"/>
        </w:tblCellMar>
      </w:tblPr>
      <w:tr>
        <w:trPr>
          <w:trHeight w:val="265"/>
        </w:trPr>
        <w:tc>
          <w:tcPr>
            <w:tcW w:w="5720" w:type="dxa"/>
            <w:vAlign w:val="bottom"/>
            <w:tcBorders>
              <w:left w:val="single" w:sz="8" w:color="3C5896"/>
              <w:bottom w:val="single" w:sz="8" w:color="auto"/>
              <w:right w:val="single" w:sz="8" w:color="9EACCA"/>
            </w:tcBorders>
            <w:shd w:val="clear" w:color="auto" w:fill="3C5896"/>
          </w:tcPr>
          <w:p>
            <w:pPr>
              <w:ind w:left="2220"/>
              <w:spacing w:after="0"/>
              <w:rPr>
                <w:sz w:val="20"/>
                <w:szCs w:val="20"/>
                <w:color w:val="auto"/>
              </w:rPr>
            </w:pPr>
            <w:r>
              <w:rPr>
                <w:rFonts w:ascii="Arial" w:cs="Arial" w:eastAsia="Arial" w:hAnsi="Arial"/>
                <w:sz w:val="18"/>
                <w:szCs w:val="18"/>
                <w:b w:val="1"/>
                <w:bCs w:val="1"/>
                <w:color w:val="FFFFFF"/>
              </w:rPr>
              <w:t>$ in thousands</w:t>
            </w:r>
          </w:p>
        </w:tc>
        <w:tc>
          <w:tcPr>
            <w:tcW w:w="1740" w:type="dxa"/>
            <w:vAlign w:val="bottom"/>
            <w:tcBorders>
              <w:bottom w:val="single" w:sz="8" w:color="auto"/>
              <w:right w:val="single" w:sz="8" w:color="9EACCA"/>
            </w:tcBorders>
            <w:shd w:val="clear" w:color="auto" w:fill="3C5896"/>
          </w:tcPr>
          <w:p>
            <w:pPr>
              <w:jc w:val="right"/>
              <w:ind w:right="90"/>
              <w:spacing w:after="0"/>
              <w:rPr>
                <w:sz w:val="20"/>
                <w:szCs w:val="20"/>
                <w:color w:val="auto"/>
              </w:rPr>
            </w:pPr>
            <w:r>
              <w:rPr>
                <w:rFonts w:ascii="Arial" w:cs="Arial" w:eastAsia="Arial" w:hAnsi="Arial"/>
                <w:sz w:val="18"/>
                <w:szCs w:val="18"/>
                <w:b w:val="1"/>
                <w:bCs w:val="1"/>
                <w:color w:val="FFFFFF"/>
              </w:rPr>
              <w:t>Fiscal Year 2018</w:t>
            </w:r>
          </w:p>
        </w:tc>
        <w:tc>
          <w:tcPr>
            <w:tcW w:w="1740" w:type="dxa"/>
            <w:vAlign w:val="bottom"/>
            <w:tcBorders>
              <w:bottom w:val="single" w:sz="8" w:color="auto"/>
              <w:right w:val="single" w:sz="8" w:color="3C5896"/>
            </w:tcBorders>
            <w:shd w:val="clear" w:color="auto" w:fill="3C5896"/>
          </w:tcPr>
          <w:p>
            <w:pPr>
              <w:jc w:val="right"/>
              <w:ind w:right="90"/>
              <w:spacing w:after="0"/>
              <w:rPr>
                <w:sz w:val="20"/>
                <w:szCs w:val="20"/>
                <w:color w:val="auto"/>
              </w:rPr>
            </w:pPr>
            <w:r>
              <w:rPr>
                <w:rFonts w:ascii="Arial" w:cs="Arial" w:eastAsia="Arial" w:hAnsi="Arial"/>
                <w:sz w:val="18"/>
                <w:szCs w:val="18"/>
                <w:b w:val="1"/>
                <w:bCs w:val="1"/>
                <w:color w:val="FFFFFF"/>
              </w:rPr>
              <w:t>Fiscal Year 2017</w:t>
            </w:r>
          </w:p>
        </w:tc>
      </w:tr>
      <w:tr>
        <w:trPr>
          <w:trHeight w:val="269"/>
        </w:trPr>
        <w:tc>
          <w:tcPr>
            <w:tcW w:w="5720" w:type="dxa"/>
            <w:vAlign w:val="bottom"/>
            <w:tcBorders>
              <w:left w:val="single" w:sz="8" w:color="3C5896"/>
              <w:right w:val="single" w:sz="8" w:color="9EACCA"/>
            </w:tcBorders>
          </w:tcPr>
          <w:p>
            <w:pPr>
              <w:ind w:left="8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7"/>
                <w:szCs w:val="27"/>
                <w:color w:val="auto"/>
                <w:vertAlign w:val="superscript"/>
              </w:rPr>
              <w:t>(1)</w:t>
            </w:r>
          </w:p>
        </w:tc>
        <w:tc>
          <w:tcPr>
            <w:tcW w:w="1740" w:type="dxa"/>
            <w:vAlign w:val="bottom"/>
            <w:tcBorders>
              <w:right w:val="single" w:sz="8" w:color="9EACCA"/>
            </w:tcBorders>
          </w:tcPr>
          <w:p>
            <w:pPr>
              <w:jc w:val="right"/>
              <w:ind w:right="550"/>
              <w:spacing w:after="0"/>
              <w:rPr>
                <w:sz w:val="20"/>
                <w:szCs w:val="20"/>
                <w:color w:val="auto"/>
              </w:rPr>
            </w:pPr>
            <w:r>
              <w:rPr>
                <w:rFonts w:ascii="Arial" w:cs="Arial" w:eastAsia="Arial" w:hAnsi="Arial"/>
                <w:sz w:val="18"/>
                <w:szCs w:val="18"/>
                <w:color w:val="auto"/>
              </w:rPr>
              <w:t>2,539</w:t>
            </w:r>
          </w:p>
        </w:tc>
        <w:tc>
          <w:tcPr>
            <w:tcW w:w="1740" w:type="dxa"/>
            <w:vAlign w:val="bottom"/>
            <w:tcBorders>
              <w:right w:val="single" w:sz="8" w:color="3C5896"/>
            </w:tcBorders>
          </w:tcPr>
          <w:p>
            <w:pPr>
              <w:jc w:val="right"/>
              <w:ind w:right="550"/>
              <w:spacing w:after="0"/>
              <w:rPr>
                <w:sz w:val="20"/>
                <w:szCs w:val="20"/>
                <w:color w:val="auto"/>
              </w:rPr>
            </w:pPr>
            <w:r>
              <w:rPr>
                <w:rFonts w:ascii="Arial" w:cs="Arial" w:eastAsia="Arial" w:hAnsi="Arial"/>
                <w:sz w:val="18"/>
                <w:szCs w:val="18"/>
                <w:color w:val="auto"/>
              </w:rPr>
              <w:t>2,420</w:t>
            </w:r>
          </w:p>
        </w:tc>
      </w:tr>
      <w:tr>
        <w:trPr>
          <w:trHeight w:val="270"/>
        </w:trPr>
        <w:tc>
          <w:tcPr>
            <w:tcW w:w="5720" w:type="dxa"/>
            <w:vAlign w:val="bottom"/>
            <w:tcBorders>
              <w:left w:val="single" w:sz="8" w:color="3C5896"/>
              <w:right w:val="single" w:sz="8" w:color="9EACCA"/>
            </w:tcBorders>
            <w:shd w:val="clear" w:color="auto" w:fill="CCCCCC"/>
          </w:tcPr>
          <w:p>
            <w:pPr>
              <w:ind w:left="8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7"/>
                <w:szCs w:val="27"/>
                <w:color w:val="auto"/>
                <w:vertAlign w:val="superscript"/>
              </w:rPr>
              <w:t>(2)</w:t>
            </w:r>
          </w:p>
        </w:tc>
        <w:tc>
          <w:tcPr>
            <w:tcW w:w="1740" w:type="dxa"/>
            <w:vAlign w:val="bottom"/>
            <w:tcBorders>
              <w:right w:val="single" w:sz="8" w:color="9EACCA"/>
            </w:tcBorders>
            <w:shd w:val="clear" w:color="auto" w:fill="CCCCCC"/>
          </w:tcPr>
          <w:p>
            <w:pPr>
              <w:jc w:val="right"/>
              <w:ind w:right="55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3C5896"/>
            </w:tcBorders>
            <w:shd w:val="clear" w:color="auto" w:fill="CCCCCC"/>
          </w:tcPr>
          <w:p>
            <w:pPr>
              <w:jc w:val="right"/>
              <w:ind w:right="550"/>
              <w:spacing w:after="0"/>
              <w:rPr>
                <w:sz w:val="20"/>
                <w:szCs w:val="20"/>
                <w:color w:val="auto"/>
              </w:rPr>
            </w:pPr>
            <w:r>
              <w:rPr>
                <w:rFonts w:ascii="Arial" w:cs="Arial" w:eastAsia="Arial" w:hAnsi="Arial"/>
                <w:sz w:val="18"/>
                <w:szCs w:val="18"/>
                <w:color w:val="auto"/>
              </w:rPr>
              <w:t>397</w:t>
            </w:r>
          </w:p>
        </w:tc>
      </w:tr>
      <w:tr>
        <w:trPr>
          <w:trHeight w:val="270"/>
        </w:trPr>
        <w:tc>
          <w:tcPr>
            <w:tcW w:w="5720" w:type="dxa"/>
            <w:vAlign w:val="bottom"/>
            <w:tcBorders>
              <w:left w:val="single" w:sz="8" w:color="3C5896"/>
              <w:right w:val="single" w:sz="8" w:color="9EACCA"/>
            </w:tcBorders>
          </w:tcPr>
          <w:p>
            <w:pPr>
              <w:ind w:left="8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7"/>
                <w:szCs w:val="27"/>
                <w:color w:val="auto"/>
                <w:vertAlign w:val="superscript"/>
              </w:rPr>
              <w:t>(3)</w:t>
            </w:r>
          </w:p>
        </w:tc>
        <w:tc>
          <w:tcPr>
            <w:tcW w:w="1740" w:type="dxa"/>
            <w:vAlign w:val="bottom"/>
            <w:tcBorders>
              <w:right w:val="single" w:sz="8" w:color="9EACCA"/>
            </w:tcBorders>
          </w:tcPr>
          <w:p>
            <w:pPr>
              <w:jc w:val="right"/>
              <w:ind w:right="550"/>
              <w:spacing w:after="0"/>
              <w:rPr>
                <w:sz w:val="20"/>
                <w:szCs w:val="20"/>
                <w:color w:val="auto"/>
              </w:rPr>
            </w:pPr>
            <w:r>
              <w:rPr>
                <w:rFonts w:ascii="Arial" w:cs="Arial" w:eastAsia="Arial" w:hAnsi="Arial"/>
                <w:sz w:val="18"/>
                <w:szCs w:val="18"/>
                <w:color w:val="auto"/>
              </w:rPr>
              <w:t>25</w:t>
            </w:r>
          </w:p>
        </w:tc>
        <w:tc>
          <w:tcPr>
            <w:tcW w:w="1740" w:type="dxa"/>
            <w:vAlign w:val="bottom"/>
            <w:tcBorders>
              <w:right w:val="single" w:sz="8" w:color="3C5896"/>
            </w:tcBorders>
          </w:tcPr>
          <w:p>
            <w:pPr>
              <w:jc w:val="right"/>
              <w:ind w:right="550"/>
              <w:spacing w:after="0"/>
              <w:rPr>
                <w:sz w:val="20"/>
                <w:szCs w:val="20"/>
                <w:color w:val="auto"/>
              </w:rPr>
            </w:pPr>
            <w:r>
              <w:rPr>
                <w:rFonts w:ascii="Arial" w:cs="Arial" w:eastAsia="Arial" w:hAnsi="Arial"/>
                <w:sz w:val="18"/>
                <w:szCs w:val="18"/>
                <w:color w:val="auto"/>
              </w:rPr>
              <w:t>6</w:t>
            </w:r>
          </w:p>
        </w:tc>
      </w:tr>
      <w:tr>
        <w:trPr>
          <w:trHeight w:val="257"/>
        </w:trPr>
        <w:tc>
          <w:tcPr>
            <w:tcW w:w="57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All other fees</w:t>
            </w:r>
          </w:p>
        </w:tc>
        <w:tc>
          <w:tcPr>
            <w:tcW w:w="1740" w:type="dxa"/>
            <w:vAlign w:val="bottom"/>
            <w:tcBorders>
              <w:right w:val="single" w:sz="8" w:color="9EACCA"/>
            </w:tcBorders>
            <w:shd w:val="clear" w:color="auto" w:fill="CCCCCC"/>
          </w:tcPr>
          <w:p>
            <w:pPr>
              <w:jc w:val="right"/>
              <w:ind w:right="55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3C5896"/>
            </w:tcBorders>
            <w:shd w:val="clear" w:color="auto" w:fill="CCCCCC"/>
          </w:tcPr>
          <w:p>
            <w:pPr>
              <w:jc w:val="right"/>
              <w:ind w:right="550"/>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3C5896"/>
              <w:right w:val="single" w:sz="8" w:color="9EACCA"/>
            </w:tcBorders>
          </w:tcPr>
          <w:p>
            <w:pPr>
              <w:jc w:val="right"/>
              <w:ind w:right="550"/>
              <w:spacing w:after="0"/>
              <w:rPr>
                <w:sz w:val="20"/>
                <w:szCs w:val="20"/>
                <w:color w:val="auto"/>
              </w:rPr>
            </w:pPr>
            <w:r>
              <w:rPr>
                <w:rFonts w:ascii="Arial" w:cs="Arial" w:eastAsia="Arial" w:hAnsi="Arial"/>
                <w:sz w:val="18"/>
                <w:szCs w:val="18"/>
                <w:color w:val="auto"/>
              </w:rPr>
              <w:t>2,564</w:t>
            </w:r>
          </w:p>
        </w:tc>
        <w:tc>
          <w:tcPr>
            <w:tcW w:w="1740" w:type="dxa"/>
            <w:vAlign w:val="bottom"/>
            <w:tcBorders>
              <w:bottom w:val="single" w:sz="8" w:color="3C5896"/>
              <w:right w:val="single" w:sz="8" w:color="3C5896"/>
            </w:tcBorders>
          </w:tcPr>
          <w:p>
            <w:pPr>
              <w:jc w:val="right"/>
              <w:ind w:right="550"/>
              <w:spacing w:after="0"/>
              <w:rPr>
                <w:sz w:val="20"/>
                <w:szCs w:val="20"/>
                <w:color w:val="auto"/>
              </w:rPr>
            </w:pPr>
            <w:r>
              <w:rPr>
                <w:rFonts w:ascii="Arial" w:cs="Arial" w:eastAsia="Arial" w:hAnsi="Arial"/>
                <w:sz w:val="18"/>
                <w:szCs w:val="18"/>
                <w:color w:val="auto"/>
              </w:rPr>
              <w:t>2,823</w:t>
            </w:r>
          </w:p>
        </w:tc>
      </w:tr>
    </w:tbl>
    <w:p>
      <w:pPr>
        <w:spacing w:after="0" w:line="64" w:lineRule="exact"/>
        <w:rPr>
          <w:sz w:val="20"/>
          <w:szCs w:val="20"/>
          <w:color w:val="auto"/>
        </w:rPr>
      </w:pPr>
    </w:p>
    <w:p>
      <w:pPr>
        <w:jc w:val="both"/>
        <w:ind w:left="1080" w:right="339" w:hanging="316"/>
        <w:spacing w:after="0" w:line="235"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the audit of the Company’s annual financial statements and the quarterly reviews of its financial statements, assistance with documents filed with the SEC, and assistance with documents related to our IPO process in 2017 and secondary offerings in 2018.</w:t>
      </w:r>
    </w:p>
    <w:p>
      <w:pPr>
        <w:spacing w:after="0" w:line="33" w:lineRule="exact"/>
        <w:rPr>
          <w:rFonts w:ascii="Arial" w:cs="Arial" w:eastAsia="Arial" w:hAnsi="Arial"/>
          <w:sz w:val="15"/>
          <w:szCs w:val="15"/>
          <w:color w:val="auto"/>
        </w:rPr>
      </w:pPr>
    </w:p>
    <w:p>
      <w:pPr>
        <w:ind w:left="1080" w:hanging="316"/>
        <w:spacing w:after="0"/>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amounts for due diligence services.</w:t>
      </w:r>
    </w:p>
    <w:p>
      <w:pPr>
        <w:spacing w:after="0" w:line="43" w:lineRule="exact"/>
        <w:rPr>
          <w:rFonts w:ascii="Arial" w:cs="Arial" w:eastAsia="Arial" w:hAnsi="Arial"/>
          <w:sz w:val="15"/>
          <w:szCs w:val="15"/>
          <w:color w:val="auto"/>
        </w:rPr>
      </w:pPr>
    </w:p>
    <w:p>
      <w:pPr>
        <w:ind w:left="1080" w:hanging="316"/>
        <w:spacing w:after="0"/>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tax compliance, and tax consultation and planning.</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8" w:lineRule="exact"/>
        <w:rPr>
          <w:sz w:val="20"/>
          <w:szCs w:val="20"/>
          <w:color w:val="auto"/>
        </w:rPr>
      </w:pPr>
    </w:p>
    <w:p>
      <w:pPr>
        <w:ind w:left="760" w:right="299"/>
        <w:spacing w:after="0" w:line="251"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160655</wp:posOffset>
            </wp:positionV>
            <wp:extent cx="5840095" cy="600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0095" cy="600075"/>
                    </a:xfrm>
                    <a:prstGeom prst="rect">
                      <a:avLst/>
                    </a:prstGeom>
                    <a:noFill/>
                  </pic:spPr>
                </pic:pic>
              </a:graphicData>
            </a:graphic>
          </wp:anchor>
        </w:drawing>
      </w:r>
    </w:p>
    <w:p>
      <w:pPr>
        <w:spacing w:after="0" w:line="318" w:lineRule="exact"/>
        <w:rPr>
          <w:sz w:val="20"/>
          <w:szCs w:val="20"/>
          <w:color w:val="auto"/>
        </w:rPr>
      </w:pPr>
    </w:p>
    <w:p>
      <w:pPr>
        <w:jc w:val="center"/>
        <w:ind w:left="940" w:right="580"/>
        <w:spacing w:after="0" w:line="284" w:lineRule="auto"/>
        <w:rPr>
          <w:sz w:val="20"/>
          <w:szCs w:val="20"/>
          <w:color w:val="auto"/>
        </w:rPr>
      </w:pPr>
      <w:r>
        <w:rPr>
          <w:rFonts w:ascii="Arial" w:cs="Arial" w:eastAsia="Arial" w:hAnsi="Arial"/>
          <w:sz w:val="18"/>
          <w:szCs w:val="18"/>
          <w:b w:val="1"/>
          <w:bCs w:val="1"/>
          <w:i w:val="1"/>
          <w:iCs w:val="1"/>
          <w:color w:val="3C5896"/>
        </w:rPr>
        <w:t>YOUR BOARD OF DIRECTORS RECOMMENDS THAT YOU VOTE “FOR” THE RATIFICATION OF DELOITTE &amp; TOUCHE LLP AS OUR INDEPENDENT REGISTERED PUBLIC ACCOUNTING FIRM FOR FISCAL 2019.</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12  </w:t>
      </w:r>
      <w:r>
        <w:rPr>
          <w:sz w:val="1"/>
          <w:szCs w:val="1"/>
          <w:color w:val="auto"/>
        </w:rPr>
        <w:drawing>
          <wp:inline distT="0" distB="0" distL="0" distR="0">
            <wp:extent cx="291465" cy="2317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 cy="23177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FFFFFF"/>
        </w:rPr>
        <w:t>REPORT OF THE AUDIT COMMITTEE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REPORT OF THE AUDIT COMMITTEE</w:t>
      </w:r>
    </w:p>
    <w:p>
      <w:pPr>
        <w:spacing w:after="0" w:line="60" w:lineRule="exact"/>
        <w:rPr>
          <w:sz w:val="20"/>
          <w:szCs w:val="20"/>
          <w:color w:val="auto"/>
        </w:rPr>
      </w:pPr>
    </w:p>
    <w:p>
      <w:pPr>
        <w:ind w:left="760" w:right="780"/>
        <w:spacing w:after="0" w:line="251" w:lineRule="auto"/>
        <w:rPr>
          <w:sz w:val="20"/>
          <w:szCs w:val="20"/>
          <w:color w:val="auto"/>
        </w:rPr>
      </w:pPr>
      <w:r>
        <w:rPr>
          <w:rFonts w:ascii="Arial" w:cs="Arial" w:eastAsia="Arial" w:hAnsi="Arial"/>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05" w:lineRule="exact"/>
        <w:rPr>
          <w:sz w:val="20"/>
          <w:szCs w:val="20"/>
          <w:color w:val="auto"/>
        </w:rPr>
      </w:pPr>
    </w:p>
    <w:p>
      <w:pPr>
        <w:ind w:left="760" w:right="800"/>
        <w:spacing w:after="0" w:line="251"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105" w:lineRule="exact"/>
        <w:rPr>
          <w:sz w:val="20"/>
          <w:szCs w:val="20"/>
          <w:color w:val="auto"/>
        </w:rPr>
      </w:pPr>
    </w:p>
    <w:p>
      <w:pPr>
        <w:jc w:val="both"/>
        <w:ind w:left="760" w:right="920"/>
        <w:spacing w:after="0" w:line="256"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December 29, 2018 filed with the SEC.</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0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Audit Committee</w:t>
      </w:r>
    </w:p>
    <w:p>
      <w:pPr>
        <w:spacing w:after="0" w:line="19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M. Tehle, Chair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Virginia A. Hepner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Thomas V.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3419475</wp:posOffset>
            </wp:positionV>
            <wp:extent cx="291465"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13</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PROPOSAL NO. 3—NON-BINDING VOTE ON EXECUTIVE COMPENSATION</w:t>
      </w:r>
    </w:p>
    <w:p>
      <w:pPr>
        <w:spacing w:after="0" w:line="252" w:lineRule="exact"/>
        <w:rPr>
          <w:sz w:val="20"/>
          <w:szCs w:val="20"/>
          <w:color w:val="auto"/>
        </w:rPr>
      </w:pPr>
    </w:p>
    <w:p>
      <w:pPr>
        <w:ind w:left="760" w:right="759"/>
        <w:spacing w:after="0" w:line="242" w:lineRule="auto"/>
        <w:rPr>
          <w:sz w:val="20"/>
          <w:szCs w:val="20"/>
          <w:color w:val="auto"/>
        </w:rPr>
      </w:pPr>
      <w:r>
        <w:rPr>
          <w:rFonts w:ascii="Arial" w:cs="Arial" w:eastAsia="Arial" w:hAnsi="Arial"/>
          <w:sz w:val="32"/>
          <w:szCs w:val="32"/>
          <w:color w:val="auto"/>
        </w:rPr>
        <w:t>PROPOSAL NO. 3—NON-BINDING VOTE ON EXECUTIVE COMPENSATION</w:t>
      </w:r>
    </w:p>
    <w:p>
      <w:pPr>
        <w:spacing w:after="0" w:line="77" w:lineRule="exact"/>
        <w:rPr>
          <w:sz w:val="20"/>
          <w:szCs w:val="20"/>
          <w:color w:val="auto"/>
        </w:rPr>
      </w:pPr>
    </w:p>
    <w:p>
      <w:pPr>
        <w:ind w:left="760" w:right="279"/>
        <w:spacing w:after="0" w:line="251" w:lineRule="auto"/>
        <w:rPr>
          <w:sz w:val="20"/>
          <w:szCs w:val="20"/>
          <w:color w:val="auto"/>
        </w:rPr>
      </w:pPr>
      <w:r>
        <w:rPr>
          <w:rFonts w:ascii="Arial" w:cs="Arial" w:eastAsia="Arial" w:hAnsi="Arial"/>
          <w:sz w:val="18"/>
          <w:szCs w:val="18"/>
          <w:color w:val="auto"/>
        </w:rPr>
        <w:t>At the Company’s 2018 Annual Meeting of Stockholders, our stockholders indicated their preference that we should seek future advisory votes every year on named executive officer compensation. Based on the recommendation of the Board of Directors in the Company’s 2018 proxy statement and the voting results with respect to the advisory vote on the frequency of future advisory votes on named executive officer compensation, the Company determined to hold an advisory vote on named executive officer compensation every year. Accordingly, our stockholders are being asked to approve, in a non-binding advisory vote, the compensation of our named executive officers as disclosed pursuant to Item 402 of Regulation S-K, including the Compensation Discussion and Analysis, compensation tables and narrative discussion. While the results of the vote are non-binding and advisory in nature, the Board intends to carefully consider the results of this vote.</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text of the resolution in respect of Proposal No. 3 is as follows:</w:t>
      </w:r>
    </w:p>
    <w:p>
      <w:pPr>
        <w:spacing w:after="0" w:line="95" w:lineRule="exact"/>
        <w:rPr>
          <w:sz w:val="20"/>
          <w:szCs w:val="20"/>
          <w:color w:val="auto"/>
        </w:rPr>
      </w:pPr>
    </w:p>
    <w:p>
      <w:pPr>
        <w:jc w:val="both"/>
        <w:ind w:left="760" w:right="49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82" w:lineRule="exact"/>
        <w:rPr>
          <w:sz w:val="20"/>
          <w:szCs w:val="20"/>
          <w:color w:val="auto"/>
        </w:rPr>
      </w:pPr>
    </w:p>
    <w:p>
      <w:pPr>
        <w:ind w:left="760" w:right="479"/>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In considering their vote, stockholders may wish to review with care the information on our compensation policies and decisions regarding the named executive officers presented in Compensation Discussion and Analysis on pages </w:t>
      </w:r>
      <w:hyperlink w:anchor="page17">
        <w:r>
          <w:rPr>
            <w:rFonts w:ascii="Arial" w:cs="Arial" w:eastAsia="Arial" w:hAnsi="Arial"/>
            <w:sz w:val="18"/>
            <w:szCs w:val="18"/>
            <w:u w:val="single" w:color="auto"/>
            <w:color w:val="0000EE"/>
          </w:rPr>
          <w:t>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w:t>
      </w:r>
      <w:hyperlink w:anchor="page23">
        <w:r>
          <w:rPr>
            <w:rFonts w:ascii="Arial" w:cs="Arial" w:eastAsia="Arial" w:hAnsi="Arial"/>
            <w:sz w:val="18"/>
            <w:szCs w:val="18"/>
            <w:u w:val="single" w:color="auto"/>
            <w:color w:val="0000EE"/>
          </w:rPr>
          <w:t>21</w:t>
        </w:r>
      </w:hyperlink>
      <w:r>
        <w:rPr>
          <w:rFonts w:ascii="Arial" w:cs="Arial" w:eastAsia="Arial" w:hAnsi="Arial"/>
          <w:sz w:val="18"/>
          <w:szCs w:val="18"/>
          <w:color w:val="auto"/>
        </w:rPr>
        <w:t xml:space="preserve">, the compensation tables and narrative discussion on pages </w:t>
      </w:r>
      <w:hyperlink w:anchor="page24">
        <w:r>
          <w:rPr>
            <w:rFonts w:ascii="Arial" w:cs="Arial" w:eastAsia="Arial" w:hAnsi="Arial"/>
            <w:sz w:val="18"/>
            <w:szCs w:val="18"/>
            <w:u w:val="single" w:color="auto"/>
            <w:color w:val="0000EE"/>
          </w:rPr>
          <w:t>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w:t>
      </w:r>
      <w:hyperlink w:anchor="page32">
        <w:r>
          <w:rPr>
            <w:rFonts w:ascii="Arial" w:cs="Arial" w:eastAsia="Arial" w:hAnsi="Arial"/>
            <w:sz w:val="18"/>
            <w:szCs w:val="18"/>
            <w:u w:val="single" w:color="auto"/>
            <w:color w:val="0000EE"/>
          </w:rPr>
          <w:t>30</w:t>
        </w:r>
      </w:hyperlink>
      <w:r>
        <w:rPr>
          <w:rFonts w:ascii="Arial" w:cs="Arial" w:eastAsia="Arial" w:hAnsi="Arial"/>
          <w:sz w:val="18"/>
          <w:szCs w:val="18"/>
          <w:color w:val="auto"/>
        </w:rPr>
        <w:t xml:space="preserve">, as well as the discussion regarding the compensation committee on page </w:t>
      </w:r>
      <w:hyperlink w:anchor="page12">
        <w:r>
          <w:rPr>
            <w:rFonts w:ascii="Arial" w:cs="Arial" w:eastAsia="Arial" w:hAnsi="Arial"/>
            <w:sz w:val="18"/>
            <w:szCs w:val="18"/>
            <w:u w:val="single" w:color="auto"/>
            <w:color w:val="0000EE"/>
          </w:rPr>
          <w:t>10</w:t>
        </w:r>
      </w:hyperlink>
      <w:r>
        <w:rPr>
          <w:rFonts w:ascii="Arial" w:cs="Arial" w:eastAsia="Arial" w:hAnsi="Arial"/>
          <w:sz w:val="18"/>
          <w:szCs w:val="18"/>
          <w:color w:val="auto"/>
        </w:rPr>
        <w: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485140</wp:posOffset>
            </wp:positionH>
            <wp:positionV relativeFrom="paragraph">
              <wp:posOffset>147320</wp:posOffset>
            </wp:positionV>
            <wp:extent cx="5840095" cy="454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0095" cy="454660"/>
                    </a:xfrm>
                    <a:prstGeom prst="rect">
                      <a:avLst/>
                    </a:prstGeom>
                    <a:noFill/>
                  </pic:spPr>
                </pic:pic>
              </a:graphicData>
            </a:graphic>
          </wp:anchor>
        </w:drawing>
      </w:r>
    </w:p>
    <w:p>
      <w:pPr>
        <w:spacing w:after="0" w:line="297" w:lineRule="exact"/>
        <w:rPr>
          <w:rFonts w:ascii="Arial" w:cs="Arial" w:eastAsia="Arial" w:hAnsi="Arial"/>
          <w:sz w:val="18"/>
          <w:szCs w:val="18"/>
          <w:color w:val="auto"/>
        </w:rPr>
      </w:pPr>
    </w:p>
    <w:p>
      <w:pPr>
        <w:jc w:val="center"/>
        <w:ind w:left="960" w:right="480"/>
        <w:spacing w:after="0" w:line="303" w:lineRule="auto"/>
        <w:rPr>
          <w:sz w:val="20"/>
          <w:szCs w:val="20"/>
          <w:color w:val="auto"/>
        </w:rPr>
      </w:pPr>
      <w:r>
        <w:rPr>
          <w:rFonts w:ascii="Arial" w:cs="Arial" w:eastAsia="Arial" w:hAnsi="Arial"/>
          <w:sz w:val="18"/>
          <w:szCs w:val="18"/>
          <w:b w:val="1"/>
          <w:bCs w:val="1"/>
          <w:i w:val="1"/>
          <w:iCs w:val="1"/>
          <w:color w:val="3C5896"/>
        </w:rPr>
        <w:t>YOUR BOARD OF DIRECTORS RECOMMENDS THAT YOU VOTE “FOR” THE APPROVAL OF THE COMPENSATION PAID TO OUR NAMED EXECUTIVE OFFICERS.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left="760"/>
        <w:spacing w:after="0"/>
        <w:rPr>
          <w:sz w:val="20"/>
          <w:szCs w:val="20"/>
          <w:color w:val="auto"/>
        </w:rPr>
      </w:pPr>
      <w:r>
        <w:rPr>
          <w:rFonts w:ascii="Arial" w:cs="Arial" w:eastAsia="Arial" w:hAnsi="Arial"/>
          <w:sz w:val="16"/>
          <w:szCs w:val="16"/>
          <w:b w:val="1"/>
          <w:bCs w:val="1"/>
          <w:color w:val="auto"/>
        </w:rPr>
        <w:t xml:space="preserve">14  </w:t>
      </w:r>
      <w:r>
        <w:rPr>
          <w:sz w:val="1"/>
          <w:szCs w:val="1"/>
          <w:color w:val="auto"/>
        </w:rPr>
        <w:drawing>
          <wp:inline distT="0" distB="0" distL="0" distR="0">
            <wp:extent cx="291465" cy="23177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1465" cy="23177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FFFFFF"/>
        </w:rPr>
        <w:t>EXECUTIVE COMPENSATION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EXECUTIVE COMPENSATION</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Section Overview</w:t>
      </w:r>
    </w:p>
    <w:p>
      <w:pPr>
        <w:spacing w:after="0" w:line="139" w:lineRule="exact"/>
        <w:rPr>
          <w:sz w:val="20"/>
          <w:szCs w:val="20"/>
          <w:color w:val="auto"/>
        </w:rPr>
      </w:pPr>
    </w:p>
    <w:p>
      <w:pPr>
        <w:ind w:left="760" w:right="980"/>
        <w:spacing w:after="0" w:line="278" w:lineRule="auto"/>
        <w:rPr>
          <w:sz w:val="20"/>
          <w:szCs w:val="20"/>
          <w:color w:val="auto"/>
        </w:rPr>
      </w:pPr>
      <w:r>
        <w:rPr>
          <w:rFonts w:ascii="Arial" w:cs="Arial" w:eastAsia="Arial" w:hAnsi="Arial"/>
          <w:sz w:val="17"/>
          <w:szCs w:val="17"/>
          <w:color w:val="auto"/>
        </w:rPr>
        <w:t>Our executive compensation program is designed to attract and retain individuals with the skills and qualifications to manage and lead the Company effectively. The overarching goal of our program is to motivate our leaders to contribute to the achievement of our financial goals and to focus on long-term value creation for our stockholders.</w:t>
      </w:r>
    </w:p>
    <w:p>
      <w:pPr>
        <w:spacing w:after="0" w:line="77" w:lineRule="exact"/>
        <w:rPr>
          <w:sz w:val="20"/>
          <w:szCs w:val="20"/>
          <w:color w:val="auto"/>
        </w:rPr>
      </w:pPr>
    </w:p>
    <w:p>
      <w:pPr>
        <w:ind w:left="760" w:right="860"/>
        <w:spacing w:after="0" w:line="254" w:lineRule="auto"/>
        <w:rPr>
          <w:sz w:val="20"/>
          <w:szCs w:val="20"/>
          <w:color w:val="auto"/>
        </w:rPr>
      </w:pPr>
      <w:r>
        <w:rPr>
          <w:rFonts w:ascii="Arial" w:cs="Arial" w:eastAsia="Arial" w:hAnsi="Arial"/>
          <w:sz w:val="18"/>
          <w:szCs w:val="18"/>
          <w:color w:val="auto"/>
        </w:rPr>
        <w:t>This section contains a discussion of the material elements of compensation awarded to, earned by or paid to our named executive officers (“NEOs”), which include our Chief Executive Officer, Chief Financial Officer and each of our three other most highly compensated executive officers who served in such capacities for the fiscal year ended December 29, 2018. Our NEOs for fiscal 2018 were:</w:t>
      </w:r>
    </w:p>
    <w:p>
      <w:pPr>
        <w:spacing w:after="0" w:line="124" w:lineRule="exact"/>
        <w:rPr>
          <w:sz w:val="20"/>
          <w:szCs w:val="20"/>
          <w:color w:val="auto"/>
        </w:rPr>
      </w:pPr>
    </w:p>
    <w:tbl>
      <w:tblPr>
        <w:tblLayout w:type="fixed"/>
        <w:tblInd w:w="770" w:type="dxa"/>
        <w:tblCellMar>
          <w:top w:w="0" w:type="dxa"/>
          <w:left w:w="0" w:type="dxa"/>
          <w:bottom w:w="0" w:type="dxa"/>
          <w:right w:w="0" w:type="dxa"/>
        </w:tblCellMar>
      </w:tblPr>
      <w:tr>
        <w:trPr>
          <w:trHeight w:val="265"/>
        </w:trPr>
        <w:tc>
          <w:tcPr>
            <w:tcW w:w="3760" w:type="dxa"/>
            <w:vAlign w:val="bottom"/>
            <w:tcBorders>
              <w:left w:val="single" w:sz="8" w:color="3C5896"/>
              <w:bottom w:val="single" w:sz="8" w:color="auto"/>
              <w:right w:val="single" w:sz="8" w:color="9EACCA"/>
            </w:tcBorders>
            <w:shd w:val="clear" w:color="auto" w:fill="3C5896"/>
          </w:tcPr>
          <w:p>
            <w:pPr>
              <w:ind w:left="1620"/>
              <w:spacing w:after="0"/>
              <w:rPr>
                <w:sz w:val="20"/>
                <w:szCs w:val="20"/>
                <w:color w:val="auto"/>
              </w:rPr>
            </w:pPr>
            <w:r>
              <w:rPr>
                <w:rFonts w:ascii="Arial" w:cs="Arial" w:eastAsia="Arial" w:hAnsi="Arial"/>
                <w:sz w:val="18"/>
                <w:szCs w:val="18"/>
                <w:b w:val="1"/>
                <w:bCs w:val="1"/>
                <w:color w:val="FFFFFF"/>
              </w:rPr>
              <w:t>Name</w:t>
            </w:r>
          </w:p>
        </w:tc>
        <w:tc>
          <w:tcPr>
            <w:tcW w:w="5440" w:type="dxa"/>
            <w:vAlign w:val="bottom"/>
            <w:tcBorders>
              <w:bottom w:val="single" w:sz="8" w:color="auto"/>
              <w:right w:val="single" w:sz="8" w:color="3C5896"/>
            </w:tcBorders>
            <w:shd w:val="clear" w:color="auto" w:fill="3C5896"/>
          </w:tcPr>
          <w:p>
            <w:pPr>
              <w:ind w:left="2360"/>
              <w:spacing w:after="0"/>
              <w:rPr>
                <w:sz w:val="20"/>
                <w:szCs w:val="20"/>
                <w:color w:val="auto"/>
              </w:rPr>
            </w:pPr>
            <w:r>
              <w:rPr>
                <w:rFonts w:ascii="Arial" w:cs="Arial" w:eastAsia="Arial" w:hAnsi="Arial"/>
                <w:sz w:val="18"/>
                <w:szCs w:val="18"/>
                <w:b w:val="1"/>
                <w:bCs w:val="1"/>
                <w:color w:val="FFFFFF"/>
              </w:rPr>
              <w:t>Position</w:t>
            </w:r>
          </w:p>
        </w:tc>
      </w:tr>
      <w:tr>
        <w:trPr>
          <w:trHeight w:val="256"/>
        </w:trPr>
        <w:tc>
          <w:tcPr>
            <w:tcW w:w="376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L. Reade Fahs</w:t>
            </w:r>
          </w:p>
        </w:tc>
        <w:tc>
          <w:tcPr>
            <w:tcW w:w="5440" w:type="dxa"/>
            <w:vAlign w:val="bottom"/>
            <w:tcBorders>
              <w:right w:val="single" w:sz="8" w:color="3C5896"/>
            </w:tcBorders>
          </w:tcPr>
          <w:p>
            <w:pPr>
              <w:ind w:left="60"/>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376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Patrick R. Moore</w:t>
            </w:r>
          </w:p>
        </w:tc>
        <w:tc>
          <w:tcPr>
            <w:tcW w:w="5440" w:type="dxa"/>
            <w:vAlign w:val="bottom"/>
            <w:tcBorders>
              <w:right w:val="single" w:sz="8" w:color="3C5896"/>
            </w:tcBorders>
            <w:shd w:val="clear" w:color="auto" w:fill="CCCCCC"/>
          </w:tcPr>
          <w:p>
            <w:pPr>
              <w:ind w:left="60"/>
              <w:spacing w:after="0"/>
              <w:rPr>
                <w:sz w:val="20"/>
                <w:szCs w:val="20"/>
                <w:color w:val="auto"/>
              </w:rPr>
            </w:pPr>
            <w:r>
              <w:rPr>
                <w:rFonts w:ascii="Arial" w:cs="Arial" w:eastAsia="Arial" w:hAnsi="Arial"/>
                <w:sz w:val="18"/>
                <w:szCs w:val="18"/>
                <w:color w:val="auto"/>
              </w:rPr>
              <w:t>Senior Vice President, Chief Financial Officer</w:t>
            </w:r>
          </w:p>
        </w:tc>
      </w:tr>
      <w:tr>
        <w:trPr>
          <w:trHeight w:val="257"/>
        </w:trPr>
        <w:tc>
          <w:tcPr>
            <w:tcW w:w="376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Jeff McAllister*</w:t>
            </w:r>
          </w:p>
        </w:tc>
        <w:tc>
          <w:tcPr>
            <w:tcW w:w="5440" w:type="dxa"/>
            <w:vAlign w:val="bottom"/>
            <w:tcBorders>
              <w:right w:val="single" w:sz="8" w:color="3C5896"/>
            </w:tcBorders>
          </w:tcPr>
          <w:p>
            <w:pPr>
              <w:ind w:left="60"/>
              <w:spacing w:after="0"/>
              <w:rPr>
                <w:sz w:val="20"/>
                <w:szCs w:val="20"/>
                <w:color w:val="auto"/>
              </w:rPr>
            </w:pPr>
            <w:r>
              <w:rPr>
                <w:rFonts w:ascii="Arial" w:cs="Arial" w:eastAsia="Arial" w:hAnsi="Arial"/>
                <w:sz w:val="18"/>
                <w:szCs w:val="18"/>
                <w:color w:val="auto"/>
              </w:rPr>
              <w:t>Former Chief Operating Officer</w:t>
            </w:r>
          </w:p>
        </w:tc>
      </w:tr>
      <w:tr>
        <w:trPr>
          <w:trHeight w:val="257"/>
        </w:trPr>
        <w:tc>
          <w:tcPr>
            <w:tcW w:w="376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Mitchell Goodman*</w:t>
            </w:r>
          </w:p>
        </w:tc>
        <w:tc>
          <w:tcPr>
            <w:tcW w:w="5440" w:type="dxa"/>
            <w:vAlign w:val="bottom"/>
            <w:tcBorders>
              <w:right w:val="single" w:sz="8" w:color="3C5896"/>
            </w:tcBorders>
            <w:shd w:val="clear" w:color="auto" w:fill="CCCCCC"/>
          </w:tcPr>
          <w:p>
            <w:pPr>
              <w:ind w:left="60"/>
              <w:spacing w:after="0"/>
              <w:rPr>
                <w:sz w:val="20"/>
                <w:szCs w:val="20"/>
                <w:color w:val="auto"/>
              </w:rPr>
            </w:pPr>
            <w:r>
              <w:rPr>
                <w:rFonts w:ascii="Arial" w:cs="Arial" w:eastAsia="Arial" w:hAnsi="Arial"/>
                <w:sz w:val="18"/>
                <w:szCs w:val="18"/>
                <w:color w:val="auto"/>
              </w:rPr>
              <w:t>Former Senior Vice President, General Counsel and Secretary</w:t>
            </w:r>
          </w:p>
        </w:tc>
      </w:tr>
      <w:tr>
        <w:trPr>
          <w:trHeight w:val="257"/>
        </w:trPr>
        <w:tc>
          <w:tcPr>
            <w:tcW w:w="376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John Vaught</w:t>
            </w:r>
          </w:p>
        </w:tc>
        <w:tc>
          <w:tcPr>
            <w:tcW w:w="5440" w:type="dxa"/>
            <w:vAlign w:val="bottom"/>
            <w:tcBorders>
              <w:bottom w:val="single" w:sz="8" w:color="3C5896"/>
              <w:right w:val="single" w:sz="8" w:color="3C5896"/>
            </w:tcBorders>
          </w:tcPr>
          <w:p>
            <w:pPr>
              <w:ind w:left="60"/>
              <w:spacing w:after="0"/>
              <w:rPr>
                <w:sz w:val="20"/>
                <w:szCs w:val="20"/>
                <w:color w:val="auto"/>
              </w:rPr>
            </w:pPr>
            <w:r>
              <w:rPr>
                <w:rFonts w:ascii="Arial" w:cs="Arial" w:eastAsia="Arial" w:hAnsi="Arial"/>
                <w:sz w:val="18"/>
                <w:szCs w:val="18"/>
                <w:color w:val="auto"/>
              </w:rPr>
              <w:t>Senior Vice President, Chief Information Officer</w:t>
            </w:r>
          </w:p>
        </w:tc>
      </w:tr>
    </w:tbl>
    <w:p>
      <w:pPr>
        <w:spacing w:after="0" w:line="78" w:lineRule="exact"/>
        <w:rPr>
          <w:sz w:val="20"/>
          <w:szCs w:val="20"/>
          <w:color w:val="auto"/>
        </w:rPr>
      </w:pPr>
    </w:p>
    <w:p>
      <w:pPr>
        <w:ind w:left="860" w:right="960" w:hanging="96"/>
        <w:spacing w:after="0" w:line="242" w:lineRule="auto"/>
        <w:tabs>
          <w:tab w:leader="none" w:pos="8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January 10, 2019, Jeff McAllister transitioned from his position as Chief Operating Officer to a new position as Special Advisor to the Board. On February 13, 2019, Mr. Goodman went on a medical leave of absence.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Philosophy and Approach</w:t>
      </w:r>
    </w:p>
    <w:p>
      <w:pPr>
        <w:spacing w:after="0" w:line="139" w:lineRule="exact"/>
        <w:rPr>
          <w:sz w:val="20"/>
          <w:szCs w:val="20"/>
          <w:color w:val="auto"/>
        </w:rPr>
      </w:pPr>
    </w:p>
    <w:p>
      <w:pPr>
        <w:ind w:left="760" w:right="880"/>
        <w:spacing w:after="0" w:line="256" w:lineRule="auto"/>
        <w:rPr>
          <w:sz w:val="20"/>
          <w:szCs w:val="20"/>
          <w:color w:val="auto"/>
        </w:rPr>
      </w:pPr>
      <w:r>
        <w:rPr>
          <w:rFonts w:ascii="Arial" w:cs="Arial" w:eastAsia="Arial" w:hAnsi="Arial"/>
          <w:sz w:val="18"/>
          <w:szCs w:val="18"/>
          <w:color w:val="auto"/>
        </w:rPr>
        <w:t>We expect our executive team to possess and demonstrate strong leadership and management capabilities. To reward and retain our leaders, including our NEOs, we have designed a total compensation approach that rewards both short-term and long-term success.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compensation program for executives is currently designed to support the following objectives:</w:t>
      </w:r>
    </w:p>
    <w:p>
      <w:pPr>
        <w:spacing w:after="0" w:line="90" w:lineRule="exact"/>
        <w:rPr>
          <w:sz w:val="20"/>
          <w:szCs w:val="20"/>
          <w:color w:val="auto"/>
        </w:rPr>
      </w:pPr>
    </w:p>
    <w:p>
      <w:pPr>
        <w:ind w:left="1140" w:hanging="214"/>
        <w:spacing w:after="0"/>
        <w:tabs>
          <w:tab w:leader="none" w:pos="1140" w:val="left"/>
        </w:tabs>
        <w:numPr>
          <w:ilvl w:val="0"/>
          <w:numId w:val="15"/>
        </w:numPr>
        <w:rPr>
          <w:rFonts w:ascii="Arial" w:cs="Arial" w:eastAsia="Arial" w:hAnsi="Arial"/>
          <w:sz w:val="18"/>
          <w:szCs w:val="18"/>
          <w:color w:val="3C5896"/>
        </w:rPr>
      </w:pPr>
      <w:r>
        <w:rPr>
          <w:rFonts w:ascii="Arial" w:cs="Arial" w:eastAsia="Arial" w:hAnsi="Arial"/>
          <w:sz w:val="18"/>
          <w:szCs w:val="18"/>
          <w:color w:val="auto"/>
        </w:rPr>
        <w:t>align executive compensation with achievement of our overall business goals;</w:t>
      </w:r>
    </w:p>
    <w:p>
      <w:pPr>
        <w:spacing w:after="0" w:line="103" w:lineRule="exact"/>
        <w:rPr>
          <w:rFonts w:ascii="Arial" w:cs="Arial" w:eastAsia="Arial" w:hAnsi="Arial"/>
          <w:sz w:val="18"/>
          <w:szCs w:val="18"/>
          <w:color w:val="3C5896"/>
        </w:rPr>
      </w:pPr>
    </w:p>
    <w:p>
      <w:pPr>
        <w:ind w:left="1140" w:right="1300" w:hanging="214"/>
        <w:spacing w:after="0" w:line="262" w:lineRule="auto"/>
        <w:tabs>
          <w:tab w:leader="none" w:pos="1140" w:val="left"/>
        </w:tabs>
        <w:numPr>
          <w:ilvl w:val="0"/>
          <w:numId w:val="15"/>
        </w:numPr>
        <w:rPr>
          <w:rFonts w:ascii="Arial" w:cs="Arial" w:eastAsia="Arial" w:hAnsi="Arial"/>
          <w:sz w:val="18"/>
          <w:szCs w:val="18"/>
          <w:color w:val="3C5896"/>
        </w:rPr>
      </w:pPr>
      <w:r>
        <w:rPr>
          <w:rFonts w:ascii="Arial" w:cs="Arial" w:eastAsia="Arial" w:hAnsi="Arial"/>
          <w:sz w:val="18"/>
          <w:szCs w:val="18"/>
          <w:color w:val="auto"/>
        </w:rPr>
        <w:t>provide overall levels of compensation that are competitive to attract, retain and motivate highly-qualified executives to continue to enhance long-term equity value; and</w:t>
      </w:r>
    </w:p>
    <w:p>
      <w:pPr>
        <w:spacing w:after="0" w:line="74" w:lineRule="exact"/>
        <w:rPr>
          <w:rFonts w:ascii="Arial" w:cs="Arial" w:eastAsia="Arial" w:hAnsi="Arial"/>
          <w:sz w:val="18"/>
          <w:szCs w:val="18"/>
          <w:color w:val="3C5896"/>
        </w:rPr>
      </w:pPr>
    </w:p>
    <w:p>
      <w:pPr>
        <w:ind w:left="1140" w:right="1140" w:hanging="214"/>
        <w:spacing w:after="0" w:line="262" w:lineRule="auto"/>
        <w:tabs>
          <w:tab w:leader="none" w:pos="1140" w:val="left"/>
        </w:tabs>
        <w:numPr>
          <w:ilvl w:val="0"/>
          <w:numId w:val="15"/>
        </w:numPr>
        <w:rPr>
          <w:rFonts w:ascii="Arial" w:cs="Arial" w:eastAsia="Arial" w:hAnsi="Arial"/>
          <w:sz w:val="18"/>
          <w:szCs w:val="18"/>
          <w:color w:val="3C5896"/>
        </w:rPr>
      </w:pPr>
      <w:r>
        <w:rPr>
          <w:rFonts w:ascii="Arial" w:cs="Arial" w:eastAsia="Arial" w:hAnsi="Arial"/>
          <w:sz w:val="18"/>
          <w:szCs w:val="18"/>
          <w:color w:val="auto"/>
        </w:rPr>
        <w:t>foster a strong relationship between stockholder value and executive compensation by having a significant portion of compensation composed of equity-based incentive awards.</w:t>
      </w:r>
    </w:p>
    <w:p>
      <w:pPr>
        <w:spacing w:after="0" w:line="70" w:lineRule="exact"/>
        <w:rPr>
          <w:sz w:val="20"/>
          <w:szCs w:val="20"/>
          <w:color w:val="auto"/>
        </w:rPr>
      </w:pPr>
    </w:p>
    <w:p>
      <w:pPr>
        <w:jc w:val="both"/>
        <w:ind w:left="760" w:right="1080"/>
        <w:spacing w:after="0" w:line="266" w:lineRule="auto"/>
        <w:rPr>
          <w:sz w:val="20"/>
          <w:szCs w:val="20"/>
          <w:color w:val="auto"/>
        </w:rPr>
      </w:pPr>
      <w:r>
        <w:rPr>
          <w:rFonts w:ascii="Arial" w:cs="Arial" w:eastAsia="Arial" w:hAnsi="Arial"/>
          <w:sz w:val="18"/>
          <w:szCs w:val="18"/>
          <w:i w:val="1"/>
          <w:iCs w:val="1"/>
          <w:color w:val="auto"/>
        </w:rPr>
        <w:t>Program Design</w:t>
      </w:r>
      <w:r>
        <w:rPr>
          <w:rFonts w:ascii="Arial" w:cs="Arial" w:eastAsia="Arial" w:hAnsi="Arial"/>
          <w:sz w:val="18"/>
          <w:szCs w:val="18"/>
          <w:color w:val="auto"/>
        </w:rPr>
        <w:t>. Our executive compensation program has three main components: (1) base salary; (2)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incentive compensation; and (3) long-term incentive awards. Each component is designed to be consistent with the Company’s compensation philosophy.</w:t>
      </w:r>
    </w:p>
    <w:p>
      <w:pPr>
        <w:spacing w:after="0" w:line="86" w:lineRule="exact"/>
        <w:rPr>
          <w:sz w:val="20"/>
          <w:szCs w:val="20"/>
          <w:color w:val="auto"/>
        </w:rPr>
      </w:pPr>
    </w:p>
    <w:p>
      <w:pPr>
        <w:ind w:left="760" w:right="900"/>
        <w:spacing w:after="0" w:line="251" w:lineRule="auto"/>
        <w:rPr>
          <w:sz w:val="20"/>
          <w:szCs w:val="20"/>
          <w:color w:val="auto"/>
        </w:rPr>
      </w:pPr>
      <w:r>
        <w:rPr>
          <w:rFonts w:ascii="Arial" w:cs="Arial" w:eastAsia="Arial" w:hAnsi="Arial"/>
          <w:sz w:val="18"/>
          <w:szCs w:val="18"/>
          <w:color w:val="auto"/>
        </w:rPr>
        <w:t>Our compensation packages are designed to promote integrity, leadership, teamwork, ownership and initiative by our employees whose performance and responsibilities directly affect our results of operations. We strive to create competitive compensation packages for all employees that encourage them to achieve our long-term business goals without taking unnecessary risks. We believe that, to attract and retain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105" w:lineRule="exact"/>
        <w:rPr>
          <w:sz w:val="20"/>
          <w:szCs w:val="20"/>
          <w:color w:val="auto"/>
        </w:rPr>
      </w:pPr>
    </w:p>
    <w:p>
      <w:pPr>
        <w:ind w:left="760" w:right="1460"/>
        <w:spacing w:after="0" w:line="262" w:lineRule="auto"/>
        <w:rPr>
          <w:sz w:val="20"/>
          <w:szCs w:val="20"/>
          <w:color w:val="auto"/>
        </w:rPr>
      </w:pPr>
      <w:r>
        <w:rPr>
          <w:rFonts w:ascii="Arial" w:cs="Arial" w:eastAsia="Arial" w:hAnsi="Arial"/>
          <w:sz w:val="18"/>
          <w:szCs w:val="18"/>
          <w:color w:val="auto"/>
        </w:rPr>
        <w:t>Consistent with prior practice, we do not intend to adhere to rigid formulas or react to short-term changes in business performance in determining the amount and mix of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65405</wp:posOffset>
            </wp:positionV>
            <wp:extent cx="291465"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15</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243" w:lineRule="exact"/>
        <w:rPr>
          <w:sz w:val="20"/>
          <w:szCs w:val="20"/>
          <w:color w:val="auto"/>
        </w:rPr>
      </w:pPr>
    </w:p>
    <w:p>
      <w:pPr>
        <w:ind w:left="760" w:right="299"/>
        <w:spacing w:after="0" w:line="255" w:lineRule="auto"/>
        <w:rPr>
          <w:sz w:val="20"/>
          <w:szCs w:val="20"/>
          <w:color w:val="auto"/>
        </w:rPr>
      </w:pPr>
      <w:r>
        <w:rPr>
          <w:rFonts w:ascii="Arial" w:cs="Arial" w:eastAsia="Arial" w:hAnsi="Arial"/>
          <w:sz w:val="18"/>
          <w:szCs w:val="18"/>
          <w:i w:val="1"/>
          <w:iCs w:val="1"/>
          <w:color w:val="auto"/>
        </w:rPr>
        <w:t>Consideration of Say on Pay Votes</w:t>
      </w:r>
      <w:r>
        <w:rPr>
          <w:rFonts w:ascii="Arial" w:cs="Arial" w:eastAsia="Arial" w:hAnsi="Arial"/>
          <w:sz w:val="18"/>
          <w:szCs w:val="18"/>
          <w:color w:val="auto"/>
        </w:rPr>
        <w:t>. Our stockholders voted at our 2018 Annual Meeting, in a non-binding, advisory</w:t>
      </w:r>
      <w:r>
        <w:rPr>
          <w:rFonts w:ascii="Arial" w:cs="Arial" w:eastAsia="Arial" w:hAnsi="Arial"/>
          <w:sz w:val="18"/>
          <w:szCs w:val="18"/>
          <w:i w:val="1"/>
          <w:iCs w:val="1"/>
          <w:color w:val="auto"/>
        </w:rPr>
        <w:t xml:space="preserve"> </w:t>
      </w:r>
      <w:r>
        <w:rPr>
          <w:rFonts w:ascii="Arial" w:cs="Arial" w:eastAsia="Arial" w:hAnsi="Arial"/>
          <w:sz w:val="18"/>
          <w:szCs w:val="18"/>
          <w:color w:val="auto"/>
        </w:rPr>
        <w:t>vote, on the fiscal 2017 compensation paid to our NEOs. Our stockholders expressed their support of our NEO compensation with over 98% of the votes cast voting to approve the compensation of our NEOs described in our 2018 proxy statement. Following the compensation committee’s review and consideration of this stockholder support, as well as the other factors discussed in more detail in “—Our Annual Compensation-Setting Process”, the compensation committee determined to make no changes to its approach to executive compensation except as discussed further in this “Compensation Discussion and Analysis”.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Our Annual Compensation-Setting Process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39" w:lineRule="exact"/>
        <w:rPr>
          <w:sz w:val="20"/>
          <w:szCs w:val="20"/>
          <w:color w:val="auto"/>
        </w:rPr>
      </w:pPr>
    </w:p>
    <w:p>
      <w:pPr>
        <w:ind w:left="760" w:right="419"/>
        <w:spacing w:after="0" w:line="251" w:lineRule="auto"/>
        <w:rPr>
          <w:sz w:val="20"/>
          <w:szCs w:val="20"/>
          <w:color w:val="auto"/>
        </w:rPr>
      </w:pPr>
      <w:r>
        <w:rPr>
          <w:rFonts w:ascii="Arial" w:cs="Arial" w:eastAsia="Arial" w:hAnsi="Arial"/>
          <w:sz w:val="18"/>
          <w:szCs w:val="18"/>
          <w:color w:val="auto"/>
        </w:rPr>
        <w:t>Our executive compensation and related issues are administered by our compensation committee. Our compensation committee is responsible for reviewing and approving, or recommending to our full Board of Directors, equity compensation grants and other aspects of compensation, including base salaries and the administration of our Management Incentive Plan (“MIP”). Our compensation committee is also responsible for determining and approving, or recommending to the full Board of Directors, the compensation of our CEO and the compensation of other executive officers, as recommended by our CEO and Senior Vice President, Chief Human Resources Officer (the “Chief Human Resources Officer”). At the beginning of each performance cycle, the compensation committee or the Board of Directors, as applicable,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39" w:lineRule="exact"/>
        <w:rPr>
          <w:sz w:val="20"/>
          <w:szCs w:val="20"/>
          <w:color w:val="auto"/>
        </w:rPr>
      </w:pPr>
    </w:p>
    <w:p>
      <w:pPr>
        <w:ind w:left="760" w:right="379"/>
        <w:spacing w:after="0" w:line="253" w:lineRule="auto"/>
        <w:rPr>
          <w:sz w:val="20"/>
          <w:szCs w:val="20"/>
          <w:color w:val="auto"/>
        </w:rPr>
      </w:pPr>
      <w:r>
        <w:rPr>
          <w:rFonts w:ascii="Arial" w:cs="Arial" w:eastAsia="Arial" w:hAnsi="Arial"/>
          <w:sz w:val="18"/>
          <w:szCs w:val="18"/>
          <w:color w:val="auto"/>
        </w:rPr>
        <w:t>In setting executive compensation for 2018, our CEO and our Chief Human Resources Officer worked closely with the compensation committee in managing the executive compensation program and attended meetings of our compensation committee. Our CEO made recommendations to the compensation committee regarding compensation for the executive officers other than himself. Our CEO and CFO also provided input in discussions regarding the financial goals for which annual incentive payouts under our MIP could be earned.</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39" w:lineRule="exact"/>
        <w:rPr>
          <w:sz w:val="20"/>
          <w:szCs w:val="20"/>
          <w:color w:val="auto"/>
        </w:rPr>
      </w:pPr>
    </w:p>
    <w:p>
      <w:pPr>
        <w:ind w:left="760" w:right="259"/>
        <w:spacing w:after="0" w:line="252" w:lineRule="auto"/>
        <w:rPr>
          <w:sz w:val="20"/>
          <w:szCs w:val="20"/>
          <w:color w:val="auto"/>
        </w:rPr>
      </w:pPr>
      <w:r>
        <w:rPr>
          <w:rFonts w:ascii="Arial" w:cs="Arial" w:eastAsia="Arial" w:hAnsi="Arial"/>
          <w:sz w:val="18"/>
          <w:szCs w:val="18"/>
          <w:color w:val="auto"/>
        </w:rPr>
        <w:t>The compensation committee has engaged Meridian Compensation Partners, LLC (“Meridian”), an independent compensation consulting firm, to assist the compensation committee regarding various executive compensation matters and to serve as its independent compensation consulting firm. In connection with this appointment, in early 2018 the compensation committee reviewed Meridian’s independence, including considering the factors specified in the NASDAQ listing standards and receiving confirmation by Meridian of its independent status. The compensation committee believes that Meridian is independent and that there is no conflict of interest between Meridian and the compensation committee.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Comparative Market Data</w:t>
      </w:r>
    </w:p>
    <w:p>
      <w:pPr>
        <w:spacing w:after="0" w:line="139" w:lineRule="exact"/>
        <w:rPr>
          <w:sz w:val="20"/>
          <w:szCs w:val="20"/>
          <w:color w:val="auto"/>
        </w:rPr>
      </w:pPr>
    </w:p>
    <w:p>
      <w:pPr>
        <w:jc w:val="both"/>
        <w:ind w:left="760" w:right="479"/>
        <w:spacing w:after="0" w:line="253" w:lineRule="auto"/>
        <w:rPr>
          <w:sz w:val="20"/>
          <w:szCs w:val="20"/>
          <w:color w:val="auto"/>
        </w:rPr>
      </w:pPr>
      <w:r>
        <w:rPr>
          <w:rFonts w:ascii="Arial" w:cs="Arial" w:eastAsia="Arial" w:hAnsi="Arial"/>
          <w:sz w:val="18"/>
          <w:szCs w:val="18"/>
          <w:color w:val="auto"/>
        </w:rPr>
        <w:t>We aim to compensate our executive officers competitively in the market for executive talent. To gain a general understanding of current market compensation practices, our compensation committee reviewed the findings as presented in a market study conducted by Meridian. The external market data reviewed included proxy data from the peer group companies described below, and a broad cross-section of general industry survey data. The data from the peer group below was reviewed in connection with compensation decisions for 2018.</w:t>
      </w:r>
    </w:p>
    <w:p>
      <w:pPr>
        <w:spacing w:after="0" w:line="152" w:lineRule="exact"/>
        <w:rPr>
          <w:sz w:val="20"/>
          <w:szCs w:val="20"/>
          <w:color w:val="auto"/>
        </w:rPr>
      </w:pPr>
    </w:p>
    <w:tbl>
      <w:tblPr>
        <w:tblLayout w:type="fixed"/>
        <w:tblInd w:w="2140" w:type="dxa"/>
        <w:tblCellMar>
          <w:top w:w="0" w:type="dxa"/>
          <w:left w:w="0" w:type="dxa"/>
          <w:bottom w:w="0" w:type="dxa"/>
          <w:right w:w="0" w:type="dxa"/>
        </w:tblCellMar>
      </w:tblPr>
      <w:tr>
        <w:trPr>
          <w:trHeight w:val="216"/>
        </w:trPr>
        <w:tc>
          <w:tcPr>
            <w:tcW w:w="2940" w:type="dxa"/>
            <w:vAlign w:val="bottom"/>
          </w:tcPr>
          <w:p>
            <w:pPr>
              <w:jc w:val="center"/>
              <w:ind w:right="790"/>
              <w:spacing w:after="0"/>
              <w:rPr>
                <w:sz w:val="20"/>
                <w:szCs w:val="20"/>
                <w:color w:val="auto"/>
              </w:rPr>
            </w:pPr>
            <w:r>
              <w:rPr>
                <w:rFonts w:ascii="Arial" w:cs="Arial" w:eastAsia="Arial" w:hAnsi="Arial"/>
                <w:sz w:val="18"/>
                <w:szCs w:val="18"/>
                <w:color w:val="auto"/>
              </w:rPr>
              <w:t>Alere, Inc.</w:t>
            </w:r>
          </w:p>
        </w:tc>
        <w:tc>
          <w:tcPr>
            <w:tcW w:w="3920" w:type="dxa"/>
            <w:vAlign w:val="bottom"/>
          </w:tcPr>
          <w:p>
            <w:pPr>
              <w:jc w:val="center"/>
              <w:ind w:left="790"/>
              <w:spacing w:after="0"/>
              <w:rPr>
                <w:sz w:val="20"/>
                <w:szCs w:val="20"/>
                <w:color w:val="auto"/>
              </w:rPr>
            </w:pPr>
            <w:r>
              <w:rPr>
                <w:rFonts w:ascii="Arial" w:cs="Arial" w:eastAsia="Arial" w:hAnsi="Arial"/>
                <w:sz w:val="18"/>
                <w:szCs w:val="18"/>
                <w:color w:val="auto"/>
                <w:w w:val="99"/>
              </w:rPr>
              <w:t>Kate Spade &amp; Co.</w:t>
            </w:r>
          </w:p>
        </w:tc>
      </w:tr>
      <w:tr>
        <w:trPr>
          <w:trHeight w:val="216"/>
        </w:trPr>
        <w:tc>
          <w:tcPr>
            <w:tcW w:w="2940" w:type="dxa"/>
            <w:vAlign w:val="bottom"/>
          </w:tcPr>
          <w:p>
            <w:pPr>
              <w:jc w:val="center"/>
              <w:ind w:right="790"/>
              <w:spacing w:after="0"/>
              <w:rPr>
                <w:sz w:val="20"/>
                <w:szCs w:val="20"/>
                <w:color w:val="auto"/>
              </w:rPr>
            </w:pPr>
            <w:r>
              <w:rPr>
                <w:rFonts w:ascii="Arial" w:cs="Arial" w:eastAsia="Arial" w:hAnsi="Arial"/>
                <w:sz w:val="18"/>
                <w:szCs w:val="18"/>
                <w:color w:val="auto"/>
                <w:w w:val="98"/>
              </w:rPr>
              <w:t>Align Technology Inc.</w:t>
            </w:r>
          </w:p>
        </w:tc>
        <w:tc>
          <w:tcPr>
            <w:tcW w:w="3920" w:type="dxa"/>
            <w:vAlign w:val="bottom"/>
          </w:tcPr>
          <w:p>
            <w:pPr>
              <w:jc w:val="center"/>
              <w:ind w:left="810"/>
              <w:spacing w:after="0"/>
              <w:rPr>
                <w:sz w:val="20"/>
                <w:szCs w:val="20"/>
                <w:color w:val="auto"/>
              </w:rPr>
            </w:pPr>
            <w:r>
              <w:rPr>
                <w:rFonts w:ascii="Arial" w:cs="Arial" w:eastAsia="Arial" w:hAnsi="Arial"/>
                <w:sz w:val="18"/>
                <w:szCs w:val="18"/>
                <w:color w:val="auto"/>
                <w:w w:val="99"/>
              </w:rPr>
              <w:t>Surgery Partners Inc.</w:t>
            </w:r>
          </w:p>
        </w:tc>
      </w:tr>
      <w:tr>
        <w:trPr>
          <w:trHeight w:val="216"/>
        </w:trPr>
        <w:tc>
          <w:tcPr>
            <w:tcW w:w="2940" w:type="dxa"/>
            <w:vAlign w:val="bottom"/>
          </w:tcPr>
          <w:p>
            <w:pPr>
              <w:jc w:val="center"/>
              <w:ind w:right="790"/>
              <w:spacing w:after="0"/>
              <w:rPr>
                <w:sz w:val="20"/>
                <w:szCs w:val="20"/>
                <w:color w:val="auto"/>
              </w:rPr>
            </w:pPr>
            <w:r>
              <w:rPr>
                <w:rFonts w:ascii="Arial" w:cs="Arial" w:eastAsia="Arial" w:hAnsi="Arial"/>
                <w:sz w:val="18"/>
                <w:szCs w:val="18"/>
                <w:color w:val="auto"/>
                <w:w w:val="99"/>
              </w:rPr>
              <w:t>Amsurg Corp.</w:t>
            </w:r>
          </w:p>
        </w:tc>
        <w:tc>
          <w:tcPr>
            <w:tcW w:w="3920" w:type="dxa"/>
            <w:vAlign w:val="bottom"/>
          </w:tcPr>
          <w:p>
            <w:pPr>
              <w:jc w:val="center"/>
              <w:ind w:left="790"/>
              <w:spacing w:after="0"/>
              <w:rPr>
                <w:sz w:val="20"/>
                <w:szCs w:val="20"/>
                <w:color w:val="auto"/>
              </w:rPr>
            </w:pPr>
            <w:r>
              <w:rPr>
                <w:rFonts w:ascii="Arial" w:cs="Arial" w:eastAsia="Arial" w:hAnsi="Arial"/>
                <w:sz w:val="18"/>
                <w:szCs w:val="18"/>
                <w:color w:val="auto"/>
                <w:w w:val="99"/>
              </w:rPr>
              <w:t>Surgical Care Affiliates Inc.</w:t>
            </w:r>
          </w:p>
        </w:tc>
      </w:tr>
      <w:tr>
        <w:trPr>
          <w:trHeight w:val="216"/>
        </w:trPr>
        <w:tc>
          <w:tcPr>
            <w:tcW w:w="2940" w:type="dxa"/>
            <w:vAlign w:val="bottom"/>
          </w:tcPr>
          <w:p>
            <w:pPr>
              <w:jc w:val="center"/>
              <w:ind w:right="790"/>
              <w:spacing w:after="0"/>
              <w:rPr>
                <w:sz w:val="20"/>
                <w:szCs w:val="20"/>
                <w:color w:val="auto"/>
              </w:rPr>
            </w:pPr>
            <w:r>
              <w:rPr>
                <w:rFonts w:ascii="Arial" w:cs="Arial" w:eastAsia="Arial" w:hAnsi="Arial"/>
                <w:sz w:val="18"/>
                <w:szCs w:val="18"/>
                <w:color w:val="auto"/>
              </w:rPr>
              <w:t>Columbia Sportswear Co.</w:t>
            </w:r>
          </w:p>
        </w:tc>
        <w:tc>
          <w:tcPr>
            <w:tcW w:w="3920" w:type="dxa"/>
            <w:vAlign w:val="bottom"/>
          </w:tcPr>
          <w:p>
            <w:pPr>
              <w:jc w:val="center"/>
              <w:ind w:left="810"/>
              <w:spacing w:after="0"/>
              <w:rPr>
                <w:sz w:val="20"/>
                <w:szCs w:val="20"/>
                <w:color w:val="auto"/>
              </w:rPr>
            </w:pPr>
            <w:r>
              <w:rPr>
                <w:rFonts w:ascii="Arial" w:cs="Arial" w:eastAsia="Arial" w:hAnsi="Arial"/>
                <w:sz w:val="18"/>
                <w:szCs w:val="18"/>
                <w:color w:val="auto"/>
                <w:w w:val="99"/>
              </w:rPr>
              <w:t>Ulta Salon Cosmetics and Fragrances</w:t>
            </w:r>
          </w:p>
        </w:tc>
      </w:tr>
      <w:tr>
        <w:trPr>
          <w:trHeight w:val="216"/>
        </w:trPr>
        <w:tc>
          <w:tcPr>
            <w:tcW w:w="2940" w:type="dxa"/>
            <w:vAlign w:val="bottom"/>
          </w:tcPr>
          <w:p>
            <w:pPr>
              <w:jc w:val="center"/>
              <w:ind w:right="790"/>
              <w:spacing w:after="0"/>
              <w:rPr>
                <w:sz w:val="20"/>
                <w:szCs w:val="20"/>
                <w:color w:val="auto"/>
              </w:rPr>
            </w:pPr>
            <w:r>
              <w:rPr>
                <w:rFonts w:ascii="Arial" w:cs="Arial" w:eastAsia="Arial" w:hAnsi="Arial"/>
                <w:sz w:val="18"/>
                <w:szCs w:val="18"/>
                <w:color w:val="auto"/>
              </w:rPr>
              <w:t>Cooper Companies Inc.</w:t>
            </w:r>
          </w:p>
        </w:tc>
        <w:tc>
          <w:tcPr>
            <w:tcW w:w="3920" w:type="dxa"/>
            <w:vAlign w:val="bottom"/>
          </w:tcPr>
          <w:p>
            <w:pPr>
              <w:jc w:val="center"/>
              <w:ind w:left="790"/>
              <w:spacing w:after="0"/>
              <w:rPr>
                <w:sz w:val="20"/>
                <w:szCs w:val="20"/>
                <w:color w:val="auto"/>
              </w:rPr>
            </w:pPr>
            <w:r>
              <w:rPr>
                <w:rFonts w:ascii="Arial" w:cs="Arial" w:eastAsia="Arial" w:hAnsi="Arial"/>
                <w:sz w:val="18"/>
                <w:szCs w:val="18"/>
                <w:color w:val="auto"/>
                <w:w w:val="99"/>
              </w:rPr>
              <w:t>U.S. Physical Therapy Inc.</w:t>
            </w:r>
          </w:p>
        </w:tc>
      </w:tr>
      <w:tr>
        <w:trPr>
          <w:trHeight w:val="216"/>
        </w:trPr>
        <w:tc>
          <w:tcPr>
            <w:tcW w:w="2940" w:type="dxa"/>
            <w:vAlign w:val="bottom"/>
          </w:tcPr>
          <w:p>
            <w:pPr>
              <w:jc w:val="center"/>
              <w:ind w:right="790"/>
              <w:spacing w:after="0"/>
              <w:rPr>
                <w:sz w:val="20"/>
                <w:szCs w:val="20"/>
                <w:color w:val="auto"/>
              </w:rPr>
            </w:pPr>
            <w:r>
              <w:rPr>
                <w:rFonts w:ascii="Arial" w:cs="Arial" w:eastAsia="Arial" w:hAnsi="Arial"/>
                <w:sz w:val="18"/>
                <w:szCs w:val="18"/>
                <w:color w:val="auto"/>
              </w:rPr>
              <w:t>Container Store Group</w:t>
            </w:r>
          </w:p>
        </w:tc>
        <w:tc>
          <w:tcPr>
            <w:tcW w:w="3920" w:type="dxa"/>
            <w:vAlign w:val="bottom"/>
          </w:tcPr>
          <w:p>
            <w:pPr>
              <w:jc w:val="center"/>
              <w:ind w:left="810"/>
              <w:spacing w:after="0"/>
              <w:rPr>
                <w:sz w:val="20"/>
                <w:szCs w:val="20"/>
                <w:color w:val="auto"/>
              </w:rPr>
            </w:pPr>
            <w:r>
              <w:rPr>
                <w:rFonts w:ascii="Arial" w:cs="Arial" w:eastAsia="Arial" w:hAnsi="Arial"/>
                <w:sz w:val="18"/>
                <w:szCs w:val="18"/>
                <w:color w:val="auto"/>
                <w:w w:val="98"/>
              </w:rPr>
              <w:t>VCA Inc.</w:t>
            </w:r>
          </w:p>
        </w:tc>
      </w:tr>
      <w:tr>
        <w:trPr>
          <w:trHeight w:val="216"/>
        </w:trPr>
        <w:tc>
          <w:tcPr>
            <w:tcW w:w="2940" w:type="dxa"/>
            <w:vAlign w:val="bottom"/>
          </w:tcPr>
          <w:p>
            <w:pPr>
              <w:jc w:val="center"/>
              <w:ind w:right="790"/>
              <w:spacing w:after="0"/>
              <w:rPr>
                <w:sz w:val="20"/>
                <w:szCs w:val="20"/>
                <w:color w:val="auto"/>
              </w:rPr>
            </w:pPr>
            <w:r>
              <w:rPr>
                <w:rFonts w:ascii="Arial" w:cs="Arial" w:eastAsia="Arial" w:hAnsi="Arial"/>
                <w:sz w:val="18"/>
                <w:szCs w:val="18"/>
                <w:color w:val="auto"/>
              </w:rPr>
              <w:t>Dentsply Sirona Inc.</w:t>
            </w:r>
          </w:p>
        </w:tc>
        <w:tc>
          <w:tcPr>
            <w:tcW w:w="3920" w:type="dxa"/>
            <w:vAlign w:val="bottom"/>
          </w:tcPr>
          <w:p>
            <w:pPr>
              <w:jc w:val="center"/>
              <w:ind w:left="850"/>
              <w:spacing w:after="0"/>
              <w:rPr>
                <w:sz w:val="20"/>
                <w:szCs w:val="20"/>
                <w:color w:val="auto"/>
              </w:rPr>
            </w:pPr>
            <w:r>
              <w:rPr>
                <w:rFonts w:ascii="Arial" w:cs="Arial" w:eastAsia="Arial" w:hAnsi="Arial"/>
                <w:sz w:val="18"/>
                <w:szCs w:val="18"/>
                <w:color w:val="auto"/>
                <w:w w:val="99"/>
              </w:rPr>
              <w:t>West Pharmaceutical Services Inc.</w:t>
            </w:r>
          </w:p>
        </w:tc>
      </w:tr>
      <w:tr>
        <w:trPr>
          <w:trHeight w:val="217"/>
        </w:trPr>
        <w:tc>
          <w:tcPr>
            <w:tcW w:w="2940" w:type="dxa"/>
            <w:vAlign w:val="bottom"/>
          </w:tcPr>
          <w:p>
            <w:pPr>
              <w:jc w:val="center"/>
              <w:ind w:right="750"/>
              <w:spacing w:after="0"/>
              <w:rPr>
                <w:sz w:val="20"/>
                <w:szCs w:val="20"/>
                <w:color w:val="auto"/>
              </w:rPr>
            </w:pPr>
            <w:r>
              <w:rPr>
                <w:rFonts w:ascii="Arial" w:cs="Arial" w:eastAsia="Arial" w:hAnsi="Arial"/>
                <w:sz w:val="18"/>
                <w:szCs w:val="18"/>
                <w:color w:val="auto"/>
                <w:w w:val="99"/>
              </w:rPr>
              <w:t>Five Below Inc.</w:t>
            </w:r>
          </w:p>
        </w:tc>
        <w:tc>
          <w:tcPr>
            <w:tcW w:w="3920" w:type="dxa"/>
            <w:vAlign w:val="bottom"/>
          </w:tcPr>
          <w:p>
            <w:pPr>
              <w:spacing w:after="0"/>
              <w:rPr>
                <w:sz w:val="18"/>
                <w:szCs w:val="18"/>
                <w:color w:val="auto"/>
              </w:rPr>
            </w:pPr>
          </w:p>
        </w:tc>
      </w:tr>
    </w:tbl>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16  </w:t>
      </w:r>
      <w:r>
        <w:rPr>
          <w:sz w:val="1"/>
          <w:szCs w:val="1"/>
          <w:color w:val="auto"/>
        </w:rPr>
        <w:drawing>
          <wp:inline distT="0" distB="0" distL="0" distR="0">
            <wp:extent cx="291465" cy="22288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FFFFFF"/>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3C5896"/>
        </w:rPr>
        <w:t>2018 Updates</w:t>
      </w:r>
    </w:p>
    <w:p>
      <w:pPr>
        <w:spacing w:after="0" w:line="139" w:lineRule="exact"/>
        <w:rPr>
          <w:sz w:val="20"/>
          <w:szCs w:val="20"/>
          <w:color w:val="auto"/>
        </w:rPr>
      </w:pPr>
    </w:p>
    <w:p>
      <w:pPr>
        <w:ind w:left="760" w:right="860"/>
        <w:spacing w:after="0" w:line="252" w:lineRule="auto"/>
        <w:rPr>
          <w:sz w:val="20"/>
          <w:szCs w:val="20"/>
          <w:color w:val="auto"/>
        </w:rPr>
      </w:pPr>
      <w:r>
        <w:rPr>
          <w:rFonts w:ascii="Arial" w:cs="Arial" w:eastAsia="Arial" w:hAnsi="Arial"/>
          <w:sz w:val="18"/>
          <w:szCs w:val="18"/>
          <w:color w:val="auto"/>
        </w:rPr>
        <w:t>The compensation committee approved an updated peer group in August 2018. The criteria used to update the peer group focused on a mix of industries that together represented our business, scope of operations (as measured by annual revenue, market capitalization and number of employees), and performance results (as indicated by an earnings metric). We believe it is appropriate for the peer group to reflect both the retail component as well as the health care aspects of our business. Since five companies included in the prior peer group were acquired by other companies, a number of updates were made to the peer group. The current peer group consists of the following 15 companies:</w:t>
      </w:r>
    </w:p>
    <w:p>
      <w:pPr>
        <w:spacing w:after="0" w:line="153"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3160" w:type="dxa"/>
            <w:vAlign w:val="bottom"/>
          </w:tcPr>
          <w:p>
            <w:pPr>
              <w:jc w:val="center"/>
              <w:ind w:right="770"/>
              <w:spacing w:after="0"/>
              <w:rPr>
                <w:sz w:val="20"/>
                <w:szCs w:val="20"/>
                <w:color w:val="auto"/>
              </w:rPr>
            </w:pPr>
            <w:r>
              <w:rPr>
                <w:rFonts w:ascii="Arial" w:cs="Arial" w:eastAsia="Arial" w:hAnsi="Arial"/>
                <w:sz w:val="18"/>
                <w:szCs w:val="18"/>
                <w:color w:val="auto"/>
                <w:w w:val="98"/>
              </w:rPr>
              <w:t>Align Technology, Inc.</w:t>
            </w:r>
          </w:p>
        </w:tc>
        <w:tc>
          <w:tcPr>
            <w:tcW w:w="3760" w:type="dxa"/>
            <w:vAlign w:val="bottom"/>
          </w:tcPr>
          <w:p>
            <w:pPr>
              <w:jc w:val="center"/>
              <w:ind w:left="770"/>
              <w:spacing w:after="0"/>
              <w:rPr>
                <w:sz w:val="20"/>
                <w:szCs w:val="20"/>
                <w:color w:val="auto"/>
              </w:rPr>
            </w:pPr>
            <w:r>
              <w:rPr>
                <w:rFonts w:ascii="Arial" w:cs="Arial" w:eastAsia="Arial" w:hAnsi="Arial"/>
                <w:sz w:val="18"/>
                <w:szCs w:val="18"/>
                <w:color w:val="auto"/>
                <w:w w:val="99"/>
              </w:rPr>
              <w:t>Ollie’s Bargain Outlet Holdings, Inc.*</w:t>
            </w:r>
          </w:p>
        </w:tc>
      </w:tr>
      <w:tr>
        <w:trPr>
          <w:trHeight w:val="216"/>
        </w:trPr>
        <w:tc>
          <w:tcPr>
            <w:tcW w:w="3160" w:type="dxa"/>
            <w:vAlign w:val="bottom"/>
          </w:tcPr>
          <w:p>
            <w:pPr>
              <w:jc w:val="center"/>
              <w:ind w:right="770"/>
              <w:spacing w:after="0"/>
              <w:rPr>
                <w:sz w:val="20"/>
                <w:szCs w:val="20"/>
                <w:color w:val="auto"/>
              </w:rPr>
            </w:pPr>
            <w:r>
              <w:rPr>
                <w:rFonts w:ascii="Arial" w:cs="Arial" w:eastAsia="Arial" w:hAnsi="Arial"/>
                <w:sz w:val="18"/>
                <w:szCs w:val="18"/>
                <w:color w:val="auto"/>
                <w:w w:val="99"/>
              </w:rPr>
              <w:t>At Home Group, Inc.*</w:t>
            </w:r>
          </w:p>
        </w:tc>
        <w:tc>
          <w:tcPr>
            <w:tcW w:w="3760" w:type="dxa"/>
            <w:vAlign w:val="bottom"/>
          </w:tcPr>
          <w:p>
            <w:pPr>
              <w:jc w:val="center"/>
              <w:ind w:left="770"/>
              <w:spacing w:after="0"/>
              <w:rPr>
                <w:sz w:val="20"/>
                <w:szCs w:val="20"/>
                <w:color w:val="auto"/>
              </w:rPr>
            </w:pPr>
            <w:r>
              <w:rPr>
                <w:rFonts w:ascii="Arial" w:cs="Arial" w:eastAsia="Arial" w:hAnsi="Arial"/>
                <w:sz w:val="18"/>
                <w:szCs w:val="18"/>
                <w:color w:val="auto"/>
                <w:w w:val="99"/>
              </w:rPr>
              <w:t>Oxford Industries, Inc.*</w:t>
            </w:r>
          </w:p>
        </w:tc>
      </w:tr>
      <w:tr>
        <w:trPr>
          <w:trHeight w:val="216"/>
        </w:trPr>
        <w:tc>
          <w:tcPr>
            <w:tcW w:w="3160" w:type="dxa"/>
            <w:vAlign w:val="bottom"/>
          </w:tcPr>
          <w:p>
            <w:pPr>
              <w:jc w:val="center"/>
              <w:ind w:right="770"/>
              <w:spacing w:after="0"/>
              <w:rPr>
                <w:sz w:val="20"/>
                <w:szCs w:val="20"/>
                <w:color w:val="auto"/>
              </w:rPr>
            </w:pPr>
            <w:r>
              <w:rPr>
                <w:rFonts w:ascii="Arial" w:cs="Arial" w:eastAsia="Arial" w:hAnsi="Arial"/>
                <w:sz w:val="18"/>
                <w:szCs w:val="18"/>
                <w:color w:val="auto"/>
              </w:rPr>
              <w:t>Columbia Sportswear Co.</w:t>
            </w:r>
          </w:p>
        </w:tc>
        <w:tc>
          <w:tcPr>
            <w:tcW w:w="3760" w:type="dxa"/>
            <w:vAlign w:val="bottom"/>
          </w:tcPr>
          <w:p>
            <w:pPr>
              <w:jc w:val="center"/>
              <w:ind w:left="750"/>
              <w:spacing w:after="0"/>
              <w:rPr>
                <w:sz w:val="20"/>
                <w:szCs w:val="20"/>
                <w:color w:val="auto"/>
              </w:rPr>
            </w:pPr>
            <w:r>
              <w:rPr>
                <w:rFonts w:ascii="Arial" w:cs="Arial" w:eastAsia="Arial" w:hAnsi="Arial"/>
                <w:sz w:val="18"/>
                <w:szCs w:val="18"/>
                <w:color w:val="auto"/>
                <w:w w:val="99"/>
              </w:rPr>
              <w:t>Quorum Health Corporation*</w:t>
            </w:r>
          </w:p>
        </w:tc>
      </w:tr>
      <w:tr>
        <w:trPr>
          <w:trHeight w:val="216"/>
        </w:trPr>
        <w:tc>
          <w:tcPr>
            <w:tcW w:w="3160" w:type="dxa"/>
            <w:vAlign w:val="bottom"/>
          </w:tcPr>
          <w:p>
            <w:pPr>
              <w:jc w:val="center"/>
              <w:ind w:right="770"/>
              <w:spacing w:after="0"/>
              <w:rPr>
                <w:sz w:val="20"/>
                <w:szCs w:val="20"/>
                <w:color w:val="auto"/>
              </w:rPr>
            </w:pPr>
            <w:r>
              <w:rPr>
                <w:rFonts w:ascii="Arial" w:cs="Arial" w:eastAsia="Arial" w:hAnsi="Arial"/>
                <w:sz w:val="18"/>
                <w:szCs w:val="18"/>
                <w:color w:val="auto"/>
              </w:rPr>
              <w:t>Dentsply Sirona Inc.</w:t>
            </w:r>
          </w:p>
        </w:tc>
        <w:tc>
          <w:tcPr>
            <w:tcW w:w="3760" w:type="dxa"/>
            <w:vAlign w:val="bottom"/>
          </w:tcPr>
          <w:p>
            <w:pPr>
              <w:jc w:val="center"/>
              <w:ind w:left="770"/>
              <w:spacing w:after="0"/>
              <w:rPr>
                <w:sz w:val="20"/>
                <w:szCs w:val="20"/>
                <w:color w:val="auto"/>
              </w:rPr>
            </w:pPr>
            <w:r>
              <w:rPr>
                <w:rFonts w:ascii="Arial" w:cs="Arial" w:eastAsia="Arial" w:hAnsi="Arial"/>
                <w:sz w:val="18"/>
                <w:szCs w:val="18"/>
                <w:color w:val="auto"/>
                <w:w w:val="99"/>
              </w:rPr>
              <w:t>Surgery Partners Inc.</w:t>
            </w:r>
          </w:p>
        </w:tc>
      </w:tr>
      <w:tr>
        <w:trPr>
          <w:trHeight w:val="216"/>
        </w:trPr>
        <w:tc>
          <w:tcPr>
            <w:tcW w:w="3160" w:type="dxa"/>
            <w:vAlign w:val="bottom"/>
          </w:tcPr>
          <w:p>
            <w:pPr>
              <w:jc w:val="center"/>
              <w:ind w:right="770"/>
              <w:spacing w:after="0"/>
              <w:rPr>
                <w:sz w:val="20"/>
                <w:szCs w:val="20"/>
                <w:color w:val="auto"/>
              </w:rPr>
            </w:pPr>
            <w:r>
              <w:rPr>
                <w:rFonts w:ascii="Arial" w:cs="Arial" w:eastAsia="Arial" w:hAnsi="Arial"/>
                <w:sz w:val="18"/>
                <w:szCs w:val="18"/>
                <w:color w:val="auto"/>
                <w:w w:val="99"/>
              </w:rPr>
              <w:t>Five Below, Inc.</w:t>
            </w:r>
          </w:p>
        </w:tc>
        <w:tc>
          <w:tcPr>
            <w:tcW w:w="3760" w:type="dxa"/>
            <w:vAlign w:val="bottom"/>
          </w:tcPr>
          <w:p>
            <w:pPr>
              <w:jc w:val="center"/>
              <w:ind w:left="750"/>
              <w:spacing w:after="0"/>
              <w:rPr>
                <w:sz w:val="20"/>
                <w:szCs w:val="20"/>
                <w:color w:val="auto"/>
              </w:rPr>
            </w:pPr>
            <w:r>
              <w:rPr>
                <w:rFonts w:ascii="Arial" w:cs="Arial" w:eastAsia="Arial" w:hAnsi="Arial"/>
                <w:sz w:val="18"/>
                <w:szCs w:val="18"/>
                <w:color w:val="auto"/>
                <w:w w:val="99"/>
              </w:rPr>
              <w:t>The Container Store Group, Inc.</w:t>
            </w:r>
          </w:p>
        </w:tc>
      </w:tr>
      <w:tr>
        <w:trPr>
          <w:trHeight w:val="216"/>
        </w:trPr>
        <w:tc>
          <w:tcPr>
            <w:tcW w:w="3160" w:type="dxa"/>
            <w:vAlign w:val="bottom"/>
          </w:tcPr>
          <w:p>
            <w:pPr>
              <w:jc w:val="center"/>
              <w:ind w:right="750"/>
              <w:spacing w:after="0"/>
              <w:rPr>
                <w:sz w:val="20"/>
                <w:szCs w:val="20"/>
                <w:color w:val="auto"/>
              </w:rPr>
            </w:pPr>
            <w:r>
              <w:rPr>
                <w:rFonts w:ascii="Arial" w:cs="Arial" w:eastAsia="Arial" w:hAnsi="Arial"/>
                <w:sz w:val="18"/>
                <w:szCs w:val="18"/>
                <w:color w:val="auto"/>
                <w:w w:val="99"/>
              </w:rPr>
              <w:t>Floor &amp; Decor Holdings, Inc.*</w:t>
            </w:r>
          </w:p>
        </w:tc>
        <w:tc>
          <w:tcPr>
            <w:tcW w:w="3760" w:type="dxa"/>
            <w:vAlign w:val="bottom"/>
          </w:tcPr>
          <w:p>
            <w:pPr>
              <w:jc w:val="center"/>
              <w:ind w:left="770"/>
              <w:spacing w:after="0"/>
              <w:rPr>
                <w:sz w:val="20"/>
                <w:szCs w:val="20"/>
                <w:color w:val="auto"/>
              </w:rPr>
            </w:pPr>
            <w:r>
              <w:rPr>
                <w:rFonts w:ascii="Arial" w:cs="Arial" w:eastAsia="Arial" w:hAnsi="Arial"/>
                <w:sz w:val="18"/>
                <w:szCs w:val="18"/>
                <w:color w:val="auto"/>
                <w:w w:val="99"/>
              </w:rPr>
              <w:t>The Cooper Companies, Inc.</w:t>
            </w:r>
          </w:p>
        </w:tc>
      </w:tr>
      <w:tr>
        <w:trPr>
          <w:trHeight w:val="216"/>
        </w:trPr>
        <w:tc>
          <w:tcPr>
            <w:tcW w:w="3160" w:type="dxa"/>
            <w:vAlign w:val="bottom"/>
          </w:tcPr>
          <w:p>
            <w:pPr>
              <w:jc w:val="center"/>
              <w:ind w:right="770"/>
              <w:spacing w:after="0"/>
              <w:rPr>
                <w:sz w:val="20"/>
                <w:szCs w:val="20"/>
                <w:color w:val="auto"/>
              </w:rPr>
            </w:pPr>
            <w:r>
              <w:rPr>
                <w:rFonts w:ascii="Arial" w:cs="Arial" w:eastAsia="Arial" w:hAnsi="Arial"/>
                <w:sz w:val="18"/>
                <w:szCs w:val="18"/>
                <w:color w:val="auto"/>
                <w:w w:val="99"/>
              </w:rPr>
              <w:t>Merit Medical Systems, Inc.*</w:t>
            </w:r>
          </w:p>
        </w:tc>
        <w:tc>
          <w:tcPr>
            <w:tcW w:w="3760" w:type="dxa"/>
            <w:vAlign w:val="bottom"/>
          </w:tcPr>
          <w:p>
            <w:pPr>
              <w:ind w:left="920"/>
              <w:spacing w:after="0"/>
              <w:rPr>
                <w:sz w:val="20"/>
                <w:szCs w:val="20"/>
                <w:color w:val="auto"/>
              </w:rPr>
            </w:pPr>
            <w:r>
              <w:rPr>
                <w:rFonts w:ascii="Arial" w:cs="Arial" w:eastAsia="Arial" w:hAnsi="Arial"/>
                <w:sz w:val="18"/>
                <w:szCs w:val="18"/>
                <w:color w:val="auto"/>
                <w:w w:val="99"/>
              </w:rPr>
              <w:t>West Pharmaceutical Services, Inc.</w:t>
            </w:r>
          </w:p>
        </w:tc>
      </w:tr>
      <w:tr>
        <w:trPr>
          <w:trHeight w:val="217"/>
        </w:trPr>
        <w:tc>
          <w:tcPr>
            <w:tcW w:w="3160" w:type="dxa"/>
            <w:vAlign w:val="bottom"/>
          </w:tcPr>
          <w:p>
            <w:pPr>
              <w:ind w:left="360"/>
              <w:spacing w:after="0"/>
              <w:rPr>
                <w:sz w:val="20"/>
                <w:szCs w:val="20"/>
                <w:color w:val="auto"/>
              </w:rPr>
            </w:pPr>
            <w:r>
              <w:rPr>
                <w:rFonts w:ascii="Arial" w:cs="Arial" w:eastAsia="Arial" w:hAnsi="Arial"/>
                <w:sz w:val="18"/>
                <w:szCs w:val="18"/>
                <w:color w:val="auto"/>
              </w:rPr>
              <w:t>Movado Group, Inc.*</w:t>
            </w:r>
          </w:p>
        </w:tc>
        <w:tc>
          <w:tcPr>
            <w:tcW w:w="3760" w:type="dxa"/>
            <w:vAlign w:val="bottom"/>
          </w:tcPr>
          <w:p>
            <w:pPr>
              <w:spacing w:after="0"/>
              <w:rPr>
                <w:sz w:val="18"/>
                <w:szCs w:val="18"/>
                <w:color w:val="auto"/>
              </w:rPr>
            </w:pPr>
          </w:p>
        </w:tc>
      </w:tr>
    </w:tbl>
    <w:p>
      <w:pPr>
        <w:spacing w:after="0" w:line="183"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New for 2018.</w:t>
      </w:r>
    </w:p>
    <w:p>
      <w:pPr>
        <w:spacing w:after="0" w:line="71" w:lineRule="exact"/>
        <w:rPr>
          <w:sz w:val="20"/>
          <w:szCs w:val="20"/>
          <w:color w:val="auto"/>
        </w:rPr>
      </w:pPr>
    </w:p>
    <w:p>
      <w:pPr>
        <w:ind w:left="1080" w:right="980"/>
        <w:spacing w:after="0" w:line="244" w:lineRule="auto"/>
        <w:rPr>
          <w:sz w:val="20"/>
          <w:szCs w:val="20"/>
          <w:color w:val="auto"/>
        </w:rPr>
      </w:pPr>
      <w:r>
        <w:rPr>
          <w:rFonts w:ascii="Arial" w:cs="Arial" w:eastAsia="Arial" w:hAnsi="Arial"/>
          <w:sz w:val="15"/>
          <w:szCs w:val="15"/>
          <w:i w:val="1"/>
          <w:iCs w:val="1"/>
          <w:color w:val="auto"/>
        </w:rPr>
        <w:t>Note: Alere, Inc., Amsurg Corp, Kate Spade &amp; Company, Surgical Care Affiliates and VCA Inc. were acquired and removed from the peer group. Cooper Companies Inc., U.S. Physical Therapy, Inc. and Ulta Beauty, Inc. were removed from the peer group based on the criteria described above.</w:t>
      </w:r>
    </w:p>
    <w:p>
      <w:pPr>
        <w:spacing w:after="0" w:line="73" w:lineRule="exact"/>
        <w:rPr>
          <w:sz w:val="20"/>
          <w:szCs w:val="20"/>
          <w:color w:val="auto"/>
        </w:rPr>
      </w:pPr>
    </w:p>
    <w:p>
      <w:pPr>
        <w:ind w:left="760" w:right="900"/>
        <w:spacing w:after="0" w:line="254" w:lineRule="auto"/>
        <w:rPr>
          <w:sz w:val="20"/>
          <w:szCs w:val="20"/>
          <w:color w:val="auto"/>
        </w:rPr>
      </w:pPr>
      <w:r>
        <w:rPr>
          <w:rFonts w:ascii="Arial" w:cs="Arial" w:eastAsia="Arial" w:hAnsi="Arial"/>
          <w:sz w:val="18"/>
          <w:szCs w:val="18"/>
          <w:color w:val="auto"/>
        </w:rPr>
        <w:t>As more fully described below under “—Compensation Elements,” the compensation committee reviewed the compensation data provided by Meridian and set total compensation for our NEOs accordingly. The compensation committee did not target a specific percentile with respect to the peer group in determining our NEOs’ total compensation, nor did it establish a prescribed mix of pay for our executives.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Elements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Base Salary</w:t>
      </w:r>
    </w:p>
    <w:p>
      <w:pPr>
        <w:spacing w:after="0" w:line="139" w:lineRule="exact"/>
        <w:rPr>
          <w:sz w:val="20"/>
          <w:szCs w:val="20"/>
          <w:color w:val="auto"/>
        </w:rPr>
      </w:pPr>
    </w:p>
    <w:p>
      <w:pPr>
        <w:ind w:left="760" w:right="780"/>
        <w:spacing w:after="0" w:line="252" w:lineRule="auto"/>
        <w:rPr>
          <w:sz w:val="20"/>
          <w:szCs w:val="20"/>
          <w:color w:val="auto"/>
        </w:rPr>
      </w:pPr>
      <w:r>
        <w:rPr>
          <w:rFonts w:ascii="Arial" w:cs="Arial" w:eastAsia="Arial" w:hAnsi="Arial"/>
          <w:sz w:val="18"/>
          <w:szCs w:val="18"/>
          <w:color w:val="auto"/>
        </w:rPr>
        <w:t>We believe it is important to provide a competitive fixed level of pay to attract and retain experienced and successful executives.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Consistent with this approach, in April 2018, we adjusted the base salaries of Mr. Moore from $400,000 to</w:t>
      </w:r>
    </w:p>
    <w:p>
      <w:pPr>
        <w:spacing w:after="0" w:line="9" w:lineRule="exact"/>
        <w:rPr>
          <w:sz w:val="20"/>
          <w:szCs w:val="20"/>
          <w:color w:val="auto"/>
        </w:rPr>
      </w:pPr>
    </w:p>
    <w:p>
      <w:pPr>
        <w:ind w:left="760" w:right="1100"/>
        <w:spacing w:after="0" w:line="262" w:lineRule="auto"/>
        <w:rPr>
          <w:sz w:val="20"/>
          <w:szCs w:val="20"/>
          <w:color w:val="auto"/>
        </w:rPr>
      </w:pPr>
      <w:r>
        <w:rPr>
          <w:rFonts w:ascii="Arial" w:cs="Arial" w:eastAsia="Arial" w:hAnsi="Arial"/>
          <w:sz w:val="18"/>
          <w:szCs w:val="18"/>
          <w:color w:val="auto"/>
        </w:rPr>
        <w:t>$430,000, Mr. Goodman from $350,000 to $365,000 and Mr. Vaught from $288,000 to $305,000. There were no changes made to the bases salaries of Messrs. Fahs ($900,000) and McAllister ($562,500) in 2018.</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Annual Cash Incentive Program</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3C5896"/>
        </w:rPr>
        <w:t>Management Incentive Plan (MIP)</w:t>
      </w:r>
    </w:p>
    <w:p>
      <w:pPr>
        <w:spacing w:after="0" w:line="139" w:lineRule="exact"/>
        <w:rPr>
          <w:sz w:val="20"/>
          <w:szCs w:val="20"/>
          <w:color w:val="auto"/>
        </w:rPr>
      </w:pPr>
    </w:p>
    <w:p>
      <w:pPr>
        <w:ind w:left="760" w:right="880"/>
        <w:spacing w:after="0" w:line="278" w:lineRule="auto"/>
        <w:rPr>
          <w:sz w:val="20"/>
          <w:szCs w:val="20"/>
          <w:color w:val="auto"/>
        </w:rPr>
      </w:pPr>
      <w:r>
        <w:rPr>
          <w:rFonts w:ascii="Arial" w:cs="Arial" w:eastAsia="Arial" w:hAnsi="Arial"/>
          <w:sz w:val="17"/>
          <w:szCs w:val="17"/>
          <w:color w:val="auto"/>
        </w:rPr>
        <w:t>In fiscal year 2018, our executives participated in the MIP, which is an annual cash incentive program. The primary purpose of the MIP is to focus management on key measures that drive financial performance and to provide competitive bonus opportunities tied to the achievement of our annual financial and strategic growth objectives.</w:t>
      </w:r>
    </w:p>
    <w:p>
      <w:pPr>
        <w:spacing w:after="0" w:line="77" w:lineRule="exact"/>
        <w:rPr>
          <w:sz w:val="20"/>
          <w:szCs w:val="20"/>
          <w:color w:val="auto"/>
        </w:rPr>
      </w:pPr>
    </w:p>
    <w:p>
      <w:pPr>
        <w:ind w:left="760" w:right="820"/>
        <w:spacing w:after="0" w:line="252" w:lineRule="auto"/>
        <w:rPr>
          <w:sz w:val="20"/>
          <w:szCs w:val="20"/>
          <w:color w:val="auto"/>
        </w:rPr>
      </w:pPr>
      <w:r>
        <w:rPr>
          <w:rFonts w:ascii="Arial" w:cs="Arial" w:eastAsia="Arial" w:hAnsi="Arial"/>
          <w:sz w:val="18"/>
          <w:szCs w:val="18"/>
          <w:color w:val="auto"/>
        </w:rPr>
        <w:t>We believe that tying the NEOs’ bonuses to company-wide performance goals encourages collaboration across the executive leadership team. For fiscal 2018, MIP awards were based on achievement of a MIP EBITDA goal (with EBITDA for purposes of the MIP defined as Adjusted EBITDA (as defined in Part II. Item 7. “Management’s Discussion and Analysis” of the Form 10-K), plus MIP expense and change in the margin on unearned revenue). The compensation committee has reserved the ability to adjust the actual EBITDA results to exclude the effects of unplanned or unusual items (whether favorable or unfavorable).</w:t>
      </w:r>
    </w:p>
    <w:p>
      <w:pPr>
        <w:spacing w:after="0" w:line="101" w:lineRule="exact"/>
        <w:rPr>
          <w:sz w:val="20"/>
          <w:szCs w:val="20"/>
          <w:color w:val="auto"/>
        </w:rPr>
      </w:pPr>
    </w:p>
    <w:p>
      <w:pPr>
        <w:ind w:left="760" w:right="820"/>
        <w:spacing w:after="0" w:line="254" w:lineRule="auto"/>
        <w:rPr>
          <w:sz w:val="20"/>
          <w:szCs w:val="20"/>
          <w:color w:val="auto"/>
        </w:rPr>
      </w:pPr>
      <w:r>
        <w:rPr>
          <w:rFonts w:ascii="Arial" w:cs="Arial" w:eastAsia="Arial" w:hAnsi="Arial"/>
          <w:sz w:val="18"/>
          <w:szCs w:val="18"/>
          <w:color w:val="auto"/>
        </w:rPr>
        <w:t>Each NEO’s target annual bonus under the MIP is expressed as a percentage of base salary with the targets ranging from 32.5% to 100% for 2018. Actual MIP awards were calculated by multiplying each NEO’s base salary by his payout percentage. MIP awards are earned at 100% of target if the Company achieved 2018 MIP EBITDA of $187.9 million. For fiscal 2018, there was a threshold level and five additional levels of MIP EBITDA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44450</wp:posOffset>
            </wp:positionV>
            <wp:extent cx="291465" cy="231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17</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261" w:lineRule="exact"/>
        <w:rPr>
          <w:sz w:val="20"/>
          <w:szCs w:val="20"/>
          <w:color w:val="auto"/>
        </w:rPr>
      </w:pPr>
    </w:p>
    <w:p>
      <w:pPr>
        <w:ind w:left="760" w:right="499"/>
        <w:spacing w:after="0" w:line="291" w:lineRule="auto"/>
        <w:rPr>
          <w:sz w:val="20"/>
          <w:szCs w:val="20"/>
          <w:color w:val="auto"/>
        </w:rPr>
      </w:pPr>
      <w:r>
        <w:rPr>
          <w:rFonts w:ascii="Arial" w:cs="Arial" w:eastAsia="Arial" w:hAnsi="Arial"/>
          <w:sz w:val="17"/>
          <w:szCs w:val="17"/>
          <w:color w:val="auto"/>
        </w:rPr>
        <w:t>under the MIP, with Tier I being the target achievement level and Tier V the maximum achievement level. Awards could be earned at more or less than target based on the pre-established scale set forth in the following table:</w:t>
      </w:r>
    </w:p>
    <w:p>
      <w:pPr>
        <w:spacing w:after="0" w:line="9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1800" w:type="dxa"/>
            <w:vAlign w:val="bottom"/>
            <w:tcBorders>
              <w:left w:val="single" w:sz="8" w:color="3C5896"/>
              <w:right w:val="single" w:sz="8" w:color="9EACCA"/>
            </w:tcBorders>
            <w:shd w:val="clear" w:color="auto" w:fill="3C5896"/>
          </w:tcPr>
          <w:p>
            <w:pPr>
              <w:spacing w:after="0"/>
              <w:rPr>
                <w:sz w:val="17"/>
                <w:szCs w:val="17"/>
                <w:color w:val="auto"/>
              </w:rPr>
            </w:pPr>
          </w:p>
        </w:tc>
        <w:tc>
          <w:tcPr>
            <w:tcW w:w="200" w:type="dxa"/>
            <w:vAlign w:val="bottom"/>
            <w:tcBorders>
              <w:right w:val="single" w:sz="8" w:color="3C5896"/>
            </w:tcBorders>
            <w:shd w:val="clear" w:color="auto" w:fill="3C5896"/>
          </w:tcPr>
          <w:p>
            <w:pPr>
              <w:spacing w:after="0"/>
              <w:rPr>
                <w:sz w:val="17"/>
                <w:szCs w:val="17"/>
                <w:color w:val="auto"/>
              </w:rPr>
            </w:pPr>
          </w:p>
        </w:tc>
        <w:tc>
          <w:tcPr>
            <w:tcW w:w="2800" w:type="dxa"/>
            <w:vAlign w:val="bottom"/>
            <w:tcBorders>
              <w:right w:val="single" w:sz="8" w:color="9EACCA"/>
            </w:tcBorders>
            <w:gridSpan w:val="3"/>
            <w:vMerge w:val="restart"/>
            <w:shd w:val="clear" w:color="auto" w:fill="3C5896"/>
          </w:tcPr>
          <w:p>
            <w:pPr>
              <w:ind w:left="1840"/>
              <w:spacing w:after="0"/>
              <w:rPr>
                <w:sz w:val="20"/>
                <w:szCs w:val="20"/>
                <w:color w:val="auto"/>
              </w:rPr>
            </w:pPr>
            <w:r>
              <w:rPr>
                <w:rFonts w:ascii="Arial" w:cs="Arial" w:eastAsia="Arial" w:hAnsi="Arial"/>
                <w:sz w:val="18"/>
                <w:szCs w:val="18"/>
                <w:b w:val="1"/>
                <w:bCs w:val="1"/>
                <w:color w:val="FFFFFF"/>
              </w:rPr>
              <w:t>Threshold</w:t>
            </w:r>
          </w:p>
        </w:tc>
        <w:tc>
          <w:tcPr>
            <w:tcW w:w="160" w:type="dxa"/>
            <w:vAlign w:val="bottom"/>
            <w:tcBorders>
              <w:right w:val="single" w:sz="8" w:color="3C5896"/>
            </w:tcBorders>
            <w:shd w:val="clear" w:color="auto" w:fill="3C5896"/>
          </w:tcPr>
          <w:p>
            <w:pPr>
              <w:spacing w:after="0"/>
              <w:rPr>
                <w:sz w:val="17"/>
                <w:szCs w:val="17"/>
                <w:color w:val="auto"/>
              </w:rPr>
            </w:pPr>
          </w:p>
        </w:tc>
        <w:tc>
          <w:tcPr>
            <w:tcW w:w="740" w:type="dxa"/>
            <w:vAlign w:val="bottom"/>
            <w:tcBorders>
              <w:right w:val="single" w:sz="8" w:color="9EACCA"/>
            </w:tcBorders>
            <w:shd w:val="clear" w:color="auto" w:fill="3C5896"/>
          </w:tcPr>
          <w:p>
            <w:pPr>
              <w:jc w:val="center"/>
              <w:ind w:right="150"/>
              <w:spacing w:after="0"/>
              <w:rPr>
                <w:sz w:val="20"/>
                <w:szCs w:val="20"/>
                <w:color w:val="auto"/>
              </w:rPr>
            </w:pPr>
            <w:r>
              <w:rPr>
                <w:rFonts w:ascii="Arial" w:cs="Arial" w:eastAsia="Arial" w:hAnsi="Arial"/>
                <w:sz w:val="18"/>
                <w:szCs w:val="18"/>
                <w:b w:val="1"/>
                <w:bCs w:val="1"/>
                <w:color w:val="FFFFFF"/>
                <w:w w:val="97"/>
              </w:rPr>
              <w:t>Tier I</w:t>
            </w:r>
          </w:p>
        </w:tc>
        <w:tc>
          <w:tcPr>
            <w:tcW w:w="100" w:type="dxa"/>
            <w:vAlign w:val="bottom"/>
            <w:tcBorders>
              <w:right w:val="single" w:sz="8" w:color="3C5896"/>
            </w:tcBorders>
            <w:shd w:val="clear" w:color="auto" w:fill="3C5896"/>
          </w:tcPr>
          <w:p>
            <w:pPr>
              <w:spacing w:after="0"/>
              <w:rPr>
                <w:sz w:val="17"/>
                <w:szCs w:val="17"/>
                <w:color w:val="auto"/>
              </w:rPr>
            </w:pPr>
          </w:p>
        </w:tc>
        <w:tc>
          <w:tcPr>
            <w:tcW w:w="780" w:type="dxa"/>
            <w:vAlign w:val="bottom"/>
            <w:tcBorders>
              <w:right w:val="single" w:sz="8" w:color="9EACCA"/>
            </w:tcBorders>
            <w:vMerge w:val="restart"/>
            <w:shd w:val="clear" w:color="auto" w:fill="3C5896"/>
          </w:tcPr>
          <w:p>
            <w:pPr>
              <w:jc w:val="right"/>
              <w:ind w:right="130"/>
              <w:spacing w:after="0"/>
              <w:rPr>
                <w:sz w:val="20"/>
                <w:szCs w:val="20"/>
                <w:color w:val="auto"/>
              </w:rPr>
            </w:pPr>
            <w:r>
              <w:rPr>
                <w:rFonts w:ascii="Arial" w:cs="Arial" w:eastAsia="Arial" w:hAnsi="Arial"/>
                <w:sz w:val="18"/>
                <w:szCs w:val="18"/>
                <w:b w:val="1"/>
                <w:bCs w:val="1"/>
                <w:color w:val="FFFFFF"/>
              </w:rPr>
              <w:t>Tier II</w:t>
            </w:r>
          </w:p>
        </w:tc>
        <w:tc>
          <w:tcPr>
            <w:tcW w:w="40" w:type="dxa"/>
            <w:vAlign w:val="bottom"/>
            <w:tcBorders>
              <w:right w:val="single" w:sz="8" w:color="3C5896"/>
            </w:tcBorders>
            <w:shd w:val="clear" w:color="auto" w:fill="3C5896"/>
          </w:tcPr>
          <w:p>
            <w:pPr>
              <w:spacing w:after="0"/>
              <w:rPr>
                <w:sz w:val="17"/>
                <w:szCs w:val="17"/>
                <w:color w:val="auto"/>
              </w:rPr>
            </w:pPr>
          </w:p>
        </w:tc>
        <w:tc>
          <w:tcPr>
            <w:tcW w:w="840" w:type="dxa"/>
            <w:vAlign w:val="bottom"/>
            <w:tcBorders>
              <w:right w:val="single" w:sz="8" w:color="3C5896"/>
            </w:tcBorders>
            <w:vMerge w:val="restart"/>
            <w:shd w:val="clear" w:color="auto" w:fill="3C5896"/>
          </w:tcPr>
          <w:p>
            <w:pPr>
              <w:jc w:val="right"/>
              <w:ind w:right="110"/>
              <w:spacing w:after="0"/>
              <w:rPr>
                <w:sz w:val="20"/>
                <w:szCs w:val="20"/>
                <w:color w:val="auto"/>
              </w:rPr>
            </w:pPr>
            <w:r>
              <w:rPr>
                <w:rFonts w:ascii="Arial" w:cs="Arial" w:eastAsia="Arial" w:hAnsi="Arial"/>
                <w:sz w:val="18"/>
                <w:szCs w:val="18"/>
                <w:b w:val="1"/>
                <w:bCs w:val="1"/>
                <w:color w:val="FFFFFF"/>
              </w:rPr>
              <w:t>Tier III</w:t>
            </w:r>
          </w:p>
        </w:tc>
        <w:tc>
          <w:tcPr>
            <w:tcW w:w="880" w:type="dxa"/>
            <w:vAlign w:val="bottom"/>
            <w:tcBorders>
              <w:right w:val="single" w:sz="8" w:color="9EACCA"/>
            </w:tcBorders>
            <w:gridSpan w:val="2"/>
            <w:vMerge w:val="restart"/>
            <w:shd w:val="clear" w:color="auto" w:fill="3C5896"/>
          </w:tcPr>
          <w:p>
            <w:pPr>
              <w:jc w:val="right"/>
              <w:ind w:right="180"/>
              <w:spacing w:after="0"/>
              <w:rPr>
                <w:sz w:val="20"/>
                <w:szCs w:val="20"/>
                <w:color w:val="auto"/>
              </w:rPr>
            </w:pPr>
            <w:r>
              <w:rPr>
                <w:rFonts w:ascii="Arial" w:cs="Arial" w:eastAsia="Arial" w:hAnsi="Arial"/>
                <w:sz w:val="18"/>
                <w:szCs w:val="18"/>
                <w:b w:val="1"/>
                <w:bCs w:val="1"/>
                <w:color w:val="FFFFFF"/>
              </w:rPr>
              <w:t>Tier IV</w:t>
            </w:r>
          </w:p>
        </w:tc>
        <w:tc>
          <w:tcPr>
            <w:tcW w:w="860" w:type="dxa"/>
            <w:vAlign w:val="bottom"/>
            <w:tcBorders>
              <w:right w:val="single" w:sz="8" w:color="3C5896"/>
            </w:tcBorders>
            <w:shd w:val="clear" w:color="auto" w:fill="3C5896"/>
          </w:tcPr>
          <w:p>
            <w:pPr>
              <w:jc w:val="right"/>
              <w:ind w:right="130"/>
              <w:spacing w:after="0"/>
              <w:rPr>
                <w:sz w:val="20"/>
                <w:szCs w:val="20"/>
                <w:color w:val="auto"/>
              </w:rPr>
            </w:pPr>
            <w:r>
              <w:rPr>
                <w:rFonts w:ascii="Arial" w:cs="Arial" w:eastAsia="Arial" w:hAnsi="Arial"/>
                <w:sz w:val="18"/>
                <w:szCs w:val="18"/>
                <w:b w:val="1"/>
                <w:bCs w:val="1"/>
                <w:color w:val="FFFFFF"/>
              </w:rPr>
              <w:t>Tier V</w:t>
            </w:r>
          </w:p>
        </w:tc>
        <w:tc>
          <w:tcPr>
            <w:tcW w:w="0" w:type="dxa"/>
            <w:vAlign w:val="bottom"/>
          </w:tcPr>
          <w:p>
            <w:pPr>
              <w:spacing w:after="0"/>
              <w:rPr>
                <w:sz w:val="1"/>
                <w:szCs w:val="1"/>
                <w:color w:val="auto"/>
              </w:rPr>
            </w:pPr>
          </w:p>
        </w:tc>
      </w:tr>
      <w:tr>
        <w:trPr>
          <w:trHeight w:val="249"/>
        </w:trPr>
        <w:tc>
          <w:tcPr>
            <w:tcW w:w="1800" w:type="dxa"/>
            <w:vAlign w:val="bottom"/>
            <w:tcBorders>
              <w:left w:val="single" w:sz="8" w:color="3C5896"/>
              <w:right w:val="single" w:sz="8" w:color="9EACCA"/>
            </w:tcBorders>
            <w:shd w:val="clear" w:color="auto" w:fill="3C5896"/>
          </w:tcPr>
          <w:p>
            <w:pPr>
              <w:spacing w:after="0"/>
              <w:rPr>
                <w:sz w:val="21"/>
                <w:szCs w:val="21"/>
                <w:color w:val="auto"/>
              </w:rPr>
            </w:pPr>
          </w:p>
        </w:tc>
        <w:tc>
          <w:tcPr>
            <w:tcW w:w="200" w:type="dxa"/>
            <w:vAlign w:val="bottom"/>
            <w:tcBorders>
              <w:right w:val="single" w:sz="8" w:color="3C5896"/>
            </w:tcBorders>
            <w:shd w:val="clear" w:color="auto" w:fill="3C5896"/>
          </w:tcPr>
          <w:p>
            <w:pPr>
              <w:spacing w:after="0"/>
              <w:rPr>
                <w:sz w:val="21"/>
                <w:szCs w:val="21"/>
                <w:color w:val="auto"/>
              </w:rPr>
            </w:pPr>
          </w:p>
        </w:tc>
        <w:tc>
          <w:tcPr>
            <w:tcW w:w="2800" w:type="dxa"/>
            <w:vAlign w:val="bottom"/>
            <w:tcBorders>
              <w:right w:val="single" w:sz="8" w:color="9EACCA"/>
            </w:tcBorders>
            <w:gridSpan w:val="3"/>
            <w:vMerge w:val="continue"/>
            <w:shd w:val="clear" w:color="auto" w:fill="3C5896"/>
          </w:tcPr>
          <w:p>
            <w:pPr>
              <w:spacing w:after="0"/>
              <w:rPr>
                <w:sz w:val="21"/>
                <w:szCs w:val="21"/>
                <w:color w:val="auto"/>
              </w:rPr>
            </w:pPr>
          </w:p>
        </w:tc>
        <w:tc>
          <w:tcPr>
            <w:tcW w:w="90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00" w:type="dxa"/>
            <w:vAlign w:val="bottom"/>
            <w:tcBorders>
              <w:right w:val="single" w:sz="8" w:color="3C5896"/>
            </w:tcBorders>
            <w:shd w:val="clear" w:color="auto" w:fill="3C5896"/>
          </w:tcPr>
          <w:p>
            <w:pPr>
              <w:spacing w:after="0"/>
              <w:rPr>
                <w:sz w:val="21"/>
                <w:szCs w:val="21"/>
                <w:color w:val="auto"/>
              </w:rPr>
            </w:pPr>
          </w:p>
        </w:tc>
        <w:tc>
          <w:tcPr>
            <w:tcW w:w="780" w:type="dxa"/>
            <w:vAlign w:val="bottom"/>
            <w:tcBorders>
              <w:right w:val="single" w:sz="8" w:color="9EACCA"/>
            </w:tcBorders>
            <w:vMerge w:val="continue"/>
            <w:shd w:val="clear" w:color="auto" w:fill="3C5896"/>
          </w:tcPr>
          <w:p>
            <w:pPr>
              <w:spacing w:after="0"/>
              <w:rPr>
                <w:sz w:val="21"/>
                <w:szCs w:val="21"/>
                <w:color w:val="auto"/>
              </w:rPr>
            </w:pPr>
          </w:p>
        </w:tc>
        <w:tc>
          <w:tcPr>
            <w:tcW w:w="40" w:type="dxa"/>
            <w:vAlign w:val="bottom"/>
            <w:tcBorders>
              <w:right w:val="single" w:sz="8" w:color="3C5896"/>
            </w:tcBorders>
            <w:shd w:val="clear" w:color="auto" w:fill="3C5896"/>
          </w:tcPr>
          <w:p>
            <w:pPr>
              <w:spacing w:after="0"/>
              <w:rPr>
                <w:sz w:val="21"/>
                <w:szCs w:val="21"/>
                <w:color w:val="auto"/>
              </w:rPr>
            </w:pPr>
          </w:p>
        </w:tc>
        <w:tc>
          <w:tcPr>
            <w:tcW w:w="840" w:type="dxa"/>
            <w:vAlign w:val="bottom"/>
            <w:tcBorders>
              <w:right w:val="single" w:sz="8" w:color="3C5896"/>
            </w:tcBorders>
            <w:vMerge w:val="continue"/>
            <w:shd w:val="clear" w:color="auto" w:fill="3C5896"/>
          </w:tcPr>
          <w:p>
            <w:pPr>
              <w:spacing w:after="0"/>
              <w:rPr>
                <w:sz w:val="21"/>
                <w:szCs w:val="21"/>
                <w:color w:val="auto"/>
              </w:rPr>
            </w:pPr>
          </w:p>
        </w:tc>
        <w:tc>
          <w:tcPr>
            <w:tcW w:w="880" w:type="dxa"/>
            <w:vAlign w:val="bottom"/>
            <w:tcBorders>
              <w:right w:val="single" w:sz="8" w:color="9EACCA"/>
            </w:tcBorders>
            <w:gridSpan w:val="2"/>
            <w:vMerge w:val="continue"/>
            <w:shd w:val="clear" w:color="auto" w:fill="3C5896"/>
          </w:tcPr>
          <w:p>
            <w:pPr>
              <w:spacing w:after="0"/>
              <w:rPr>
                <w:sz w:val="21"/>
                <w:szCs w:val="21"/>
                <w:color w:val="auto"/>
              </w:rPr>
            </w:pPr>
          </w:p>
        </w:tc>
        <w:tc>
          <w:tcPr>
            <w:tcW w:w="860" w:type="dxa"/>
            <w:vAlign w:val="bottom"/>
            <w:tcBorders>
              <w:right w:val="single" w:sz="8" w:color="3C5896"/>
            </w:tcBorders>
            <w:shd w:val="clear" w:color="auto" w:fill="3C5896"/>
          </w:tcPr>
          <w:p>
            <w:pPr>
              <w:jc w:val="right"/>
              <w:ind w:right="110"/>
              <w:spacing w:after="0"/>
              <w:rPr>
                <w:sz w:val="20"/>
                <w:szCs w:val="20"/>
                <w:color w:val="auto"/>
              </w:rPr>
            </w:pPr>
            <w:r>
              <w:rPr>
                <w:rFonts w:ascii="Arial" w:cs="Arial" w:eastAsia="Arial" w:hAnsi="Arial"/>
                <w:sz w:val="18"/>
                <w:szCs w:val="18"/>
                <w:b w:val="1"/>
                <w:bCs w:val="1"/>
                <w:color w:val="FFFFFF"/>
              </w:rPr>
              <w:t>(Max)</w:t>
            </w:r>
          </w:p>
        </w:tc>
        <w:tc>
          <w:tcPr>
            <w:tcW w:w="0" w:type="dxa"/>
            <w:vAlign w:val="bottom"/>
          </w:tcPr>
          <w:p>
            <w:pPr>
              <w:spacing w:after="0"/>
              <w:rPr>
                <w:sz w:val="1"/>
                <w:szCs w:val="1"/>
                <w:color w:val="auto"/>
              </w:rPr>
            </w:pPr>
          </w:p>
        </w:tc>
      </w:tr>
      <w:tr>
        <w:trPr>
          <w:trHeight w:val="271"/>
        </w:trPr>
        <w:tc>
          <w:tcPr>
            <w:tcW w:w="1800" w:type="dxa"/>
            <w:vAlign w:val="bottom"/>
            <w:tcBorders>
              <w:left w:val="single" w:sz="8" w:color="3C5896"/>
              <w:bottom w:val="single" w:sz="8" w:color="auto"/>
              <w:right w:val="single" w:sz="8" w:color="9EACCA"/>
            </w:tcBorders>
            <w:shd w:val="clear" w:color="auto" w:fill="3C5896"/>
          </w:tcPr>
          <w:p>
            <w:pPr>
              <w:spacing w:after="0"/>
              <w:rPr>
                <w:sz w:val="23"/>
                <w:szCs w:val="23"/>
                <w:color w:val="auto"/>
              </w:rPr>
            </w:pPr>
          </w:p>
        </w:tc>
        <w:tc>
          <w:tcPr>
            <w:tcW w:w="200" w:type="dxa"/>
            <w:vAlign w:val="bottom"/>
            <w:tcBorders>
              <w:bottom w:val="single" w:sz="8" w:color="auto"/>
              <w:right w:val="single" w:sz="8" w:color="3C5896"/>
            </w:tcBorders>
            <w:shd w:val="clear" w:color="auto" w:fill="3C5896"/>
          </w:tcPr>
          <w:p>
            <w:pPr>
              <w:spacing w:after="0"/>
              <w:rPr>
                <w:sz w:val="23"/>
                <w:szCs w:val="23"/>
                <w:color w:val="auto"/>
              </w:rPr>
            </w:pPr>
          </w:p>
        </w:tc>
        <w:tc>
          <w:tcPr>
            <w:tcW w:w="1920" w:type="dxa"/>
            <w:vAlign w:val="bottom"/>
            <w:tcBorders>
              <w:bottom w:val="single" w:sz="8" w:color="auto"/>
              <w:right w:val="single" w:sz="8" w:color="9EACCA"/>
            </w:tcBorders>
            <w:shd w:val="clear" w:color="auto" w:fill="3C5896"/>
          </w:tcPr>
          <w:p>
            <w:pPr>
              <w:spacing w:after="0"/>
              <w:rPr>
                <w:sz w:val="23"/>
                <w:szCs w:val="23"/>
                <w:color w:val="auto"/>
              </w:rPr>
            </w:pPr>
          </w:p>
        </w:tc>
        <w:tc>
          <w:tcPr>
            <w:tcW w:w="240" w:type="dxa"/>
            <w:vAlign w:val="bottom"/>
            <w:tcBorders>
              <w:bottom w:val="single" w:sz="8" w:color="auto"/>
              <w:right w:val="single" w:sz="8" w:color="3C5896"/>
            </w:tcBorders>
            <w:shd w:val="clear" w:color="auto" w:fill="3C5896"/>
          </w:tcPr>
          <w:p>
            <w:pPr>
              <w:spacing w:after="0"/>
              <w:rPr>
                <w:sz w:val="23"/>
                <w:szCs w:val="23"/>
                <w:color w:val="auto"/>
              </w:rPr>
            </w:pPr>
          </w:p>
        </w:tc>
        <w:tc>
          <w:tcPr>
            <w:tcW w:w="640" w:type="dxa"/>
            <w:vAlign w:val="bottom"/>
            <w:tcBorders>
              <w:bottom w:val="single" w:sz="8" w:color="auto"/>
              <w:right w:val="single" w:sz="8" w:color="3C5896"/>
            </w:tcBorders>
            <w:shd w:val="clear" w:color="auto" w:fill="3C5896"/>
          </w:tcPr>
          <w:p>
            <w:pPr>
              <w:spacing w:after="0"/>
              <w:rPr>
                <w:sz w:val="23"/>
                <w:szCs w:val="23"/>
                <w:color w:val="auto"/>
              </w:rPr>
            </w:pPr>
          </w:p>
        </w:tc>
        <w:tc>
          <w:tcPr>
            <w:tcW w:w="160" w:type="dxa"/>
            <w:vAlign w:val="bottom"/>
            <w:tcBorders>
              <w:bottom w:val="single" w:sz="8" w:color="auto"/>
              <w:right w:val="single" w:sz="8" w:color="3C5896"/>
            </w:tcBorders>
            <w:shd w:val="clear" w:color="auto" w:fill="3C5896"/>
          </w:tcPr>
          <w:p>
            <w:pPr>
              <w:spacing w:after="0"/>
              <w:rPr>
                <w:sz w:val="23"/>
                <w:szCs w:val="23"/>
                <w:color w:val="auto"/>
              </w:rPr>
            </w:pPr>
          </w:p>
        </w:tc>
        <w:tc>
          <w:tcPr>
            <w:tcW w:w="3380" w:type="dxa"/>
            <w:vAlign w:val="bottom"/>
            <w:tcBorders>
              <w:bottom w:val="single" w:sz="8" w:color="auto"/>
              <w:right w:val="single" w:sz="8" w:color="3C5896"/>
            </w:tcBorders>
            <w:gridSpan w:val="7"/>
            <w:shd w:val="clear" w:color="auto" w:fill="3C5896"/>
          </w:tcPr>
          <w:p>
            <w:pPr>
              <w:jc w:val="right"/>
              <w:ind w:right="260"/>
              <w:spacing w:after="0"/>
              <w:rPr>
                <w:sz w:val="20"/>
                <w:szCs w:val="20"/>
                <w:color w:val="auto"/>
              </w:rPr>
            </w:pPr>
            <w:r>
              <w:rPr>
                <w:rFonts w:ascii="Arial" w:cs="Arial" w:eastAsia="Arial" w:hAnsi="Arial"/>
                <w:sz w:val="18"/>
                <w:szCs w:val="18"/>
                <w:b w:val="1"/>
                <w:bCs w:val="1"/>
                <w:color w:val="FFFFFF"/>
              </w:rPr>
              <w:t>% Attainment of MIP EBITDA Target</w:t>
            </w:r>
          </w:p>
        </w:tc>
        <w:tc>
          <w:tcPr>
            <w:tcW w:w="860" w:type="dxa"/>
            <w:vAlign w:val="bottom"/>
            <w:tcBorders>
              <w:bottom w:val="single" w:sz="8" w:color="auto"/>
              <w:right w:val="single" w:sz="8" w:color="3C5896"/>
            </w:tcBorders>
            <w:shd w:val="clear" w:color="auto" w:fill="3C5896"/>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0" w:type="dxa"/>
            <w:vAlign w:val="bottom"/>
            <w:tcBorders>
              <w:left w:val="single" w:sz="8" w:color="3C5896"/>
              <w:bottom w:val="single" w:sz="8" w:color="3C5896"/>
              <w:right w:val="single" w:sz="8" w:color="9EACCA"/>
            </w:tcBorders>
          </w:tcPr>
          <w:p>
            <w:pPr>
              <w:spacing w:after="0"/>
              <w:rPr>
                <w:sz w:val="22"/>
                <w:szCs w:val="22"/>
                <w:color w:val="auto"/>
              </w:rPr>
            </w:pPr>
          </w:p>
        </w:tc>
        <w:tc>
          <w:tcPr>
            <w:tcW w:w="200" w:type="dxa"/>
            <w:vAlign w:val="bottom"/>
            <w:tcBorders>
              <w:bottom w:val="single" w:sz="8" w:color="3C5896"/>
            </w:tcBorders>
          </w:tcPr>
          <w:p>
            <w:pPr>
              <w:spacing w:after="0"/>
              <w:rPr>
                <w:sz w:val="22"/>
                <w:szCs w:val="22"/>
                <w:color w:val="auto"/>
              </w:rPr>
            </w:pPr>
          </w:p>
        </w:tc>
        <w:tc>
          <w:tcPr>
            <w:tcW w:w="1920" w:type="dxa"/>
            <w:vAlign w:val="bottom"/>
            <w:tcBorders>
              <w:bottom w:val="single" w:sz="8" w:color="3C5896"/>
              <w:right w:val="single" w:sz="8" w:color="9EACCA"/>
            </w:tcBorders>
          </w:tcPr>
          <w:p>
            <w:pPr>
              <w:spacing w:after="0"/>
              <w:rPr>
                <w:sz w:val="22"/>
                <w:szCs w:val="22"/>
                <w:color w:val="auto"/>
              </w:rPr>
            </w:pPr>
          </w:p>
        </w:tc>
        <w:tc>
          <w:tcPr>
            <w:tcW w:w="240" w:type="dxa"/>
            <w:vAlign w:val="bottom"/>
            <w:tcBorders>
              <w:bottom w:val="single" w:sz="8" w:color="3C5896"/>
            </w:tcBorders>
          </w:tcPr>
          <w:p>
            <w:pPr>
              <w:spacing w:after="0"/>
              <w:rPr>
                <w:sz w:val="22"/>
                <w:szCs w:val="22"/>
                <w:color w:val="auto"/>
              </w:rPr>
            </w:pPr>
          </w:p>
        </w:tc>
        <w:tc>
          <w:tcPr>
            <w:tcW w:w="640" w:type="dxa"/>
            <w:vAlign w:val="bottom"/>
            <w:tcBorders>
              <w:bottom w:val="single" w:sz="8" w:color="3C5896"/>
              <w:right w:val="single" w:sz="8" w:color="9EACCA"/>
            </w:tcBorders>
          </w:tcPr>
          <w:p>
            <w:pPr>
              <w:jc w:val="right"/>
              <w:ind w:right="110"/>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3C5896"/>
            </w:tcBorders>
          </w:tcPr>
          <w:p>
            <w:pPr>
              <w:spacing w:after="0"/>
              <w:rPr>
                <w:sz w:val="22"/>
                <w:szCs w:val="22"/>
                <w:color w:val="auto"/>
              </w:rPr>
            </w:pPr>
          </w:p>
        </w:tc>
        <w:tc>
          <w:tcPr>
            <w:tcW w:w="740" w:type="dxa"/>
            <w:vAlign w:val="bottom"/>
            <w:tcBorders>
              <w:bottom w:val="single" w:sz="8" w:color="3C5896"/>
              <w:right w:val="single" w:sz="8" w:color="9EACCA"/>
            </w:tcBorders>
          </w:tcPr>
          <w:p>
            <w:pPr>
              <w:jc w:val="right"/>
              <w:ind w:right="5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3C5896"/>
            </w:tcBorders>
          </w:tcPr>
          <w:p>
            <w:pPr>
              <w:spacing w:after="0"/>
              <w:rPr>
                <w:sz w:val="22"/>
                <w:szCs w:val="22"/>
                <w:color w:val="auto"/>
              </w:rPr>
            </w:pPr>
          </w:p>
        </w:tc>
        <w:tc>
          <w:tcPr>
            <w:tcW w:w="780" w:type="dxa"/>
            <w:vAlign w:val="bottom"/>
            <w:tcBorders>
              <w:bottom w:val="single" w:sz="8" w:color="3C5896"/>
              <w:right w:val="single" w:sz="8" w:color="9EACCA"/>
            </w:tcBorders>
          </w:tcPr>
          <w:p>
            <w:pPr>
              <w:jc w:val="right"/>
              <w:spacing w:after="0"/>
              <w:rPr>
                <w:sz w:val="20"/>
                <w:szCs w:val="20"/>
                <w:color w:val="auto"/>
              </w:rPr>
            </w:pPr>
            <w:r>
              <w:rPr>
                <w:rFonts w:ascii="Arial" w:cs="Arial" w:eastAsia="Arial" w:hAnsi="Arial"/>
                <w:sz w:val="18"/>
                <w:szCs w:val="18"/>
                <w:color w:val="auto"/>
              </w:rPr>
              <w:t>102.6%</w:t>
            </w:r>
          </w:p>
        </w:tc>
        <w:tc>
          <w:tcPr>
            <w:tcW w:w="40" w:type="dxa"/>
            <w:vAlign w:val="bottom"/>
            <w:tcBorders>
              <w:bottom w:val="single" w:sz="8" w:color="3C5896"/>
            </w:tcBorders>
          </w:tcPr>
          <w:p>
            <w:pPr>
              <w:spacing w:after="0"/>
              <w:rPr>
                <w:sz w:val="22"/>
                <w:szCs w:val="22"/>
                <w:color w:val="auto"/>
              </w:rPr>
            </w:pPr>
          </w:p>
        </w:tc>
        <w:tc>
          <w:tcPr>
            <w:tcW w:w="840" w:type="dxa"/>
            <w:vAlign w:val="bottom"/>
            <w:tcBorders>
              <w:bottom w:val="single" w:sz="8" w:color="3C5896"/>
              <w:right w:val="single" w:sz="8" w:color="9EACCA"/>
            </w:tcBorders>
          </w:tcPr>
          <w:p>
            <w:pPr>
              <w:jc w:val="right"/>
              <w:spacing w:after="0"/>
              <w:rPr>
                <w:sz w:val="20"/>
                <w:szCs w:val="20"/>
                <w:color w:val="auto"/>
              </w:rPr>
            </w:pPr>
            <w:r>
              <w:rPr>
                <w:rFonts w:ascii="Arial" w:cs="Arial" w:eastAsia="Arial" w:hAnsi="Arial"/>
                <w:sz w:val="18"/>
                <w:szCs w:val="18"/>
                <w:color w:val="auto"/>
              </w:rPr>
              <w:t>106.9%</w:t>
            </w:r>
          </w:p>
        </w:tc>
        <w:tc>
          <w:tcPr>
            <w:tcW w:w="880" w:type="dxa"/>
            <w:vAlign w:val="bottom"/>
            <w:tcBorders>
              <w:bottom w:val="single" w:sz="8" w:color="3C5896"/>
              <w:right w:val="single" w:sz="8" w:color="9EACCA"/>
            </w:tcBorders>
            <w:gridSpan w:val="2"/>
          </w:tcPr>
          <w:p>
            <w:pPr>
              <w:jc w:val="right"/>
              <w:ind w:right="80"/>
              <w:spacing w:after="0"/>
              <w:rPr>
                <w:sz w:val="20"/>
                <w:szCs w:val="20"/>
                <w:color w:val="auto"/>
              </w:rPr>
            </w:pPr>
            <w:r>
              <w:rPr>
                <w:rFonts w:ascii="Arial" w:cs="Arial" w:eastAsia="Arial" w:hAnsi="Arial"/>
                <w:sz w:val="18"/>
                <w:szCs w:val="18"/>
                <w:color w:val="auto"/>
              </w:rPr>
              <w:t>112.3%</w:t>
            </w:r>
          </w:p>
        </w:tc>
        <w:tc>
          <w:tcPr>
            <w:tcW w:w="860" w:type="dxa"/>
            <w:vAlign w:val="bottom"/>
            <w:tcBorders>
              <w:bottom w:val="single" w:sz="8" w:color="3C5896"/>
              <w:right w:val="single" w:sz="8" w:color="3C5896"/>
            </w:tcBorders>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tcBorders>
              <w:left w:val="single" w:sz="8" w:color="3C5896"/>
              <w:right w:val="single" w:sz="8" w:color="3C5896"/>
            </w:tcBorders>
            <w:shd w:val="clear" w:color="auto" w:fill="3C5896"/>
          </w:tcPr>
          <w:p>
            <w:pPr>
              <w:ind w:left="680"/>
              <w:spacing w:after="0" w:line="202" w:lineRule="exact"/>
              <w:rPr>
                <w:sz w:val="20"/>
                <w:szCs w:val="20"/>
                <w:color w:val="auto"/>
              </w:rPr>
            </w:pPr>
            <w:r>
              <w:rPr>
                <w:rFonts w:ascii="Arial" w:cs="Arial" w:eastAsia="Arial" w:hAnsi="Arial"/>
                <w:sz w:val="18"/>
                <w:szCs w:val="18"/>
                <w:b w:val="1"/>
                <w:bCs w:val="1"/>
                <w:color w:val="FFFFFF"/>
              </w:rPr>
              <w:t>Named</w:t>
            </w:r>
          </w:p>
        </w:tc>
        <w:tc>
          <w:tcPr>
            <w:tcW w:w="200" w:type="dxa"/>
            <w:vAlign w:val="bottom"/>
            <w:tcBorders>
              <w:right w:val="single" w:sz="8" w:color="9EACCA"/>
            </w:tcBorders>
            <w:shd w:val="clear" w:color="auto" w:fill="3C5896"/>
          </w:tcPr>
          <w:p>
            <w:pPr>
              <w:spacing w:after="0"/>
              <w:rPr>
                <w:sz w:val="17"/>
                <w:szCs w:val="17"/>
                <w:color w:val="auto"/>
              </w:rPr>
            </w:pPr>
          </w:p>
        </w:tc>
        <w:tc>
          <w:tcPr>
            <w:tcW w:w="1920" w:type="dxa"/>
            <w:vAlign w:val="bottom"/>
            <w:tcBorders>
              <w:right w:val="single" w:sz="8" w:color="3C5896"/>
            </w:tcBorders>
            <w:shd w:val="clear" w:color="auto" w:fill="3C5896"/>
          </w:tcPr>
          <w:p>
            <w:pPr>
              <w:spacing w:after="0"/>
              <w:rPr>
                <w:sz w:val="17"/>
                <w:szCs w:val="17"/>
                <w:color w:val="auto"/>
              </w:rPr>
            </w:pPr>
          </w:p>
        </w:tc>
        <w:tc>
          <w:tcPr>
            <w:tcW w:w="240" w:type="dxa"/>
            <w:vAlign w:val="bottom"/>
            <w:tcBorders>
              <w:right w:val="single" w:sz="8" w:color="9EACCA"/>
            </w:tcBorders>
            <w:shd w:val="clear" w:color="auto" w:fill="3C5896"/>
          </w:tcPr>
          <w:p>
            <w:pPr>
              <w:spacing w:after="0"/>
              <w:rPr>
                <w:sz w:val="17"/>
                <w:szCs w:val="17"/>
                <w:color w:val="auto"/>
              </w:rPr>
            </w:pPr>
          </w:p>
        </w:tc>
        <w:tc>
          <w:tcPr>
            <w:tcW w:w="5040" w:type="dxa"/>
            <w:vAlign w:val="bottom"/>
            <w:tcBorders>
              <w:right w:val="single" w:sz="8" w:color="3C5896"/>
            </w:tcBorders>
            <w:gridSpan w:val="10"/>
            <w:vMerge w:val="restart"/>
            <w:shd w:val="clear" w:color="auto" w:fill="3C5896"/>
          </w:tcPr>
          <w:p>
            <w:pPr>
              <w:jc w:val="right"/>
              <w:ind w:right="230"/>
              <w:spacing w:after="0"/>
              <w:rPr>
                <w:sz w:val="20"/>
                <w:szCs w:val="20"/>
                <w:color w:val="auto"/>
              </w:rPr>
            </w:pPr>
            <w:r>
              <w:rPr>
                <w:rFonts w:ascii="Arial" w:cs="Arial" w:eastAsia="Arial" w:hAnsi="Arial"/>
                <w:sz w:val="18"/>
                <w:szCs w:val="18"/>
                <w:b w:val="1"/>
                <w:bCs w:val="1"/>
                <w:color w:val="FFFFFF"/>
              </w:rPr>
              <w:t>Payout Percentages as a Percentage of Base Salary</w:t>
            </w:r>
          </w:p>
        </w:tc>
        <w:tc>
          <w:tcPr>
            <w:tcW w:w="0" w:type="dxa"/>
            <w:vAlign w:val="bottom"/>
          </w:tcPr>
          <w:p>
            <w:pPr>
              <w:spacing w:after="0"/>
              <w:rPr>
                <w:sz w:val="1"/>
                <w:szCs w:val="1"/>
                <w:color w:val="auto"/>
              </w:rPr>
            </w:pPr>
          </w:p>
        </w:tc>
      </w:tr>
      <w:tr>
        <w:trPr>
          <w:trHeight w:val="241"/>
        </w:trPr>
        <w:tc>
          <w:tcPr>
            <w:tcW w:w="1800" w:type="dxa"/>
            <w:vAlign w:val="bottom"/>
            <w:tcBorders>
              <w:left w:val="single" w:sz="8" w:color="3C5896"/>
              <w:right w:val="single" w:sz="8" w:color="3C5896"/>
            </w:tcBorders>
            <w:shd w:val="clear" w:color="auto" w:fill="3C5896"/>
          </w:tcPr>
          <w:p>
            <w:pPr>
              <w:ind w:left="260"/>
              <w:spacing w:after="0"/>
              <w:rPr>
                <w:sz w:val="20"/>
                <w:szCs w:val="20"/>
                <w:color w:val="auto"/>
              </w:rPr>
            </w:pPr>
            <w:r>
              <w:rPr>
                <w:rFonts w:ascii="Arial" w:cs="Arial" w:eastAsia="Arial" w:hAnsi="Arial"/>
                <w:sz w:val="18"/>
                <w:szCs w:val="18"/>
                <w:b w:val="1"/>
                <w:bCs w:val="1"/>
                <w:color w:val="FFFFFF"/>
              </w:rPr>
              <w:t>Executive Officer</w:t>
            </w:r>
          </w:p>
        </w:tc>
        <w:tc>
          <w:tcPr>
            <w:tcW w:w="200" w:type="dxa"/>
            <w:vAlign w:val="bottom"/>
            <w:tcBorders>
              <w:right w:val="single" w:sz="8" w:color="9EACCA"/>
            </w:tcBorders>
            <w:shd w:val="clear" w:color="auto" w:fill="3C5896"/>
          </w:tcPr>
          <w:p>
            <w:pPr>
              <w:spacing w:after="0"/>
              <w:rPr>
                <w:sz w:val="20"/>
                <w:szCs w:val="20"/>
                <w:color w:val="auto"/>
              </w:rPr>
            </w:pPr>
          </w:p>
        </w:tc>
        <w:tc>
          <w:tcPr>
            <w:tcW w:w="1920" w:type="dxa"/>
            <w:vAlign w:val="bottom"/>
            <w:tcBorders>
              <w:right w:val="single" w:sz="8" w:color="3C5896"/>
            </w:tcBorders>
            <w:shd w:val="clear" w:color="auto" w:fill="3C5896"/>
          </w:tcPr>
          <w:p>
            <w:pPr>
              <w:spacing w:after="0"/>
              <w:rPr>
                <w:sz w:val="20"/>
                <w:szCs w:val="20"/>
                <w:color w:val="auto"/>
              </w:rPr>
            </w:pPr>
          </w:p>
        </w:tc>
        <w:tc>
          <w:tcPr>
            <w:tcW w:w="240" w:type="dxa"/>
            <w:vAlign w:val="bottom"/>
            <w:tcBorders>
              <w:right w:val="single" w:sz="8" w:color="9EACCA"/>
            </w:tcBorders>
            <w:shd w:val="clear" w:color="auto" w:fill="3C5896"/>
          </w:tcPr>
          <w:p>
            <w:pPr>
              <w:spacing w:after="0"/>
              <w:rPr>
                <w:sz w:val="20"/>
                <w:szCs w:val="20"/>
                <w:color w:val="auto"/>
              </w:rPr>
            </w:pPr>
          </w:p>
        </w:tc>
        <w:tc>
          <w:tcPr>
            <w:tcW w:w="5040" w:type="dxa"/>
            <w:vAlign w:val="bottom"/>
            <w:tcBorders>
              <w:right w:val="single" w:sz="8" w:color="3C5896"/>
            </w:tcBorders>
            <w:gridSpan w:val="10"/>
            <w:vMerge w:val="continue"/>
            <w:shd w:val="clear" w:color="auto" w:fill="3C5896"/>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800" w:type="dxa"/>
            <w:vAlign w:val="bottom"/>
            <w:tcBorders>
              <w:top w:val="single" w:sz="8" w:color="auto"/>
              <w:left w:val="single" w:sz="8" w:color="3C5896"/>
            </w:tcBorders>
          </w:tcPr>
          <w:p>
            <w:pPr>
              <w:ind w:left="60"/>
              <w:spacing w:after="0"/>
              <w:rPr>
                <w:sz w:val="20"/>
                <w:szCs w:val="20"/>
                <w:color w:val="auto"/>
              </w:rPr>
            </w:pPr>
            <w:r>
              <w:rPr>
                <w:rFonts w:ascii="Arial" w:cs="Arial" w:eastAsia="Arial" w:hAnsi="Arial"/>
                <w:sz w:val="18"/>
                <w:szCs w:val="18"/>
                <w:color w:val="auto"/>
              </w:rPr>
              <w:t>L. Reade Fahs</w:t>
            </w:r>
          </w:p>
        </w:tc>
        <w:tc>
          <w:tcPr>
            <w:tcW w:w="200" w:type="dxa"/>
            <w:vAlign w:val="bottom"/>
            <w:tcBorders>
              <w:top w:val="single" w:sz="8" w:color="auto"/>
              <w:right w:val="single" w:sz="8" w:color="9EACCA"/>
            </w:tcBorders>
          </w:tcPr>
          <w:p>
            <w:pPr>
              <w:spacing w:after="0"/>
              <w:rPr>
                <w:sz w:val="21"/>
                <w:szCs w:val="21"/>
                <w:color w:val="auto"/>
              </w:rPr>
            </w:pPr>
          </w:p>
        </w:tc>
        <w:tc>
          <w:tcPr>
            <w:tcW w:w="2160" w:type="dxa"/>
            <w:vAlign w:val="bottom"/>
            <w:tcBorders>
              <w:top w:val="single" w:sz="8" w:color="auto"/>
              <w:right w:val="single" w:sz="8" w:color="9EACCA"/>
            </w:tcBorders>
            <w:gridSpan w:val="2"/>
          </w:tcPr>
          <w:p>
            <w:pPr>
              <w:ind w:left="80"/>
              <w:spacing w:after="0"/>
              <w:rPr>
                <w:sz w:val="20"/>
                <w:szCs w:val="20"/>
                <w:color w:val="auto"/>
              </w:rPr>
            </w:pPr>
            <w:r>
              <w:rPr>
                <w:rFonts w:ascii="Arial" w:cs="Arial" w:eastAsia="Arial" w:hAnsi="Arial"/>
                <w:sz w:val="18"/>
                <w:szCs w:val="18"/>
                <w:color w:val="auto"/>
              </w:rPr>
              <w:t>12/31/2017 – 12/29/2018</w:t>
            </w:r>
          </w:p>
        </w:tc>
        <w:tc>
          <w:tcPr>
            <w:tcW w:w="800" w:type="dxa"/>
            <w:vAlign w:val="bottom"/>
            <w:tcBorders>
              <w:top w:val="single" w:sz="8" w:color="auto"/>
              <w:right w:val="single" w:sz="8" w:color="9EACCA"/>
            </w:tcBorders>
            <w:gridSpan w:val="2"/>
          </w:tcPr>
          <w:p>
            <w:pPr>
              <w:jc w:val="right"/>
              <w:spacing w:after="0"/>
              <w:rPr>
                <w:sz w:val="20"/>
                <w:szCs w:val="20"/>
                <w:color w:val="auto"/>
              </w:rPr>
            </w:pPr>
            <w:r>
              <w:rPr>
                <w:rFonts w:ascii="Arial" w:cs="Arial" w:eastAsia="Arial" w:hAnsi="Arial"/>
                <w:sz w:val="18"/>
                <w:szCs w:val="18"/>
                <w:color w:val="auto"/>
              </w:rPr>
              <w:t>50%</w:t>
            </w:r>
          </w:p>
        </w:tc>
        <w:tc>
          <w:tcPr>
            <w:tcW w:w="840" w:type="dxa"/>
            <w:vAlign w:val="bottom"/>
            <w:tcBorders>
              <w:top w:val="single" w:sz="8" w:color="auto"/>
              <w:right w:val="single" w:sz="8" w:color="9EACCA"/>
            </w:tcBorders>
            <w:gridSpan w:val="2"/>
          </w:tcPr>
          <w:p>
            <w:pPr>
              <w:jc w:val="right"/>
              <w:ind w:right="100"/>
              <w:spacing w:after="0"/>
              <w:rPr>
                <w:sz w:val="20"/>
                <w:szCs w:val="20"/>
                <w:color w:val="auto"/>
              </w:rPr>
            </w:pPr>
            <w:r>
              <w:rPr>
                <w:rFonts w:ascii="Arial" w:cs="Arial" w:eastAsia="Arial" w:hAnsi="Arial"/>
                <w:sz w:val="18"/>
                <w:szCs w:val="18"/>
                <w:color w:val="auto"/>
              </w:rPr>
              <w:t>100%</w:t>
            </w:r>
          </w:p>
        </w:tc>
        <w:tc>
          <w:tcPr>
            <w:tcW w:w="820" w:type="dxa"/>
            <w:vAlign w:val="bottom"/>
            <w:tcBorders>
              <w:top w:val="single" w:sz="8" w:color="auto"/>
              <w:right w:val="single" w:sz="8" w:color="9EACCA"/>
            </w:tcBorders>
            <w:gridSpan w:val="2"/>
          </w:tcPr>
          <w:p>
            <w:pPr>
              <w:jc w:val="right"/>
              <w:ind w:right="40"/>
              <w:spacing w:after="0"/>
              <w:rPr>
                <w:sz w:val="20"/>
                <w:szCs w:val="20"/>
                <w:color w:val="auto"/>
              </w:rPr>
            </w:pPr>
            <w:r>
              <w:rPr>
                <w:rFonts w:ascii="Arial" w:cs="Arial" w:eastAsia="Arial" w:hAnsi="Arial"/>
                <w:sz w:val="18"/>
                <w:szCs w:val="18"/>
                <w:color w:val="auto"/>
              </w:rPr>
              <w:t>110%</w:t>
            </w:r>
          </w:p>
        </w:tc>
        <w:tc>
          <w:tcPr>
            <w:tcW w:w="840" w:type="dxa"/>
            <w:vAlign w:val="bottom"/>
            <w:tcBorders>
              <w:top w:val="single" w:sz="8" w:color="auto"/>
              <w:right w:val="single" w:sz="8" w:color="9EACCA"/>
            </w:tcBorders>
          </w:tcPr>
          <w:p>
            <w:pPr>
              <w:jc w:val="right"/>
              <w:spacing w:after="0"/>
              <w:rPr>
                <w:sz w:val="20"/>
                <w:szCs w:val="20"/>
                <w:color w:val="auto"/>
              </w:rPr>
            </w:pPr>
            <w:r>
              <w:rPr>
                <w:rFonts w:ascii="Arial" w:cs="Arial" w:eastAsia="Arial" w:hAnsi="Arial"/>
                <w:sz w:val="18"/>
                <w:szCs w:val="18"/>
                <w:color w:val="auto"/>
              </w:rPr>
              <w:t>130%</w:t>
            </w:r>
          </w:p>
        </w:tc>
        <w:tc>
          <w:tcPr>
            <w:tcW w:w="800" w:type="dxa"/>
            <w:vAlign w:val="bottom"/>
            <w:tcBorders>
              <w:top w:val="single" w:sz="8" w:color="auto"/>
              <w:right w:val="single" w:sz="8" w:color="9EACCA"/>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3C5896"/>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7"/>
        </w:trPr>
        <w:tc>
          <w:tcPr>
            <w:tcW w:w="1800" w:type="dxa"/>
            <w:vAlign w:val="bottom"/>
            <w:tcBorders>
              <w:left w:val="single" w:sz="8" w:color="3C5896"/>
              <w:right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Patrick R. Moore</w:t>
            </w:r>
          </w:p>
        </w:tc>
        <w:tc>
          <w:tcPr>
            <w:tcW w:w="200" w:type="dxa"/>
            <w:vAlign w:val="bottom"/>
            <w:tcBorders>
              <w:right w:val="single" w:sz="8" w:color="9EACCA"/>
            </w:tcBorders>
            <w:shd w:val="clear" w:color="auto" w:fill="CCCCCC"/>
          </w:tcPr>
          <w:p>
            <w:pPr>
              <w:spacing w:after="0"/>
              <w:rPr>
                <w:sz w:val="22"/>
                <w:szCs w:val="22"/>
                <w:color w:val="auto"/>
              </w:rPr>
            </w:pPr>
          </w:p>
        </w:tc>
        <w:tc>
          <w:tcPr>
            <w:tcW w:w="2160" w:type="dxa"/>
            <w:vAlign w:val="bottom"/>
            <w:tcBorders>
              <w:right w:val="single" w:sz="8" w:color="9EACCA"/>
            </w:tcBorders>
            <w:gridSpan w:val="2"/>
            <w:shd w:val="clear" w:color="auto" w:fill="CCCCCC"/>
          </w:tcPr>
          <w:p>
            <w:pPr>
              <w:ind w:left="80"/>
              <w:spacing w:after="0"/>
              <w:rPr>
                <w:sz w:val="20"/>
                <w:szCs w:val="20"/>
                <w:color w:val="auto"/>
              </w:rPr>
            </w:pPr>
            <w:r>
              <w:rPr>
                <w:rFonts w:ascii="Arial" w:cs="Arial" w:eastAsia="Arial" w:hAnsi="Arial"/>
                <w:sz w:val="18"/>
                <w:szCs w:val="18"/>
                <w:color w:val="auto"/>
              </w:rPr>
              <w:t>12/31/2017 – 12/29/2018</w:t>
            </w:r>
          </w:p>
        </w:tc>
        <w:tc>
          <w:tcPr>
            <w:tcW w:w="80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8"/>
                <w:szCs w:val="18"/>
                <w:color w:val="auto"/>
              </w:rPr>
              <w:t>25%</w:t>
            </w:r>
          </w:p>
        </w:tc>
        <w:tc>
          <w:tcPr>
            <w:tcW w:w="840" w:type="dxa"/>
            <w:vAlign w:val="bottom"/>
            <w:tcBorders>
              <w:right w:val="single" w:sz="8" w:color="9EACCA"/>
            </w:tcBorders>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50%</w:t>
            </w:r>
          </w:p>
        </w:tc>
        <w:tc>
          <w:tcPr>
            <w:tcW w:w="820" w:type="dxa"/>
            <w:vAlign w:val="bottom"/>
            <w:tcBorders>
              <w:right w:val="single" w:sz="8" w:color="9EACCA"/>
            </w:tcBorders>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58.75%</w:t>
            </w:r>
          </w:p>
        </w:tc>
        <w:tc>
          <w:tcPr>
            <w:tcW w:w="8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8"/>
                <w:szCs w:val="18"/>
                <w:color w:val="auto"/>
              </w:rPr>
              <w:t>76.25%</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8"/>
                <w:szCs w:val="18"/>
                <w:color w:val="auto"/>
              </w:rPr>
              <w:t>93.75%</w:t>
            </w:r>
          </w:p>
        </w:tc>
        <w:tc>
          <w:tcPr>
            <w:tcW w:w="80" w:type="dxa"/>
            <w:vAlign w:val="bottom"/>
            <w:tcBorders>
              <w:right w:val="single" w:sz="8" w:color="CCCCCC"/>
            </w:tcBorders>
            <w:shd w:val="clear" w:color="auto" w:fill="CCCCCC"/>
          </w:tcPr>
          <w:p>
            <w:pPr>
              <w:spacing w:after="0"/>
              <w:rPr>
                <w:sz w:val="22"/>
                <w:szCs w:val="22"/>
                <w:color w:val="auto"/>
              </w:rPr>
            </w:pPr>
          </w:p>
        </w:tc>
        <w:tc>
          <w:tcPr>
            <w:tcW w:w="86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111.25%</w:t>
            </w:r>
          </w:p>
        </w:tc>
        <w:tc>
          <w:tcPr>
            <w:tcW w:w="0" w:type="dxa"/>
            <w:vAlign w:val="bottom"/>
          </w:tcPr>
          <w:p>
            <w:pPr>
              <w:spacing w:after="0"/>
              <w:rPr>
                <w:sz w:val="1"/>
                <w:szCs w:val="1"/>
                <w:color w:val="auto"/>
              </w:rPr>
            </w:pPr>
          </w:p>
        </w:tc>
      </w:tr>
      <w:tr>
        <w:trPr>
          <w:trHeight w:val="257"/>
        </w:trPr>
        <w:tc>
          <w:tcPr>
            <w:tcW w:w="1800" w:type="dxa"/>
            <w:vAlign w:val="bottom"/>
            <w:tcBorders>
              <w:left w:val="single" w:sz="8" w:color="3C5896"/>
            </w:tcBorders>
          </w:tcPr>
          <w:p>
            <w:pPr>
              <w:ind w:left="60"/>
              <w:spacing w:after="0"/>
              <w:rPr>
                <w:sz w:val="20"/>
                <w:szCs w:val="20"/>
                <w:color w:val="auto"/>
              </w:rPr>
            </w:pPr>
            <w:r>
              <w:rPr>
                <w:rFonts w:ascii="Arial" w:cs="Arial" w:eastAsia="Arial" w:hAnsi="Arial"/>
                <w:sz w:val="18"/>
                <w:szCs w:val="18"/>
                <w:color w:val="auto"/>
              </w:rPr>
              <w:t>Jeff McAllister</w:t>
            </w:r>
          </w:p>
        </w:tc>
        <w:tc>
          <w:tcPr>
            <w:tcW w:w="200" w:type="dxa"/>
            <w:vAlign w:val="bottom"/>
            <w:tcBorders>
              <w:right w:val="single" w:sz="8" w:color="9EACCA"/>
            </w:tcBorders>
          </w:tcPr>
          <w:p>
            <w:pPr>
              <w:spacing w:after="0"/>
              <w:rPr>
                <w:sz w:val="22"/>
                <w:szCs w:val="22"/>
                <w:color w:val="auto"/>
              </w:rPr>
            </w:pPr>
          </w:p>
        </w:tc>
        <w:tc>
          <w:tcPr>
            <w:tcW w:w="2160" w:type="dxa"/>
            <w:vAlign w:val="bottom"/>
            <w:tcBorders>
              <w:right w:val="single" w:sz="8" w:color="9EACCA"/>
            </w:tcBorders>
            <w:gridSpan w:val="2"/>
          </w:tcPr>
          <w:p>
            <w:pPr>
              <w:ind w:left="80"/>
              <w:spacing w:after="0"/>
              <w:rPr>
                <w:sz w:val="20"/>
                <w:szCs w:val="20"/>
                <w:color w:val="auto"/>
              </w:rPr>
            </w:pPr>
            <w:r>
              <w:rPr>
                <w:rFonts w:ascii="Arial" w:cs="Arial" w:eastAsia="Arial" w:hAnsi="Arial"/>
                <w:sz w:val="18"/>
                <w:szCs w:val="18"/>
                <w:color w:val="auto"/>
              </w:rPr>
              <w:t>12/31/2017 – 12/29/2018</w:t>
            </w:r>
          </w:p>
        </w:tc>
        <w:tc>
          <w:tcPr>
            <w:tcW w:w="800" w:type="dxa"/>
            <w:vAlign w:val="bottom"/>
            <w:tcBorders>
              <w:right w:val="single" w:sz="8" w:color="9EACCA"/>
            </w:tcBorders>
            <w:gridSpan w:val="2"/>
          </w:tcPr>
          <w:p>
            <w:pPr>
              <w:jc w:val="right"/>
              <w:spacing w:after="0"/>
              <w:rPr>
                <w:sz w:val="20"/>
                <w:szCs w:val="20"/>
                <w:color w:val="auto"/>
              </w:rPr>
            </w:pPr>
            <w:r>
              <w:rPr>
                <w:rFonts w:ascii="Arial" w:cs="Arial" w:eastAsia="Arial" w:hAnsi="Arial"/>
                <w:sz w:val="18"/>
                <w:szCs w:val="18"/>
                <w:color w:val="auto"/>
              </w:rPr>
              <w:t>30%</w:t>
            </w:r>
          </w:p>
        </w:tc>
        <w:tc>
          <w:tcPr>
            <w:tcW w:w="840" w:type="dxa"/>
            <w:vAlign w:val="bottom"/>
            <w:tcBorders>
              <w:right w:val="single" w:sz="8" w:color="9EACCA"/>
            </w:tcBorders>
            <w:gridSpan w:val="2"/>
          </w:tcPr>
          <w:p>
            <w:pPr>
              <w:jc w:val="right"/>
              <w:ind w:right="100"/>
              <w:spacing w:after="0"/>
              <w:rPr>
                <w:sz w:val="20"/>
                <w:szCs w:val="20"/>
                <w:color w:val="auto"/>
              </w:rPr>
            </w:pPr>
            <w:r>
              <w:rPr>
                <w:rFonts w:ascii="Arial" w:cs="Arial" w:eastAsia="Arial" w:hAnsi="Arial"/>
                <w:sz w:val="18"/>
                <w:szCs w:val="18"/>
                <w:color w:val="auto"/>
              </w:rPr>
              <w:t>60%</w:t>
            </w:r>
          </w:p>
        </w:tc>
        <w:tc>
          <w:tcPr>
            <w:tcW w:w="820" w:type="dxa"/>
            <w:vAlign w:val="bottom"/>
            <w:tcBorders>
              <w:right w:val="single" w:sz="8" w:color="9EACCA"/>
            </w:tcBorders>
            <w:gridSpan w:val="2"/>
          </w:tcPr>
          <w:p>
            <w:pPr>
              <w:jc w:val="right"/>
              <w:ind w:right="40"/>
              <w:spacing w:after="0"/>
              <w:rPr>
                <w:sz w:val="20"/>
                <w:szCs w:val="20"/>
                <w:color w:val="auto"/>
              </w:rPr>
            </w:pPr>
            <w:r>
              <w:rPr>
                <w:rFonts w:ascii="Arial" w:cs="Arial" w:eastAsia="Arial" w:hAnsi="Arial"/>
                <w:sz w:val="18"/>
                <w:szCs w:val="18"/>
                <w:color w:val="auto"/>
              </w:rPr>
              <w:t>70%</w:t>
            </w:r>
          </w:p>
        </w:tc>
        <w:tc>
          <w:tcPr>
            <w:tcW w:w="840" w:type="dxa"/>
            <w:vAlign w:val="bottom"/>
            <w:tcBorders>
              <w:right w:val="single" w:sz="8" w:color="9EACCA"/>
            </w:tcBorders>
          </w:tcPr>
          <w:p>
            <w:pPr>
              <w:jc w:val="right"/>
              <w:spacing w:after="0"/>
              <w:rPr>
                <w:sz w:val="20"/>
                <w:szCs w:val="20"/>
                <w:color w:val="auto"/>
              </w:rPr>
            </w:pPr>
            <w:r>
              <w:rPr>
                <w:rFonts w:ascii="Arial" w:cs="Arial" w:eastAsia="Arial" w:hAnsi="Arial"/>
                <w:sz w:val="18"/>
                <w:szCs w:val="18"/>
                <w:color w:val="auto"/>
              </w:rPr>
              <w:t>90%</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2"/>
                <w:szCs w:val="22"/>
                <w:color w:val="auto"/>
              </w:rPr>
            </w:pPr>
          </w:p>
        </w:tc>
        <w:tc>
          <w:tcPr>
            <w:tcW w:w="86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1800" w:type="dxa"/>
            <w:vAlign w:val="bottom"/>
            <w:tcBorders>
              <w:left w:val="single" w:sz="8" w:color="3C5896"/>
              <w:right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Mitchell Goodman</w:t>
            </w:r>
          </w:p>
        </w:tc>
        <w:tc>
          <w:tcPr>
            <w:tcW w:w="200" w:type="dxa"/>
            <w:vAlign w:val="bottom"/>
            <w:tcBorders>
              <w:right w:val="single" w:sz="8" w:color="9EACCA"/>
            </w:tcBorders>
            <w:shd w:val="clear" w:color="auto" w:fill="CCCCCC"/>
          </w:tcPr>
          <w:p>
            <w:pPr>
              <w:spacing w:after="0"/>
              <w:rPr>
                <w:sz w:val="22"/>
                <w:szCs w:val="22"/>
                <w:color w:val="auto"/>
              </w:rPr>
            </w:pPr>
          </w:p>
        </w:tc>
        <w:tc>
          <w:tcPr>
            <w:tcW w:w="2160" w:type="dxa"/>
            <w:vAlign w:val="bottom"/>
            <w:tcBorders>
              <w:right w:val="single" w:sz="8" w:color="9EACCA"/>
            </w:tcBorders>
            <w:gridSpan w:val="2"/>
            <w:shd w:val="clear" w:color="auto" w:fill="CCCCCC"/>
          </w:tcPr>
          <w:p>
            <w:pPr>
              <w:ind w:left="80"/>
              <w:spacing w:after="0"/>
              <w:rPr>
                <w:sz w:val="20"/>
                <w:szCs w:val="20"/>
                <w:color w:val="auto"/>
              </w:rPr>
            </w:pPr>
            <w:r>
              <w:rPr>
                <w:rFonts w:ascii="Arial" w:cs="Arial" w:eastAsia="Arial" w:hAnsi="Arial"/>
                <w:sz w:val="18"/>
                <w:szCs w:val="18"/>
                <w:color w:val="auto"/>
              </w:rPr>
              <w:t>12/31/2017 – 12/29/2018</w:t>
            </w:r>
          </w:p>
        </w:tc>
        <w:tc>
          <w:tcPr>
            <w:tcW w:w="80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8"/>
                <w:szCs w:val="18"/>
                <w:color w:val="auto"/>
              </w:rPr>
              <w:t>25%</w:t>
            </w:r>
          </w:p>
        </w:tc>
        <w:tc>
          <w:tcPr>
            <w:tcW w:w="840" w:type="dxa"/>
            <w:vAlign w:val="bottom"/>
            <w:tcBorders>
              <w:right w:val="single" w:sz="8" w:color="9EACCA"/>
            </w:tcBorders>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50%</w:t>
            </w:r>
          </w:p>
        </w:tc>
        <w:tc>
          <w:tcPr>
            <w:tcW w:w="820" w:type="dxa"/>
            <w:vAlign w:val="bottom"/>
            <w:tcBorders>
              <w:right w:val="single" w:sz="8" w:color="9EACCA"/>
            </w:tcBorders>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58.75%</w:t>
            </w:r>
          </w:p>
        </w:tc>
        <w:tc>
          <w:tcPr>
            <w:tcW w:w="8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8"/>
                <w:szCs w:val="18"/>
                <w:color w:val="auto"/>
              </w:rPr>
              <w:t>76.25%</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8"/>
                <w:szCs w:val="18"/>
                <w:color w:val="auto"/>
              </w:rPr>
              <w:t>93.75%</w:t>
            </w:r>
          </w:p>
        </w:tc>
        <w:tc>
          <w:tcPr>
            <w:tcW w:w="80" w:type="dxa"/>
            <w:vAlign w:val="bottom"/>
            <w:tcBorders>
              <w:right w:val="single" w:sz="8" w:color="CCCCCC"/>
            </w:tcBorders>
            <w:shd w:val="clear" w:color="auto" w:fill="CCCCCC"/>
          </w:tcPr>
          <w:p>
            <w:pPr>
              <w:spacing w:after="0"/>
              <w:rPr>
                <w:sz w:val="22"/>
                <w:szCs w:val="22"/>
                <w:color w:val="auto"/>
              </w:rPr>
            </w:pPr>
          </w:p>
        </w:tc>
        <w:tc>
          <w:tcPr>
            <w:tcW w:w="86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111.25%</w:t>
            </w:r>
          </w:p>
        </w:tc>
        <w:tc>
          <w:tcPr>
            <w:tcW w:w="0" w:type="dxa"/>
            <w:vAlign w:val="bottom"/>
          </w:tcPr>
          <w:p>
            <w:pPr>
              <w:spacing w:after="0"/>
              <w:rPr>
                <w:sz w:val="1"/>
                <w:szCs w:val="1"/>
                <w:color w:val="auto"/>
              </w:rPr>
            </w:pPr>
          </w:p>
        </w:tc>
      </w:tr>
      <w:tr>
        <w:trPr>
          <w:trHeight w:val="257"/>
        </w:trPr>
        <w:tc>
          <w:tcPr>
            <w:tcW w:w="1800" w:type="dxa"/>
            <w:vAlign w:val="bottom"/>
            <w:tcBorders>
              <w:left w:val="single" w:sz="8" w:color="3C5896"/>
              <w:bottom w:val="single" w:sz="8" w:color="3C5896"/>
            </w:tcBorders>
          </w:tcPr>
          <w:p>
            <w:pPr>
              <w:ind w:left="60"/>
              <w:spacing w:after="0"/>
              <w:rPr>
                <w:sz w:val="20"/>
                <w:szCs w:val="20"/>
                <w:color w:val="auto"/>
              </w:rPr>
            </w:pPr>
            <w:r>
              <w:rPr>
                <w:rFonts w:ascii="Arial" w:cs="Arial" w:eastAsia="Arial" w:hAnsi="Arial"/>
                <w:sz w:val="18"/>
                <w:szCs w:val="18"/>
                <w:color w:val="auto"/>
              </w:rPr>
              <w:t>John Vaught</w:t>
            </w:r>
          </w:p>
        </w:tc>
        <w:tc>
          <w:tcPr>
            <w:tcW w:w="200" w:type="dxa"/>
            <w:vAlign w:val="bottom"/>
            <w:tcBorders>
              <w:bottom w:val="single" w:sz="8" w:color="3C5896"/>
              <w:right w:val="single" w:sz="8" w:color="9EACCA"/>
            </w:tcBorders>
          </w:tcPr>
          <w:p>
            <w:pPr>
              <w:spacing w:after="0"/>
              <w:rPr>
                <w:sz w:val="22"/>
                <w:szCs w:val="22"/>
                <w:color w:val="auto"/>
              </w:rPr>
            </w:pPr>
          </w:p>
        </w:tc>
        <w:tc>
          <w:tcPr>
            <w:tcW w:w="2160" w:type="dxa"/>
            <w:vAlign w:val="bottom"/>
            <w:tcBorders>
              <w:bottom w:val="single" w:sz="8" w:color="3C5896"/>
              <w:right w:val="single" w:sz="8" w:color="9EACCA"/>
            </w:tcBorders>
            <w:gridSpan w:val="2"/>
          </w:tcPr>
          <w:p>
            <w:pPr>
              <w:ind w:left="80"/>
              <w:spacing w:after="0"/>
              <w:rPr>
                <w:sz w:val="20"/>
                <w:szCs w:val="20"/>
                <w:color w:val="auto"/>
              </w:rPr>
            </w:pPr>
            <w:r>
              <w:rPr>
                <w:rFonts w:ascii="Arial" w:cs="Arial" w:eastAsia="Arial" w:hAnsi="Arial"/>
                <w:sz w:val="18"/>
                <w:szCs w:val="18"/>
                <w:color w:val="auto"/>
              </w:rPr>
              <w:t>12/31/2017 – 12/29/2018</w:t>
            </w:r>
          </w:p>
        </w:tc>
        <w:tc>
          <w:tcPr>
            <w:tcW w:w="800" w:type="dxa"/>
            <w:vAlign w:val="bottom"/>
            <w:tcBorders>
              <w:bottom w:val="single" w:sz="8" w:color="3C5896"/>
              <w:right w:val="single" w:sz="8" w:color="9EACCA"/>
            </w:tcBorders>
            <w:gridSpan w:val="2"/>
          </w:tcPr>
          <w:p>
            <w:pPr>
              <w:jc w:val="right"/>
              <w:spacing w:after="0"/>
              <w:rPr>
                <w:sz w:val="20"/>
                <w:szCs w:val="20"/>
                <w:color w:val="auto"/>
              </w:rPr>
            </w:pPr>
            <w:r>
              <w:rPr>
                <w:rFonts w:ascii="Arial" w:cs="Arial" w:eastAsia="Arial" w:hAnsi="Arial"/>
                <w:sz w:val="18"/>
                <w:szCs w:val="18"/>
                <w:color w:val="auto"/>
              </w:rPr>
              <w:t>16.25%</w:t>
            </w:r>
          </w:p>
        </w:tc>
        <w:tc>
          <w:tcPr>
            <w:tcW w:w="840" w:type="dxa"/>
            <w:vAlign w:val="bottom"/>
            <w:tcBorders>
              <w:bottom w:val="single" w:sz="8" w:color="3C5896"/>
              <w:right w:val="single" w:sz="8" w:color="9EACCA"/>
            </w:tcBorders>
            <w:gridSpan w:val="2"/>
          </w:tcPr>
          <w:p>
            <w:pPr>
              <w:jc w:val="right"/>
              <w:ind w:right="100"/>
              <w:spacing w:after="0"/>
              <w:rPr>
                <w:sz w:val="20"/>
                <w:szCs w:val="20"/>
                <w:color w:val="auto"/>
              </w:rPr>
            </w:pPr>
            <w:r>
              <w:rPr>
                <w:rFonts w:ascii="Arial" w:cs="Arial" w:eastAsia="Arial" w:hAnsi="Arial"/>
                <w:sz w:val="18"/>
                <w:szCs w:val="18"/>
                <w:color w:val="auto"/>
              </w:rPr>
              <w:t>32.5%</w:t>
            </w:r>
          </w:p>
        </w:tc>
        <w:tc>
          <w:tcPr>
            <w:tcW w:w="820" w:type="dxa"/>
            <w:vAlign w:val="bottom"/>
            <w:tcBorders>
              <w:bottom w:val="single" w:sz="8" w:color="3C5896"/>
              <w:right w:val="single" w:sz="8" w:color="9EACCA"/>
            </w:tcBorders>
            <w:gridSpan w:val="2"/>
          </w:tcPr>
          <w:p>
            <w:pPr>
              <w:jc w:val="right"/>
              <w:ind w:right="40"/>
              <w:spacing w:after="0"/>
              <w:rPr>
                <w:sz w:val="20"/>
                <w:szCs w:val="20"/>
                <w:color w:val="auto"/>
              </w:rPr>
            </w:pPr>
            <w:r>
              <w:rPr>
                <w:rFonts w:ascii="Arial" w:cs="Arial" w:eastAsia="Arial" w:hAnsi="Arial"/>
                <w:sz w:val="18"/>
                <w:szCs w:val="18"/>
                <w:color w:val="auto"/>
              </w:rPr>
              <w:t>40%</w:t>
            </w:r>
          </w:p>
        </w:tc>
        <w:tc>
          <w:tcPr>
            <w:tcW w:w="840" w:type="dxa"/>
            <w:vAlign w:val="bottom"/>
            <w:tcBorders>
              <w:bottom w:val="single" w:sz="8" w:color="3C5896"/>
              <w:right w:val="single" w:sz="8" w:color="9EACCA"/>
            </w:tcBorders>
          </w:tcPr>
          <w:p>
            <w:pPr>
              <w:jc w:val="right"/>
              <w:spacing w:after="0"/>
              <w:rPr>
                <w:sz w:val="20"/>
                <w:szCs w:val="20"/>
                <w:color w:val="auto"/>
              </w:rPr>
            </w:pPr>
            <w:r>
              <w:rPr>
                <w:rFonts w:ascii="Arial" w:cs="Arial" w:eastAsia="Arial" w:hAnsi="Arial"/>
                <w:sz w:val="18"/>
                <w:szCs w:val="18"/>
                <w:color w:val="auto"/>
              </w:rPr>
              <w:t>55%</w:t>
            </w:r>
          </w:p>
        </w:tc>
        <w:tc>
          <w:tcPr>
            <w:tcW w:w="800" w:type="dxa"/>
            <w:vAlign w:val="bottom"/>
            <w:tcBorders>
              <w:bottom w:val="single" w:sz="8" w:color="3C5896"/>
              <w:right w:val="single" w:sz="8" w:color="9EACCA"/>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3C5896"/>
            </w:tcBorders>
          </w:tcPr>
          <w:p>
            <w:pPr>
              <w:spacing w:after="0"/>
              <w:rPr>
                <w:sz w:val="22"/>
                <w:szCs w:val="22"/>
                <w:color w:val="auto"/>
              </w:rPr>
            </w:pPr>
          </w:p>
        </w:tc>
        <w:tc>
          <w:tcPr>
            <w:tcW w:w="860" w:type="dxa"/>
            <w:vAlign w:val="bottom"/>
            <w:tcBorders>
              <w:bottom w:val="single" w:sz="8" w:color="3C5896"/>
              <w:right w:val="single" w:sz="8" w:color="3C5896"/>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-1543050</wp:posOffset>
            </wp:positionV>
            <wp:extent cx="58400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14" w:lineRule="exact"/>
        <w:rPr>
          <w:sz w:val="20"/>
          <w:szCs w:val="20"/>
          <w:color w:val="auto"/>
        </w:rPr>
      </w:pPr>
    </w:p>
    <w:p>
      <w:pPr>
        <w:ind w:left="760" w:right="1099"/>
        <w:spacing w:after="0" w:line="262" w:lineRule="auto"/>
        <w:rPr>
          <w:sz w:val="20"/>
          <w:szCs w:val="20"/>
          <w:color w:val="auto"/>
        </w:rPr>
      </w:pPr>
      <w:r>
        <w:rPr>
          <w:rFonts w:ascii="Arial" w:cs="Arial" w:eastAsia="Arial" w:hAnsi="Arial"/>
          <w:sz w:val="18"/>
          <w:szCs w:val="18"/>
          <w:color w:val="auto"/>
        </w:rPr>
        <w:t>For performance percentages between the specified threshold, target, and other tier levels, payouts were interpolated on a straight-line basis.</w:t>
      </w:r>
    </w:p>
    <w:p>
      <w:pPr>
        <w:spacing w:after="0" w:line="88" w:lineRule="exact"/>
        <w:rPr>
          <w:sz w:val="20"/>
          <w:szCs w:val="20"/>
          <w:color w:val="auto"/>
        </w:rPr>
      </w:pPr>
    </w:p>
    <w:p>
      <w:pPr>
        <w:ind w:left="760" w:right="419"/>
        <w:spacing w:after="0" w:line="256" w:lineRule="auto"/>
        <w:rPr>
          <w:sz w:val="20"/>
          <w:szCs w:val="20"/>
          <w:color w:val="auto"/>
        </w:rPr>
      </w:pPr>
      <w:r>
        <w:rPr>
          <w:rFonts w:ascii="Arial" w:cs="Arial" w:eastAsia="Arial" w:hAnsi="Arial"/>
          <w:sz w:val="18"/>
          <w:szCs w:val="18"/>
          <w:color w:val="auto"/>
        </w:rPr>
        <w:t>The compensation committee has the ability to exercise positive or negative discretion and award a greater or lesser amount to our NEOs than the amount determined by the scale above if it determines that circumstances so warrant. The compensation committee did not exercise such discretion in fiscal 2018.</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fiscal 2018, the Company’s MIP EBITDA achieved was $179 million, resulting in a payout percentage of</w:t>
      </w:r>
    </w:p>
    <w:p>
      <w:pPr>
        <w:spacing w:after="0" w:line="9" w:lineRule="exact"/>
        <w:rPr>
          <w:sz w:val="20"/>
          <w:szCs w:val="20"/>
          <w:color w:val="auto"/>
        </w:rPr>
      </w:pPr>
    </w:p>
    <w:p>
      <w:pPr>
        <w:ind w:left="760" w:right="339"/>
        <w:spacing w:after="0" w:line="254" w:lineRule="auto"/>
        <w:rPr>
          <w:sz w:val="20"/>
          <w:szCs w:val="20"/>
          <w:color w:val="auto"/>
        </w:rPr>
      </w:pPr>
      <w:r>
        <w:rPr>
          <w:rFonts w:ascii="Arial" w:cs="Arial" w:eastAsia="Arial" w:hAnsi="Arial"/>
          <w:sz w:val="18"/>
          <w:szCs w:val="18"/>
          <w:color w:val="auto"/>
        </w:rPr>
        <w:t>76.52% of base salary for Mr. Fahs, 38.26% of base salary for each of Messrs. Moore and Goodman, 45.91% of base salary for Mr. McAllister, and 24.87% of base salary for Mr. Vaught. Each of the NEOs earned MIP awards for fiscal 2018 as follows, which are included in the “Non-Equity Incentive Plan Compensation” column of the “Summary Compensation Table” below.</w:t>
      </w:r>
    </w:p>
    <w:p>
      <w:pPr>
        <w:spacing w:after="0" w:line="138" w:lineRule="exact"/>
        <w:rPr>
          <w:sz w:val="20"/>
          <w:szCs w:val="20"/>
          <w:color w:val="auto"/>
        </w:rPr>
      </w:pPr>
    </w:p>
    <w:tbl>
      <w:tblPr>
        <w:tblLayout w:type="fixed"/>
        <w:tblInd w:w="770" w:type="dxa"/>
        <w:tblCellMar>
          <w:top w:w="0" w:type="dxa"/>
          <w:left w:w="0" w:type="dxa"/>
          <w:bottom w:w="0" w:type="dxa"/>
          <w:right w:w="0" w:type="dxa"/>
        </w:tblCellMar>
      </w:tblPr>
      <w:tr>
        <w:trPr>
          <w:trHeight w:val="211"/>
        </w:trPr>
        <w:tc>
          <w:tcPr>
            <w:tcW w:w="1920" w:type="dxa"/>
            <w:vAlign w:val="bottom"/>
            <w:tcBorders>
              <w:left w:val="single" w:sz="8" w:color="3C5896"/>
              <w:right w:val="single" w:sz="8" w:color="9EACCA"/>
            </w:tcBorders>
            <w:shd w:val="clear" w:color="auto" w:fill="3C5896"/>
          </w:tcPr>
          <w:p>
            <w:pPr>
              <w:spacing w:after="0"/>
              <w:rPr>
                <w:sz w:val="18"/>
                <w:szCs w:val="18"/>
                <w:color w:val="auto"/>
              </w:rPr>
            </w:pPr>
          </w:p>
        </w:tc>
        <w:tc>
          <w:tcPr>
            <w:tcW w:w="2040" w:type="dxa"/>
            <w:vAlign w:val="bottom"/>
            <w:tcBorders>
              <w:right w:val="single" w:sz="8" w:color="9EACCA"/>
            </w:tcBorders>
            <w:shd w:val="clear" w:color="auto" w:fill="3C5896"/>
          </w:tcPr>
          <w:p>
            <w:pPr>
              <w:spacing w:after="0"/>
              <w:rPr>
                <w:sz w:val="18"/>
                <w:szCs w:val="18"/>
                <w:color w:val="auto"/>
              </w:rPr>
            </w:pPr>
          </w:p>
        </w:tc>
        <w:tc>
          <w:tcPr>
            <w:tcW w:w="15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300" w:type="dxa"/>
            <w:vAlign w:val="bottom"/>
            <w:shd w:val="clear" w:color="auto" w:fill="3C5896"/>
          </w:tcPr>
          <w:p>
            <w:pPr>
              <w:spacing w:after="0"/>
              <w:rPr>
                <w:sz w:val="18"/>
                <w:szCs w:val="18"/>
                <w:color w:val="auto"/>
              </w:rPr>
            </w:pPr>
          </w:p>
        </w:tc>
        <w:tc>
          <w:tcPr>
            <w:tcW w:w="800" w:type="dxa"/>
            <w:vAlign w:val="bottom"/>
            <w:tcBorders>
              <w:right w:val="single" w:sz="8" w:color="9EACCA"/>
            </w:tcBorders>
            <w:shd w:val="clear" w:color="auto" w:fill="3C5896"/>
          </w:tcPr>
          <w:p>
            <w:pPr>
              <w:spacing w:after="0"/>
              <w:rPr>
                <w:sz w:val="18"/>
                <w:szCs w:val="18"/>
                <w:color w:val="auto"/>
              </w:rPr>
            </w:pPr>
          </w:p>
        </w:tc>
        <w:tc>
          <w:tcPr>
            <w:tcW w:w="1540" w:type="dxa"/>
            <w:vAlign w:val="bottom"/>
            <w:tcBorders>
              <w:right w:val="single" w:sz="8" w:color="9EACCA"/>
            </w:tcBorders>
            <w:shd w:val="clear" w:color="auto" w:fill="3C5896"/>
          </w:tcPr>
          <w:p>
            <w:pPr>
              <w:spacing w:after="0"/>
              <w:rPr>
                <w:sz w:val="18"/>
                <w:szCs w:val="18"/>
                <w:color w:val="auto"/>
              </w:rPr>
            </w:pPr>
          </w:p>
        </w:tc>
        <w:tc>
          <w:tcPr>
            <w:tcW w:w="280" w:type="dxa"/>
            <w:vAlign w:val="bottom"/>
            <w:shd w:val="clear" w:color="auto" w:fill="3C5896"/>
          </w:tcPr>
          <w:p>
            <w:pPr>
              <w:spacing w:after="0"/>
              <w:rPr>
                <w:sz w:val="18"/>
                <w:szCs w:val="18"/>
                <w:color w:val="auto"/>
              </w:rPr>
            </w:pPr>
          </w:p>
        </w:tc>
        <w:tc>
          <w:tcPr>
            <w:tcW w:w="800" w:type="dxa"/>
            <w:vAlign w:val="bottom"/>
            <w:tcBorders>
              <w:right w:val="single" w:sz="8" w:color="3C5896"/>
            </w:tcBorders>
            <w:shd w:val="clear" w:color="auto" w:fill="3C5896"/>
          </w:tcPr>
          <w:p>
            <w:pPr>
              <w:spacing w:after="0"/>
              <w:rPr>
                <w:sz w:val="18"/>
                <w:szCs w:val="18"/>
                <w:color w:val="auto"/>
              </w:rPr>
            </w:pPr>
          </w:p>
        </w:tc>
      </w:tr>
      <w:tr>
        <w:trPr>
          <w:trHeight w:val="189"/>
        </w:trPr>
        <w:tc>
          <w:tcPr>
            <w:tcW w:w="1920" w:type="dxa"/>
            <w:vAlign w:val="bottom"/>
            <w:tcBorders>
              <w:left w:val="single" w:sz="8" w:color="3C5896"/>
              <w:right w:val="single" w:sz="8" w:color="9EACCA"/>
            </w:tcBorders>
            <w:shd w:val="clear" w:color="auto" w:fill="3C5896"/>
          </w:tcPr>
          <w:p>
            <w:pPr>
              <w:spacing w:after="0"/>
              <w:rPr>
                <w:sz w:val="16"/>
                <w:szCs w:val="16"/>
                <w:color w:val="auto"/>
              </w:rPr>
            </w:pPr>
          </w:p>
        </w:tc>
        <w:tc>
          <w:tcPr>
            <w:tcW w:w="2040" w:type="dxa"/>
            <w:vAlign w:val="bottom"/>
            <w:tcBorders>
              <w:right w:val="single" w:sz="8" w:color="9EACCA"/>
            </w:tcBorders>
            <w:shd w:val="clear" w:color="auto" w:fill="3C5896"/>
          </w:tcPr>
          <w:p>
            <w:pPr>
              <w:spacing w:after="0"/>
              <w:rPr>
                <w:sz w:val="16"/>
                <w:szCs w:val="16"/>
                <w:color w:val="auto"/>
              </w:rPr>
            </w:pPr>
          </w:p>
        </w:tc>
        <w:tc>
          <w:tcPr>
            <w:tcW w:w="15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Percentage</w:t>
            </w:r>
          </w:p>
        </w:tc>
        <w:tc>
          <w:tcPr>
            <w:tcW w:w="300" w:type="dxa"/>
            <w:vAlign w:val="bottom"/>
            <w:shd w:val="clear" w:color="auto" w:fill="3C5896"/>
          </w:tcPr>
          <w:p>
            <w:pPr>
              <w:spacing w:after="0"/>
              <w:rPr>
                <w:sz w:val="16"/>
                <w:szCs w:val="16"/>
                <w:color w:val="auto"/>
              </w:rPr>
            </w:pPr>
          </w:p>
        </w:tc>
        <w:tc>
          <w:tcPr>
            <w:tcW w:w="800" w:type="dxa"/>
            <w:vAlign w:val="bottom"/>
            <w:tcBorders>
              <w:right w:val="single" w:sz="8" w:color="9EACCA"/>
            </w:tcBorders>
            <w:shd w:val="clear" w:color="auto" w:fill="3C5896"/>
          </w:tcPr>
          <w:p>
            <w:pPr>
              <w:spacing w:after="0"/>
              <w:rPr>
                <w:sz w:val="16"/>
                <w:szCs w:val="16"/>
                <w:color w:val="auto"/>
              </w:rPr>
            </w:pPr>
          </w:p>
        </w:tc>
        <w:tc>
          <w:tcPr>
            <w:tcW w:w="1540" w:type="dxa"/>
            <w:vAlign w:val="bottom"/>
            <w:tcBorders>
              <w:right w:val="single" w:sz="8" w:color="9EACCA"/>
            </w:tcBorders>
            <w:shd w:val="clear" w:color="auto" w:fill="3C5896"/>
          </w:tcPr>
          <w:p>
            <w:pPr>
              <w:spacing w:after="0"/>
              <w:rPr>
                <w:sz w:val="16"/>
                <w:szCs w:val="16"/>
                <w:color w:val="auto"/>
              </w:rPr>
            </w:pPr>
          </w:p>
        </w:tc>
        <w:tc>
          <w:tcPr>
            <w:tcW w:w="280" w:type="dxa"/>
            <w:vAlign w:val="bottom"/>
            <w:shd w:val="clear" w:color="auto" w:fill="3C5896"/>
          </w:tcPr>
          <w:p>
            <w:pPr>
              <w:spacing w:after="0"/>
              <w:rPr>
                <w:sz w:val="16"/>
                <w:szCs w:val="16"/>
                <w:color w:val="auto"/>
              </w:rPr>
            </w:pPr>
          </w:p>
        </w:tc>
        <w:tc>
          <w:tcPr>
            <w:tcW w:w="800" w:type="dxa"/>
            <w:vAlign w:val="bottom"/>
            <w:tcBorders>
              <w:right w:val="single" w:sz="8" w:color="3C5896"/>
            </w:tcBorders>
            <w:shd w:val="clear" w:color="auto" w:fill="3C5896"/>
          </w:tcPr>
          <w:p>
            <w:pPr>
              <w:spacing w:after="0"/>
              <w:rPr>
                <w:sz w:val="16"/>
                <w:szCs w:val="16"/>
                <w:color w:val="auto"/>
              </w:rPr>
            </w:pPr>
          </w:p>
        </w:tc>
      </w:tr>
      <w:tr>
        <w:trPr>
          <w:trHeight w:val="189"/>
        </w:trPr>
        <w:tc>
          <w:tcPr>
            <w:tcW w:w="1920" w:type="dxa"/>
            <w:vAlign w:val="bottom"/>
            <w:tcBorders>
              <w:left w:val="single" w:sz="8" w:color="3C5896"/>
              <w:right w:val="single" w:sz="8" w:color="9EACCA"/>
            </w:tcBorders>
            <w:shd w:val="clear" w:color="auto" w:fill="3C5896"/>
          </w:tcPr>
          <w:p>
            <w:pPr>
              <w:spacing w:after="0"/>
              <w:rPr>
                <w:sz w:val="16"/>
                <w:szCs w:val="16"/>
                <w:color w:val="auto"/>
              </w:rPr>
            </w:pPr>
          </w:p>
        </w:tc>
        <w:tc>
          <w:tcPr>
            <w:tcW w:w="2040" w:type="dxa"/>
            <w:vAlign w:val="bottom"/>
            <w:tcBorders>
              <w:right w:val="single" w:sz="8" w:color="9EACCA"/>
            </w:tcBorders>
            <w:shd w:val="clear" w:color="auto" w:fill="3C5896"/>
          </w:tcPr>
          <w:p>
            <w:pPr>
              <w:spacing w:after="0"/>
              <w:rPr>
                <w:sz w:val="16"/>
                <w:szCs w:val="16"/>
                <w:color w:val="auto"/>
              </w:rPr>
            </w:pPr>
          </w:p>
        </w:tc>
        <w:tc>
          <w:tcPr>
            <w:tcW w:w="15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as a</w:t>
            </w:r>
          </w:p>
        </w:tc>
        <w:tc>
          <w:tcPr>
            <w:tcW w:w="300" w:type="dxa"/>
            <w:vAlign w:val="bottom"/>
            <w:shd w:val="clear" w:color="auto" w:fill="3C5896"/>
          </w:tcPr>
          <w:p>
            <w:pPr>
              <w:spacing w:after="0"/>
              <w:rPr>
                <w:sz w:val="16"/>
                <w:szCs w:val="16"/>
                <w:color w:val="auto"/>
              </w:rPr>
            </w:pPr>
          </w:p>
        </w:tc>
        <w:tc>
          <w:tcPr>
            <w:tcW w:w="800" w:type="dxa"/>
            <w:vAlign w:val="bottom"/>
            <w:tcBorders>
              <w:right w:val="single" w:sz="8" w:color="9EACCA"/>
            </w:tcBorders>
            <w:shd w:val="clear" w:color="auto" w:fill="3C5896"/>
          </w:tcPr>
          <w:p>
            <w:pPr>
              <w:spacing w:after="0"/>
              <w:rPr>
                <w:sz w:val="16"/>
                <w:szCs w:val="16"/>
                <w:color w:val="auto"/>
              </w:rPr>
            </w:pPr>
          </w:p>
        </w:tc>
        <w:tc>
          <w:tcPr>
            <w:tcW w:w="15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Achievement</w:t>
            </w:r>
          </w:p>
        </w:tc>
        <w:tc>
          <w:tcPr>
            <w:tcW w:w="280" w:type="dxa"/>
            <w:vAlign w:val="bottom"/>
            <w:shd w:val="clear" w:color="auto" w:fill="3C5896"/>
          </w:tcPr>
          <w:p>
            <w:pPr>
              <w:spacing w:after="0"/>
              <w:rPr>
                <w:sz w:val="16"/>
                <w:szCs w:val="16"/>
                <w:color w:val="auto"/>
              </w:rPr>
            </w:pPr>
          </w:p>
        </w:tc>
        <w:tc>
          <w:tcPr>
            <w:tcW w:w="800" w:type="dxa"/>
            <w:vAlign w:val="bottom"/>
            <w:tcBorders>
              <w:right w:val="single" w:sz="8" w:color="3C5896"/>
            </w:tcBorders>
            <w:shd w:val="clear" w:color="auto" w:fill="3C5896"/>
          </w:tcPr>
          <w:p>
            <w:pPr>
              <w:spacing w:after="0"/>
              <w:rPr>
                <w:sz w:val="16"/>
                <w:szCs w:val="16"/>
                <w:color w:val="auto"/>
              </w:rPr>
            </w:pPr>
          </w:p>
        </w:tc>
      </w:tr>
      <w:tr>
        <w:trPr>
          <w:trHeight w:val="189"/>
        </w:trPr>
        <w:tc>
          <w:tcPr>
            <w:tcW w:w="1920" w:type="dxa"/>
            <w:vAlign w:val="bottom"/>
            <w:tcBorders>
              <w:left w:val="single" w:sz="8" w:color="3C5896"/>
              <w:right w:val="single" w:sz="8" w:color="9EACCA"/>
            </w:tcBorders>
            <w:shd w:val="clear" w:color="auto" w:fill="3C5896"/>
          </w:tcPr>
          <w:p>
            <w:pPr>
              <w:spacing w:after="0"/>
              <w:rPr>
                <w:sz w:val="16"/>
                <w:szCs w:val="16"/>
                <w:color w:val="auto"/>
              </w:rPr>
            </w:pPr>
          </w:p>
        </w:tc>
        <w:tc>
          <w:tcPr>
            <w:tcW w:w="20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2018</w:t>
            </w:r>
          </w:p>
        </w:tc>
        <w:tc>
          <w:tcPr>
            <w:tcW w:w="15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Percentage</w:t>
            </w:r>
          </w:p>
        </w:tc>
        <w:tc>
          <w:tcPr>
            <w:tcW w:w="300" w:type="dxa"/>
            <w:vAlign w:val="bottom"/>
            <w:shd w:val="clear" w:color="auto" w:fill="3C5896"/>
          </w:tcPr>
          <w:p>
            <w:pPr>
              <w:spacing w:after="0"/>
              <w:rPr>
                <w:sz w:val="16"/>
                <w:szCs w:val="16"/>
                <w:color w:val="auto"/>
              </w:rPr>
            </w:pPr>
          </w:p>
        </w:tc>
        <w:tc>
          <w:tcPr>
            <w:tcW w:w="800" w:type="dxa"/>
            <w:vAlign w:val="bottom"/>
            <w:tcBorders>
              <w:right w:val="single" w:sz="8" w:color="9EACCA"/>
            </w:tcBorders>
            <w:shd w:val="clear" w:color="auto" w:fill="3C5896"/>
          </w:tcPr>
          <w:p>
            <w:pPr>
              <w:spacing w:after="0"/>
              <w:rPr>
                <w:sz w:val="16"/>
                <w:szCs w:val="16"/>
                <w:color w:val="auto"/>
              </w:rPr>
            </w:pPr>
          </w:p>
        </w:tc>
        <w:tc>
          <w:tcPr>
            <w:tcW w:w="15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Factor as a</w:t>
            </w:r>
          </w:p>
        </w:tc>
        <w:tc>
          <w:tcPr>
            <w:tcW w:w="1080" w:type="dxa"/>
            <w:vAlign w:val="bottom"/>
            <w:tcBorders>
              <w:right w:val="single" w:sz="8" w:color="3C5896"/>
            </w:tcBorders>
            <w:gridSpan w:val="2"/>
            <w:shd w:val="clear" w:color="auto" w:fill="3C5896"/>
          </w:tcPr>
          <w:p>
            <w:pPr>
              <w:jc w:val="center"/>
              <w:spacing w:after="0"/>
              <w:rPr>
                <w:sz w:val="20"/>
                <w:szCs w:val="20"/>
                <w:color w:val="auto"/>
              </w:rPr>
            </w:pPr>
            <w:r>
              <w:rPr>
                <w:rFonts w:ascii="Arial" w:cs="Arial" w:eastAsia="Arial" w:hAnsi="Arial"/>
                <w:sz w:val="16"/>
                <w:szCs w:val="16"/>
                <w:b w:val="1"/>
                <w:bCs w:val="1"/>
                <w:color w:val="FFFFFF"/>
              </w:rPr>
              <w:t>Actual</w:t>
            </w:r>
          </w:p>
        </w:tc>
      </w:tr>
      <w:tr>
        <w:trPr>
          <w:trHeight w:val="189"/>
        </w:trPr>
        <w:tc>
          <w:tcPr>
            <w:tcW w:w="1920" w:type="dxa"/>
            <w:vAlign w:val="bottom"/>
            <w:tcBorders>
              <w:left w:val="single" w:sz="8" w:color="3C5896"/>
              <w:right w:val="single" w:sz="8" w:color="9EACCA"/>
            </w:tcBorders>
            <w:shd w:val="clear" w:color="auto" w:fill="3C5896"/>
          </w:tcPr>
          <w:p>
            <w:pPr>
              <w:ind w:left="660"/>
              <w:spacing w:after="0"/>
              <w:rPr>
                <w:sz w:val="20"/>
                <w:szCs w:val="20"/>
                <w:color w:val="auto"/>
              </w:rPr>
            </w:pPr>
            <w:r>
              <w:rPr>
                <w:rFonts w:ascii="Arial" w:cs="Arial" w:eastAsia="Arial" w:hAnsi="Arial"/>
                <w:sz w:val="16"/>
                <w:szCs w:val="16"/>
                <w:b w:val="1"/>
                <w:bCs w:val="1"/>
                <w:color w:val="FFFFFF"/>
              </w:rPr>
              <w:t>Named</w:t>
            </w:r>
          </w:p>
        </w:tc>
        <w:tc>
          <w:tcPr>
            <w:tcW w:w="2040" w:type="dxa"/>
            <w:vAlign w:val="bottom"/>
            <w:tcBorders>
              <w:right w:val="single" w:sz="8" w:color="9EACCA"/>
            </w:tcBorders>
            <w:shd w:val="clear" w:color="auto" w:fill="3C5896"/>
          </w:tcPr>
          <w:p>
            <w:pPr>
              <w:ind w:left="800"/>
              <w:spacing w:after="0"/>
              <w:rPr>
                <w:sz w:val="20"/>
                <w:szCs w:val="20"/>
                <w:color w:val="auto"/>
              </w:rPr>
            </w:pPr>
            <w:r>
              <w:rPr>
                <w:rFonts w:ascii="Arial" w:cs="Arial" w:eastAsia="Arial" w:hAnsi="Arial"/>
                <w:sz w:val="16"/>
                <w:szCs w:val="16"/>
                <w:b w:val="1"/>
                <w:bCs w:val="1"/>
                <w:color w:val="FFFFFF"/>
              </w:rPr>
              <w:t>Base</w:t>
            </w:r>
          </w:p>
        </w:tc>
        <w:tc>
          <w:tcPr>
            <w:tcW w:w="15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of Base</w:t>
            </w:r>
          </w:p>
        </w:tc>
        <w:tc>
          <w:tcPr>
            <w:tcW w:w="1100" w:type="dxa"/>
            <w:vAlign w:val="bottom"/>
            <w:tcBorders>
              <w:right w:val="single" w:sz="8" w:color="9EACCA"/>
            </w:tcBorders>
            <w:gridSpan w:val="2"/>
            <w:shd w:val="clear" w:color="auto" w:fill="3C5896"/>
          </w:tcPr>
          <w:p>
            <w:pPr>
              <w:jc w:val="right"/>
              <w:ind w:right="259"/>
              <w:spacing w:after="0"/>
              <w:rPr>
                <w:sz w:val="20"/>
                <w:szCs w:val="20"/>
                <w:color w:val="auto"/>
              </w:rPr>
            </w:pPr>
            <w:r>
              <w:rPr>
                <w:rFonts w:ascii="Arial" w:cs="Arial" w:eastAsia="Arial" w:hAnsi="Arial"/>
                <w:sz w:val="16"/>
                <w:szCs w:val="16"/>
                <w:b w:val="1"/>
                <w:bCs w:val="1"/>
                <w:color w:val="FFFFFF"/>
              </w:rPr>
              <w:t>Target</w:t>
            </w:r>
          </w:p>
        </w:tc>
        <w:tc>
          <w:tcPr>
            <w:tcW w:w="15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Percentage of</w:t>
            </w:r>
          </w:p>
        </w:tc>
        <w:tc>
          <w:tcPr>
            <w:tcW w:w="280" w:type="dxa"/>
            <w:vAlign w:val="bottom"/>
            <w:shd w:val="clear" w:color="auto" w:fill="3C5896"/>
          </w:tcPr>
          <w:p>
            <w:pPr>
              <w:spacing w:after="0"/>
              <w:rPr>
                <w:sz w:val="16"/>
                <w:szCs w:val="16"/>
                <w:color w:val="auto"/>
              </w:rPr>
            </w:pPr>
          </w:p>
        </w:tc>
        <w:tc>
          <w:tcPr>
            <w:tcW w:w="800" w:type="dxa"/>
            <w:vAlign w:val="bottom"/>
            <w:tcBorders>
              <w:right w:val="single" w:sz="8" w:color="3C5896"/>
            </w:tcBorders>
            <w:shd w:val="clear" w:color="auto" w:fill="3C5896"/>
          </w:tcPr>
          <w:p>
            <w:pPr>
              <w:jc w:val="center"/>
              <w:ind w:right="259"/>
              <w:spacing w:after="0"/>
              <w:rPr>
                <w:sz w:val="20"/>
                <w:szCs w:val="20"/>
                <w:color w:val="auto"/>
              </w:rPr>
            </w:pPr>
            <w:r>
              <w:rPr>
                <w:rFonts w:ascii="Arial" w:cs="Arial" w:eastAsia="Arial" w:hAnsi="Arial"/>
                <w:sz w:val="16"/>
                <w:szCs w:val="16"/>
                <w:b w:val="1"/>
                <w:bCs w:val="1"/>
                <w:color w:val="FFFFFF"/>
              </w:rPr>
              <w:t>MIP</w:t>
            </w:r>
          </w:p>
        </w:tc>
      </w:tr>
      <w:tr>
        <w:trPr>
          <w:trHeight w:val="228"/>
        </w:trPr>
        <w:tc>
          <w:tcPr>
            <w:tcW w:w="1920" w:type="dxa"/>
            <w:vAlign w:val="bottom"/>
            <w:tcBorders>
              <w:left w:val="single" w:sz="8" w:color="3C5896"/>
              <w:bottom w:val="single" w:sz="8" w:color="auto"/>
              <w:right w:val="single" w:sz="8" w:color="9EACCA"/>
            </w:tcBorders>
            <w:shd w:val="clear" w:color="auto" w:fill="3C5896"/>
          </w:tcPr>
          <w:p>
            <w:pPr>
              <w:ind w:left="300"/>
              <w:spacing w:after="0"/>
              <w:rPr>
                <w:sz w:val="20"/>
                <w:szCs w:val="20"/>
                <w:color w:val="auto"/>
              </w:rPr>
            </w:pPr>
            <w:r>
              <w:rPr>
                <w:rFonts w:ascii="Arial" w:cs="Arial" w:eastAsia="Arial" w:hAnsi="Arial"/>
                <w:sz w:val="16"/>
                <w:szCs w:val="16"/>
                <w:b w:val="1"/>
                <w:bCs w:val="1"/>
                <w:color w:val="FFFFFF"/>
              </w:rPr>
              <w:t>Executive Officer</w:t>
            </w:r>
          </w:p>
        </w:tc>
        <w:tc>
          <w:tcPr>
            <w:tcW w:w="204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Salary</w:t>
            </w:r>
          </w:p>
        </w:tc>
        <w:tc>
          <w:tcPr>
            <w:tcW w:w="152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Salary</w:t>
            </w:r>
          </w:p>
        </w:tc>
        <w:tc>
          <w:tcPr>
            <w:tcW w:w="1100" w:type="dxa"/>
            <w:vAlign w:val="bottom"/>
            <w:tcBorders>
              <w:bottom w:val="single" w:sz="8" w:color="auto"/>
              <w:right w:val="single" w:sz="8" w:color="9EACCA"/>
            </w:tcBorders>
            <w:gridSpan w:val="2"/>
            <w:shd w:val="clear" w:color="auto" w:fill="3C5896"/>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154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Target Amount</w:t>
            </w:r>
          </w:p>
        </w:tc>
        <w:tc>
          <w:tcPr>
            <w:tcW w:w="280" w:type="dxa"/>
            <w:vAlign w:val="bottom"/>
            <w:tcBorders>
              <w:bottom w:val="single" w:sz="8" w:color="auto"/>
            </w:tcBorders>
            <w:shd w:val="clear" w:color="auto" w:fill="3C5896"/>
          </w:tcPr>
          <w:p>
            <w:pPr>
              <w:spacing w:after="0"/>
              <w:rPr>
                <w:sz w:val="19"/>
                <w:szCs w:val="19"/>
                <w:color w:val="auto"/>
              </w:rPr>
            </w:pPr>
          </w:p>
        </w:tc>
        <w:tc>
          <w:tcPr>
            <w:tcW w:w="800" w:type="dxa"/>
            <w:vAlign w:val="bottom"/>
            <w:tcBorders>
              <w:bottom w:val="single" w:sz="8" w:color="auto"/>
              <w:right w:val="single" w:sz="8" w:color="3C5896"/>
            </w:tcBorders>
            <w:shd w:val="clear" w:color="auto" w:fill="3C5896"/>
          </w:tcPr>
          <w:p>
            <w:pPr>
              <w:jc w:val="center"/>
              <w:ind w:right="219"/>
              <w:spacing w:after="0"/>
              <w:rPr>
                <w:sz w:val="20"/>
                <w:szCs w:val="20"/>
                <w:color w:val="auto"/>
              </w:rPr>
            </w:pPr>
            <w:r>
              <w:rPr>
                <w:rFonts w:ascii="Arial" w:cs="Arial" w:eastAsia="Arial" w:hAnsi="Arial"/>
                <w:sz w:val="16"/>
                <w:szCs w:val="16"/>
                <w:b w:val="1"/>
                <w:bCs w:val="1"/>
                <w:color w:val="FFFFFF"/>
              </w:rPr>
              <w:t>Award</w:t>
            </w:r>
          </w:p>
        </w:tc>
      </w:tr>
      <w:tr>
        <w:trPr>
          <w:trHeight w:val="240"/>
        </w:trPr>
        <w:tc>
          <w:tcPr>
            <w:tcW w:w="19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6"/>
                <w:szCs w:val="16"/>
                <w:color w:val="auto"/>
              </w:rPr>
              <w:t>L. Reade Fahs</w:t>
            </w:r>
          </w:p>
        </w:tc>
        <w:tc>
          <w:tcPr>
            <w:tcW w:w="20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rPr>
              <w:t>$900,000</w:t>
            </w:r>
          </w:p>
        </w:tc>
        <w:tc>
          <w:tcPr>
            <w:tcW w:w="1520" w:type="dxa"/>
            <w:vAlign w:val="bottom"/>
            <w:tcBorders>
              <w:right w:val="single" w:sz="8" w:color="9EACCA"/>
            </w:tcBorders>
          </w:tcPr>
          <w:p>
            <w:pPr>
              <w:jc w:val="right"/>
              <w:ind w:right="379"/>
              <w:spacing w:after="0"/>
              <w:rPr>
                <w:sz w:val="20"/>
                <w:szCs w:val="20"/>
                <w:color w:val="auto"/>
              </w:rPr>
            </w:pPr>
            <w:r>
              <w:rPr>
                <w:rFonts w:ascii="Arial" w:cs="Arial" w:eastAsia="Arial" w:hAnsi="Arial"/>
                <w:sz w:val="16"/>
                <w:szCs w:val="16"/>
                <w:color w:val="auto"/>
              </w:rPr>
              <w:t>100%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tcPr>
          <w:p>
            <w:pPr>
              <w:jc w:val="right"/>
              <w:ind w:right="139"/>
              <w:spacing w:after="0"/>
              <w:rPr>
                <w:sz w:val="20"/>
                <w:szCs w:val="20"/>
                <w:color w:val="auto"/>
              </w:rPr>
            </w:pPr>
            <w:r>
              <w:rPr>
                <w:rFonts w:ascii="Arial" w:cs="Arial" w:eastAsia="Arial" w:hAnsi="Arial"/>
                <w:sz w:val="16"/>
                <w:szCs w:val="16"/>
                <w:color w:val="auto"/>
                <w:w w:val="96"/>
              </w:rPr>
              <w:t>900,000</w:t>
            </w:r>
          </w:p>
        </w:tc>
        <w:tc>
          <w:tcPr>
            <w:tcW w:w="1540" w:type="dxa"/>
            <w:vAlign w:val="bottom"/>
            <w:tcBorders>
              <w:right w:val="single" w:sz="8" w:color="9EACCA"/>
            </w:tcBorders>
          </w:tcPr>
          <w:p>
            <w:pPr>
              <w:jc w:val="right"/>
              <w:ind w:right="339"/>
              <w:spacing w:after="0"/>
              <w:rPr>
                <w:sz w:val="20"/>
                <w:szCs w:val="20"/>
                <w:color w:val="auto"/>
              </w:rPr>
            </w:pPr>
            <w:r>
              <w:rPr>
                <w:rFonts w:ascii="Arial" w:cs="Arial" w:eastAsia="Arial" w:hAnsi="Arial"/>
                <w:sz w:val="16"/>
                <w:szCs w:val="16"/>
                <w:color w:val="auto"/>
              </w:rPr>
              <w:t>76.52%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3C5896"/>
            </w:tcBorders>
          </w:tcPr>
          <w:p>
            <w:pPr>
              <w:jc w:val="right"/>
              <w:ind w:right="119"/>
              <w:spacing w:after="0"/>
              <w:rPr>
                <w:sz w:val="20"/>
                <w:szCs w:val="20"/>
                <w:color w:val="auto"/>
              </w:rPr>
            </w:pPr>
            <w:r>
              <w:rPr>
                <w:rFonts w:ascii="Arial" w:cs="Arial" w:eastAsia="Arial" w:hAnsi="Arial"/>
                <w:sz w:val="16"/>
                <w:szCs w:val="16"/>
                <w:color w:val="auto"/>
              </w:rPr>
              <w:t>688,635</w:t>
            </w:r>
          </w:p>
        </w:tc>
      </w:tr>
      <w:tr>
        <w:trPr>
          <w:trHeight w:val="246"/>
        </w:trPr>
        <w:tc>
          <w:tcPr>
            <w:tcW w:w="19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6"/>
                <w:szCs w:val="16"/>
                <w:color w:val="auto"/>
              </w:rPr>
              <w:t>Patrick R. Moore</w:t>
            </w:r>
          </w:p>
        </w:tc>
        <w:tc>
          <w:tcPr>
            <w:tcW w:w="20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rPr>
              <w:t>$421,923</w:t>
            </w:r>
          </w:p>
        </w:tc>
        <w:tc>
          <w:tcPr>
            <w:tcW w:w="1520" w:type="dxa"/>
            <w:vAlign w:val="bottom"/>
            <w:tcBorders>
              <w:right w:val="single" w:sz="8" w:color="9EACCA"/>
            </w:tcBorders>
            <w:shd w:val="clear" w:color="auto" w:fill="CCCCCC"/>
          </w:tcPr>
          <w:p>
            <w:pPr>
              <w:jc w:val="right"/>
              <w:ind w:right="379"/>
              <w:spacing w:after="0"/>
              <w:rPr>
                <w:sz w:val="20"/>
                <w:szCs w:val="20"/>
                <w:color w:val="auto"/>
              </w:rPr>
            </w:pPr>
            <w:r>
              <w:rPr>
                <w:rFonts w:ascii="Arial" w:cs="Arial" w:eastAsia="Arial" w:hAnsi="Arial"/>
                <w:sz w:val="16"/>
                <w:szCs w:val="16"/>
                <w:color w:val="auto"/>
              </w:rPr>
              <w:t>50%</w:t>
            </w:r>
          </w:p>
        </w:tc>
        <w:tc>
          <w:tcPr>
            <w:tcW w:w="3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shd w:val="clear" w:color="auto" w:fill="CCCCCC"/>
          </w:tcPr>
          <w:p>
            <w:pPr>
              <w:jc w:val="right"/>
              <w:ind w:right="139"/>
              <w:spacing w:after="0"/>
              <w:rPr>
                <w:sz w:val="20"/>
                <w:szCs w:val="20"/>
                <w:color w:val="auto"/>
              </w:rPr>
            </w:pPr>
            <w:r>
              <w:rPr>
                <w:rFonts w:ascii="Arial" w:cs="Arial" w:eastAsia="Arial" w:hAnsi="Arial"/>
                <w:sz w:val="16"/>
                <w:szCs w:val="16"/>
                <w:color w:val="auto"/>
                <w:w w:val="96"/>
              </w:rPr>
              <w:t>210,962</w:t>
            </w:r>
          </w:p>
        </w:tc>
        <w:tc>
          <w:tcPr>
            <w:tcW w:w="1540" w:type="dxa"/>
            <w:vAlign w:val="bottom"/>
            <w:tcBorders>
              <w:right w:val="single" w:sz="8" w:color="9EACCA"/>
            </w:tcBorders>
            <w:shd w:val="clear" w:color="auto" w:fill="CCCCCC"/>
          </w:tcPr>
          <w:p>
            <w:pPr>
              <w:jc w:val="right"/>
              <w:ind w:right="339"/>
              <w:spacing w:after="0"/>
              <w:rPr>
                <w:sz w:val="20"/>
                <w:szCs w:val="20"/>
                <w:color w:val="auto"/>
              </w:rPr>
            </w:pPr>
            <w:r>
              <w:rPr>
                <w:rFonts w:ascii="Arial" w:cs="Arial" w:eastAsia="Arial" w:hAnsi="Arial"/>
                <w:sz w:val="16"/>
                <w:szCs w:val="16"/>
                <w:color w:val="auto"/>
              </w:rPr>
              <w:t>76.52%</w:t>
            </w:r>
          </w:p>
        </w:tc>
        <w:tc>
          <w:tcPr>
            <w:tcW w:w="2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3C5896"/>
            </w:tcBorders>
            <w:shd w:val="clear" w:color="auto" w:fill="CCCCCC"/>
          </w:tcPr>
          <w:p>
            <w:pPr>
              <w:jc w:val="right"/>
              <w:ind w:right="119"/>
              <w:spacing w:after="0"/>
              <w:rPr>
                <w:sz w:val="20"/>
                <w:szCs w:val="20"/>
                <w:color w:val="auto"/>
              </w:rPr>
            </w:pPr>
            <w:r>
              <w:rPr>
                <w:rFonts w:ascii="Arial" w:cs="Arial" w:eastAsia="Arial" w:hAnsi="Arial"/>
                <w:sz w:val="16"/>
                <w:szCs w:val="16"/>
                <w:color w:val="auto"/>
              </w:rPr>
              <w:t>161,418</w:t>
            </w:r>
          </w:p>
        </w:tc>
      </w:tr>
      <w:tr>
        <w:trPr>
          <w:trHeight w:val="240"/>
        </w:trPr>
        <w:tc>
          <w:tcPr>
            <w:tcW w:w="19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6"/>
                <w:szCs w:val="16"/>
                <w:color w:val="auto"/>
              </w:rPr>
              <w:t>Jeff McAllister</w:t>
            </w:r>
          </w:p>
        </w:tc>
        <w:tc>
          <w:tcPr>
            <w:tcW w:w="20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rPr>
              <w:t>$562,500</w:t>
            </w:r>
          </w:p>
        </w:tc>
        <w:tc>
          <w:tcPr>
            <w:tcW w:w="1520" w:type="dxa"/>
            <w:vAlign w:val="bottom"/>
            <w:tcBorders>
              <w:right w:val="single" w:sz="8" w:color="9EACCA"/>
            </w:tcBorders>
          </w:tcPr>
          <w:p>
            <w:pPr>
              <w:jc w:val="right"/>
              <w:ind w:right="379"/>
              <w:spacing w:after="0"/>
              <w:rPr>
                <w:sz w:val="20"/>
                <w:szCs w:val="20"/>
                <w:color w:val="auto"/>
              </w:rPr>
            </w:pPr>
            <w:r>
              <w:rPr>
                <w:rFonts w:ascii="Arial" w:cs="Arial" w:eastAsia="Arial" w:hAnsi="Arial"/>
                <w:sz w:val="16"/>
                <w:szCs w:val="16"/>
                <w:color w:val="auto"/>
              </w:rPr>
              <w:t>60%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tcPr>
          <w:p>
            <w:pPr>
              <w:jc w:val="right"/>
              <w:ind w:right="139"/>
              <w:spacing w:after="0"/>
              <w:rPr>
                <w:sz w:val="20"/>
                <w:szCs w:val="20"/>
                <w:color w:val="auto"/>
              </w:rPr>
            </w:pPr>
            <w:r>
              <w:rPr>
                <w:rFonts w:ascii="Arial" w:cs="Arial" w:eastAsia="Arial" w:hAnsi="Arial"/>
                <w:sz w:val="16"/>
                <w:szCs w:val="16"/>
                <w:color w:val="auto"/>
                <w:w w:val="96"/>
              </w:rPr>
              <w:t>337,500</w:t>
            </w:r>
          </w:p>
        </w:tc>
        <w:tc>
          <w:tcPr>
            <w:tcW w:w="1540" w:type="dxa"/>
            <w:vAlign w:val="bottom"/>
            <w:tcBorders>
              <w:right w:val="single" w:sz="8" w:color="9EACCA"/>
            </w:tcBorders>
          </w:tcPr>
          <w:p>
            <w:pPr>
              <w:jc w:val="right"/>
              <w:ind w:right="339"/>
              <w:spacing w:after="0"/>
              <w:rPr>
                <w:sz w:val="20"/>
                <w:szCs w:val="20"/>
                <w:color w:val="auto"/>
              </w:rPr>
            </w:pPr>
            <w:r>
              <w:rPr>
                <w:rFonts w:ascii="Arial" w:cs="Arial" w:eastAsia="Arial" w:hAnsi="Arial"/>
                <w:sz w:val="16"/>
                <w:szCs w:val="16"/>
                <w:color w:val="auto"/>
              </w:rPr>
              <w:t>76.52%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3C5896"/>
            </w:tcBorders>
          </w:tcPr>
          <w:p>
            <w:pPr>
              <w:jc w:val="right"/>
              <w:ind w:right="119"/>
              <w:spacing w:after="0"/>
              <w:rPr>
                <w:sz w:val="20"/>
                <w:szCs w:val="20"/>
                <w:color w:val="auto"/>
              </w:rPr>
            </w:pPr>
            <w:r>
              <w:rPr>
                <w:rFonts w:ascii="Arial" w:cs="Arial" w:eastAsia="Arial" w:hAnsi="Arial"/>
                <w:sz w:val="16"/>
                <w:szCs w:val="16"/>
                <w:color w:val="auto"/>
              </w:rPr>
              <w:t>258,238</w:t>
            </w:r>
          </w:p>
        </w:tc>
      </w:tr>
      <w:tr>
        <w:trPr>
          <w:trHeight w:val="246"/>
        </w:trPr>
        <w:tc>
          <w:tcPr>
            <w:tcW w:w="19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6"/>
                <w:szCs w:val="16"/>
                <w:color w:val="auto"/>
              </w:rPr>
              <w:t>Mitchell Goodman</w:t>
            </w:r>
          </w:p>
        </w:tc>
        <w:tc>
          <w:tcPr>
            <w:tcW w:w="20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rPr>
              <w:t>$360,962</w:t>
            </w:r>
          </w:p>
        </w:tc>
        <w:tc>
          <w:tcPr>
            <w:tcW w:w="1520" w:type="dxa"/>
            <w:vAlign w:val="bottom"/>
            <w:tcBorders>
              <w:right w:val="single" w:sz="8" w:color="9EACCA"/>
            </w:tcBorders>
            <w:shd w:val="clear" w:color="auto" w:fill="CCCCCC"/>
          </w:tcPr>
          <w:p>
            <w:pPr>
              <w:jc w:val="right"/>
              <w:ind w:right="379"/>
              <w:spacing w:after="0"/>
              <w:rPr>
                <w:sz w:val="20"/>
                <w:szCs w:val="20"/>
                <w:color w:val="auto"/>
              </w:rPr>
            </w:pPr>
            <w:r>
              <w:rPr>
                <w:rFonts w:ascii="Arial" w:cs="Arial" w:eastAsia="Arial" w:hAnsi="Arial"/>
                <w:sz w:val="16"/>
                <w:szCs w:val="16"/>
                <w:color w:val="auto"/>
              </w:rPr>
              <w:t>50%</w:t>
            </w:r>
          </w:p>
        </w:tc>
        <w:tc>
          <w:tcPr>
            <w:tcW w:w="3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9EACCA"/>
            </w:tcBorders>
            <w:shd w:val="clear" w:color="auto" w:fill="CCCCCC"/>
          </w:tcPr>
          <w:p>
            <w:pPr>
              <w:jc w:val="right"/>
              <w:ind w:right="139"/>
              <w:spacing w:after="0"/>
              <w:rPr>
                <w:sz w:val="20"/>
                <w:szCs w:val="20"/>
                <w:color w:val="auto"/>
              </w:rPr>
            </w:pPr>
            <w:r>
              <w:rPr>
                <w:rFonts w:ascii="Arial" w:cs="Arial" w:eastAsia="Arial" w:hAnsi="Arial"/>
                <w:sz w:val="16"/>
                <w:szCs w:val="16"/>
                <w:color w:val="auto"/>
                <w:w w:val="96"/>
              </w:rPr>
              <w:t>180,481</w:t>
            </w:r>
          </w:p>
        </w:tc>
        <w:tc>
          <w:tcPr>
            <w:tcW w:w="1540" w:type="dxa"/>
            <w:vAlign w:val="bottom"/>
            <w:tcBorders>
              <w:right w:val="single" w:sz="8" w:color="9EACCA"/>
            </w:tcBorders>
            <w:shd w:val="clear" w:color="auto" w:fill="CCCCCC"/>
          </w:tcPr>
          <w:p>
            <w:pPr>
              <w:jc w:val="right"/>
              <w:ind w:right="339"/>
              <w:spacing w:after="0"/>
              <w:rPr>
                <w:sz w:val="20"/>
                <w:szCs w:val="20"/>
                <w:color w:val="auto"/>
              </w:rPr>
            </w:pPr>
            <w:r>
              <w:rPr>
                <w:rFonts w:ascii="Arial" w:cs="Arial" w:eastAsia="Arial" w:hAnsi="Arial"/>
                <w:sz w:val="16"/>
                <w:szCs w:val="16"/>
                <w:color w:val="auto"/>
              </w:rPr>
              <w:t>76.52%</w:t>
            </w:r>
          </w:p>
        </w:tc>
        <w:tc>
          <w:tcPr>
            <w:tcW w:w="2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3C5896"/>
            </w:tcBorders>
            <w:shd w:val="clear" w:color="auto" w:fill="CCCCCC"/>
          </w:tcPr>
          <w:p>
            <w:pPr>
              <w:jc w:val="right"/>
              <w:ind w:right="119"/>
              <w:spacing w:after="0"/>
              <w:rPr>
                <w:sz w:val="20"/>
                <w:szCs w:val="20"/>
                <w:color w:val="auto"/>
              </w:rPr>
            </w:pPr>
            <w:r>
              <w:rPr>
                <w:rFonts w:ascii="Arial" w:cs="Arial" w:eastAsia="Arial" w:hAnsi="Arial"/>
                <w:sz w:val="16"/>
                <w:szCs w:val="16"/>
                <w:color w:val="auto"/>
              </w:rPr>
              <w:t>138,095</w:t>
            </w:r>
          </w:p>
        </w:tc>
      </w:tr>
      <w:tr>
        <w:trPr>
          <w:trHeight w:val="240"/>
        </w:trPr>
        <w:tc>
          <w:tcPr>
            <w:tcW w:w="192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6"/>
                <w:szCs w:val="16"/>
                <w:color w:val="auto"/>
              </w:rPr>
              <w:t>John Vaught</w:t>
            </w:r>
          </w:p>
        </w:tc>
        <w:tc>
          <w:tcPr>
            <w:tcW w:w="2040" w:type="dxa"/>
            <w:vAlign w:val="bottom"/>
            <w:tcBorders>
              <w:bottom w:val="single" w:sz="8" w:color="3C5896"/>
              <w:right w:val="single" w:sz="8" w:color="9EACCA"/>
            </w:tcBorders>
          </w:tcPr>
          <w:p>
            <w:pPr>
              <w:jc w:val="center"/>
              <w:spacing w:after="0"/>
              <w:rPr>
                <w:sz w:val="20"/>
                <w:szCs w:val="20"/>
                <w:color w:val="auto"/>
              </w:rPr>
            </w:pPr>
            <w:r>
              <w:rPr>
                <w:rFonts w:ascii="Arial" w:cs="Arial" w:eastAsia="Arial" w:hAnsi="Arial"/>
                <w:sz w:val="16"/>
                <w:szCs w:val="16"/>
                <w:color w:val="auto"/>
              </w:rPr>
              <w:t>$300,423</w:t>
            </w:r>
          </w:p>
        </w:tc>
        <w:tc>
          <w:tcPr>
            <w:tcW w:w="1520" w:type="dxa"/>
            <w:vAlign w:val="bottom"/>
            <w:tcBorders>
              <w:bottom w:val="single" w:sz="8" w:color="3C5896"/>
              <w:right w:val="single" w:sz="8" w:color="9EACCA"/>
            </w:tcBorders>
          </w:tcPr>
          <w:p>
            <w:pPr>
              <w:jc w:val="right"/>
              <w:ind w:right="379"/>
              <w:spacing w:after="0"/>
              <w:rPr>
                <w:sz w:val="20"/>
                <w:szCs w:val="20"/>
                <w:color w:val="auto"/>
              </w:rPr>
            </w:pPr>
            <w:r>
              <w:rPr>
                <w:rFonts w:ascii="Arial" w:cs="Arial" w:eastAsia="Arial" w:hAnsi="Arial"/>
                <w:sz w:val="16"/>
                <w:szCs w:val="16"/>
                <w:color w:val="auto"/>
              </w:rPr>
              <w:t>32.5%</w:t>
            </w:r>
          </w:p>
        </w:tc>
        <w:tc>
          <w:tcPr>
            <w:tcW w:w="300" w:type="dxa"/>
            <w:vAlign w:val="bottom"/>
            <w:tcBorders>
              <w:bottom w:val="single" w:sz="8" w:color="3C5896"/>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3C5896"/>
              <w:right w:val="single" w:sz="8" w:color="9EACCA"/>
            </w:tcBorders>
          </w:tcPr>
          <w:p>
            <w:pPr>
              <w:jc w:val="right"/>
              <w:ind w:right="139"/>
              <w:spacing w:after="0"/>
              <w:rPr>
                <w:sz w:val="20"/>
                <w:szCs w:val="20"/>
                <w:color w:val="auto"/>
              </w:rPr>
            </w:pPr>
            <w:r>
              <w:rPr>
                <w:rFonts w:ascii="Arial" w:cs="Arial" w:eastAsia="Arial" w:hAnsi="Arial"/>
                <w:sz w:val="16"/>
                <w:szCs w:val="16"/>
                <w:color w:val="auto"/>
              </w:rPr>
              <w:t>97,637</w:t>
            </w:r>
          </w:p>
        </w:tc>
        <w:tc>
          <w:tcPr>
            <w:tcW w:w="1540" w:type="dxa"/>
            <w:vAlign w:val="bottom"/>
            <w:tcBorders>
              <w:bottom w:val="single" w:sz="8" w:color="3C5896"/>
              <w:right w:val="single" w:sz="8" w:color="9EACCA"/>
            </w:tcBorders>
          </w:tcPr>
          <w:p>
            <w:pPr>
              <w:jc w:val="right"/>
              <w:ind w:right="339"/>
              <w:spacing w:after="0"/>
              <w:rPr>
                <w:sz w:val="20"/>
                <w:szCs w:val="20"/>
                <w:color w:val="auto"/>
              </w:rPr>
            </w:pPr>
            <w:r>
              <w:rPr>
                <w:rFonts w:ascii="Arial" w:cs="Arial" w:eastAsia="Arial" w:hAnsi="Arial"/>
                <w:sz w:val="16"/>
                <w:szCs w:val="16"/>
                <w:color w:val="auto"/>
              </w:rPr>
              <w:t>76.52%</w:t>
            </w:r>
          </w:p>
        </w:tc>
        <w:tc>
          <w:tcPr>
            <w:tcW w:w="280" w:type="dxa"/>
            <w:vAlign w:val="bottom"/>
            <w:tcBorders>
              <w:bottom w:val="single" w:sz="8" w:color="3C5896"/>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3C5896"/>
              <w:right w:val="single" w:sz="8" w:color="3C5896"/>
            </w:tcBorders>
          </w:tcPr>
          <w:p>
            <w:pPr>
              <w:jc w:val="right"/>
              <w:ind w:right="119"/>
              <w:spacing w:after="0"/>
              <w:rPr>
                <w:sz w:val="20"/>
                <w:szCs w:val="20"/>
                <w:color w:val="auto"/>
              </w:rPr>
            </w:pPr>
            <w:r>
              <w:rPr>
                <w:rFonts w:ascii="Arial" w:cs="Arial" w:eastAsia="Arial" w:hAnsi="Arial"/>
                <w:sz w:val="16"/>
                <w:szCs w:val="16"/>
                <w:color w:val="auto"/>
              </w:rPr>
              <w:t>74,707</w:t>
            </w:r>
          </w:p>
        </w:tc>
      </w:tr>
    </w:tbl>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3C5896"/>
        </w:rPr>
        <w:t>2019 Annual Incentive Plan</w:t>
      </w:r>
    </w:p>
    <w:p>
      <w:pPr>
        <w:spacing w:after="0" w:line="139" w:lineRule="exact"/>
        <w:rPr>
          <w:sz w:val="20"/>
          <w:szCs w:val="20"/>
          <w:color w:val="auto"/>
        </w:rPr>
      </w:pPr>
    </w:p>
    <w:p>
      <w:pPr>
        <w:ind w:left="760" w:right="359"/>
        <w:spacing w:after="0" w:line="252" w:lineRule="auto"/>
        <w:rPr>
          <w:sz w:val="20"/>
          <w:szCs w:val="20"/>
          <w:color w:val="auto"/>
        </w:rPr>
      </w:pPr>
      <w:r>
        <w:rPr>
          <w:rFonts w:ascii="Arial" w:cs="Arial" w:eastAsia="Arial" w:hAnsi="Arial"/>
          <w:sz w:val="18"/>
          <w:szCs w:val="18"/>
          <w:color w:val="auto"/>
        </w:rPr>
        <w:t>In February 2019, the compensation committee approved updates to the MIP effective for our 2019 fiscal year. Beginning in 2019, the target annual bonus tier structure has been simplified to a threshold, target and maximum percentage of base salary. Each NEO’s annual cash incentive award opportunity is based on pre-established performance objectives, which are approved by our compensation committee. The payout for the 2019 performance period, which is our 2019 fiscal year, will be determined based on achievement of a pre-established Adjusted EBITDA target, which composes 100% of the total award opportunity.</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Long-Term Incentive Awards</w:t>
      </w:r>
    </w:p>
    <w:p>
      <w:pPr>
        <w:spacing w:after="0" w:line="139" w:lineRule="exact"/>
        <w:rPr>
          <w:sz w:val="20"/>
          <w:szCs w:val="20"/>
          <w:color w:val="auto"/>
        </w:rPr>
      </w:pPr>
    </w:p>
    <w:p>
      <w:pPr>
        <w:ind w:left="760" w:right="519"/>
        <w:spacing w:after="0" w:line="253" w:lineRule="auto"/>
        <w:rPr>
          <w:sz w:val="20"/>
          <w:szCs w:val="20"/>
          <w:color w:val="auto"/>
        </w:rPr>
      </w:pPr>
      <w:r>
        <w:rPr>
          <w:rFonts w:ascii="Arial" w:cs="Arial" w:eastAsia="Arial" w:hAnsi="Arial"/>
          <w:sz w:val="18"/>
          <w:szCs w:val="18"/>
          <w:color w:val="auto"/>
        </w:rPr>
        <w:t>In connection with our IPO, our Board of Directors adopted, and our stockholders approved, the National Vision Holdings, Inc. 2017 Omnibus Incentive Plan (the “2017 Omnibus Incentive Plan”). The purpose of our 2017 Omnibus Incentive Plan is to provide a means through which to attract and retain key personnel and to provide a means whereby our directors, officers, employees, consultants and advisors can acquire and maintain an equity interest in</w:t>
      </w:r>
    </w:p>
    <w:p>
      <w:pPr>
        <w:spacing w:after="0" w:line="3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18  </w:t>
      </w:r>
      <w:r>
        <w:rPr>
          <w:sz w:val="1"/>
          <w:szCs w:val="1"/>
          <w:color w:val="auto"/>
        </w:rPr>
        <w:drawing>
          <wp:inline distT="0" distB="0" distL="0" distR="0">
            <wp:extent cx="291465" cy="23177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1465" cy="23177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FFFFFF"/>
        </w:rPr>
        <w:t>EXECUTIVE COMPENSATION</w:t>
      </w:r>
    </w:p>
    <w:p>
      <w:pPr>
        <w:spacing w:after="0" w:line="261" w:lineRule="exact"/>
        <w:rPr>
          <w:sz w:val="20"/>
          <w:szCs w:val="20"/>
          <w:color w:val="auto"/>
        </w:rPr>
      </w:pPr>
    </w:p>
    <w:p>
      <w:pPr>
        <w:jc w:val="both"/>
        <w:ind w:left="760" w:right="820"/>
        <w:spacing w:after="0" w:line="256" w:lineRule="auto"/>
        <w:rPr>
          <w:sz w:val="20"/>
          <w:szCs w:val="20"/>
          <w:color w:val="auto"/>
        </w:rPr>
      </w:pPr>
      <w:r>
        <w:rPr>
          <w:rFonts w:ascii="Arial" w:cs="Arial" w:eastAsia="Arial" w:hAnsi="Arial"/>
          <w:sz w:val="18"/>
          <w:szCs w:val="18"/>
          <w:color w:val="auto"/>
        </w:rPr>
        <w:t>us, or be paid incentive compensation, including incentive compensation measured by reference to the value of our common stock, thereby strengthening their commitment to our welfare and aligning their interests with those of our stockholders.</w:t>
      </w:r>
    </w:p>
    <w:p>
      <w:pPr>
        <w:spacing w:after="0" w:line="94" w:lineRule="exact"/>
        <w:rPr>
          <w:sz w:val="20"/>
          <w:szCs w:val="20"/>
          <w:color w:val="auto"/>
        </w:rPr>
      </w:pPr>
    </w:p>
    <w:p>
      <w:pPr>
        <w:ind w:left="760" w:right="940"/>
        <w:spacing w:after="0" w:line="256" w:lineRule="auto"/>
        <w:rPr>
          <w:sz w:val="20"/>
          <w:szCs w:val="20"/>
          <w:color w:val="auto"/>
        </w:rPr>
      </w:pPr>
      <w:r>
        <w:rPr>
          <w:rFonts w:ascii="Arial" w:cs="Arial" w:eastAsia="Arial" w:hAnsi="Arial"/>
          <w:sz w:val="18"/>
          <w:szCs w:val="18"/>
          <w:color w:val="auto"/>
        </w:rPr>
        <w:t>In 2014, our Board of Directors and stockholders of the Company approved the 2014 Stock Incentive Plan for Key Employees of Nautilus Parent, Inc. and its Subsidiaries (the “2014 Stock Incentive Plan,” and together with the 2017 Omnibus Incentive Plan, the “Equity Incentive Plans”).</w:t>
      </w:r>
    </w:p>
    <w:p>
      <w:pPr>
        <w:spacing w:after="0" w:line="94" w:lineRule="exact"/>
        <w:rPr>
          <w:sz w:val="20"/>
          <w:szCs w:val="20"/>
          <w:color w:val="auto"/>
        </w:rPr>
      </w:pPr>
    </w:p>
    <w:p>
      <w:pPr>
        <w:ind w:left="760" w:right="780"/>
        <w:spacing w:after="0" w:line="254" w:lineRule="auto"/>
        <w:rPr>
          <w:sz w:val="20"/>
          <w:szCs w:val="20"/>
          <w:color w:val="auto"/>
        </w:rPr>
      </w:pPr>
      <w:r>
        <w:rPr>
          <w:rFonts w:ascii="Arial" w:cs="Arial" w:eastAsia="Arial" w:hAnsi="Arial"/>
          <w:sz w:val="18"/>
          <w:szCs w:val="18"/>
          <w:color w:val="auto"/>
        </w:rPr>
        <w:t>Our NEOs did not receive any long-term incentive awards in 2018. As of December 29, 2018, only stock options have been granted to any of the NEOs under our Equity Incentive Plans. See “—Narrative to Summary Compensation Table and 2018 Grants of Plan-Based Awards” for the material terms of other option awards made in past fiscal years to our NEOs.</w:t>
      </w:r>
    </w:p>
    <w:p>
      <w:pPr>
        <w:spacing w:after="0" w:line="78" w:lineRule="exact"/>
        <w:rPr>
          <w:sz w:val="20"/>
          <w:szCs w:val="20"/>
          <w:color w:val="auto"/>
        </w:rPr>
      </w:pPr>
    </w:p>
    <w:p>
      <w:pPr>
        <w:ind w:left="760" w:right="880"/>
        <w:spacing w:after="0" w:line="257" w:lineRule="auto"/>
        <w:rPr>
          <w:sz w:val="20"/>
          <w:szCs w:val="20"/>
          <w:color w:val="auto"/>
        </w:rPr>
      </w:pPr>
      <w:r>
        <w:rPr>
          <w:rFonts w:ascii="Arial" w:cs="Arial" w:eastAsia="Arial" w:hAnsi="Arial"/>
          <w:sz w:val="18"/>
          <w:szCs w:val="18"/>
          <w:i w:val="1"/>
          <w:iCs w:val="1"/>
          <w:color w:val="auto"/>
        </w:rPr>
        <w:t xml:space="preserve">Changes to Long-Term Incentive Awards in 2019. </w:t>
      </w:r>
      <w:r>
        <w:rPr>
          <w:rFonts w:ascii="Arial" w:cs="Arial" w:eastAsia="Arial" w:hAnsi="Arial"/>
          <w:sz w:val="18"/>
          <w:szCs w:val="18"/>
          <w:color w:val="auto"/>
        </w:rPr>
        <w:t>In February 2019, following an evaluation, with the assistance of</w:t>
      </w:r>
      <w:r>
        <w:rPr>
          <w:rFonts w:ascii="Arial" w:cs="Arial" w:eastAsia="Arial" w:hAnsi="Arial"/>
          <w:sz w:val="18"/>
          <w:szCs w:val="18"/>
          <w:i w:val="1"/>
          <w:iCs w:val="1"/>
          <w:color w:val="auto"/>
        </w:rPr>
        <w:t xml:space="preserve"> </w:t>
      </w:r>
      <w:r>
        <w:rPr>
          <w:rFonts w:ascii="Arial" w:cs="Arial" w:eastAsia="Arial" w:hAnsi="Arial"/>
          <w:sz w:val="18"/>
          <w:szCs w:val="18"/>
          <w:color w:val="auto"/>
        </w:rPr>
        <w:t>Meridian, of the equity-based incentives for our executive officers, the compensation committee adopted a new long-term incentive program and granted to each of our NEOs (other than Mr. McAllister and Mr. Goodman) the following awards under the 2017 Omnibus Incentive Plan as part of our annual compensation cycle: (1) time-vesting stock options (50% of the total target value of the fiscal 2019 awards) and (2) performance-vesting restricted stock units (“PSUs”) (50% of the total target value of the fiscal 2019 awards).</w:t>
      </w:r>
    </w:p>
    <w:p>
      <w:pPr>
        <w:spacing w:after="0" w:line="75" w:lineRule="exact"/>
        <w:rPr>
          <w:sz w:val="20"/>
          <w:szCs w:val="20"/>
          <w:color w:val="auto"/>
        </w:rPr>
      </w:pPr>
    </w:p>
    <w:p>
      <w:pPr>
        <w:ind w:left="1080" w:right="880"/>
        <w:spacing w:after="0" w:line="266"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options granted in fiscal 2019 vest in three equal annual installments, with one-third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underlying the options vesting on each of the first, second, and third anniversary of March 1, 2019, subject to the executive’s continued employment through the applicable vesting date.</w:t>
      </w:r>
    </w:p>
    <w:p>
      <w:pPr>
        <w:spacing w:after="0" w:line="68" w:lineRule="exact"/>
        <w:rPr>
          <w:sz w:val="20"/>
          <w:szCs w:val="20"/>
          <w:color w:val="auto"/>
        </w:rPr>
      </w:pPr>
    </w:p>
    <w:p>
      <w:pPr>
        <w:ind w:left="1080" w:right="800"/>
        <w:spacing w:after="0" w:line="255" w:lineRule="auto"/>
        <w:rPr>
          <w:sz w:val="20"/>
          <w:szCs w:val="20"/>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The PSUs granted in fiscal 2019 are settled after the end of the performance period, which begins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day of our 2019 fiscal year and ends on the last day of our 2021 fiscal year, based on the Company’s achievement of certain Adjusted EBITDA growth targets, as set forth in the PSU award agreement. The actual value of the PSUs that become vested based on the performance measure (Adjusted EBITDA growth) is based on an achievement factor which, in each case, ranges from a 50% payout for threshold performance, to 100% for target performance, to 200% for maximum performance. To the extent that performance falls between the applicable threshold, target or maximum levels, payouts will be determined using linear interpolation.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39" w:lineRule="exact"/>
        <w:rPr>
          <w:sz w:val="20"/>
          <w:szCs w:val="20"/>
          <w:color w:val="auto"/>
        </w:rPr>
      </w:pPr>
    </w:p>
    <w:p>
      <w:pPr>
        <w:jc w:val="both"/>
        <w:ind w:left="760" w:right="880"/>
        <w:spacing w:after="0" w:line="256" w:lineRule="auto"/>
        <w:rPr>
          <w:sz w:val="20"/>
          <w:szCs w:val="20"/>
          <w:color w:val="auto"/>
        </w:rPr>
      </w:pPr>
      <w:r>
        <w:rPr>
          <w:rFonts w:ascii="Arial" w:cs="Arial" w:eastAsia="Arial" w:hAnsi="Arial"/>
          <w:sz w:val="18"/>
          <w:szCs w:val="18"/>
          <w:color w:val="auto"/>
        </w:rPr>
        <w:t>Our associates, including the NEOs, are eligible for specified benefits, such as group health, dental, disability and life insurance. These benefits are intended to provide competitive and adequate protection in case of sickness and the NEOs participate in these plans on the same basis as all other associates.</w:t>
      </w:r>
    </w:p>
    <w:p>
      <w:pPr>
        <w:spacing w:after="0" w:line="94" w:lineRule="exact"/>
        <w:rPr>
          <w:sz w:val="20"/>
          <w:szCs w:val="20"/>
          <w:color w:val="auto"/>
        </w:rPr>
      </w:pPr>
    </w:p>
    <w:p>
      <w:pPr>
        <w:ind w:left="760" w:right="920"/>
        <w:spacing w:after="0" w:line="252" w:lineRule="auto"/>
        <w:rPr>
          <w:sz w:val="20"/>
          <w:szCs w:val="20"/>
          <w:color w:val="auto"/>
        </w:rPr>
      </w:pPr>
      <w:r>
        <w:rPr>
          <w:rFonts w:ascii="Arial" w:cs="Arial" w:eastAsia="Arial" w:hAnsi="Arial"/>
          <w:sz w:val="18"/>
          <w:szCs w:val="18"/>
          <w:color w:val="auto"/>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These perquisites are intended to enable us to attract and retain highly qualified employees for key positions and are believed to be reasonable and consistent with our overall compensation program. The value of these perquisites and other personal benefits are reflected in the “All Other Compensation” column to the “Summary Compensation Table” and the accompanying footnotes below.</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39" w:lineRule="exact"/>
        <w:rPr>
          <w:sz w:val="20"/>
          <w:szCs w:val="20"/>
          <w:color w:val="auto"/>
        </w:rPr>
      </w:pPr>
    </w:p>
    <w:p>
      <w:pPr>
        <w:ind w:left="760" w:right="860"/>
        <w:spacing w:after="0" w:line="253" w:lineRule="auto"/>
        <w:rPr>
          <w:sz w:val="20"/>
          <w:szCs w:val="20"/>
          <w:color w:val="auto"/>
        </w:rPr>
      </w:pPr>
      <w:r>
        <w:rPr>
          <w:rFonts w:ascii="Arial" w:cs="Arial" w:eastAsia="Arial" w:hAnsi="Arial"/>
          <w:sz w:val="18"/>
          <w:szCs w:val="18"/>
          <w:color w:val="auto"/>
        </w:rPr>
        <w:t>Our eligible U.S. employees, including our NEOs, participate in the National Vision, Inc. 401(k) Retirement Savings Plan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39" w:lineRule="exact"/>
        <w:rPr>
          <w:sz w:val="20"/>
          <w:szCs w:val="20"/>
          <w:color w:val="auto"/>
        </w:rPr>
      </w:pPr>
    </w:p>
    <w:p>
      <w:pPr>
        <w:ind w:left="760" w:right="820"/>
        <w:spacing w:after="0" w:line="252" w:lineRule="auto"/>
        <w:rPr>
          <w:sz w:val="20"/>
          <w:szCs w:val="20"/>
          <w:color w:val="auto"/>
        </w:rPr>
      </w:pPr>
      <w:r>
        <w:rPr>
          <w:rFonts w:ascii="Arial" w:cs="Arial" w:eastAsia="Arial" w:hAnsi="Arial"/>
          <w:sz w:val="18"/>
          <w:szCs w:val="18"/>
          <w:color w:val="auto"/>
        </w:rPr>
        <w:t>The Company provides severance benefits to its executives in order to offer competitive total compensation packages and to be competitive in the Company’s executive attraction and retention efforts. On December 11, 2018, the Board of Directors adopted and approved the National Vision Holdings, Inc. Executive Severance Plan (the “Executive Severance Plan”), which replaced our prior severance plan for associates eligible for the Executive Severance Plan (as well as any supplements to that plan in which our NEOs were previously eligible to participate).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46990</wp:posOffset>
            </wp:positionV>
            <wp:extent cx="291465"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19</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261" w:lineRule="exact"/>
        <w:rPr>
          <w:sz w:val="20"/>
          <w:szCs w:val="20"/>
          <w:color w:val="auto"/>
        </w:rPr>
      </w:pPr>
    </w:p>
    <w:p>
      <w:pPr>
        <w:ind w:left="760" w:right="339"/>
        <w:spacing w:after="0" w:line="252" w:lineRule="auto"/>
        <w:rPr>
          <w:sz w:val="20"/>
          <w:szCs w:val="20"/>
          <w:color w:val="auto"/>
        </w:rPr>
      </w:pPr>
      <w:r>
        <w:rPr>
          <w:rFonts w:ascii="Arial" w:cs="Arial" w:eastAsia="Arial" w:hAnsi="Arial"/>
          <w:sz w:val="18"/>
          <w:szCs w:val="18"/>
          <w:color w:val="auto"/>
        </w:rPr>
        <w:t>Severance Plan provides for severance payments and benefits to eligible executives, including our NEOs, upon a termination of employment by the Company without cause or by the executive for good reason (each as defined in the Executive Severance Plan), in each case, subject to the (i) executive’s execution and non-revocation of a release of claims in favor of the Company and (ii) continued compliance with the executive’s confidentiality, non-interference and invention assignment obligations to the Company. See “Potential Payments upon Termination or Change in Control,” which describes the payments to which each of the NEOs may be entitled under the Executive Severance Plan.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Stock Ownership and Retention Policy</w:t>
      </w:r>
    </w:p>
    <w:p>
      <w:pPr>
        <w:spacing w:after="0" w:line="139" w:lineRule="exact"/>
        <w:rPr>
          <w:sz w:val="20"/>
          <w:szCs w:val="20"/>
          <w:color w:val="auto"/>
        </w:rPr>
      </w:pPr>
    </w:p>
    <w:p>
      <w:pPr>
        <w:ind w:left="760" w:right="299"/>
        <w:spacing w:after="0" w:line="253" w:lineRule="auto"/>
        <w:rPr>
          <w:sz w:val="20"/>
          <w:szCs w:val="20"/>
          <w:color w:val="auto"/>
        </w:rPr>
      </w:pPr>
      <w:r>
        <w:rPr>
          <w:rFonts w:ascii="Arial" w:cs="Arial" w:eastAsia="Arial" w:hAnsi="Arial"/>
          <w:sz w:val="18"/>
          <w:szCs w:val="18"/>
          <w:color w:val="auto"/>
        </w:rPr>
        <w:t>To align the interests of our management and directors with those of our stockholders, in February 2019, the Board of Directors adopted stock ownership guidelines (the “Guidelines”) applicable to our executive officers and directors who are not members of management and who are not affiliated with KKR and Berkshire (the “Covered Directors”). Such executive officers and directors will be required to hold a specific level of equity ownership, as a multiple of annual base salary or annual cash retainer, as applicable, as follows:</w:t>
      </w:r>
    </w:p>
    <w:p>
      <w:pPr>
        <w:spacing w:after="0" w:line="70" w:lineRule="exact"/>
        <w:rPr>
          <w:sz w:val="20"/>
          <w:szCs w:val="20"/>
          <w:color w:val="auto"/>
        </w:rPr>
      </w:pPr>
    </w:p>
    <w:p>
      <w:pPr>
        <w:ind w:left="1140" w:hanging="214"/>
        <w:spacing w:after="0"/>
        <w:tabs>
          <w:tab w:leader="none" w:pos="114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Chief Executive Officer: 6x annual base salary.</w:t>
      </w:r>
    </w:p>
    <w:p>
      <w:pPr>
        <w:spacing w:after="0" w:line="103" w:lineRule="exact"/>
        <w:rPr>
          <w:rFonts w:ascii="Arial" w:cs="Arial" w:eastAsia="Arial" w:hAnsi="Arial"/>
          <w:sz w:val="18"/>
          <w:szCs w:val="18"/>
          <w:color w:val="3C5896"/>
        </w:rPr>
      </w:pPr>
    </w:p>
    <w:p>
      <w:pPr>
        <w:ind w:left="1140" w:hanging="214"/>
        <w:spacing w:after="0"/>
        <w:tabs>
          <w:tab w:leader="none" w:pos="114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Other Executive Officers: 3x annual base salary.</w:t>
      </w:r>
    </w:p>
    <w:p>
      <w:pPr>
        <w:spacing w:after="0" w:line="103" w:lineRule="exact"/>
        <w:rPr>
          <w:rFonts w:ascii="Arial" w:cs="Arial" w:eastAsia="Arial" w:hAnsi="Arial"/>
          <w:sz w:val="18"/>
          <w:szCs w:val="18"/>
          <w:color w:val="3C5896"/>
        </w:rPr>
      </w:pPr>
    </w:p>
    <w:p>
      <w:pPr>
        <w:ind w:left="1140" w:hanging="214"/>
        <w:spacing w:after="0"/>
        <w:tabs>
          <w:tab w:leader="none" w:pos="114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Covered Directors: 5x annual cash retainer.</w:t>
      </w:r>
    </w:p>
    <w:p>
      <w:pPr>
        <w:spacing w:after="0" w:line="117" w:lineRule="exact"/>
        <w:rPr>
          <w:sz w:val="20"/>
          <w:szCs w:val="20"/>
          <w:color w:val="auto"/>
        </w:rPr>
      </w:pPr>
    </w:p>
    <w:p>
      <w:pPr>
        <w:jc w:val="both"/>
        <w:ind w:left="760" w:right="539"/>
        <w:spacing w:after="0" w:line="256" w:lineRule="auto"/>
        <w:rPr>
          <w:sz w:val="20"/>
          <w:szCs w:val="20"/>
          <w:color w:val="auto"/>
        </w:rPr>
      </w:pPr>
      <w:r>
        <w:rPr>
          <w:rFonts w:ascii="Arial" w:cs="Arial" w:eastAsia="Arial" w:hAnsi="Arial"/>
          <w:sz w:val="18"/>
          <w:szCs w:val="18"/>
          <w:color w:val="auto"/>
        </w:rPr>
        <w:t>There is no required time period within which an executive officer or Covered Director must attain the applicable stock ownership level under the Guidelines. However, until the applicable ownership level is achieved, executive officers and Covered Directors must retain 50% of net shares granted to them.</w:t>
      </w:r>
    </w:p>
    <w:p>
      <w:pPr>
        <w:spacing w:after="0" w:line="94" w:lineRule="exact"/>
        <w:rPr>
          <w:sz w:val="20"/>
          <w:szCs w:val="20"/>
          <w:color w:val="auto"/>
        </w:rPr>
      </w:pPr>
    </w:p>
    <w:p>
      <w:pPr>
        <w:ind w:left="760" w:right="299"/>
        <w:spacing w:after="0" w:line="254" w:lineRule="auto"/>
        <w:rPr>
          <w:sz w:val="20"/>
          <w:szCs w:val="20"/>
          <w:color w:val="auto"/>
        </w:rPr>
      </w:pPr>
      <w:r>
        <w:rPr>
          <w:rFonts w:ascii="Arial" w:cs="Arial" w:eastAsia="Arial" w:hAnsi="Arial"/>
          <w:sz w:val="18"/>
          <w:szCs w:val="18"/>
          <w:color w:val="auto"/>
        </w:rPr>
        <w:t>The shares counted toward these ownership requirements includes shares owned outright, shares held in the Company’s 401(k) or other retirement plan, shares of time-based restricted stock (whether vested or unvested) and vested stock options issued prior to the Company’s initial public offering. The retention requirement applies to all prior and future grants.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Hedging and Pledging Policies</w:t>
      </w:r>
    </w:p>
    <w:p>
      <w:pPr>
        <w:spacing w:after="0" w:line="139" w:lineRule="exact"/>
        <w:rPr>
          <w:sz w:val="20"/>
          <w:szCs w:val="20"/>
          <w:color w:val="auto"/>
        </w:rPr>
      </w:pPr>
    </w:p>
    <w:p>
      <w:pPr>
        <w:ind w:left="760" w:right="379"/>
        <w:spacing w:after="0" w:line="251" w:lineRule="auto"/>
        <w:rPr>
          <w:sz w:val="20"/>
          <w:szCs w:val="20"/>
          <w:color w:val="auto"/>
        </w:rPr>
      </w:pPr>
      <w:r>
        <w:rPr>
          <w:rFonts w:ascii="Arial" w:cs="Arial" w:eastAsia="Arial" w:hAnsi="Arial"/>
          <w:sz w:val="18"/>
          <w:szCs w:val="18"/>
          <w:color w:val="auto"/>
        </w:rPr>
        <w:t>The Company’s Securities Trading Policy requires executive officers and directors to consult the Company’s General Counsel prior to engaging in transactions involving the Company’s securities. Directors and executive officers are prohibited from hedging or monetization transactions including, but not limited to, through the use of financial instruments such as variable forward contracts, equity swaps, collars and exchange funds or from trading in options, warrants, puts and calls or similar instruments on the Company’s securities or establishing a short position in the Company’s securities. The Company’s Securities Trading Policy discourages employees from purchasing the Company’s securities on margin, or borrowing against any account in which the Company’s securities are held, or pledging the Company’s securities as collateral for a loan. For directors and officers, the pledging of Company securities is limited to those situations approved by the Company’s General Counsel.</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Risk Assessment</w:t>
      </w:r>
    </w:p>
    <w:p>
      <w:pPr>
        <w:spacing w:after="0" w:line="139" w:lineRule="exact"/>
        <w:rPr>
          <w:sz w:val="20"/>
          <w:szCs w:val="20"/>
          <w:color w:val="auto"/>
        </w:rPr>
      </w:pPr>
    </w:p>
    <w:p>
      <w:pPr>
        <w:ind w:left="760" w:right="499"/>
        <w:spacing w:after="0" w:line="254" w:lineRule="auto"/>
        <w:rPr>
          <w:sz w:val="20"/>
          <w:szCs w:val="20"/>
          <w:color w:val="auto"/>
        </w:rPr>
      </w:pPr>
      <w:r>
        <w:rPr>
          <w:rFonts w:ascii="Arial" w:cs="Arial" w:eastAsia="Arial" w:hAnsi="Arial"/>
          <w:sz w:val="18"/>
          <w:szCs w:val="18"/>
          <w:color w:val="auto"/>
        </w:rPr>
        <w:t>The Compensation Committee, with the assistance of Meridian, reviewed our incentive programs to assess whether the program encourages risks and confirmed that our executives are not incented to focus on short-term stock performance or take excessive risk in managing the business that are reasonably likely to have a material adverse effect on the Company.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and Accounting Considerations</w:t>
      </w:r>
    </w:p>
    <w:p>
      <w:pPr>
        <w:spacing w:after="0" w:line="139" w:lineRule="exact"/>
        <w:rPr>
          <w:sz w:val="20"/>
          <w:szCs w:val="20"/>
          <w:color w:val="auto"/>
        </w:rPr>
      </w:pPr>
    </w:p>
    <w:p>
      <w:pPr>
        <w:ind w:left="760" w:right="359"/>
        <w:spacing w:after="0" w:line="254"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96" w:lineRule="exact"/>
        <w:rPr>
          <w:sz w:val="20"/>
          <w:szCs w:val="20"/>
          <w:color w:val="auto"/>
        </w:rPr>
      </w:pPr>
    </w:p>
    <w:p>
      <w:pPr>
        <w:ind w:left="760" w:right="299"/>
        <w:spacing w:after="0" w:line="253" w:lineRule="auto"/>
        <w:rPr>
          <w:sz w:val="20"/>
          <w:szCs w:val="20"/>
          <w:color w:val="auto"/>
        </w:rPr>
      </w:pPr>
      <w:r>
        <w:rPr>
          <w:rFonts w:ascii="Arial" w:cs="Arial" w:eastAsia="Arial" w:hAnsi="Arial"/>
          <w:sz w:val="18"/>
          <w:szCs w:val="18"/>
          <w:color w:val="auto"/>
        </w:rPr>
        <w:t>Section 162(m) of the Internal Revenue Code of 1986, as amended (the “Code”) generally disallows tax deductions to publicly-held companies for individual compensation over $1 million paid to certain executive officers in a taxable year. Historically, compensation above $1 million could be deducted if it was considered “performance-based compensation” within the meaning of the Code, but as a result of tax legislation enacted at the end of 2017, this exemption is no longer available.</w:t>
      </w:r>
    </w:p>
    <w:p>
      <w:pPr>
        <w:spacing w:after="0" w:line="3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20  </w:t>
      </w:r>
      <w:r>
        <w:rPr>
          <w:sz w:val="1"/>
          <w:szCs w:val="1"/>
          <w:color w:val="auto"/>
        </w:rPr>
        <w:drawing>
          <wp:inline distT="0" distB="0" distL="0" distR="0">
            <wp:extent cx="291465" cy="22288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FFFFFF"/>
        </w:rPr>
        <w:t>EXECUTIVE COMPENSATION</w:t>
      </w:r>
    </w:p>
    <w:p>
      <w:pPr>
        <w:spacing w:after="0" w:line="261" w:lineRule="exact"/>
        <w:rPr>
          <w:sz w:val="20"/>
          <w:szCs w:val="20"/>
          <w:color w:val="auto"/>
        </w:rPr>
      </w:pPr>
    </w:p>
    <w:p>
      <w:pPr>
        <w:ind w:left="760" w:right="860"/>
        <w:spacing w:after="0" w:line="251" w:lineRule="auto"/>
        <w:rPr>
          <w:sz w:val="20"/>
          <w:szCs w:val="20"/>
          <w:color w:val="auto"/>
        </w:rPr>
      </w:pPr>
      <w:r>
        <w:rPr>
          <w:rFonts w:ascii="Arial" w:cs="Arial" w:eastAsia="Arial" w:hAnsi="Arial"/>
          <w:sz w:val="18"/>
          <w:szCs w:val="18"/>
          <w:color w:val="auto"/>
        </w:rPr>
        <w:t>Currently, but subject to final rules with respect to the new tax legislation, we are able to claim the benefit of a special exemption rule that applies to compensation paid (or compensation in respect of equity awards such as stock options or restricted stock granted) during a specified transition period under Section 162(m) for corporations that become publicly traded. This transition period may extend until the first annual stockholders meeting that occurs after the end of the third calendar year following the calendar year in which our initial public offering occurs, unless the transition period is terminated earlier under the Section 162(m) post-offering transition rules. At such time as we are subject to the deduction limitations of Section 162(m), as a result of the elimination of the performance-based compensation exemption, as described above, we would not expect that the compensation committee will take the deductibility limitations of Section 162(m) into account in its compensation decisions.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 Report</w:t>
      </w:r>
    </w:p>
    <w:p>
      <w:pPr>
        <w:spacing w:after="0" w:line="139" w:lineRule="exact"/>
        <w:rPr>
          <w:sz w:val="20"/>
          <w:szCs w:val="20"/>
          <w:color w:val="auto"/>
        </w:rPr>
      </w:pPr>
    </w:p>
    <w:p>
      <w:pPr>
        <w:ind w:left="760" w:right="960"/>
        <w:spacing w:after="0" w:line="25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the Form 10-K for the fiscal year ended December 29, 2018.</w:t>
      </w:r>
    </w:p>
    <w:p>
      <w:pPr>
        <w:spacing w:after="0" w:line="7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Thomas V. Taylor, Jr., Chair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Virginia Hepner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Nathaniel H.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4937125</wp:posOffset>
            </wp:positionV>
            <wp:extent cx="291465"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21</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Tables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39" w:lineRule="exact"/>
        <w:rPr>
          <w:sz w:val="20"/>
          <w:szCs w:val="20"/>
          <w:color w:val="auto"/>
        </w:rPr>
      </w:pPr>
    </w:p>
    <w:p>
      <w:pPr>
        <w:ind w:left="760" w:right="339"/>
        <w:spacing w:after="0" w:line="262"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services rendered in all capacities for the fiscal year ended December 29, 2018.</w:t>
      </w:r>
    </w:p>
    <w:p>
      <w:pPr>
        <w:spacing w:after="0" w:line="116" w:lineRule="exact"/>
        <w:rPr>
          <w:sz w:val="20"/>
          <w:szCs w:val="20"/>
          <w:color w:val="auto"/>
        </w:rPr>
      </w:pPr>
    </w:p>
    <w:tbl>
      <w:tblPr>
        <w:tblLayout w:type="fixed"/>
        <w:tblInd w:w="770" w:type="dxa"/>
        <w:tblCellMar>
          <w:top w:w="0" w:type="dxa"/>
          <w:left w:w="0" w:type="dxa"/>
          <w:bottom w:w="0" w:type="dxa"/>
          <w:right w:w="0" w:type="dxa"/>
        </w:tblCellMar>
      </w:tblPr>
      <w:tr>
        <w:trPr>
          <w:trHeight w:val="167"/>
        </w:trPr>
        <w:tc>
          <w:tcPr>
            <w:tcW w:w="1720" w:type="dxa"/>
            <w:vAlign w:val="bottom"/>
            <w:tcBorders>
              <w:left w:val="single" w:sz="8" w:color="3C5896"/>
              <w:right w:val="single" w:sz="8" w:color="9EACCA"/>
            </w:tcBorders>
            <w:shd w:val="clear" w:color="auto" w:fill="3C5896"/>
          </w:tcPr>
          <w:p>
            <w:pPr>
              <w:spacing w:after="0"/>
              <w:rPr>
                <w:sz w:val="14"/>
                <w:szCs w:val="14"/>
                <w:color w:val="auto"/>
              </w:rPr>
            </w:pPr>
          </w:p>
        </w:tc>
        <w:tc>
          <w:tcPr>
            <w:tcW w:w="80" w:type="dxa"/>
            <w:vAlign w:val="bottom"/>
            <w:shd w:val="clear" w:color="auto" w:fill="3C5896"/>
          </w:tcPr>
          <w:p>
            <w:pPr>
              <w:spacing w:after="0"/>
              <w:rPr>
                <w:sz w:val="14"/>
                <w:szCs w:val="14"/>
                <w:color w:val="auto"/>
              </w:rPr>
            </w:pPr>
          </w:p>
        </w:tc>
        <w:tc>
          <w:tcPr>
            <w:tcW w:w="420" w:type="dxa"/>
            <w:vAlign w:val="bottom"/>
            <w:tcBorders>
              <w:right w:val="single" w:sz="8" w:color="9EACCA"/>
            </w:tcBorders>
            <w:shd w:val="clear" w:color="auto" w:fill="3C5896"/>
          </w:tcPr>
          <w:p>
            <w:pPr>
              <w:spacing w:after="0"/>
              <w:rPr>
                <w:sz w:val="14"/>
                <w:szCs w:val="14"/>
                <w:color w:val="auto"/>
              </w:rPr>
            </w:pPr>
          </w:p>
        </w:tc>
        <w:tc>
          <w:tcPr>
            <w:tcW w:w="60" w:type="dxa"/>
            <w:vAlign w:val="bottom"/>
            <w:shd w:val="clear" w:color="auto" w:fill="3C5896"/>
          </w:tcPr>
          <w:p>
            <w:pPr>
              <w:spacing w:after="0"/>
              <w:rPr>
                <w:sz w:val="14"/>
                <w:szCs w:val="14"/>
                <w:color w:val="auto"/>
              </w:rPr>
            </w:pPr>
          </w:p>
        </w:tc>
        <w:tc>
          <w:tcPr>
            <w:tcW w:w="600" w:type="dxa"/>
            <w:vAlign w:val="bottom"/>
            <w:tcBorders>
              <w:right w:val="single" w:sz="8" w:color="9EACCA"/>
            </w:tcBorders>
            <w:shd w:val="clear" w:color="auto" w:fill="3C5896"/>
          </w:tcPr>
          <w:p>
            <w:pPr>
              <w:spacing w:after="0"/>
              <w:rPr>
                <w:sz w:val="14"/>
                <w:szCs w:val="14"/>
                <w:color w:val="auto"/>
              </w:rPr>
            </w:pPr>
          </w:p>
        </w:tc>
        <w:tc>
          <w:tcPr>
            <w:tcW w:w="240" w:type="dxa"/>
            <w:vAlign w:val="bottom"/>
            <w:shd w:val="clear" w:color="auto" w:fill="3C5896"/>
          </w:tcPr>
          <w:p>
            <w:pPr>
              <w:spacing w:after="0"/>
              <w:rPr>
                <w:sz w:val="14"/>
                <w:szCs w:val="14"/>
                <w:color w:val="auto"/>
              </w:rPr>
            </w:pPr>
          </w:p>
        </w:tc>
        <w:tc>
          <w:tcPr>
            <w:tcW w:w="400" w:type="dxa"/>
            <w:vAlign w:val="bottom"/>
            <w:tcBorders>
              <w:right w:val="single" w:sz="8" w:color="9EACCA"/>
            </w:tcBorders>
            <w:shd w:val="clear" w:color="auto" w:fill="3C5896"/>
          </w:tcPr>
          <w:p>
            <w:pPr>
              <w:spacing w:after="0"/>
              <w:rPr>
                <w:sz w:val="14"/>
                <w:szCs w:val="14"/>
                <w:color w:val="auto"/>
              </w:rPr>
            </w:pPr>
          </w:p>
        </w:tc>
        <w:tc>
          <w:tcPr>
            <w:tcW w:w="240" w:type="dxa"/>
            <w:vAlign w:val="bottom"/>
            <w:shd w:val="clear" w:color="auto" w:fill="3C5896"/>
          </w:tcPr>
          <w:p>
            <w:pPr>
              <w:spacing w:after="0"/>
              <w:rPr>
                <w:sz w:val="14"/>
                <w:szCs w:val="14"/>
                <w:color w:val="auto"/>
              </w:rPr>
            </w:pPr>
          </w:p>
        </w:tc>
        <w:tc>
          <w:tcPr>
            <w:tcW w:w="420" w:type="dxa"/>
            <w:vAlign w:val="bottom"/>
            <w:tcBorders>
              <w:right w:val="single" w:sz="8" w:color="9EACCA"/>
            </w:tcBorders>
            <w:shd w:val="clear" w:color="auto" w:fill="3C5896"/>
          </w:tcPr>
          <w:p>
            <w:pPr>
              <w:spacing w:after="0"/>
              <w:rPr>
                <w:sz w:val="14"/>
                <w:szCs w:val="14"/>
                <w:color w:val="auto"/>
              </w:rPr>
            </w:pPr>
          </w:p>
        </w:tc>
        <w:tc>
          <w:tcPr>
            <w:tcW w:w="100" w:type="dxa"/>
            <w:vAlign w:val="bottom"/>
            <w:shd w:val="clear" w:color="auto" w:fill="3C5896"/>
          </w:tcPr>
          <w:p>
            <w:pPr>
              <w:spacing w:after="0"/>
              <w:rPr>
                <w:sz w:val="14"/>
                <w:szCs w:val="14"/>
                <w:color w:val="auto"/>
              </w:rPr>
            </w:pPr>
          </w:p>
        </w:tc>
        <w:tc>
          <w:tcPr>
            <w:tcW w:w="760" w:type="dxa"/>
            <w:vAlign w:val="bottom"/>
            <w:tcBorders>
              <w:right w:val="single" w:sz="8" w:color="9EACCA"/>
            </w:tcBorders>
            <w:shd w:val="clear" w:color="auto" w:fill="3C5896"/>
          </w:tcPr>
          <w:p>
            <w:pPr>
              <w:spacing w:after="0"/>
              <w:rPr>
                <w:sz w:val="14"/>
                <w:szCs w:val="14"/>
                <w:color w:val="auto"/>
              </w:rPr>
            </w:pPr>
          </w:p>
        </w:tc>
        <w:tc>
          <w:tcPr>
            <w:tcW w:w="280" w:type="dxa"/>
            <w:vAlign w:val="bottom"/>
            <w:shd w:val="clear" w:color="auto" w:fill="3C5896"/>
          </w:tcPr>
          <w:p>
            <w:pPr>
              <w:spacing w:after="0"/>
              <w:rPr>
                <w:sz w:val="14"/>
                <w:szCs w:val="14"/>
                <w:color w:val="auto"/>
              </w:rPr>
            </w:pPr>
          </w:p>
        </w:tc>
        <w:tc>
          <w:tcPr>
            <w:tcW w:w="840" w:type="dxa"/>
            <w:vAlign w:val="bottom"/>
            <w:tcBorders>
              <w:right w:val="single" w:sz="8" w:color="9EACCA"/>
            </w:tcBorders>
            <w:shd w:val="clear" w:color="auto" w:fill="3C5896"/>
          </w:tcPr>
          <w:p>
            <w:pPr>
              <w:spacing w:after="0"/>
              <w:rPr>
                <w:sz w:val="14"/>
                <w:szCs w:val="14"/>
                <w:color w:val="auto"/>
              </w:rPr>
            </w:pPr>
          </w:p>
        </w:tc>
        <w:tc>
          <w:tcPr>
            <w:tcW w:w="1080" w:type="dxa"/>
            <w:vAlign w:val="bottom"/>
            <w:tcBorders>
              <w:right w:val="single" w:sz="8" w:color="9EACCA"/>
            </w:tcBorders>
            <w:gridSpan w:val="2"/>
            <w:shd w:val="clear" w:color="auto" w:fill="3C5896"/>
          </w:tcPr>
          <w:p>
            <w:pPr>
              <w:jc w:val="center"/>
              <w:ind w:right="8"/>
              <w:spacing w:after="0"/>
              <w:rPr>
                <w:sz w:val="20"/>
                <w:szCs w:val="20"/>
                <w:color w:val="auto"/>
              </w:rPr>
            </w:pPr>
            <w:r>
              <w:rPr>
                <w:rFonts w:ascii="Arial" w:cs="Arial" w:eastAsia="Arial" w:hAnsi="Arial"/>
                <w:sz w:val="13"/>
                <w:szCs w:val="13"/>
                <w:b w:val="1"/>
                <w:bCs w:val="1"/>
                <w:color w:val="FFFFFF"/>
                <w:w w:val="95"/>
              </w:rPr>
              <w:t>Change in</w:t>
            </w:r>
          </w:p>
        </w:tc>
        <w:tc>
          <w:tcPr>
            <w:tcW w:w="280" w:type="dxa"/>
            <w:vAlign w:val="bottom"/>
            <w:shd w:val="clear" w:color="auto" w:fill="3C5896"/>
          </w:tcPr>
          <w:p>
            <w:pPr>
              <w:spacing w:after="0"/>
              <w:rPr>
                <w:sz w:val="14"/>
                <w:szCs w:val="14"/>
                <w:color w:val="auto"/>
              </w:rPr>
            </w:pPr>
          </w:p>
        </w:tc>
        <w:tc>
          <w:tcPr>
            <w:tcW w:w="820" w:type="dxa"/>
            <w:vAlign w:val="bottom"/>
            <w:tcBorders>
              <w:right w:val="single" w:sz="8" w:color="9EACCA"/>
            </w:tcBorders>
            <w:shd w:val="clear" w:color="auto" w:fill="3C5896"/>
          </w:tcPr>
          <w:p>
            <w:pPr>
              <w:spacing w:after="0"/>
              <w:rPr>
                <w:sz w:val="14"/>
                <w:szCs w:val="14"/>
                <w:color w:val="auto"/>
              </w:rPr>
            </w:pPr>
          </w:p>
        </w:tc>
        <w:tc>
          <w:tcPr>
            <w:tcW w:w="80" w:type="dxa"/>
            <w:vAlign w:val="bottom"/>
            <w:shd w:val="clear" w:color="auto" w:fill="3C5896"/>
          </w:tcPr>
          <w:p>
            <w:pPr>
              <w:spacing w:after="0"/>
              <w:rPr>
                <w:sz w:val="14"/>
                <w:szCs w:val="14"/>
                <w:color w:val="auto"/>
              </w:rPr>
            </w:pPr>
          </w:p>
        </w:tc>
        <w:tc>
          <w:tcPr>
            <w:tcW w:w="780" w:type="dxa"/>
            <w:vAlign w:val="bottom"/>
            <w:tcBorders>
              <w:right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Borders>
              <w:left w:val="single" w:sz="8" w:color="3C5896"/>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60" w:type="dxa"/>
            <w:vAlign w:val="bottom"/>
            <w:shd w:val="clear" w:color="auto" w:fill="3C5896"/>
          </w:tcPr>
          <w:p>
            <w:pPr>
              <w:spacing w:after="0"/>
              <w:rPr>
                <w:sz w:val="12"/>
                <w:szCs w:val="12"/>
                <w:color w:val="auto"/>
              </w:rPr>
            </w:pPr>
          </w:p>
        </w:tc>
        <w:tc>
          <w:tcPr>
            <w:tcW w:w="6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100" w:type="dxa"/>
            <w:vAlign w:val="bottom"/>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280" w:type="dxa"/>
            <w:vAlign w:val="bottom"/>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108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Pension Value</w:t>
            </w:r>
          </w:p>
        </w:tc>
        <w:tc>
          <w:tcPr>
            <w:tcW w:w="280" w:type="dxa"/>
            <w:vAlign w:val="bottom"/>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780" w:type="dxa"/>
            <w:vAlign w:val="bottom"/>
            <w:tcBorders>
              <w:right w:val="single" w:sz="8" w:color="3C5896"/>
            </w:tcBorders>
            <w:shd w:val="clear" w:color="auto" w:fill="3C589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Borders>
              <w:left w:val="single" w:sz="8" w:color="3C5896"/>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60" w:type="dxa"/>
            <w:vAlign w:val="bottom"/>
            <w:shd w:val="clear" w:color="auto" w:fill="3C5896"/>
          </w:tcPr>
          <w:p>
            <w:pPr>
              <w:spacing w:after="0"/>
              <w:rPr>
                <w:sz w:val="12"/>
                <w:szCs w:val="12"/>
                <w:color w:val="auto"/>
              </w:rPr>
            </w:pPr>
          </w:p>
        </w:tc>
        <w:tc>
          <w:tcPr>
            <w:tcW w:w="6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100" w:type="dxa"/>
            <w:vAlign w:val="bottom"/>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280" w:type="dxa"/>
            <w:vAlign w:val="bottom"/>
            <w:shd w:val="clear" w:color="auto" w:fill="3C5896"/>
          </w:tcPr>
          <w:p>
            <w:pPr>
              <w:spacing w:after="0"/>
              <w:rPr>
                <w:sz w:val="12"/>
                <w:szCs w:val="12"/>
                <w:color w:val="auto"/>
              </w:rPr>
            </w:pPr>
          </w:p>
        </w:tc>
        <w:tc>
          <w:tcPr>
            <w:tcW w:w="840" w:type="dxa"/>
            <w:vAlign w:val="bottom"/>
            <w:tcBorders>
              <w:right w:val="single" w:sz="8" w:color="9EACCA"/>
            </w:tcBorders>
            <w:shd w:val="clear" w:color="auto" w:fill="3C5896"/>
          </w:tcPr>
          <w:p>
            <w:pPr>
              <w:spacing w:after="0"/>
              <w:rPr>
                <w:sz w:val="12"/>
                <w:szCs w:val="12"/>
                <w:color w:val="auto"/>
              </w:rPr>
            </w:pPr>
          </w:p>
        </w:tc>
        <w:tc>
          <w:tcPr>
            <w:tcW w:w="108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and</w:t>
            </w:r>
          </w:p>
        </w:tc>
        <w:tc>
          <w:tcPr>
            <w:tcW w:w="280" w:type="dxa"/>
            <w:vAlign w:val="bottom"/>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780" w:type="dxa"/>
            <w:vAlign w:val="bottom"/>
            <w:tcBorders>
              <w:right w:val="single" w:sz="8" w:color="3C5896"/>
            </w:tcBorders>
            <w:shd w:val="clear" w:color="auto" w:fill="3C589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Borders>
              <w:left w:val="single" w:sz="8" w:color="3C5896"/>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60" w:type="dxa"/>
            <w:vAlign w:val="bottom"/>
            <w:shd w:val="clear" w:color="auto" w:fill="3C5896"/>
          </w:tcPr>
          <w:p>
            <w:pPr>
              <w:spacing w:after="0"/>
              <w:rPr>
                <w:sz w:val="12"/>
                <w:szCs w:val="12"/>
                <w:color w:val="auto"/>
              </w:rPr>
            </w:pPr>
          </w:p>
        </w:tc>
        <w:tc>
          <w:tcPr>
            <w:tcW w:w="6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100" w:type="dxa"/>
            <w:vAlign w:val="bottom"/>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11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Non-Equity</w:t>
            </w:r>
          </w:p>
        </w:tc>
        <w:tc>
          <w:tcPr>
            <w:tcW w:w="1080" w:type="dxa"/>
            <w:vAlign w:val="bottom"/>
            <w:tcBorders>
              <w:right w:val="single" w:sz="8" w:color="9EACCA"/>
            </w:tcBorders>
            <w:gridSpan w:val="2"/>
            <w:shd w:val="clear" w:color="auto" w:fill="3C5896"/>
          </w:tcPr>
          <w:p>
            <w:pPr>
              <w:jc w:val="center"/>
              <w:ind w:right="8"/>
              <w:spacing w:after="0"/>
              <w:rPr>
                <w:sz w:val="20"/>
                <w:szCs w:val="20"/>
                <w:color w:val="auto"/>
              </w:rPr>
            </w:pPr>
            <w:r>
              <w:rPr>
                <w:rFonts w:ascii="Arial" w:cs="Arial" w:eastAsia="Arial" w:hAnsi="Arial"/>
                <w:sz w:val="13"/>
                <w:szCs w:val="13"/>
                <w:b w:val="1"/>
                <w:bCs w:val="1"/>
                <w:color w:val="FFFFFF"/>
                <w:w w:val="96"/>
              </w:rPr>
              <w:t>Nonqualified</w:t>
            </w:r>
          </w:p>
        </w:tc>
        <w:tc>
          <w:tcPr>
            <w:tcW w:w="280" w:type="dxa"/>
            <w:vAlign w:val="bottom"/>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780" w:type="dxa"/>
            <w:vAlign w:val="bottom"/>
            <w:tcBorders>
              <w:right w:val="single" w:sz="8" w:color="3C5896"/>
            </w:tcBorders>
            <w:shd w:val="clear" w:color="auto" w:fill="3C589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Borders>
              <w:left w:val="single" w:sz="8" w:color="3C5896"/>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60" w:type="dxa"/>
            <w:vAlign w:val="bottom"/>
            <w:shd w:val="clear" w:color="auto" w:fill="3C5896"/>
          </w:tcPr>
          <w:p>
            <w:pPr>
              <w:spacing w:after="0"/>
              <w:rPr>
                <w:sz w:val="12"/>
                <w:szCs w:val="12"/>
                <w:color w:val="auto"/>
              </w:rPr>
            </w:pPr>
          </w:p>
        </w:tc>
        <w:tc>
          <w:tcPr>
            <w:tcW w:w="6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00" w:type="dxa"/>
            <w:vAlign w:val="bottom"/>
            <w:tcBorders>
              <w:right w:val="single" w:sz="8" w:color="9EACCA"/>
            </w:tcBorders>
            <w:shd w:val="clear" w:color="auto" w:fill="3C5896"/>
          </w:tcPr>
          <w:p>
            <w:pPr>
              <w:spacing w:after="0"/>
              <w:rPr>
                <w:sz w:val="12"/>
                <w:szCs w:val="12"/>
                <w:color w:val="auto"/>
              </w:rPr>
            </w:pPr>
          </w:p>
        </w:tc>
        <w:tc>
          <w:tcPr>
            <w:tcW w:w="240" w:type="dxa"/>
            <w:vAlign w:val="bottom"/>
            <w:shd w:val="clear" w:color="auto" w:fill="3C5896"/>
          </w:tcPr>
          <w:p>
            <w:pPr>
              <w:spacing w:after="0"/>
              <w:rPr>
                <w:sz w:val="12"/>
                <w:szCs w:val="12"/>
                <w:color w:val="auto"/>
              </w:rPr>
            </w:pPr>
          </w:p>
        </w:tc>
        <w:tc>
          <w:tcPr>
            <w:tcW w:w="420" w:type="dxa"/>
            <w:vAlign w:val="bottom"/>
            <w:tcBorders>
              <w:right w:val="single" w:sz="8" w:color="9EACCA"/>
            </w:tcBorders>
            <w:shd w:val="clear" w:color="auto" w:fill="3C5896"/>
          </w:tcPr>
          <w:p>
            <w:pPr>
              <w:spacing w:after="0"/>
              <w:rPr>
                <w:sz w:val="12"/>
                <w:szCs w:val="12"/>
                <w:color w:val="auto"/>
              </w:rPr>
            </w:pPr>
          </w:p>
        </w:tc>
        <w:tc>
          <w:tcPr>
            <w:tcW w:w="100" w:type="dxa"/>
            <w:vAlign w:val="bottom"/>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11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080" w:type="dxa"/>
            <w:vAlign w:val="bottom"/>
            <w:tcBorders>
              <w:right w:val="single" w:sz="8" w:color="9EACCA"/>
            </w:tcBorders>
            <w:gridSpan w:val="2"/>
            <w:shd w:val="clear" w:color="auto" w:fill="3C5896"/>
          </w:tcPr>
          <w:p>
            <w:pPr>
              <w:jc w:val="center"/>
              <w:ind w:right="8"/>
              <w:spacing w:after="0"/>
              <w:rPr>
                <w:sz w:val="20"/>
                <w:szCs w:val="20"/>
                <w:color w:val="auto"/>
              </w:rPr>
            </w:pPr>
            <w:r>
              <w:rPr>
                <w:rFonts w:ascii="Arial" w:cs="Arial" w:eastAsia="Arial" w:hAnsi="Arial"/>
                <w:sz w:val="13"/>
                <w:szCs w:val="13"/>
                <w:b w:val="1"/>
                <w:bCs w:val="1"/>
                <w:color w:val="FFFFFF"/>
                <w:w w:val="97"/>
              </w:rPr>
              <w:t>Deferred</w:t>
            </w:r>
          </w:p>
        </w:tc>
        <w:tc>
          <w:tcPr>
            <w:tcW w:w="280" w:type="dxa"/>
            <w:vAlign w:val="bottom"/>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780" w:type="dxa"/>
            <w:vAlign w:val="bottom"/>
            <w:tcBorders>
              <w:right w:val="single" w:sz="8" w:color="3C5896"/>
            </w:tcBorders>
            <w:shd w:val="clear" w:color="auto" w:fill="3C5896"/>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3C5896"/>
              <w:right w:val="single" w:sz="8" w:color="9EACCA"/>
            </w:tcBorders>
            <w:shd w:val="clear" w:color="auto" w:fill="3C5896"/>
          </w:tcPr>
          <w:p>
            <w:pPr>
              <w:spacing w:after="0"/>
              <w:rPr>
                <w:sz w:val="11"/>
                <w:szCs w:val="11"/>
                <w:color w:val="auto"/>
              </w:rPr>
            </w:pPr>
          </w:p>
        </w:tc>
        <w:tc>
          <w:tcPr>
            <w:tcW w:w="80" w:type="dxa"/>
            <w:vAlign w:val="bottom"/>
            <w:shd w:val="clear" w:color="auto" w:fill="3C5896"/>
          </w:tcPr>
          <w:p>
            <w:pPr>
              <w:spacing w:after="0"/>
              <w:rPr>
                <w:sz w:val="11"/>
                <w:szCs w:val="11"/>
                <w:color w:val="auto"/>
              </w:rPr>
            </w:pPr>
          </w:p>
        </w:tc>
        <w:tc>
          <w:tcPr>
            <w:tcW w:w="420" w:type="dxa"/>
            <w:vAlign w:val="bottom"/>
            <w:tcBorders>
              <w:right w:val="single" w:sz="8" w:color="9EACCA"/>
            </w:tcBorders>
            <w:shd w:val="clear" w:color="auto" w:fill="3C5896"/>
          </w:tcPr>
          <w:p>
            <w:pPr>
              <w:spacing w:after="0"/>
              <w:rPr>
                <w:sz w:val="11"/>
                <w:szCs w:val="11"/>
                <w:color w:val="auto"/>
              </w:rPr>
            </w:pPr>
          </w:p>
        </w:tc>
        <w:tc>
          <w:tcPr>
            <w:tcW w:w="60" w:type="dxa"/>
            <w:vAlign w:val="bottom"/>
            <w:shd w:val="clear" w:color="auto" w:fill="3C5896"/>
          </w:tcPr>
          <w:p>
            <w:pPr>
              <w:spacing w:after="0"/>
              <w:rPr>
                <w:sz w:val="11"/>
                <w:szCs w:val="11"/>
                <w:color w:val="auto"/>
              </w:rPr>
            </w:pPr>
          </w:p>
        </w:tc>
        <w:tc>
          <w:tcPr>
            <w:tcW w:w="600" w:type="dxa"/>
            <w:vAlign w:val="bottom"/>
            <w:tcBorders>
              <w:right w:val="single" w:sz="8" w:color="9EACCA"/>
            </w:tcBorders>
            <w:shd w:val="clear" w:color="auto" w:fill="3C5896"/>
          </w:tcPr>
          <w:p>
            <w:pPr>
              <w:spacing w:after="0"/>
              <w:rPr>
                <w:sz w:val="11"/>
                <w:szCs w:val="11"/>
                <w:color w:val="auto"/>
              </w:rPr>
            </w:pPr>
          </w:p>
        </w:tc>
        <w:tc>
          <w:tcPr>
            <w:tcW w:w="240" w:type="dxa"/>
            <w:vAlign w:val="bottom"/>
            <w:shd w:val="clear" w:color="auto" w:fill="3C5896"/>
          </w:tcPr>
          <w:p>
            <w:pPr>
              <w:spacing w:after="0"/>
              <w:rPr>
                <w:sz w:val="11"/>
                <w:szCs w:val="11"/>
                <w:color w:val="auto"/>
              </w:rPr>
            </w:pPr>
          </w:p>
        </w:tc>
        <w:tc>
          <w:tcPr>
            <w:tcW w:w="400" w:type="dxa"/>
            <w:vAlign w:val="bottom"/>
            <w:tcBorders>
              <w:right w:val="single" w:sz="8" w:color="9EACCA"/>
            </w:tcBorders>
            <w:shd w:val="clear" w:color="auto" w:fill="3C5896"/>
          </w:tcPr>
          <w:p>
            <w:pPr>
              <w:spacing w:after="0"/>
              <w:rPr>
                <w:sz w:val="11"/>
                <w:szCs w:val="11"/>
                <w:color w:val="auto"/>
              </w:rPr>
            </w:pPr>
          </w:p>
        </w:tc>
        <w:tc>
          <w:tcPr>
            <w:tcW w:w="660" w:type="dxa"/>
            <w:vAlign w:val="bottom"/>
            <w:tcBorders>
              <w:right w:val="single" w:sz="8" w:color="9EACCA"/>
            </w:tcBorders>
            <w:gridSpan w:val="2"/>
            <w:shd w:val="clear" w:color="auto" w:fill="3C5896"/>
          </w:tcPr>
          <w:p>
            <w:pPr>
              <w:jc w:val="right"/>
              <w:ind w:right="128"/>
              <w:spacing w:after="0" w:line="137" w:lineRule="exact"/>
              <w:rPr>
                <w:sz w:val="20"/>
                <w:szCs w:val="20"/>
                <w:color w:val="auto"/>
              </w:rPr>
            </w:pPr>
            <w:r>
              <w:rPr>
                <w:rFonts w:ascii="Arial" w:cs="Arial" w:eastAsia="Arial" w:hAnsi="Arial"/>
                <w:sz w:val="13"/>
                <w:szCs w:val="13"/>
                <w:b w:val="1"/>
                <w:bCs w:val="1"/>
                <w:color w:val="FFFFFF"/>
              </w:rPr>
              <w:t>Stock</w:t>
            </w:r>
          </w:p>
        </w:tc>
        <w:tc>
          <w:tcPr>
            <w:tcW w:w="100" w:type="dxa"/>
            <w:vAlign w:val="bottom"/>
            <w:shd w:val="clear" w:color="auto" w:fill="3C5896"/>
          </w:tcPr>
          <w:p>
            <w:pPr>
              <w:spacing w:after="0"/>
              <w:rPr>
                <w:sz w:val="11"/>
                <w:szCs w:val="11"/>
                <w:color w:val="auto"/>
              </w:rPr>
            </w:pPr>
          </w:p>
        </w:tc>
        <w:tc>
          <w:tcPr>
            <w:tcW w:w="760" w:type="dxa"/>
            <w:vAlign w:val="bottom"/>
            <w:tcBorders>
              <w:right w:val="single" w:sz="8" w:color="9EACCA"/>
            </w:tcBorders>
            <w:shd w:val="clear" w:color="auto" w:fill="3C5896"/>
          </w:tcPr>
          <w:p>
            <w:pPr>
              <w:jc w:val="center"/>
              <w:ind w:right="89"/>
              <w:spacing w:after="0" w:line="137" w:lineRule="exact"/>
              <w:rPr>
                <w:sz w:val="20"/>
                <w:szCs w:val="20"/>
                <w:color w:val="auto"/>
              </w:rPr>
            </w:pPr>
            <w:r>
              <w:rPr>
                <w:rFonts w:ascii="Arial" w:cs="Arial" w:eastAsia="Arial" w:hAnsi="Arial"/>
                <w:sz w:val="13"/>
                <w:szCs w:val="13"/>
                <w:b w:val="1"/>
                <w:bCs w:val="1"/>
                <w:color w:val="FFFFFF"/>
                <w:w w:val="95"/>
              </w:rPr>
              <w:t>Option</w:t>
            </w:r>
          </w:p>
        </w:tc>
        <w:tc>
          <w:tcPr>
            <w:tcW w:w="280" w:type="dxa"/>
            <w:vAlign w:val="bottom"/>
            <w:shd w:val="clear" w:color="auto" w:fill="3C5896"/>
          </w:tcPr>
          <w:p>
            <w:pPr>
              <w:spacing w:after="0"/>
              <w:rPr>
                <w:sz w:val="11"/>
                <w:szCs w:val="11"/>
                <w:color w:val="auto"/>
              </w:rPr>
            </w:pPr>
          </w:p>
        </w:tc>
        <w:tc>
          <w:tcPr>
            <w:tcW w:w="840" w:type="dxa"/>
            <w:vAlign w:val="bottom"/>
            <w:tcBorders>
              <w:right w:val="single" w:sz="8" w:color="9EACCA"/>
            </w:tcBorders>
            <w:shd w:val="clear" w:color="auto" w:fill="3C5896"/>
          </w:tcPr>
          <w:p>
            <w:pPr>
              <w:jc w:val="center"/>
              <w:ind w:right="270"/>
              <w:spacing w:after="0" w:line="137" w:lineRule="exact"/>
              <w:rPr>
                <w:sz w:val="20"/>
                <w:szCs w:val="20"/>
                <w:color w:val="auto"/>
              </w:rPr>
            </w:pPr>
            <w:r>
              <w:rPr>
                <w:rFonts w:ascii="Arial" w:cs="Arial" w:eastAsia="Arial" w:hAnsi="Arial"/>
                <w:sz w:val="13"/>
                <w:szCs w:val="13"/>
                <w:b w:val="1"/>
                <w:bCs w:val="1"/>
                <w:color w:val="FFFFFF"/>
                <w:w w:val="94"/>
              </w:rPr>
              <w:t>Plan</w:t>
            </w:r>
          </w:p>
        </w:tc>
        <w:tc>
          <w:tcPr>
            <w:tcW w:w="1080" w:type="dxa"/>
            <w:vAlign w:val="bottom"/>
            <w:tcBorders>
              <w:right w:val="single" w:sz="8" w:color="9EACCA"/>
            </w:tcBorders>
            <w:gridSpan w:val="2"/>
            <w:shd w:val="clear" w:color="auto" w:fill="3C5896"/>
          </w:tcPr>
          <w:p>
            <w:pPr>
              <w:jc w:val="center"/>
              <w:ind w:right="8"/>
              <w:spacing w:after="0" w:line="137"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tcBorders>
              <w:right w:val="single" w:sz="8" w:color="9EACCA"/>
            </w:tcBorders>
            <w:gridSpan w:val="2"/>
            <w:shd w:val="clear" w:color="auto" w:fill="3C5896"/>
          </w:tcPr>
          <w:p>
            <w:pPr>
              <w:jc w:val="center"/>
              <w:spacing w:after="0" w:line="137" w:lineRule="exact"/>
              <w:rPr>
                <w:sz w:val="20"/>
                <w:szCs w:val="20"/>
                <w:color w:val="auto"/>
              </w:rPr>
            </w:pPr>
            <w:r>
              <w:rPr>
                <w:rFonts w:ascii="Arial" w:cs="Arial" w:eastAsia="Arial" w:hAnsi="Arial"/>
                <w:sz w:val="13"/>
                <w:szCs w:val="13"/>
                <w:b w:val="1"/>
                <w:bCs w:val="1"/>
                <w:color w:val="FFFFFF"/>
                <w:w w:val="94"/>
              </w:rPr>
              <w:t>All Other</w:t>
            </w:r>
          </w:p>
        </w:tc>
        <w:tc>
          <w:tcPr>
            <w:tcW w:w="80" w:type="dxa"/>
            <w:vAlign w:val="bottom"/>
            <w:shd w:val="clear" w:color="auto" w:fill="3C5896"/>
          </w:tcPr>
          <w:p>
            <w:pPr>
              <w:spacing w:after="0"/>
              <w:rPr>
                <w:sz w:val="11"/>
                <w:szCs w:val="11"/>
                <w:color w:val="auto"/>
              </w:rPr>
            </w:pPr>
          </w:p>
        </w:tc>
        <w:tc>
          <w:tcPr>
            <w:tcW w:w="780" w:type="dxa"/>
            <w:vAlign w:val="bottom"/>
            <w:tcBorders>
              <w:right w:val="single" w:sz="8" w:color="3C5896"/>
            </w:tcBorders>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Borders>
              <w:left w:val="single" w:sz="8" w:color="3C5896"/>
              <w:right w:val="single" w:sz="8" w:color="9EACCA"/>
            </w:tcBorders>
            <w:shd w:val="clear" w:color="auto" w:fill="3C5896"/>
          </w:tcPr>
          <w:p>
            <w:pPr>
              <w:ind w:left="560"/>
              <w:spacing w:after="0"/>
              <w:rPr>
                <w:sz w:val="20"/>
                <w:szCs w:val="20"/>
                <w:color w:val="auto"/>
              </w:rPr>
            </w:pPr>
            <w:r>
              <w:rPr>
                <w:rFonts w:ascii="Arial" w:cs="Arial" w:eastAsia="Arial" w:hAnsi="Arial"/>
                <w:sz w:val="13"/>
                <w:szCs w:val="13"/>
                <w:b w:val="1"/>
                <w:bCs w:val="1"/>
                <w:color w:val="FFFFFF"/>
              </w:rPr>
              <w:t>Name and</w:t>
            </w:r>
          </w:p>
        </w:tc>
        <w:tc>
          <w:tcPr>
            <w:tcW w:w="80" w:type="dxa"/>
            <w:vAlign w:val="bottom"/>
            <w:shd w:val="clear" w:color="auto" w:fill="3C5896"/>
          </w:tcPr>
          <w:p>
            <w:pPr>
              <w:spacing w:after="0"/>
              <w:rPr>
                <w:sz w:val="13"/>
                <w:szCs w:val="13"/>
                <w:color w:val="auto"/>
              </w:rPr>
            </w:pPr>
          </w:p>
        </w:tc>
        <w:tc>
          <w:tcPr>
            <w:tcW w:w="420" w:type="dxa"/>
            <w:vAlign w:val="bottom"/>
            <w:tcBorders>
              <w:right w:val="single" w:sz="8" w:color="9EACCA"/>
            </w:tcBorders>
            <w:shd w:val="clear" w:color="auto" w:fill="3C5896"/>
          </w:tcPr>
          <w:p>
            <w:pPr>
              <w:spacing w:after="0"/>
              <w:rPr>
                <w:sz w:val="13"/>
                <w:szCs w:val="13"/>
                <w:color w:val="auto"/>
              </w:rPr>
            </w:pPr>
          </w:p>
        </w:tc>
        <w:tc>
          <w:tcPr>
            <w:tcW w:w="60" w:type="dxa"/>
            <w:vAlign w:val="bottom"/>
            <w:shd w:val="clear" w:color="auto" w:fill="3C5896"/>
          </w:tcPr>
          <w:p>
            <w:pPr>
              <w:spacing w:after="0"/>
              <w:rPr>
                <w:sz w:val="13"/>
                <w:szCs w:val="13"/>
                <w:color w:val="auto"/>
              </w:rPr>
            </w:pPr>
          </w:p>
        </w:tc>
        <w:tc>
          <w:tcPr>
            <w:tcW w:w="600" w:type="dxa"/>
            <w:vAlign w:val="bottom"/>
            <w:tcBorders>
              <w:right w:val="single" w:sz="8" w:color="9EACCA"/>
            </w:tcBorders>
            <w:shd w:val="clear" w:color="auto" w:fill="3C5896"/>
          </w:tcPr>
          <w:p>
            <w:pPr>
              <w:jc w:val="right"/>
              <w:ind w:right="110"/>
              <w:spacing w:after="0"/>
              <w:rPr>
                <w:sz w:val="20"/>
                <w:szCs w:val="20"/>
                <w:color w:val="auto"/>
              </w:rPr>
            </w:pPr>
            <w:r>
              <w:rPr>
                <w:rFonts w:ascii="Arial" w:cs="Arial" w:eastAsia="Arial" w:hAnsi="Arial"/>
                <w:sz w:val="13"/>
                <w:szCs w:val="13"/>
                <w:b w:val="1"/>
                <w:bCs w:val="1"/>
                <w:color w:val="FFFFFF"/>
              </w:rPr>
              <w:t>Salary</w:t>
            </w:r>
          </w:p>
        </w:tc>
        <w:tc>
          <w:tcPr>
            <w:tcW w:w="640" w:type="dxa"/>
            <w:vAlign w:val="bottom"/>
            <w:tcBorders>
              <w:right w:val="single" w:sz="8" w:color="9EACCA"/>
            </w:tcBorders>
            <w:gridSpan w:val="2"/>
            <w:shd w:val="clear" w:color="auto" w:fill="3C5896"/>
          </w:tcPr>
          <w:p>
            <w:pPr>
              <w:jc w:val="right"/>
              <w:ind w:right="88"/>
              <w:spacing w:after="0"/>
              <w:rPr>
                <w:sz w:val="20"/>
                <w:szCs w:val="20"/>
                <w:color w:val="auto"/>
              </w:rPr>
            </w:pPr>
            <w:r>
              <w:rPr>
                <w:rFonts w:ascii="Arial" w:cs="Arial" w:eastAsia="Arial" w:hAnsi="Arial"/>
                <w:sz w:val="13"/>
                <w:szCs w:val="13"/>
                <w:b w:val="1"/>
                <w:bCs w:val="1"/>
                <w:color w:val="FFFFFF"/>
              </w:rPr>
              <w:t>Bonus</w:t>
            </w:r>
          </w:p>
        </w:tc>
        <w:tc>
          <w:tcPr>
            <w:tcW w:w="660" w:type="dxa"/>
            <w:vAlign w:val="bottom"/>
            <w:tcBorders>
              <w:right w:val="single" w:sz="8" w:color="9EACCA"/>
            </w:tcBorders>
            <w:gridSpan w:val="2"/>
            <w:shd w:val="clear" w:color="auto" w:fill="3C5896"/>
          </w:tcPr>
          <w:p>
            <w:pPr>
              <w:jc w:val="right"/>
              <w:ind w:right="68"/>
              <w:spacing w:after="0"/>
              <w:rPr>
                <w:sz w:val="20"/>
                <w:szCs w:val="20"/>
                <w:color w:val="auto"/>
              </w:rPr>
            </w:pPr>
            <w:r>
              <w:rPr>
                <w:rFonts w:ascii="Arial" w:cs="Arial" w:eastAsia="Arial" w:hAnsi="Arial"/>
                <w:sz w:val="13"/>
                <w:szCs w:val="13"/>
                <w:b w:val="1"/>
                <w:bCs w:val="1"/>
                <w:color w:val="FFFFFF"/>
              </w:rPr>
              <w:t>Awards</w:t>
            </w:r>
          </w:p>
        </w:tc>
        <w:tc>
          <w:tcPr>
            <w:tcW w:w="100" w:type="dxa"/>
            <w:vAlign w:val="bottom"/>
            <w:shd w:val="clear" w:color="auto" w:fill="3C5896"/>
          </w:tcPr>
          <w:p>
            <w:pPr>
              <w:spacing w:after="0"/>
              <w:rPr>
                <w:sz w:val="13"/>
                <w:szCs w:val="13"/>
                <w:color w:val="auto"/>
              </w:rPr>
            </w:pPr>
          </w:p>
        </w:tc>
        <w:tc>
          <w:tcPr>
            <w:tcW w:w="760" w:type="dxa"/>
            <w:vAlign w:val="bottom"/>
            <w:tcBorders>
              <w:right w:val="single" w:sz="8" w:color="9EACCA"/>
            </w:tcBorders>
            <w:shd w:val="clear" w:color="auto" w:fill="3C5896"/>
          </w:tcPr>
          <w:p>
            <w:pPr>
              <w:jc w:val="center"/>
              <w:ind w:right="89"/>
              <w:spacing w:after="0"/>
              <w:rPr>
                <w:sz w:val="20"/>
                <w:szCs w:val="20"/>
                <w:color w:val="auto"/>
              </w:rPr>
            </w:pPr>
            <w:r>
              <w:rPr>
                <w:rFonts w:ascii="Arial" w:cs="Arial" w:eastAsia="Arial" w:hAnsi="Arial"/>
                <w:sz w:val="13"/>
                <w:szCs w:val="13"/>
                <w:b w:val="1"/>
                <w:bCs w:val="1"/>
                <w:color w:val="FFFFFF"/>
                <w:w w:val="93"/>
              </w:rPr>
              <w:t>Awards</w:t>
            </w:r>
          </w:p>
        </w:tc>
        <w:tc>
          <w:tcPr>
            <w:tcW w:w="11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08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Earnings</w:t>
            </w:r>
          </w:p>
        </w:tc>
        <w:tc>
          <w:tcPr>
            <w:tcW w:w="1100" w:type="dxa"/>
            <w:vAlign w:val="bottom"/>
            <w:tcBorders>
              <w:right w:val="single" w:sz="8" w:color="9EACCA"/>
            </w:tcBorders>
            <w:gridSpan w:val="2"/>
            <w:shd w:val="clear" w:color="auto" w:fill="3C5896"/>
          </w:tcPr>
          <w:p>
            <w:pPr>
              <w:jc w:val="center"/>
              <w:spacing w:after="0" w:line="161"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8"/>
                <w:szCs w:val="18"/>
                <w:b w:val="1"/>
                <w:bCs w:val="1"/>
                <w:color w:val="FFFFFF"/>
                <w:vertAlign w:val="superscript"/>
              </w:rPr>
              <w:t>(1)</w:t>
            </w:r>
          </w:p>
        </w:tc>
        <w:tc>
          <w:tcPr>
            <w:tcW w:w="80" w:type="dxa"/>
            <w:vAlign w:val="bottom"/>
            <w:shd w:val="clear" w:color="auto" w:fill="3C5896"/>
          </w:tcPr>
          <w:p>
            <w:pPr>
              <w:spacing w:after="0"/>
              <w:rPr>
                <w:sz w:val="13"/>
                <w:szCs w:val="13"/>
                <w:color w:val="auto"/>
              </w:rPr>
            </w:pPr>
          </w:p>
        </w:tc>
        <w:tc>
          <w:tcPr>
            <w:tcW w:w="780" w:type="dxa"/>
            <w:vAlign w:val="bottom"/>
            <w:tcBorders>
              <w:right w:val="single" w:sz="8" w:color="3C5896"/>
            </w:tcBorders>
            <w:shd w:val="clear" w:color="auto" w:fill="3C5896"/>
          </w:tcPr>
          <w:p>
            <w:pPr>
              <w:jc w:val="right"/>
              <w:ind w:right="25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8"/>
        </w:trPr>
        <w:tc>
          <w:tcPr>
            <w:tcW w:w="1720" w:type="dxa"/>
            <w:vAlign w:val="bottom"/>
            <w:tcBorders>
              <w:left w:val="single" w:sz="8" w:color="3C5896"/>
              <w:bottom w:val="single" w:sz="8" w:color="3C5896"/>
              <w:right w:val="single" w:sz="8" w:color="9EACCA"/>
            </w:tcBorders>
            <w:shd w:val="clear" w:color="auto" w:fill="3C5896"/>
          </w:tcPr>
          <w:p>
            <w:pPr>
              <w:ind w:left="340"/>
              <w:spacing w:after="0"/>
              <w:rPr>
                <w:sz w:val="20"/>
                <w:szCs w:val="20"/>
                <w:color w:val="auto"/>
              </w:rPr>
            </w:pPr>
            <w:r>
              <w:rPr>
                <w:rFonts w:ascii="Arial" w:cs="Arial" w:eastAsia="Arial" w:hAnsi="Arial"/>
                <w:sz w:val="13"/>
                <w:szCs w:val="13"/>
                <w:b w:val="1"/>
                <w:bCs w:val="1"/>
                <w:color w:val="FFFFFF"/>
              </w:rPr>
              <w:t>Principal Position</w:t>
            </w:r>
          </w:p>
        </w:tc>
        <w:tc>
          <w:tcPr>
            <w:tcW w:w="80" w:type="dxa"/>
            <w:vAlign w:val="bottom"/>
            <w:tcBorders>
              <w:bottom w:val="single" w:sz="8" w:color="3C5896"/>
            </w:tcBorders>
            <w:shd w:val="clear" w:color="auto" w:fill="3C5896"/>
          </w:tcPr>
          <w:p>
            <w:pPr>
              <w:spacing w:after="0"/>
              <w:rPr>
                <w:sz w:val="15"/>
                <w:szCs w:val="15"/>
                <w:color w:val="auto"/>
              </w:rPr>
            </w:pPr>
          </w:p>
        </w:tc>
        <w:tc>
          <w:tcPr>
            <w:tcW w:w="420" w:type="dxa"/>
            <w:vAlign w:val="bottom"/>
            <w:tcBorders>
              <w:bottom w:val="single" w:sz="8" w:color="3C5896"/>
              <w:right w:val="single" w:sz="8" w:color="9EACCA"/>
            </w:tcBorders>
            <w:shd w:val="clear" w:color="auto" w:fill="3C5896"/>
          </w:tcPr>
          <w:p>
            <w:pPr>
              <w:jc w:val="center"/>
              <w:ind w:right="30"/>
              <w:spacing w:after="0"/>
              <w:rPr>
                <w:sz w:val="20"/>
                <w:szCs w:val="20"/>
                <w:color w:val="auto"/>
              </w:rPr>
            </w:pPr>
            <w:r>
              <w:rPr>
                <w:rFonts w:ascii="Arial" w:cs="Arial" w:eastAsia="Arial" w:hAnsi="Arial"/>
                <w:sz w:val="13"/>
                <w:szCs w:val="13"/>
                <w:b w:val="1"/>
                <w:bCs w:val="1"/>
                <w:color w:val="FFFFFF"/>
                <w:w w:val="99"/>
              </w:rPr>
              <w:t>Year</w:t>
            </w:r>
          </w:p>
        </w:tc>
        <w:tc>
          <w:tcPr>
            <w:tcW w:w="660" w:type="dxa"/>
            <w:vAlign w:val="bottom"/>
            <w:tcBorders>
              <w:bottom w:val="single" w:sz="8" w:color="3C5896"/>
              <w:right w:val="single" w:sz="8" w:color="9EACCA"/>
            </w:tcBorders>
            <w:gridSpan w:val="2"/>
            <w:shd w:val="clear" w:color="auto" w:fill="3C5896"/>
          </w:tcPr>
          <w:p>
            <w:pPr>
              <w:jc w:val="right"/>
              <w:ind w:right="190"/>
              <w:spacing w:after="0"/>
              <w:rPr>
                <w:sz w:val="20"/>
                <w:szCs w:val="20"/>
                <w:color w:val="auto"/>
              </w:rPr>
            </w:pPr>
            <w:r>
              <w:rPr>
                <w:rFonts w:ascii="Arial" w:cs="Arial" w:eastAsia="Arial" w:hAnsi="Arial"/>
                <w:sz w:val="13"/>
                <w:szCs w:val="13"/>
                <w:b w:val="1"/>
                <w:bCs w:val="1"/>
                <w:color w:val="FFFFFF"/>
              </w:rPr>
              <w:t>($)</w:t>
            </w:r>
          </w:p>
        </w:tc>
        <w:tc>
          <w:tcPr>
            <w:tcW w:w="640" w:type="dxa"/>
            <w:vAlign w:val="bottom"/>
            <w:tcBorders>
              <w:bottom w:val="single" w:sz="8" w:color="3C5896"/>
              <w:right w:val="single" w:sz="8" w:color="9EACCA"/>
            </w:tcBorders>
            <w:gridSpan w:val="2"/>
            <w:shd w:val="clear" w:color="auto" w:fill="3C5896"/>
          </w:tcPr>
          <w:p>
            <w:pPr>
              <w:jc w:val="right"/>
              <w:ind w:right="188"/>
              <w:spacing w:after="0"/>
              <w:rPr>
                <w:sz w:val="20"/>
                <w:szCs w:val="20"/>
                <w:color w:val="auto"/>
              </w:rPr>
            </w:pPr>
            <w:r>
              <w:rPr>
                <w:rFonts w:ascii="Arial" w:cs="Arial" w:eastAsia="Arial" w:hAnsi="Arial"/>
                <w:sz w:val="13"/>
                <w:szCs w:val="13"/>
                <w:b w:val="1"/>
                <w:bCs w:val="1"/>
                <w:color w:val="FFFFFF"/>
              </w:rPr>
              <w:t>($)</w:t>
            </w:r>
          </w:p>
        </w:tc>
        <w:tc>
          <w:tcPr>
            <w:tcW w:w="660" w:type="dxa"/>
            <w:vAlign w:val="bottom"/>
            <w:tcBorders>
              <w:bottom w:val="single" w:sz="8" w:color="3C5896"/>
              <w:right w:val="single" w:sz="8" w:color="9EACCA"/>
            </w:tcBorders>
            <w:gridSpan w:val="2"/>
            <w:shd w:val="clear" w:color="auto" w:fill="3C5896"/>
          </w:tcPr>
          <w:p>
            <w:pPr>
              <w:jc w:val="right"/>
              <w:ind w:right="188"/>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3C5896"/>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3C5896"/>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1080" w:type="dxa"/>
            <w:vAlign w:val="bottom"/>
            <w:tcBorders>
              <w:bottom w:val="single" w:sz="8" w:color="3C5896"/>
              <w:right w:val="single" w:sz="8" w:color="9EACCA"/>
            </w:tcBorders>
            <w:gridSpan w:val="2"/>
            <w:shd w:val="clear" w:color="auto" w:fill="3C5896"/>
          </w:tcPr>
          <w:p>
            <w:pPr>
              <w:jc w:val="right"/>
              <w:ind w:right="408"/>
              <w:spacing w:after="0"/>
              <w:rPr>
                <w:sz w:val="20"/>
                <w:szCs w:val="20"/>
                <w:color w:val="auto"/>
              </w:rPr>
            </w:pPr>
            <w:r>
              <w:rPr>
                <w:rFonts w:ascii="Arial" w:cs="Arial" w:eastAsia="Arial" w:hAnsi="Arial"/>
                <w:sz w:val="13"/>
                <w:szCs w:val="13"/>
                <w:b w:val="1"/>
                <w:bCs w:val="1"/>
                <w:color w:val="FFFFFF"/>
              </w:rPr>
              <w:t>($)</w:t>
            </w:r>
          </w:p>
        </w:tc>
        <w:tc>
          <w:tcPr>
            <w:tcW w:w="1100" w:type="dxa"/>
            <w:vAlign w:val="bottom"/>
            <w:tcBorders>
              <w:bottom w:val="single" w:sz="8" w:color="3C5896"/>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3C5896"/>
              <w:right w:val="single" w:sz="8" w:color="3C5896"/>
            </w:tcBorders>
            <w:gridSpan w:val="2"/>
            <w:shd w:val="clear" w:color="auto" w:fill="3C5896"/>
          </w:tcPr>
          <w:p>
            <w:pPr>
              <w:jc w:val="right"/>
              <w:ind w:right="31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21"/>
        </w:trPr>
        <w:tc>
          <w:tcPr>
            <w:tcW w:w="17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L. Reade Fahs</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2018</w:t>
            </w:r>
          </w:p>
        </w:tc>
        <w:tc>
          <w:tcPr>
            <w:tcW w:w="660" w:type="dxa"/>
            <w:vAlign w:val="bottom"/>
            <w:tcBorders>
              <w:right w:val="single" w:sz="8" w:color="9EACCA"/>
            </w:tcBorders>
            <w:gridSpan w:val="2"/>
          </w:tcPr>
          <w:p>
            <w:pPr>
              <w:jc w:val="right"/>
              <w:ind w:right="10"/>
              <w:spacing w:after="0"/>
              <w:rPr>
                <w:sz w:val="20"/>
                <w:szCs w:val="20"/>
                <w:color w:val="auto"/>
              </w:rPr>
            </w:pPr>
            <w:r>
              <w:rPr>
                <w:rFonts w:ascii="Arial" w:cs="Arial" w:eastAsia="Arial" w:hAnsi="Arial"/>
                <w:sz w:val="14"/>
                <w:szCs w:val="14"/>
                <w:color w:val="auto"/>
              </w:rPr>
              <w:t>900,000</w:t>
            </w:r>
          </w:p>
        </w:tc>
        <w:tc>
          <w:tcPr>
            <w:tcW w:w="240" w:type="dxa"/>
            <w:vAlign w:val="bottom"/>
          </w:tcPr>
          <w:p>
            <w:pPr>
              <w:spacing w:after="0"/>
              <w:rPr>
                <w:sz w:val="19"/>
                <w:szCs w:val="19"/>
                <w:color w:val="auto"/>
              </w:rPr>
            </w:pPr>
          </w:p>
        </w:tc>
        <w:tc>
          <w:tcPr>
            <w:tcW w:w="400" w:type="dxa"/>
            <w:vAlign w:val="bottom"/>
            <w:tcBorders>
              <w:right w:val="single" w:sz="8" w:color="9EACCA"/>
            </w:tcBorders>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9"/>
                <w:szCs w:val="19"/>
                <w:color w:val="auto"/>
              </w:rPr>
            </w:pPr>
          </w:p>
        </w:tc>
        <w:tc>
          <w:tcPr>
            <w:tcW w:w="420" w:type="dxa"/>
            <w:vAlign w:val="bottom"/>
            <w:tcBorders>
              <w:right w:val="single" w:sz="8" w:color="9EACCA"/>
            </w:tcBorders>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9"/>
                <w:szCs w:val="19"/>
                <w:color w:val="auto"/>
              </w:rPr>
            </w:pPr>
          </w:p>
        </w:tc>
        <w:tc>
          <w:tcPr>
            <w:tcW w:w="760" w:type="dxa"/>
            <w:vAlign w:val="bottom"/>
            <w:tcBorders>
              <w:right w:val="single" w:sz="8" w:color="9EACCA"/>
            </w:tcBorders>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tcPr>
          <w:p>
            <w:pPr>
              <w:jc w:val="right"/>
              <w:ind w:right="230"/>
              <w:spacing w:after="0"/>
              <w:rPr>
                <w:sz w:val="20"/>
                <w:szCs w:val="20"/>
                <w:color w:val="auto"/>
              </w:rPr>
            </w:pPr>
            <w:r>
              <w:rPr>
                <w:rFonts w:ascii="Arial" w:cs="Arial" w:eastAsia="Arial" w:hAnsi="Arial"/>
                <w:sz w:val="14"/>
                <w:szCs w:val="14"/>
                <w:color w:val="auto"/>
              </w:rPr>
              <w:t>688,635</w:t>
            </w:r>
          </w:p>
        </w:tc>
        <w:tc>
          <w:tcPr>
            <w:tcW w:w="440" w:type="dxa"/>
            <w:vAlign w:val="bottom"/>
          </w:tcPr>
          <w:p>
            <w:pPr>
              <w:spacing w:after="0"/>
              <w:rPr>
                <w:sz w:val="19"/>
                <w:szCs w:val="19"/>
                <w:color w:val="auto"/>
              </w:rPr>
            </w:pPr>
          </w:p>
        </w:tc>
        <w:tc>
          <w:tcPr>
            <w:tcW w:w="640" w:type="dxa"/>
            <w:vAlign w:val="bottom"/>
            <w:tcBorders>
              <w:right w:val="single" w:sz="8" w:color="9EACCA"/>
            </w:tcBorders>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tcPr>
          <w:p>
            <w:pPr>
              <w:jc w:val="right"/>
              <w:ind w:right="228"/>
              <w:spacing w:after="0"/>
              <w:rPr>
                <w:sz w:val="20"/>
                <w:szCs w:val="20"/>
                <w:color w:val="auto"/>
              </w:rPr>
            </w:pPr>
            <w:r>
              <w:rPr>
                <w:rFonts w:ascii="Arial" w:cs="Arial" w:eastAsia="Arial" w:hAnsi="Arial"/>
                <w:sz w:val="14"/>
                <w:szCs w:val="14"/>
                <w:color w:val="auto"/>
              </w:rPr>
              <w:t>14,035</w:t>
            </w:r>
          </w:p>
        </w:tc>
        <w:tc>
          <w:tcPr>
            <w:tcW w:w="860" w:type="dxa"/>
            <w:vAlign w:val="bottom"/>
            <w:tcBorders>
              <w:right w:val="single" w:sz="8" w:color="3C5896"/>
            </w:tcBorders>
            <w:gridSpan w:val="2"/>
          </w:tcPr>
          <w:p>
            <w:pPr>
              <w:jc w:val="right"/>
              <w:ind w:right="70"/>
              <w:spacing w:after="0"/>
              <w:rPr>
                <w:sz w:val="20"/>
                <w:szCs w:val="20"/>
                <w:color w:val="auto"/>
              </w:rPr>
            </w:pPr>
            <w:r>
              <w:rPr>
                <w:rFonts w:ascii="Arial" w:cs="Arial" w:eastAsia="Arial" w:hAnsi="Arial"/>
                <w:sz w:val="14"/>
                <w:szCs w:val="14"/>
                <w:color w:val="auto"/>
              </w:rPr>
              <w:t>1,602,670</w:t>
            </w:r>
          </w:p>
        </w:tc>
        <w:tc>
          <w:tcPr>
            <w:tcW w:w="0" w:type="dxa"/>
            <w:vAlign w:val="bottom"/>
          </w:tcPr>
          <w:p>
            <w:pPr>
              <w:spacing w:after="0"/>
              <w:rPr>
                <w:sz w:val="1"/>
                <w:szCs w:val="1"/>
                <w:color w:val="auto"/>
              </w:rPr>
            </w:pPr>
          </w:p>
        </w:tc>
      </w:tr>
      <w:tr>
        <w:trPr>
          <w:trHeight w:val="240"/>
        </w:trPr>
        <w:tc>
          <w:tcPr>
            <w:tcW w:w="17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Chief Executive Officer</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2017</w:t>
            </w:r>
          </w:p>
        </w:tc>
        <w:tc>
          <w:tcPr>
            <w:tcW w:w="660" w:type="dxa"/>
            <w:vAlign w:val="bottom"/>
            <w:tcBorders>
              <w:right w:val="single" w:sz="8" w:color="9EACCA"/>
            </w:tcBorders>
            <w:gridSpan w:val="2"/>
          </w:tcPr>
          <w:p>
            <w:pPr>
              <w:jc w:val="right"/>
              <w:ind w:right="10"/>
              <w:spacing w:after="0"/>
              <w:rPr>
                <w:sz w:val="20"/>
                <w:szCs w:val="20"/>
                <w:color w:val="auto"/>
              </w:rPr>
            </w:pPr>
            <w:r>
              <w:rPr>
                <w:rFonts w:ascii="Arial" w:cs="Arial" w:eastAsia="Arial" w:hAnsi="Arial"/>
                <w:sz w:val="14"/>
                <w:szCs w:val="14"/>
                <w:color w:val="auto"/>
              </w:rPr>
              <w:t>700,346</w:t>
            </w:r>
          </w:p>
        </w:tc>
        <w:tc>
          <w:tcPr>
            <w:tcW w:w="240" w:type="dxa"/>
            <w:vAlign w:val="bottom"/>
          </w:tcPr>
          <w:p>
            <w:pPr>
              <w:spacing w:after="0"/>
              <w:rPr>
                <w:sz w:val="20"/>
                <w:szCs w:val="20"/>
                <w:color w:val="auto"/>
              </w:rPr>
            </w:pPr>
          </w:p>
        </w:tc>
        <w:tc>
          <w:tcPr>
            <w:tcW w:w="400" w:type="dxa"/>
            <w:vAlign w:val="bottom"/>
            <w:tcBorders>
              <w:right w:val="single" w:sz="8" w:color="9EACCA"/>
            </w:tcBorders>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20"/>
                <w:szCs w:val="20"/>
                <w:color w:val="auto"/>
              </w:rPr>
            </w:pPr>
          </w:p>
        </w:tc>
        <w:tc>
          <w:tcPr>
            <w:tcW w:w="420" w:type="dxa"/>
            <w:vAlign w:val="bottom"/>
            <w:tcBorders>
              <w:right w:val="single" w:sz="8" w:color="9EACCA"/>
            </w:tcBorders>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0"/>
                <w:szCs w:val="20"/>
                <w:color w:val="auto"/>
              </w:rPr>
            </w:pPr>
          </w:p>
        </w:tc>
        <w:tc>
          <w:tcPr>
            <w:tcW w:w="760" w:type="dxa"/>
            <w:vAlign w:val="bottom"/>
            <w:tcBorders>
              <w:right w:val="single" w:sz="8" w:color="9EACCA"/>
            </w:tcBorders>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tcPr>
          <w:p>
            <w:pPr>
              <w:jc w:val="right"/>
              <w:ind w:right="230"/>
              <w:spacing w:after="0"/>
              <w:rPr>
                <w:sz w:val="20"/>
                <w:szCs w:val="20"/>
                <w:color w:val="auto"/>
              </w:rPr>
            </w:pPr>
            <w:r>
              <w:rPr>
                <w:rFonts w:ascii="Arial" w:cs="Arial" w:eastAsia="Arial" w:hAnsi="Arial"/>
                <w:sz w:val="14"/>
                <w:szCs w:val="14"/>
                <w:color w:val="auto"/>
              </w:rPr>
              <w:t>574,249</w:t>
            </w:r>
          </w:p>
        </w:tc>
        <w:tc>
          <w:tcPr>
            <w:tcW w:w="440" w:type="dxa"/>
            <w:vAlign w:val="bottom"/>
          </w:tcPr>
          <w:p>
            <w:pPr>
              <w:spacing w:after="0"/>
              <w:rPr>
                <w:sz w:val="20"/>
                <w:szCs w:val="20"/>
                <w:color w:val="auto"/>
              </w:rPr>
            </w:pPr>
          </w:p>
        </w:tc>
        <w:tc>
          <w:tcPr>
            <w:tcW w:w="640" w:type="dxa"/>
            <w:vAlign w:val="bottom"/>
            <w:tcBorders>
              <w:right w:val="single" w:sz="8" w:color="9EACCA"/>
            </w:tcBorders>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tcPr>
          <w:p>
            <w:pPr>
              <w:jc w:val="right"/>
              <w:ind w:right="228"/>
              <w:spacing w:after="0"/>
              <w:rPr>
                <w:sz w:val="20"/>
                <w:szCs w:val="20"/>
                <w:color w:val="auto"/>
              </w:rPr>
            </w:pPr>
            <w:r>
              <w:rPr>
                <w:rFonts w:ascii="Arial" w:cs="Arial" w:eastAsia="Arial" w:hAnsi="Arial"/>
                <w:sz w:val="14"/>
                <w:szCs w:val="14"/>
                <w:color w:val="auto"/>
              </w:rPr>
              <w:t>23,240</w:t>
            </w:r>
          </w:p>
        </w:tc>
        <w:tc>
          <w:tcPr>
            <w:tcW w:w="860" w:type="dxa"/>
            <w:vAlign w:val="bottom"/>
            <w:tcBorders>
              <w:right w:val="single" w:sz="8" w:color="3C5896"/>
            </w:tcBorders>
            <w:gridSpan w:val="2"/>
          </w:tcPr>
          <w:p>
            <w:pPr>
              <w:jc w:val="right"/>
              <w:ind w:right="70"/>
              <w:spacing w:after="0"/>
              <w:rPr>
                <w:sz w:val="20"/>
                <w:szCs w:val="20"/>
                <w:color w:val="auto"/>
              </w:rPr>
            </w:pPr>
            <w:r>
              <w:rPr>
                <w:rFonts w:ascii="Arial" w:cs="Arial" w:eastAsia="Arial" w:hAnsi="Arial"/>
                <w:sz w:val="14"/>
                <w:szCs w:val="14"/>
                <w:color w:val="auto"/>
              </w:rPr>
              <w:t>1,297,835</w:t>
            </w:r>
          </w:p>
        </w:tc>
        <w:tc>
          <w:tcPr>
            <w:tcW w:w="0" w:type="dxa"/>
            <w:vAlign w:val="bottom"/>
          </w:tcPr>
          <w:p>
            <w:pPr>
              <w:spacing w:after="0"/>
              <w:rPr>
                <w:sz w:val="1"/>
                <w:szCs w:val="1"/>
                <w:color w:val="auto"/>
              </w:rPr>
            </w:pPr>
          </w:p>
        </w:tc>
      </w:tr>
      <w:tr>
        <w:trPr>
          <w:trHeight w:val="236"/>
        </w:trPr>
        <w:tc>
          <w:tcPr>
            <w:tcW w:w="1720" w:type="dxa"/>
            <w:vAlign w:val="bottom"/>
            <w:tcBorders>
              <w:left w:val="single" w:sz="8" w:color="3C5896"/>
              <w:right w:val="single" w:sz="8" w:color="9EACCA"/>
            </w:tcBorders>
          </w:tcPr>
          <w:p>
            <w:pPr>
              <w:spacing w:after="0"/>
              <w:rPr>
                <w:sz w:val="20"/>
                <w:szCs w:val="20"/>
                <w:color w:val="auto"/>
              </w:rPr>
            </w:pP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2016</w:t>
            </w:r>
          </w:p>
        </w:tc>
        <w:tc>
          <w:tcPr>
            <w:tcW w:w="660" w:type="dxa"/>
            <w:vAlign w:val="bottom"/>
            <w:tcBorders>
              <w:right w:val="single" w:sz="8" w:color="9EACCA"/>
            </w:tcBorders>
            <w:gridSpan w:val="2"/>
          </w:tcPr>
          <w:p>
            <w:pPr>
              <w:jc w:val="right"/>
              <w:ind w:right="10"/>
              <w:spacing w:after="0"/>
              <w:rPr>
                <w:sz w:val="20"/>
                <w:szCs w:val="20"/>
                <w:color w:val="auto"/>
              </w:rPr>
            </w:pPr>
            <w:r>
              <w:rPr>
                <w:rFonts w:ascii="Arial" w:cs="Arial" w:eastAsia="Arial" w:hAnsi="Arial"/>
                <w:sz w:val="14"/>
                <w:szCs w:val="14"/>
                <w:color w:val="auto"/>
              </w:rPr>
              <w:t>605,221</w:t>
            </w:r>
          </w:p>
        </w:tc>
        <w:tc>
          <w:tcPr>
            <w:tcW w:w="240" w:type="dxa"/>
            <w:vAlign w:val="bottom"/>
          </w:tcPr>
          <w:p>
            <w:pPr>
              <w:spacing w:after="0"/>
              <w:rPr>
                <w:sz w:val="20"/>
                <w:szCs w:val="20"/>
                <w:color w:val="auto"/>
              </w:rPr>
            </w:pPr>
          </w:p>
        </w:tc>
        <w:tc>
          <w:tcPr>
            <w:tcW w:w="400" w:type="dxa"/>
            <w:vAlign w:val="bottom"/>
            <w:tcBorders>
              <w:right w:val="single" w:sz="8" w:color="9EACCA"/>
            </w:tcBorders>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20"/>
                <w:szCs w:val="20"/>
                <w:color w:val="auto"/>
              </w:rPr>
            </w:pPr>
          </w:p>
        </w:tc>
        <w:tc>
          <w:tcPr>
            <w:tcW w:w="420" w:type="dxa"/>
            <w:vAlign w:val="bottom"/>
            <w:tcBorders>
              <w:right w:val="single" w:sz="8" w:color="9EACCA"/>
            </w:tcBorders>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0"/>
                <w:szCs w:val="20"/>
                <w:color w:val="auto"/>
              </w:rPr>
            </w:pPr>
          </w:p>
        </w:tc>
        <w:tc>
          <w:tcPr>
            <w:tcW w:w="760" w:type="dxa"/>
            <w:vAlign w:val="bottom"/>
            <w:tcBorders>
              <w:right w:val="single" w:sz="8" w:color="9EACCA"/>
            </w:tcBorders>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tcPr>
          <w:p>
            <w:pPr>
              <w:jc w:val="right"/>
              <w:ind w:right="230"/>
              <w:spacing w:after="0"/>
              <w:rPr>
                <w:sz w:val="20"/>
                <w:szCs w:val="20"/>
                <w:color w:val="auto"/>
              </w:rPr>
            </w:pPr>
            <w:r>
              <w:rPr>
                <w:rFonts w:ascii="Arial" w:cs="Arial" w:eastAsia="Arial" w:hAnsi="Arial"/>
                <w:sz w:val="14"/>
                <w:szCs w:val="14"/>
                <w:color w:val="auto"/>
              </w:rPr>
              <w:t>503,074</w:t>
            </w:r>
          </w:p>
        </w:tc>
        <w:tc>
          <w:tcPr>
            <w:tcW w:w="440" w:type="dxa"/>
            <w:vAlign w:val="bottom"/>
          </w:tcPr>
          <w:p>
            <w:pPr>
              <w:spacing w:after="0"/>
              <w:rPr>
                <w:sz w:val="20"/>
                <w:szCs w:val="20"/>
                <w:color w:val="auto"/>
              </w:rPr>
            </w:pPr>
          </w:p>
        </w:tc>
        <w:tc>
          <w:tcPr>
            <w:tcW w:w="640" w:type="dxa"/>
            <w:vAlign w:val="bottom"/>
            <w:tcBorders>
              <w:right w:val="single" w:sz="8" w:color="9EACCA"/>
            </w:tcBorders>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tcPr>
          <w:p>
            <w:pPr>
              <w:jc w:val="right"/>
              <w:ind w:right="228"/>
              <w:spacing w:after="0"/>
              <w:rPr>
                <w:sz w:val="20"/>
                <w:szCs w:val="20"/>
                <w:color w:val="auto"/>
              </w:rPr>
            </w:pPr>
            <w:r>
              <w:rPr>
                <w:rFonts w:ascii="Arial" w:cs="Arial" w:eastAsia="Arial" w:hAnsi="Arial"/>
                <w:sz w:val="14"/>
                <w:szCs w:val="14"/>
                <w:color w:val="auto"/>
              </w:rPr>
              <w:t>16,911</w:t>
            </w:r>
          </w:p>
        </w:tc>
        <w:tc>
          <w:tcPr>
            <w:tcW w:w="860" w:type="dxa"/>
            <w:vAlign w:val="bottom"/>
            <w:tcBorders>
              <w:right w:val="single" w:sz="8" w:color="3C5896"/>
            </w:tcBorders>
            <w:gridSpan w:val="2"/>
          </w:tcPr>
          <w:p>
            <w:pPr>
              <w:jc w:val="right"/>
              <w:ind w:right="70"/>
              <w:spacing w:after="0"/>
              <w:rPr>
                <w:sz w:val="20"/>
                <w:szCs w:val="20"/>
                <w:color w:val="auto"/>
              </w:rPr>
            </w:pPr>
            <w:r>
              <w:rPr>
                <w:rFonts w:ascii="Arial" w:cs="Arial" w:eastAsia="Arial" w:hAnsi="Arial"/>
                <w:sz w:val="14"/>
                <w:szCs w:val="14"/>
                <w:color w:val="auto"/>
              </w:rPr>
              <w:t>1,125,206</w:t>
            </w:r>
          </w:p>
        </w:tc>
        <w:tc>
          <w:tcPr>
            <w:tcW w:w="0" w:type="dxa"/>
            <w:vAlign w:val="bottom"/>
          </w:tcPr>
          <w:p>
            <w:pPr>
              <w:spacing w:after="0"/>
              <w:rPr>
                <w:sz w:val="1"/>
                <w:szCs w:val="1"/>
                <w:color w:val="auto"/>
              </w:rPr>
            </w:pPr>
          </w:p>
        </w:tc>
      </w:tr>
      <w:tr>
        <w:trPr>
          <w:trHeight w:val="227"/>
        </w:trPr>
        <w:tc>
          <w:tcPr>
            <w:tcW w:w="17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Patrick R. Moore</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2018</w:t>
            </w:r>
          </w:p>
        </w:tc>
        <w:tc>
          <w:tcPr>
            <w:tcW w:w="660" w:type="dxa"/>
            <w:vAlign w:val="bottom"/>
            <w:tcBorders>
              <w:right w:val="single" w:sz="8" w:color="9EACCA"/>
            </w:tcBorders>
            <w:gridSpan w:val="2"/>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rPr>
              <w:t>421,923</w:t>
            </w:r>
          </w:p>
        </w:tc>
        <w:tc>
          <w:tcPr>
            <w:tcW w:w="240" w:type="dxa"/>
            <w:vAlign w:val="bottom"/>
            <w:shd w:val="clear" w:color="auto" w:fill="CCCCCC"/>
          </w:tcPr>
          <w:p>
            <w:pPr>
              <w:spacing w:after="0"/>
              <w:rPr>
                <w:sz w:val="19"/>
                <w:szCs w:val="19"/>
                <w:color w:val="auto"/>
              </w:rPr>
            </w:pPr>
          </w:p>
        </w:tc>
        <w:tc>
          <w:tcPr>
            <w:tcW w:w="400" w:type="dxa"/>
            <w:vAlign w:val="bottom"/>
            <w:tcBorders>
              <w:right w:val="single" w:sz="8" w:color="9EACCA"/>
            </w:tcBorders>
            <w:shd w:val="clear" w:color="auto" w:fill="CCCCCC"/>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CCCC"/>
          </w:tcPr>
          <w:p>
            <w:pPr>
              <w:spacing w:after="0"/>
              <w:rPr>
                <w:sz w:val="19"/>
                <w:szCs w:val="19"/>
                <w:color w:val="auto"/>
              </w:rPr>
            </w:pPr>
          </w:p>
        </w:tc>
        <w:tc>
          <w:tcPr>
            <w:tcW w:w="420" w:type="dxa"/>
            <w:vAlign w:val="bottom"/>
            <w:tcBorders>
              <w:right w:val="single" w:sz="8" w:color="9EACCA"/>
            </w:tcBorders>
            <w:shd w:val="clear" w:color="auto" w:fill="CCCCCC"/>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shd w:val="clear" w:color="auto" w:fill="CCCCCC"/>
          </w:tcPr>
          <w:p>
            <w:pPr>
              <w:jc w:val="right"/>
              <w:ind w:right="230"/>
              <w:spacing w:after="0"/>
              <w:rPr>
                <w:sz w:val="20"/>
                <w:szCs w:val="20"/>
                <w:color w:val="auto"/>
              </w:rPr>
            </w:pPr>
            <w:r>
              <w:rPr>
                <w:rFonts w:ascii="Arial" w:cs="Arial" w:eastAsia="Arial" w:hAnsi="Arial"/>
                <w:sz w:val="14"/>
                <w:szCs w:val="14"/>
                <w:color w:val="auto"/>
              </w:rPr>
              <w:t>161,418</w:t>
            </w:r>
          </w:p>
        </w:tc>
        <w:tc>
          <w:tcPr>
            <w:tcW w:w="440" w:type="dxa"/>
            <w:vAlign w:val="bottom"/>
            <w:shd w:val="clear" w:color="auto" w:fill="CCCCCC"/>
          </w:tcPr>
          <w:p>
            <w:pPr>
              <w:spacing w:after="0"/>
              <w:rPr>
                <w:sz w:val="19"/>
                <w:szCs w:val="19"/>
                <w:color w:val="auto"/>
              </w:rPr>
            </w:pPr>
          </w:p>
        </w:tc>
        <w:tc>
          <w:tcPr>
            <w:tcW w:w="640" w:type="dxa"/>
            <w:vAlign w:val="bottom"/>
            <w:tcBorders>
              <w:right w:val="single" w:sz="8" w:color="9EACCA"/>
            </w:tcBorders>
            <w:shd w:val="clear" w:color="auto" w:fill="CCCCCC"/>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shd w:val="clear" w:color="auto" w:fill="CCCCCC"/>
          </w:tcPr>
          <w:p>
            <w:pPr>
              <w:jc w:val="right"/>
              <w:ind w:right="228"/>
              <w:spacing w:after="0"/>
              <w:rPr>
                <w:sz w:val="20"/>
                <w:szCs w:val="20"/>
                <w:color w:val="auto"/>
              </w:rPr>
            </w:pPr>
            <w:r>
              <w:rPr>
                <w:rFonts w:ascii="Arial" w:cs="Arial" w:eastAsia="Arial" w:hAnsi="Arial"/>
                <w:sz w:val="14"/>
                <w:szCs w:val="14"/>
                <w:color w:val="auto"/>
              </w:rPr>
              <w:t>7,404</w:t>
            </w:r>
          </w:p>
        </w:tc>
        <w:tc>
          <w:tcPr>
            <w:tcW w:w="860" w:type="dxa"/>
            <w:vAlign w:val="bottom"/>
            <w:tcBorders>
              <w:right w:val="single" w:sz="8" w:color="3C5896"/>
            </w:tcBorders>
            <w:gridSpan w:val="2"/>
            <w:shd w:val="clear" w:color="auto" w:fill="CCCCCC"/>
          </w:tcPr>
          <w:p>
            <w:pPr>
              <w:jc w:val="right"/>
              <w:ind w:right="70"/>
              <w:spacing w:after="0"/>
              <w:rPr>
                <w:sz w:val="20"/>
                <w:szCs w:val="20"/>
                <w:color w:val="auto"/>
              </w:rPr>
            </w:pPr>
            <w:r>
              <w:rPr>
                <w:rFonts w:ascii="Arial" w:cs="Arial" w:eastAsia="Arial" w:hAnsi="Arial"/>
                <w:sz w:val="14"/>
                <w:szCs w:val="14"/>
                <w:color w:val="auto"/>
              </w:rPr>
              <w:t>590,745</w:t>
            </w:r>
          </w:p>
        </w:tc>
        <w:tc>
          <w:tcPr>
            <w:tcW w:w="0" w:type="dxa"/>
            <w:vAlign w:val="bottom"/>
          </w:tcPr>
          <w:p>
            <w:pPr>
              <w:spacing w:after="0"/>
              <w:rPr>
                <w:sz w:val="1"/>
                <w:szCs w:val="1"/>
                <w:color w:val="auto"/>
              </w:rPr>
            </w:pPr>
          </w:p>
        </w:tc>
      </w:tr>
      <w:tr>
        <w:trPr>
          <w:trHeight w:val="162"/>
        </w:trPr>
        <w:tc>
          <w:tcPr>
            <w:tcW w:w="17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Senior Vice President</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2017</w:t>
            </w:r>
          </w:p>
        </w:tc>
        <w:tc>
          <w:tcPr>
            <w:tcW w:w="60" w:type="dxa"/>
            <w:vAlign w:val="bottom"/>
            <w:shd w:val="clear" w:color="auto" w:fill="CCCCCC"/>
          </w:tcPr>
          <w:p>
            <w:pPr>
              <w:spacing w:after="0"/>
              <w:rPr>
                <w:sz w:val="14"/>
                <w:szCs w:val="14"/>
                <w:color w:val="auto"/>
              </w:rPr>
            </w:pPr>
          </w:p>
        </w:tc>
        <w:tc>
          <w:tcPr>
            <w:tcW w:w="600" w:type="dxa"/>
            <w:vAlign w:val="bottom"/>
            <w:tcBorders>
              <w:right w:val="single" w:sz="8" w:color="9EACCA"/>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w w:val="98"/>
              </w:rPr>
              <w:t>400,000</w:t>
            </w:r>
          </w:p>
        </w:tc>
        <w:tc>
          <w:tcPr>
            <w:tcW w:w="240" w:type="dxa"/>
            <w:vAlign w:val="bottom"/>
            <w:shd w:val="clear" w:color="auto" w:fill="CCCCCC"/>
          </w:tcPr>
          <w:p>
            <w:pPr>
              <w:spacing w:after="0"/>
              <w:rPr>
                <w:sz w:val="14"/>
                <w:szCs w:val="14"/>
                <w:color w:val="auto"/>
              </w:rPr>
            </w:pPr>
          </w:p>
        </w:tc>
        <w:tc>
          <w:tcPr>
            <w:tcW w:w="400" w:type="dxa"/>
            <w:vAlign w:val="bottom"/>
            <w:tcBorders>
              <w:right w:val="single" w:sz="8" w:color="9EACCA"/>
            </w:tcBorders>
            <w:vMerge w:val="restart"/>
            <w:shd w:val="clear" w:color="auto" w:fill="CCCCCC"/>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CCCC"/>
          </w:tcPr>
          <w:p>
            <w:pPr>
              <w:spacing w:after="0"/>
              <w:rPr>
                <w:sz w:val="14"/>
                <w:szCs w:val="14"/>
                <w:color w:val="auto"/>
              </w:rPr>
            </w:pPr>
          </w:p>
        </w:tc>
        <w:tc>
          <w:tcPr>
            <w:tcW w:w="760" w:type="dxa"/>
            <w:vAlign w:val="bottom"/>
            <w:tcBorders>
              <w:right w:val="single" w:sz="8" w:color="9EACCA"/>
            </w:tcBorders>
            <w:vMerge w:val="restart"/>
            <w:shd w:val="clear" w:color="auto" w:fill="CCCCCC"/>
          </w:tcPr>
          <w:p>
            <w:pPr>
              <w:jc w:val="right"/>
              <w:ind w:right="49"/>
              <w:spacing w:after="0"/>
              <w:rPr>
                <w:sz w:val="20"/>
                <w:szCs w:val="20"/>
                <w:color w:val="auto"/>
              </w:rPr>
            </w:pPr>
            <w:r>
              <w:rPr>
                <w:rFonts w:ascii="Arial" w:cs="Arial" w:eastAsia="Arial" w:hAnsi="Arial"/>
                <w:sz w:val="14"/>
                <w:szCs w:val="14"/>
                <w:color w:val="auto"/>
              </w:rPr>
              <w:t>848,442</w:t>
            </w:r>
          </w:p>
        </w:tc>
        <w:tc>
          <w:tcPr>
            <w:tcW w:w="280" w:type="dxa"/>
            <w:vAlign w:val="bottom"/>
            <w:shd w:val="clear" w:color="auto" w:fill="CCCCCC"/>
          </w:tcPr>
          <w:p>
            <w:pPr>
              <w:spacing w:after="0"/>
              <w:rPr>
                <w:sz w:val="14"/>
                <w:szCs w:val="14"/>
                <w:color w:val="auto"/>
              </w:rPr>
            </w:pPr>
          </w:p>
        </w:tc>
        <w:tc>
          <w:tcPr>
            <w:tcW w:w="840" w:type="dxa"/>
            <w:vAlign w:val="bottom"/>
            <w:tcBorders>
              <w:right w:val="single" w:sz="8" w:color="9EACCA"/>
            </w:tcBorders>
            <w:vMerge w:val="restart"/>
            <w:shd w:val="clear" w:color="auto" w:fill="CCCCCC"/>
          </w:tcPr>
          <w:p>
            <w:pPr>
              <w:jc w:val="right"/>
              <w:ind w:right="230"/>
              <w:spacing w:after="0"/>
              <w:rPr>
                <w:sz w:val="20"/>
                <w:szCs w:val="20"/>
                <w:color w:val="auto"/>
              </w:rPr>
            </w:pPr>
            <w:r>
              <w:rPr>
                <w:rFonts w:ascii="Arial" w:cs="Arial" w:eastAsia="Arial" w:hAnsi="Arial"/>
                <w:sz w:val="14"/>
                <w:szCs w:val="14"/>
                <w:color w:val="auto"/>
              </w:rPr>
              <w:t>221,403</w:t>
            </w:r>
          </w:p>
        </w:tc>
        <w:tc>
          <w:tcPr>
            <w:tcW w:w="440" w:type="dxa"/>
            <w:vAlign w:val="bottom"/>
            <w:shd w:val="clear" w:color="auto" w:fill="CCCCCC"/>
          </w:tcPr>
          <w:p>
            <w:pPr>
              <w:spacing w:after="0"/>
              <w:rPr>
                <w:sz w:val="14"/>
                <w:szCs w:val="14"/>
                <w:color w:val="auto"/>
              </w:rPr>
            </w:pPr>
          </w:p>
        </w:tc>
        <w:tc>
          <w:tcPr>
            <w:tcW w:w="640" w:type="dxa"/>
            <w:vAlign w:val="bottom"/>
            <w:tcBorders>
              <w:right w:val="single" w:sz="8" w:color="9EACCA"/>
            </w:tcBorders>
            <w:vMerge w:val="restart"/>
            <w:shd w:val="clear" w:color="auto" w:fill="CCCCCC"/>
          </w:tcPr>
          <w:p>
            <w:pPr>
              <w:jc w:val="right"/>
              <w:ind w:right="408"/>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CCCCC"/>
          </w:tcPr>
          <w:p>
            <w:pPr>
              <w:spacing w:after="0"/>
              <w:rPr>
                <w:sz w:val="14"/>
                <w:szCs w:val="14"/>
                <w:color w:val="auto"/>
              </w:rPr>
            </w:pPr>
          </w:p>
        </w:tc>
        <w:tc>
          <w:tcPr>
            <w:tcW w:w="820" w:type="dxa"/>
            <w:vAlign w:val="bottom"/>
            <w:tcBorders>
              <w:right w:val="single" w:sz="8" w:color="9EACCA"/>
            </w:tcBorders>
            <w:vMerge w:val="restart"/>
            <w:shd w:val="clear" w:color="auto" w:fill="CCCCCC"/>
          </w:tcPr>
          <w:p>
            <w:pPr>
              <w:jc w:val="right"/>
              <w:ind w:right="228"/>
              <w:spacing w:after="0"/>
              <w:rPr>
                <w:sz w:val="20"/>
                <w:szCs w:val="20"/>
                <w:color w:val="auto"/>
              </w:rPr>
            </w:pPr>
            <w:r>
              <w:rPr>
                <w:rFonts w:ascii="Arial" w:cs="Arial" w:eastAsia="Arial" w:hAnsi="Arial"/>
                <w:sz w:val="14"/>
                <w:szCs w:val="14"/>
                <w:color w:val="auto"/>
              </w:rPr>
              <w:t>93,882</w:t>
            </w:r>
          </w:p>
        </w:tc>
        <w:tc>
          <w:tcPr>
            <w:tcW w:w="80" w:type="dxa"/>
            <w:vAlign w:val="bottom"/>
            <w:shd w:val="clear" w:color="auto" w:fill="CCCCCC"/>
          </w:tcPr>
          <w:p>
            <w:pPr>
              <w:spacing w:after="0"/>
              <w:rPr>
                <w:sz w:val="14"/>
                <w:szCs w:val="14"/>
                <w:color w:val="auto"/>
              </w:rPr>
            </w:pPr>
          </w:p>
        </w:tc>
        <w:tc>
          <w:tcPr>
            <w:tcW w:w="780" w:type="dxa"/>
            <w:vAlign w:val="bottom"/>
            <w:tcBorders>
              <w:right w:val="single" w:sz="8" w:color="3C5896"/>
            </w:tcBorders>
            <w:vMerge w:val="restart"/>
            <w:shd w:val="clear" w:color="auto" w:fill="CCCCCC"/>
          </w:tcPr>
          <w:p>
            <w:pPr>
              <w:jc w:val="right"/>
              <w:ind w:right="70"/>
              <w:spacing w:after="0"/>
              <w:rPr>
                <w:sz w:val="20"/>
                <w:szCs w:val="20"/>
                <w:color w:val="auto"/>
              </w:rPr>
            </w:pPr>
            <w:r>
              <w:rPr>
                <w:rFonts w:ascii="Arial" w:cs="Arial" w:eastAsia="Arial" w:hAnsi="Arial"/>
                <w:sz w:val="14"/>
                <w:szCs w:val="14"/>
                <w:color w:val="auto"/>
                <w:w w:val="99"/>
              </w:rPr>
              <w:t>1,563,727</w:t>
            </w:r>
          </w:p>
        </w:tc>
        <w:tc>
          <w:tcPr>
            <w:tcW w:w="0" w:type="dxa"/>
            <w:vAlign w:val="bottom"/>
          </w:tcPr>
          <w:p>
            <w:pPr>
              <w:spacing w:after="0"/>
              <w:rPr>
                <w:sz w:val="1"/>
                <w:szCs w:val="1"/>
                <w:color w:val="auto"/>
              </w:rPr>
            </w:pPr>
          </w:p>
        </w:tc>
      </w:tr>
      <w:tr>
        <w:trPr>
          <w:trHeight w:val="78"/>
        </w:trPr>
        <w:tc>
          <w:tcPr>
            <w:tcW w:w="1720" w:type="dxa"/>
            <w:vAlign w:val="bottom"/>
            <w:tcBorders>
              <w:left w:val="single" w:sz="8" w:color="3C5896"/>
              <w:right w:val="single" w:sz="8" w:color="9EACCA"/>
            </w:tcBorders>
            <w:vMerge w:val="restart"/>
            <w:shd w:val="clear" w:color="auto" w:fill="CCCCCC"/>
          </w:tcPr>
          <w:p>
            <w:pPr>
              <w:ind w:left="180"/>
              <w:spacing w:after="0"/>
              <w:rPr>
                <w:sz w:val="20"/>
                <w:szCs w:val="20"/>
                <w:color w:val="auto"/>
              </w:rPr>
            </w:pPr>
            <w:r>
              <w:rPr>
                <w:rFonts w:ascii="Arial" w:cs="Arial" w:eastAsia="Arial" w:hAnsi="Arial"/>
                <w:sz w:val="14"/>
                <w:szCs w:val="14"/>
                <w:color w:val="auto"/>
              </w:rPr>
              <w:t>and Chief Financial</w:t>
            </w:r>
          </w:p>
        </w:tc>
        <w:tc>
          <w:tcPr>
            <w:tcW w:w="80" w:type="dxa"/>
            <w:vAlign w:val="bottom"/>
            <w:shd w:val="clear" w:color="auto" w:fill="CCCCCC"/>
          </w:tcPr>
          <w:p>
            <w:pPr>
              <w:spacing w:after="0"/>
              <w:rPr>
                <w:sz w:val="6"/>
                <w:szCs w:val="6"/>
                <w:color w:val="auto"/>
              </w:rPr>
            </w:pPr>
          </w:p>
        </w:tc>
        <w:tc>
          <w:tcPr>
            <w:tcW w:w="420" w:type="dxa"/>
            <w:vAlign w:val="bottom"/>
            <w:tcBorders>
              <w:right w:val="single" w:sz="8" w:color="9EACCA"/>
            </w:tcBorders>
            <w:vMerge w:val="continue"/>
            <w:shd w:val="clear" w:color="auto" w:fill="CCCCCC"/>
          </w:tcPr>
          <w:p>
            <w:pPr>
              <w:spacing w:after="0"/>
              <w:rPr>
                <w:sz w:val="6"/>
                <w:szCs w:val="6"/>
                <w:color w:val="auto"/>
              </w:rPr>
            </w:pPr>
          </w:p>
        </w:tc>
        <w:tc>
          <w:tcPr>
            <w:tcW w:w="60" w:type="dxa"/>
            <w:vAlign w:val="bottom"/>
            <w:shd w:val="clear" w:color="auto" w:fill="CCCCCC"/>
          </w:tcPr>
          <w:p>
            <w:pPr>
              <w:spacing w:after="0"/>
              <w:rPr>
                <w:sz w:val="6"/>
                <w:szCs w:val="6"/>
                <w:color w:val="auto"/>
              </w:rPr>
            </w:pPr>
          </w:p>
        </w:tc>
        <w:tc>
          <w:tcPr>
            <w:tcW w:w="600" w:type="dxa"/>
            <w:vAlign w:val="bottom"/>
            <w:tcBorders>
              <w:right w:val="single" w:sz="8" w:color="9EACCA"/>
            </w:tcBorders>
            <w:vMerge w:val="continue"/>
            <w:shd w:val="clear" w:color="auto" w:fill="CCCCCC"/>
          </w:tcPr>
          <w:p>
            <w:pPr>
              <w:spacing w:after="0"/>
              <w:rPr>
                <w:sz w:val="6"/>
                <w:szCs w:val="6"/>
                <w:color w:val="auto"/>
              </w:rPr>
            </w:pPr>
          </w:p>
        </w:tc>
        <w:tc>
          <w:tcPr>
            <w:tcW w:w="240" w:type="dxa"/>
            <w:vAlign w:val="bottom"/>
            <w:shd w:val="clear" w:color="auto" w:fill="CCCCCC"/>
          </w:tcPr>
          <w:p>
            <w:pPr>
              <w:spacing w:after="0"/>
              <w:rPr>
                <w:sz w:val="6"/>
                <w:szCs w:val="6"/>
                <w:color w:val="auto"/>
              </w:rPr>
            </w:pPr>
          </w:p>
        </w:tc>
        <w:tc>
          <w:tcPr>
            <w:tcW w:w="400" w:type="dxa"/>
            <w:vAlign w:val="bottom"/>
            <w:tcBorders>
              <w:right w:val="single" w:sz="8" w:color="9EACCA"/>
            </w:tcBorders>
            <w:vMerge w:val="continue"/>
            <w:shd w:val="clear" w:color="auto" w:fill="CCCCCC"/>
          </w:tcPr>
          <w:p>
            <w:pPr>
              <w:spacing w:after="0"/>
              <w:rPr>
                <w:sz w:val="6"/>
                <w:szCs w:val="6"/>
                <w:color w:val="auto"/>
              </w:rPr>
            </w:pPr>
          </w:p>
        </w:tc>
        <w:tc>
          <w:tcPr>
            <w:tcW w:w="240" w:type="dxa"/>
            <w:vAlign w:val="bottom"/>
            <w:shd w:val="clear" w:color="auto" w:fill="CCCCCC"/>
          </w:tcPr>
          <w:p>
            <w:pPr>
              <w:spacing w:after="0"/>
              <w:rPr>
                <w:sz w:val="6"/>
                <w:szCs w:val="6"/>
                <w:color w:val="auto"/>
              </w:rPr>
            </w:pPr>
          </w:p>
        </w:tc>
        <w:tc>
          <w:tcPr>
            <w:tcW w:w="420" w:type="dxa"/>
            <w:vAlign w:val="bottom"/>
            <w:tcBorders>
              <w:right w:val="single" w:sz="8" w:color="9EACCA"/>
            </w:tcBorders>
            <w:vMerge w:val="continue"/>
            <w:shd w:val="clear" w:color="auto" w:fill="CCCCCC"/>
          </w:tcPr>
          <w:p>
            <w:pPr>
              <w:spacing w:after="0"/>
              <w:rPr>
                <w:sz w:val="6"/>
                <w:szCs w:val="6"/>
                <w:color w:val="auto"/>
              </w:rPr>
            </w:pPr>
          </w:p>
        </w:tc>
        <w:tc>
          <w:tcPr>
            <w:tcW w:w="100" w:type="dxa"/>
            <w:vAlign w:val="bottom"/>
            <w:shd w:val="clear" w:color="auto" w:fill="CCCCCC"/>
          </w:tcPr>
          <w:p>
            <w:pPr>
              <w:spacing w:after="0"/>
              <w:rPr>
                <w:sz w:val="6"/>
                <w:szCs w:val="6"/>
                <w:color w:val="auto"/>
              </w:rPr>
            </w:pPr>
          </w:p>
        </w:tc>
        <w:tc>
          <w:tcPr>
            <w:tcW w:w="760" w:type="dxa"/>
            <w:vAlign w:val="bottom"/>
            <w:tcBorders>
              <w:right w:val="single" w:sz="8" w:color="9EACCA"/>
            </w:tcBorders>
            <w:vMerge w:val="continue"/>
            <w:shd w:val="clear" w:color="auto" w:fill="CCCCCC"/>
          </w:tcPr>
          <w:p>
            <w:pPr>
              <w:spacing w:after="0"/>
              <w:rPr>
                <w:sz w:val="6"/>
                <w:szCs w:val="6"/>
                <w:color w:val="auto"/>
              </w:rPr>
            </w:pPr>
          </w:p>
        </w:tc>
        <w:tc>
          <w:tcPr>
            <w:tcW w:w="280" w:type="dxa"/>
            <w:vAlign w:val="bottom"/>
            <w:shd w:val="clear" w:color="auto" w:fill="CCCCCC"/>
          </w:tcPr>
          <w:p>
            <w:pPr>
              <w:spacing w:after="0"/>
              <w:rPr>
                <w:sz w:val="6"/>
                <w:szCs w:val="6"/>
                <w:color w:val="auto"/>
              </w:rPr>
            </w:pPr>
          </w:p>
        </w:tc>
        <w:tc>
          <w:tcPr>
            <w:tcW w:w="840" w:type="dxa"/>
            <w:vAlign w:val="bottom"/>
            <w:tcBorders>
              <w:right w:val="single" w:sz="8" w:color="9EACCA"/>
            </w:tcBorders>
            <w:vMerge w:val="continue"/>
            <w:shd w:val="clear" w:color="auto" w:fill="CCCCCC"/>
          </w:tcPr>
          <w:p>
            <w:pPr>
              <w:spacing w:after="0"/>
              <w:rPr>
                <w:sz w:val="6"/>
                <w:szCs w:val="6"/>
                <w:color w:val="auto"/>
              </w:rPr>
            </w:pPr>
          </w:p>
        </w:tc>
        <w:tc>
          <w:tcPr>
            <w:tcW w:w="440" w:type="dxa"/>
            <w:vAlign w:val="bottom"/>
            <w:shd w:val="clear" w:color="auto" w:fill="CCCCCC"/>
          </w:tcPr>
          <w:p>
            <w:pPr>
              <w:spacing w:after="0"/>
              <w:rPr>
                <w:sz w:val="6"/>
                <w:szCs w:val="6"/>
                <w:color w:val="auto"/>
              </w:rPr>
            </w:pPr>
          </w:p>
        </w:tc>
        <w:tc>
          <w:tcPr>
            <w:tcW w:w="640" w:type="dxa"/>
            <w:vAlign w:val="bottom"/>
            <w:tcBorders>
              <w:right w:val="single" w:sz="8" w:color="9EACCA"/>
            </w:tcBorders>
            <w:vMerge w:val="continue"/>
            <w:shd w:val="clear" w:color="auto" w:fill="CCCCCC"/>
          </w:tcPr>
          <w:p>
            <w:pPr>
              <w:spacing w:after="0"/>
              <w:rPr>
                <w:sz w:val="6"/>
                <w:szCs w:val="6"/>
                <w:color w:val="auto"/>
              </w:rPr>
            </w:pPr>
          </w:p>
        </w:tc>
        <w:tc>
          <w:tcPr>
            <w:tcW w:w="280" w:type="dxa"/>
            <w:vAlign w:val="bottom"/>
            <w:shd w:val="clear" w:color="auto" w:fill="CCCCCC"/>
          </w:tcPr>
          <w:p>
            <w:pPr>
              <w:spacing w:after="0"/>
              <w:rPr>
                <w:sz w:val="6"/>
                <w:szCs w:val="6"/>
                <w:color w:val="auto"/>
              </w:rPr>
            </w:pPr>
          </w:p>
        </w:tc>
        <w:tc>
          <w:tcPr>
            <w:tcW w:w="820" w:type="dxa"/>
            <w:vAlign w:val="bottom"/>
            <w:tcBorders>
              <w:right w:val="single" w:sz="8" w:color="9EACCA"/>
            </w:tcBorders>
            <w:vMerge w:val="continue"/>
            <w:shd w:val="clear" w:color="auto" w:fill="CCCCCC"/>
          </w:tcPr>
          <w:p>
            <w:pPr>
              <w:spacing w:after="0"/>
              <w:rPr>
                <w:sz w:val="6"/>
                <w:szCs w:val="6"/>
                <w:color w:val="auto"/>
              </w:rPr>
            </w:pPr>
          </w:p>
        </w:tc>
        <w:tc>
          <w:tcPr>
            <w:tcW w:w="80" w:type="dxa"/>
            <w:vAlign w:val="bottom"/>
            <w:shd w:val="clear" w:color="auto" w:fill="CCCCCC"/>
          </w:tcPr>
          <w:p>
            <w:pPr>
              <w:spacing w:after="0"/>
              <w:rPr>
                <w:sz w:val="6"/>
                <w:szCs w:val="6"/>
                <w:color w:val="auto"/>
              </w:rPr>
            </w:pPr>
          </w:p>
        </w:tc>
        <w:tc>
          <w:tcPr>
            <w:tcW w:w="780" w:type="dxa"/>
            <w:vAlign w:val="bottom"/>
            <w:tcBorders>
              <w:right w:val="single" w:sz="8" w:color="3C5896"/>
            </w:tcBorders>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720" w:type="dxa"/>
            <w:vAlign w:val="bottom"/>
            <w:tcBorders>
              <w:left w:val="single" w:sz="8" w:color="3C5896"/>
              <w:right w:val="single" w:sz="8" w:color="9EACCA"/>
            </w:tcBorders>
            <w:vMerge w:val="continue"/>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2016</w:t>
            </w:r>
          </w:p>
        </w:tc>
        <w:tc>
          <w:tcPr>
            <w:tcW w:w="60" w:type="dxa"/>
            <w:vAlign w:val="bottom"/>
            <w:shd w:val="clear" w:color="auto" w:fill="CCCCCC"/>
          </w:tcPr>
          <w:p>
            <w:pPr>
              <w:spacing w:after="0"/>
              <w:rPr>
                <w:sz w:val="7"/>
                <w:szCs w:val="7"/>
                <w:color w:val="auto"/>
              </w:rPr>
            </w:pPr>
          </w:p>
        </w:tc>
        <w:tc>
          <w:tcPr>
            <w:tcW w:w="600" w:type="dxa"/>
            <w:vAlign w:val="bottom"/>
            <w:tcBorders>
              <w:right w:val="single" w:sz="8" w:color="9EACCA"/>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w w:val="98"/>
              </w:rPr>
              <w:t>378,950</w:t>
            </w:r>
          </w:p>
        </w:tc>
        <w:tc>
          <w:tcPr>
            <w:tcW w:w="240" w:type="dxa"/>
            <w:vAlign w:val="bottom"/>
            <w:shd w:val="clear" w:color="auto" w:fill="CCCCCC"/>
          </w:tcPr>
          <w:p>
            <w:pPr>
              <w:spacing w:after="0"/>
              <w:rPr>
                <w:sz w:val="7"/>
                <w:szCs w:val="7"/>
                <w:color w:val="auto"/>
              </w:rPr>
            </w:pPr>
          </w:p>
        </w:tc>
        <w:tc>
          <w:tcPr>
            <w:tcW w:w="400" w:type="dxa"/>
            <w:vAlign w:val="bottom"/>
            <w:tcBorders>
              <w:right w:val="single" w:sz="8" w:color="9EACCA"/>
            </w:tcBorders>
            <w:vMerge w:val="restart"/>
            <w:shd w:val="clear" w:color="auto" w:fill="CCCCCC"/>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CCCC"/>
          </w:tcPr>
          <w:p>
            <w:pPr>
              <w:spacing w:after="0"/>
              <w:rPr>
                <w:sz w:val="7"/>
                <w:szCs w:val="7"/>
                <w:color w:val="auto"/>
              </w:rPr>
            </w:pPr>
          </w:p>
        </w:tc>
        <w:tc>
          <w:tcPr>
            <w:tcW w:w="4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CCCC"/>
          </w:tcPr>
          <w:p>
            <w:pPr>
              <w:spacing w:after="0"/>
              <w:rPr>
                <w:sz w:val="7"/>
                <w:szCs w:val="7"/>
                <w:color w:val="auto"/>
              </w:rPr>
            </w:pPr>
          </w:p>
        </w:tc>
        <w:tc>
          <w:tcPr>
            <w:tcW w:w="760" w:type="dxa"/>
            <w:vAlign w:val="bottom"/>
            <w:tcBorders>
              <w:right w:val="single" w:sz="8" w:color="9EACCA"/>
            </w:tcBorders>
            <w:vMerge w:val="restart"/>
            <w:shd w:val="clear" w:color="auto" w:fill="CCCCCC"/>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CCCC"/>
          </w:tcPr>
          <w:p>
            <w:pPr>
              <w:spacing w:after="0"/>
              <w:rPr>
                <w:sz w:val="7"/>
                <w:szCs w:val="7"/>
                <w:color w:val="auto"/>
              </w:rPr>
            </w:pPr>
          </w:p>
        </w:tc>
        <w:tc>
          <w:tcPr>
            <w:tcW w:w="840" w:type="dxa"/>
            <w:vAlign w:val="bottom"/>
            <w:tcBorders>
              <w:right w:val="single" w:sz="8" w:color="9EACCA"/>
            </w:tcBorders>
            <w:vMerge w:val="restart"/>
            <w:shd w:val="clear" w:color="auto" w:fill="CCCCCC"/>
          </w:tcPr>
          <w:p>
            <w:pPr>
              <w:jc w:val="right"/>
              <w:ind w:right="230"/>
              <w:spacing w:after="0"/>
              <w:rPr>
                <w:sz w:val="20"/>
                <w:szCs w:val="20"/>
                <w:color w:val="auto"/>
              </w:rPr>
            </w:pPr>
            <w:r>
              <w:rPr>
                <w:rFonts w:ascii="Arial" w:cs="Arial" w:eastAsia="Arial" w:hAnsi="Arial"/>
                <w:sz w:val="14"/>
                <w:szCs w:val="14"/>
                <w:color w:val="auto"/>
              </w:rPr>
              <w:t>266,144</w:t>
            </w:r>
          </w:p>
        </w:tc>
        <w:tc>
          <w:tcPr>
            <w:tcW w:w="440" w:type="dxa"/>
            <w:vAlign w:val="bottom"/>
            <w:shd w:val="clear" w:color="auto" w:fill="CCCCCC"/>
          </w:tcPr>
          <w:p>
            <w:pPr>
              <w:spacing w:after="0"/>
              <w:rPr>
                <w:sz w:val="7"/>
                <w:szCs w:val="7"/>
                <w:color w:val="auto"/>
              </w:rPr>
            </w:pPr>
          </w:p>
        </w:tc>
        <w:tc>
          <w:tcPr>
            <w:tcW w:w="640" w:type="dxa"/>
            <w:vAlign w:val="bottom"/>
            <w:tcBorders>
              <w:right w:val="single" w:sz="8" w:color="9EACCA"/>
            </w:tcBorders>
            <w:vMerge w:val="restart"/>
            <w:shd w:val="clear" w:color="auto" w:fill="CCCCCC"/>
          </w:tcPr>
          <w:p>
            <w:pPr>
              <w:jc w:val="right"/>
              <w:ind w:right="408"/>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CCCCC"/>
          </w:tcPr>
          <w:p>
            <w:pPr>
              <w:spacing w:after="0"/>
              <w:rPr>
                <w:sz w:val="7"/>
                <w:szCs w:val="7"/>
                <w:color w:val="auto"/>
              </w:rPr>
            </w:pPr>
          </w:p>
        </w:tc>
        <w:tc>
          <w:tcPr>
            <w:tcW w:w="820" w:type="dxa"/>
            <w:vAlign w:val="bottom"/>
            <w:tcBorders>
              <w:right w:val="single" w:sz="8" w:color="9EACCA"/>
            </w:tcBorders>
            <w:vMerge w:val="restart"/>
            <w:shd w:val="clear" w:color="auto" w:fill="CCCCCC"/>
          </w:tcPr>
          <w:p>
            <w:pPr>
              <w:jc w:val="right"/>
              <w:ind w:right="228"/>
              <w:spacing w:after="0"/>
              <w:rPr>
                <w:sz w:val="20"/>
                <w:szCs w:val="20"/>
                <w:color w:val="auto"/>
              </w:rPr>
            </w:pPr>
            <w:r>
              <w:rPr>
                <w:rFonts w:ascii="Arial" w:cs="Arial" w:eastAsia="Arial" w:hAnsi="Arial"/>
                <w:sz w:val="14"/>
                <w:szCs w:val="14"/>
                <w:color w:val="auto"/>
              </w:rPr>
              <w:t>9,380</w:t>
            </w:r>
          </w:p>
        </w:tc>
        <w:tc>
          <w:tcPr>
            <w:tcW w:w="80" w:type="dxa"/>
            <w:vAlign w:val="bottom"/>
            <w:shd w:val="clear" w:color="auto" w:fill="CCCCCC"/>
          </w:tcPr>
          <w:p>
            <w:pPr>
              <w:spacing w:after="0"/>
              <w:rPr>
                <w:sz w:val="7"/>
                <w:szCs w:val="7"/>
                <w:color w:val="auto"/>
              </w:rPr>
            </w:pPr>
          </w:p>
        </w:tc>
        <w:tc>
          <w:tcPr>
            <w:tcW w:w="780" w:type="dxa"/>
            <w:vAlign w:val="bottom"/>
            <w:tcBorders>
              <w:right w:val="single" w:sz="8" w:color="3C5896"/>
            </w:tcBorders>
            <w:vMerge w:val="restart"/>
            <w:shd w:val="clear" w:color="auto" w:fill="CCCCCC"/>
          </w:tcPr>
          <w:p>
            <w:pPr>
              <w:jc w:val="right"/>
              <w:ind w:right="70"/>
              <w:spacing w:after="0"/>
              <w:rPr>
                <w:sz w:val="20"/>
                <w:szCs w:val="20"/>
                <w:color w:val="auto"/>
              </w:rPr>
            </w:pPr>
            <w:r>
              <w:rPr>
                <w:rFonts w:ascii="Arial" w:cs="Arial" w:eastAsia="Arial" w:hAnsi="Arial"/>
                <w:sz w:val="14"/>
                <w:szCs w:val="14"/>
                <w:color w:val="auto"/>
              </w:rPr>
              <w:t>654,474</w:t>
            </w:r>
          </w:p>
        </w:tc>
        <w:tc>
          <w:tcPr>
            <w:tcW w:w="0" w:type="dxa"/>
            <w:vAlign w:val="bottom"/>
          </w:tcPr>
          <w:p>
            <w:pPr>
              <w:spacing w:after="0"/>
              <w:rPr>
                <w:sz w:val="1"/>
                <w:szCs w:val="1"/>
                <w:color w:val="auto"/>
              </w:rPr>
            </w:pPr>
          </w:p>
        </w:tc>
      </w:tr>
      <w:tr>
        <w:trPr>
          <w:trHeight w:val="191"/>
        </w:trPr>
        <w:tc>
          <w:tcPr>
            <w:tcW w:w="1720" w:type="dxa"/>
            <w:vAlign w:val="bottom"/>
            <w:tcBorders>
              <w:left w:val="single" w:sz="8" w:color="3C5896"/>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Officer</w:t>
            </w:r>
          </w:p>
        </w:tc>
        <w:tc>
          <w:tcPr>
            <w:tcW w:w="80" w:type="dxa"/>
            <w:vAlign w:val="bottom"/>
            <w:tcBorders>
              <w:bottom w:val="single" w:sz="8" w:color="CCCCCC"/>
            </w:tcBorders>
            <w:shd w:val="clear" w:color="auto" w:fill="CCCCCC"/>
          </w:tcPr>
          <w:p>
            <w:pPr>
              <w:spacing w:after="0"/>
              <w:rPr>
                <w:sz w:val="16"/>
                <w:szCs w:val="16"/>
                <w:color w:val="auto"/>
              </w:rPr>
            </w:pPr>
          </w:p>
        </w:tc>
        <w:tc>
          <w:tcPr>
            <w:tcW w:w="4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60" w:type="dxa"/>
            <w:vAlign w:val="bottom"/>
            <w:tcBorders>
              <w:bottom w:val="single" w:sz="8" w:color="CCCCCC"/>
            </w:tcBorders>
            <w:shd w:val="clear" w:color="auto" w:fill="CCCCCC"/>
          </w:tcPr>
          <w:p>
            <w:pPr>
              <w:spacing w:after="0"/>
              <w:rPr>
                <w:sz w:val="16"/>
                <w:szCs w:val="16"/>
                <w:color w:val="auto"/>
              </w:rPr>
            </w:pPr>
          </w:p>
        </w:tc>
        <w:tc>
          <w:tcPr>
            <w:tcW w:w="60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40" w:type="dxa"/>
            <w:vAlign w:val="bottom"/>
            <w:tcBorders>
              <w:bottom w:val="single" w:sz="8" w:color="CCCCCC"/>
            </w:tcBorders>
            <w:shd w:val="clear" w:color="auto" w:fill="CCCCCC"/>
          </w:tcPr>
          <w:p>
            <w:pPr>
              <w:spacing w:after="0"/>
              <w:rPr>
                <w:sz w:val="16"/>
                <w:szCs w:val="16"/>
                <w:color w:val="auto"/>
              </w:rPr>
            </w:pPr>
          </w:p>
        </w:tc>
        <w:tc>
          <w:tcPr>
            <w:tcW w:w="40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40" w:type="dxa"/>
            <w:vAlign w:val="bottom"/>
            <w:tcBorders>
              <w:bottom w:val="single" w:sz="8" w:color="CCCCCC"/>
            </w:tcBorders>
            <w:shd w:val="clear" w:color="auto" w:fill="CCCCCC"/>
          </w:tcPr>
          <w:p>
            <w:pPr>
              <w:spacing w:after="0"/>
              <w:rPr>
                <w:sz w:val="16"/>
                <w:szCs w:val="16"/>
                <w:color w:val="auto"/>
              </w:rPr>
            </w:pPr>
          </w:p>
        </w:tc>
        <w:tc>
          <w:tcPr>
            <w:tcW w:w="4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100" w:type="dxa"/>
            <w:vAlign w:val="bottom"/>
            <w:tcBorders>
              <w:bottom w:val="single" w:sz="8" w:color="CCCCCC"/>
            </w:tcBorders>
            <w:shd w:val="clear" w:color="auto" w:fill="CCCCCC"/>
          </w:tcPr>
          <w:p>
            <w:pPr>
              <w:spacing w:after="0"/>
              <w:rPr>
                <w:sz w:val="16"/>
                <w:szCs w:val="16"/>
                <w:color w:val="auto"/>
              </w:rPr>
            </w:pPr>
          </w:p>
        </w:tc>
        <w:tc>
          <w:tcPr>
            <w:tcW w:w="76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80" w:type="dxa"/>
            <w:vAlign w:val="bottom"/>
            <w:tcBorders>
              <w:bottom w:val="single" w:sz="8" w:color="CCCCCC"/>
            </w:tcBorders>
            <w:shd w:val="clear" w:color="auto" w:fill="CCCCCC"/>
          </w:tcPr>
          <w:p>
            <w:pPr>
              <w:spacing w:after="0"/>
              <w:rPr>
                <w:sz w:val="16"/>
                <w:szCs w:val="16"/>
                <w:color w:val="auto"/>
              </w:rPr>
            </w:pPr>
          </w:p>
        </w:tc>
        <w:tc>
          <w:tcPr>
            <w:tcW w:w="84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440" w:type="dxa"/>
            <w:vAlign w:val="bottom"/>
            <w:tcBorders>
              <w:bottom w:val="single" w:sz="8" w:color="CCCCCC"/>
            </w:tcBorders>
            <w:shd w:val="clear" w:color="auto" w:fill="CCCCCC"/>
          </w:tcPr>
          <w:p>
            <w:pPr>
              <w:spacing w:after="0"/>
              <w:rPr>
                <w:sz w:val="16"/>
                <w:szCs w:val="16"/>
                <w:color w:val="auto"/>
              </w:rPr>
            </w:pPr>
          </w:p>
        </w:tc>
        <w:tc>
          <w:tcPr>
            <w:tcW w:w="64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80" w:type="dxa"/>
            <w:vAlign w:val="bottom"/>
            <w:tcBorders>
              <w:bottom w:val="single" w:sz="8" w:color="CCCCCC"/>
            </w:tcBorders>
            <w:shd w:val="clear" w:color="auto" w:fill="CCCCCC"/>
          </w:tcPr>
          <w:p>
            <w:pPr>
              <w:spacing w:after="0"/>
              <w:rPr>
                <w:sz w:val="16"/>
                <w:szCs w:val="16"/>
                <w:color w:val="auto"/>
              </w:rPr>
            </w:pPr>
          </w:p>
        </w:tc>
        <w:tc>
          <w:tcPr>
            <w:tcW w:w="8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80" w:type="dxa"/>
            <w:vAlign w:val="bottom"/>
            <w:tcBorders>
              <w:bottom w:val="single" w:sz="8" w:color="CCCCCC"/>
            </w:tcBorders>
            <w:shd w:val="clear" w:color="auto" w:fill="CCCCCC"/>
          </w:tcPr>
          <w:p>
            <w:pPr>
              <w:spacing w:after="0"/>
              <w:rPr>
                <w:sz w:val="16"/>
                <w:szCs w:val="16"/>
                <w:color w:val="auto"/>
              </w:rPr>
            </w:pPr>
          </w:p>
        </w:tc>
        <w:tc>
          <w:tcPr>
            <w:tcW w:w="780" w:type="dxa"/>
            <w:vAlign w:val="bottom"/>
            <w:tcBorders>
              <w:bottom w:val="single" w:sz="8" w:color="CCCCCC"/>
              <w:right w:val="single" w:sz="8" w:color="3C5896"/>
            </w:tcBorders>
            <w:vMerge w:val="continue"/>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Jeff McAllister</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2018</w:t>
            </w:r>
          </w:p>
        </w:tc>
        <w:tc>
          <w:tcPr>
            <w:tcW w:w="660" w:type="dxa"/>
            <w:vAlign w:val="bottom"/>
            <w:tcBorders>
              <w:right w:val="single" w:sz="8" w:color="9EACCA"/>
            </w:tcBorders>
            <w:gridSpan w:val="2"/>
          </w:tcPr>
          <w:p>
            <w:pPr>
              <w:jc w:val="right"/>
              <w:ind w:right="10"/>
              <w:spacing w:after="0"/>
              <w:rPr>
                <w:sz w:val="20"/>
                <w:szCs w:val="20"/>
                <w:color w:val="auto"/>
              </w:rPr>
            </w:pPr>
            <w:r>
              <w:rPr>
                <w:rFonts w:ascii="Arial" w:cs="Arial" w:eastAsia="Arial" w:hAnsi="Arial"/>
                <w:sz w:val="14"/>
                <w:szCs w:val="14"/>
                <w:color w:val="auto"/>
              </w:rPr>
              <w:t>562,500</w:t>
            </w:r>
          </w:p>
        </w:tc>
        <w:tc>
          <w:tcPr>
            <w:tcW w:w="240" w:type="dxa"/>
            <w:vAlign w:val="bottom"/>
          </w:tcPr>
          <w:p>
            <w:pPr>
              <w:spacing w:after="0"/>
              <w:rPr>
                <w:sz w:val="19"/>
                <w:szCs w:val="19"/>
                <w:color w:val="auto"/>
              </w:rPr>
            </w:pPr>
          </w:p>
        </w:tc>
        <w:tc>
          <w:tcPr>
            <w:tcW w:w="400" w:type="dxa"/>
            <w:vAlign w:val="bottom"/>
            <w:tcBorders>
              <w:right w:val="single" w:sz="8" w:color="9EACCA"/>
            </w:tcBorders>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9"/>
                <w:szCs w:val="19"/>
                <w:color w:val="auto"/>
              </w:rPr>
            </w:pPr>
          </w:p>
        </w:tc>
        <w:tc>
          <w:tcPr>
            <w:tcW w:w="420" w:type="dxa"/>
            <w:vAlign w:val="bottom"/>
            <w:tcBorders>
              <w:right w:val="single" w:sz="8" w:color="9EACCA"/>
            </w:tcBorders>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9"/>
                <w:szCs w:val="19"/>
                <w:color w:val="auto"/>
              </w:rPr>
            </w:pPr>
          </w:p>
        </w:tc>
        <w:tc>
          <w:tcPr>
            <w:tcW w:w="760" w:type="dxa"/>
            <w:vAlign w:val="bottom"/>
            <w:tcBorders>
              <w:right w:val="single" w:sz="8" w:color="9EACCA"/>
            </w:tcBorders>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tcPr>
          <w:p>
            <w:pPr>
              <w:jc w:val="right"/>
              <w:ind w:right="230"/>
              <w:spacing w:after="0"/>
              <w:rPr>
                <w:sz w:val="20"/>
                <w:szCs w:val="20"/>
                <w:color w:val="auto"/>
              </w:rPr>
            </w:pPr>
            <w:r>
              <w:rPr>
                <w:rFonts w:ascii="Arial" w:cs="Arial" w:eastAsia="Arial" w:hAnsi="Arial"/>
                <w:sz w:val="14"/>
                <w:szCs w:val="14"/>
                <w:color w:val="auto"/>
              </w:rPr>
              <w:t>258,238</w:t>
            </w:r>
          </w:p>
        </w:tc>
        <w:tc>
          <w:tcPr>
            <w:tcW w:w="440" w:type="dxa"/>
            <w:vAlign w:val="bottom"/>
          </w:tcPr>
          <w:p>
            <w:pPr>
              <w:spacing w:after="0"/>
              <w:rPr>
                <w:sz w:val="19"/>
                <w:szCs w:val="19"/>
                <w:color w:val="auto"/>
              </w:rPr>
            </w:pPr>
          </w:p>
        </w:tc>
        <w:tc>
          <w:tcPr>
            <w:tcW w:w="640" w:type="dxa"/>
            <w:vAlign w:val="bottom"/>
            <w:tcBorders>
              <w:right w:val="single" w:sz="8" w:color="9EACCA"/>
            </w:tcBorders>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tcPr>
          <w:p>
            <w:pPr>
              <w:jc w:val="right"/>
              <w:ind w:right="228"/>
              <w:spacing w:after="0"/>
              <w:rPr>
                <w:sz w:val="20"/>
                <w:szCs w:val="20"/>
                <w:color w:val="auto"/>
              </w:rPr>
            </w:pPr>
            <w:r>
              <w:rPr>
                <w:rFonts w:ascii="Arial" w:cs="Arial" w:eastAsia="Arial" w:hAnsi="Arial"/>
                <w:sz w:val="14"/>
                <w:szCs w:val="14"/>
                <w:color w:val="auto"/>
              </w:rPr>
              <w:t>18,883</w:t>
            </w:r>
          </w:p>
        </w:tc>
        <w:tc>
          <w:tcPr>
            <w:tcW w:w="860" w:type="dxa"/>
            <w:vAlign w:val="bottom"/>
            <w:tcBorders>
              <w:right w:val="single" w:sz="8" w:color="3C5896"/>
            </w:tcBorders>
            <w:gridSpan w:val="2"/>
          </w:tcPr>
          <w:p>
            <w:pPr>
              <w:jc w:val="right"/>
              <w:ind w:right="70"/>
              <w:spacing w:after="0"/>
              <w:rPr>
                <w:sz w:val="20"/>
                <w:szCs w:val="20"/>
                <w:color w:val="auto"/>
              </w:rPr>
            </w:pPr>
            <w:r>
              <w:rPr>
                <w:rFonts w:ascii="Arial" w:cs="Arial" w:eastAsia="Arial" w:hAnsi="Arial"/>
                <w:sz w:val="14"/>
                <w:szCs w:val="14"/>
                <w:color w:val="auto"/>
              </w:rPr>
              <w:t>839,621</w:t>
            </w:r>
          </w:p>
        </w:tc>
        <w:tc>
          <w:tcPr>
            <w:tcW w:w="0" w:type="dxa"/>
            <w:vAlign w:val="bottom"/>
          </w:tcPr>
          <w:p>
            <w:pPr>
              <w:spacing w:after="0"/>
              <w:rPr>
                <w:sz w:val="1"/>
                <w:szCs w:val="1"/>
                <w:color w:val="auto"/>
              </w:rPr>
            </w:pPr>
          </w:p>
        </w:tc>
      </w:tr>
      <w:tr>
        <w:trPr>
          <w:trHeight w:val="162"/>
        </w:trPr>
        <w:tc>
          <w:tcPr>
            <w:tcW w:w="17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Former Chief</w:t>
            </w: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2017</w:t>
            </w:r>
          </w:p>
        </w:tc>
        <w:tc>
          <w:tcPr>
            <w:tcW w:w="660" w:type="dxa"/>
            <w:vAlign w:val="bottom"/>
            <w:tcBorders>
              <w:right w:val="single" w:sz="8" w:color="9EACCA"/>
            </w:tcBorders>
            <w:gridSpan w:val="2"/>
            <w:vMerge w:val="restart"/>
          </w:tcPr>
          <w:p>
            <w:pPr>
              <w:jc w:val="right"/>
              <w:ind w:right="10"/>
              <w:spacing w:after="0"/>
              <w:rPr>
                <w:sz w:val="20"/>
                <w:szCs w:val="20"/>
                <w:color w:val="auto"/>
              </w:rPr>
            </w:pPr>
            <w:r>
              <w:rPr>
                <w:rFonts w:ascii="Arial" w:cs="Arial" w:eastAsia="Arial" w:hAnsi="Arial"/>
                <w:sz w:val="14"/>
                <w:szCs w:val="14"/>
                <w:color w:val="auto"/>
              </w:rPr>
              <w:t>227,164</w:t>
            </w:r>
          </w:p>
        </w:tc>
        <w:tc>
          <w:tcPr>
            <w:tcW w:w="240" w:type="dxa"/>
            <w:vAlign w:val="bottom"/>
          </w:tcPr>
          <w:p>
            <w:pPr>
              <w:spacing w:after="0"/>
              <w:rPr>
                <w:sz w:val="14"/>
                <w:szCs w:val="14"/>
                <w:color w:val="auto"/>
              </w:rPr>
            </w:pPr>
          </w:p>
        </w:tc>
        <w:tc>
          <w:tcPr>
            <w:tcW w:w="400" w:type="dxa"/>
            <w:vAlign w:val="bottom"/>
            <w:tcBorders>
              <w:right w:val="single" w:sz="8" w:color="9EACCA"/>
            </w:tcBorders>
            <w:vMerge w:val="restart"/>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420" w:type="dxa"/>
            <w:vAlign w:val="bottom"/>
            <w:tcBorders>
              <w:right w:val="single" w:sz="8" w:color="9EACCA"/>
            </w:tcBorders>
            <w:vMerge w:val="restart"/>
          </w:tcPr>
          <w:p>
            <w:pPr>
              <w:jc w:val="right"/>
              <w:ind w:right="208"/>
              <w:spacing w:after="0"/>
              <w:rPr>
                <w:sz w:val="20"/>
                <w:szCs w:val="20"/>
                <w:color w:val="auto"/>
              </w:rPr>
            </w:pPr>
            <w:r>
              <w:rPr>
                <w:rFonts w:ascii="Arial" w:cs="Arial" w:eastAsia="Arial" w:hAnsi="Arial"/>
                <w:sz w:val="14"/>
                <w:szCs w:val="14"/>
                <w:color w:val="auto"/>
                <w:w w:val="85"/>
              </w:rPr>
              <w:t>—</w:t>
            </w:r>
          </w:p>
        </w:tc>
        <w:tc>
          <w:tcPr>
            <w:tcW w:w="860" w:type="dxa"/>
            <w:vAlign w:val="bottom"/>
            <w:tcBorders>
              <w:right w:val="single" w:sz="8" w:color="9EACCA"/>
            </w:tcBorders>
            <w:gridSpan w:val="2"/>
            <w:vMerge w:val="restart"/>
          </w:tcPr>
          <w:p>
            <w:pPr>
              <w:jc w:val="right"/>
              <w:ind w:right="49"/>
              <w:spacing w:after="0"/>
              <w:rPr>
                <w:sz w:val="20"/>
                <w:szCs w:val="20"/>
                <w:color w:val="auto"/>
              </w:rPr>
            </w:pPr>
            <w:r>
              <w:rPr>
                <w:rFonts w:ascii="Arial" w:cs="Arial" w:eastAsia="Arial" w:hAnsi="Arial"/>
                <w:sz w:val="14"/>
                <w:szCs w:val="14"/>
                <w:color w:val="auto"/>
              </w:rPr>
              <w:t>3,346,209</w:t>
            </w:r>
          </w:p>
        </w:tc>
        <w:tc>
          <w:tcPr>
            <w:tcW w:w="1120" w:type="dxa"/>
            <w:vAlign w:val="bottom"/>
            <w:tcBorders>
              <w:right w:val="single" w:sz="8" w:color="9EACCA"/>
            </w:tcBorders>
            <w:gridSpan w:val="2"/>
            <w:vMerge w:val="restart"/>
          </w:tcPr>
          <w:p>
            <w:pPr>
              <w:jc w:val="right"/>
              <w:ind w:right="230"/>
              <w:spacing w:after="0"/>
              <w:rPr>
                <w:sz w:val="20"/>
                <w:szCs w:val="20"/>
                <w:color w:val="auto"/>
              </w:rPr>
            </w:pPr>
            <w:r>
              <w:rPr>
                <w:rFonts w:ascii="Arial" w:cs="Arial" w:eastAsia="Arial" w:hAnsi="Arial"/>
                <w:sz w:val="14"/>
                <w:szCs w:val="14"/>
                <w:color w:val="auto"/>
              </w:rPr>
              <w:t>150,189</w:t>
            </w:r>
          </w:p>
        </w:tc>
        <w:tc>
          <w:tcPr>
            <w:tcW w:w="440" w:type="dxa"/>
            <w:vAlign w:val="bottom"/>
          </w:tcPr>
          <w:p>
            <w:pPr>
              <w:spacing w:after="0"/>
              <w:rPr>
                <w:sz w:val="14"/>
                <w:szCs w:val="14"/>
                <w:color w:val="auto"/>
              </w:rPr>
            </w:pPr>
          </w:p>
        </w:tc>
        <w:tc>
          <w:tcPr>
            <w:tcW w:w="640" w:type="dxa"/>
            <w:vAlign w:val="bottom"/>
            <w:tcBorders>
              <w:right w:val="single" w:sz="8" w:color="9EACCA"/>
            </w:tcBorders>
            <w:vMerge w:val="restart"/>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vMerge w:val="restart"/>
          </w:tcPr>
          <w:p>
            <w:pPr>
              <w:jc w:val="right"/>
              <w:ind w:right="228"/>
              <w:spacing w:after="0"/>
              <w:rPr>
                <w:sz w:val="20"/>
                <w:szCs w:val="20"/>
                <w:color w:val="auto"/>
              </w:rPr>
            </w:pPr>
            <w:r>
              <w:rPr>
                <w:rFonts w:ascii="Arial" w:cs="Arial" w:eastAsia="Arial" w:hAnsi="Arial"/>
                <w:sz w:val="14"/>
                <w:szCs w:val="14"/>
                <w:color w:val="auto"/>
              </w:rPr>
              <w:t>6,301</w:t>
            </w:r>
          </w:p>
        </w:tc>
        <w:tc>
          <w:tcPr>
            <w:tcW w:w="860" w:type="dxa"/>
            <w:vAlign w:val="bottom"/>
            <w:tcBorders>
              <w:right w:val="single" w:sz="8" w:color="3C5896"/>
            </w:tcBorders>
            <w:gridSpan w:val="2"/>
            <w:vMerge w:val="restart"/>
          </w:tcPr>
          <w:p>
            <w:pPr>
              <w:jc w:val="right"/>
              <w:ind w:right="70"/>
              <w:spacing w:after="0"/>
              <w:rPr>
                <w:sz w:val="20"/>
                <w:szCs w:val="20"/>
                <w:color w:val="auto"/>
              </w:rPr>
            </w:pPr>
            <w:r>
              <w:rPr>
                <w:rFonts w:ascii="Arial" w:cs="Arial" w:eastAsia="Arial" w:hAnsi="Arial"/>
                <w:sz w:val="14"/>
                <w:szCs w:val="14"/>
                <w:color w:val="auto"/>
              </w:rPr>
              <w:t>3,729,863</w:t>
            </w:r>
          </w:p>
        </w:tc>
        <w:tc>
          <w:tcPr>
            <w:tcW w:w="0" w:type="dxa"/>
            <w:vAlign w:val="bottom"/>
          </w:tcPr>
          <w:p>
            <w:pPr>
              <w:spacing w:after="0"/>
              <w:rPr>
                <w:sz w:val="1"/>
                <w:szCs w:val="1"/>
                <w:color w:val="auto"/>
              </w:rPr>
            </w:pPr>
          </w:p>
        </w:tc>
      </w:tr>
      <w:tr>
        <w:trPr>
          <w:trHeight w:val="78"/>
        </w:trPr>
        <w:tc>
          <w:tcPr>
            <w:tcW w:w="1720" w:type="dxa"/>
            <w:vAlign w:val="bottom"/>
            <w:tcBorders>
              <w:left w:val="single" w:sz="8" w:color="3C5896"/>
              <w:right w:val="single" w:sz="8" w:color="9EACCA"/>
            </w:tcBorders>
            <w:vMerge w:val="restart"/>
          </w:tcPr>
          <w:p>
            <w:pPr>
              <w:ind w:left="180"/>
              <w:spacing w:after="0"/>
              <w:rPr>
                <w:sz w:val="20"/>
                <w:szCs w:val="20"/>
                <w:color w:val="auto"/>
              </w:rPr>
            </w:pPr>
            <w:r>
              <w:rPr>
                <w:rFonts w:ascii="Arial" w:cs="Arial" w:eastAsia="Arial" w:hAnsi="Arial"/>
                <w:sz w:val="14"/>
                <w:szCs w:val="14"/>
                <w:color w:val="auto"/>
              </w:rPr>
              <w:t>Operating Officer</w:t>
            </w:r>
          </w:p>
        </w:tc>
        <w:tc>
          <w:tcPr>
            <w:tcW w:w="500" w:type="dxa"/>
            <w:vAlign w:val="bottom"/>
            <w:tcBorders>
              <w:right w:val="single" w:sz="8" w:color="9EACCA"/>
            </w:tcBorders>
            <w:gridSpan w:val="2"/>
            <w:vMerge w:val="continue"/>
          </w:tcPr>
          <w:p>
            <w:pPr>
              <w:spacing w:after="0"/>
              <w:rPr>
                <w:sz w:val="6"/>
                <w:szCs w:val="6"/>
                <w:color w:val="auto"/>
              </w:rPr>
            </w:pPr>
          </w:p>
        </w:tc>
        <w:tc>
          <w:tcPr>
            <w:tcW w:w="660" w:type="dxa"/>
            <w:vAlign w:val="bottom"/>
            <w:tcBorders>
              <w:right w:val="single" w:sz="8" w:color="9EACCA"/>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Borders>
              <w:right w:val="single" w:sz="8" w:color="9EACCA"/>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Borders>
              <w:right w:val="single" w:sz="8" w:color="9EACCA"/>
            </w:tcBorders>
            <w:vMerge w:val="continue"/>
          </w:tcPr>
          <w:p>
            <w:pPr>
              <w:spacing w:after="0"/>
              <w:rPr>
                <w:sz w:val="6"/>
                <w:szCs w:val="6"/>
                <w:color w:val="auto"/>
              </w:rPr>
            </w:pPr>
          </w:p>
        </w:tc>
        <w:tc>
          <w:tcPr>
            <w:tcW w:w="860" w:type="dxa"/>
            <w:vAlign w:val="bottom"/>
            <w:tcBorders>
              <w:right w:val="single" w:sz="8" w:color="9EACCA"/>
            </w:tcBorders>
            <w:gridSpan w:val="2"/>
            <w:vMerge w:val="continue"/>
          </w:tcPr>
          <w:p>
            <w:pPr>
              <w:spacing w:after="0"/>
              <w:rPr>
                <w:sz w:val="6"/>
                <w:szCs w:val="6"/>
                <w:color w:val="auto"/>
              </w:rPr>
            </w:pPr>
          </w:p>
        </w:tc>
        <w:tc>
          <w:tcPr>
            <w:tcW w:w="1120" w:type="dxa"/>
            <w:vAlign w:val="bottom"/>
            <w:tcBorders>
              <w:right w:val="single" w:sz="8" w:color="9EACCA"/>
            </w:tcBorders>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Borders>
              <w:right w:val="single" w:sz="8" w:color="9EACCA"/>
            </w:tcBorders>
            <w:vMerge w:val="continue"/>
          </w:tcPr>
          <w:p>
            <w:pPr>
              <w:spacing w:after="0"/>
              <w:rPr>
                <w:sz w:val="6"/>
                <w:szCs w:val="6"/>
                <w:color w:val="auto"/>
              </w:rPr>
            </w:pPr>
          </w:p>
        </w:tc>
        <w:tc>
          <w:tcPr>
            <w:tcW w:w="1100" w:type="dxa"/>
            <w:vAlign w:val="bottom"/>
            <w:tcBorders>
              <w:right w:val="single" w:sz="8" w:color="9EACCA"/>
            </w:tcBorders>
            <w:gridSpan w:val="2"/>
            <w:vMerge w:val="continue"/>
          </w:tcPr>
          <w:p>
            <w:pPr>
              <w:spacing w:after="0"/>
              <w:rPr>
                <w:sz w:val="6"/>
                <w:szCs w:val="6"/>
                <w:color w:val="auto"/>
              </w:rPr>
            </w:pPr>
          </w:p>
        </w:tc>
        <w:tc>
          <w:tcPr>
            <w:tcW w:w="860" w:type="dxa"/>
            <w:vAlign w:val="bottom"/>
            <w:tcBorders>
              <w:right w:val="single" w:sz="8" w:color="3C58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3C5896"/>
              <w:right w:val="single" w:sz="8" w:color="9EACCA"/>
            </w:tcBorders>
            <w:vMerge w:val="continue"/>
          </w:tcPr>
          <w:p>
            <w:pPr>
              <w:spacing w:after="0"/>
              <w:rPr>
                <w:sz w:val="8"/>
                <w:szCs w:val="8"/>
                <w:color w:val="auto"/>
              </w:rPr>
            </w:pP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8"/>
                <w:szCs w:val="8"/>
                <w:color w:val="auto"/>
              </w:rPr>
            </w:pPr>
          </w:p>
        </w:tc>
        <w:tc>
          <w:tcPr>
            <w:tcW w:w="600" w:type="dxa"/>
            <w:vAlign w:val="bottom"/>
            <w:tcBorders>
              <w:right w:val="single" w:sz="8" w:color="9EACCA"/>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8"/>
                <w:szCs w:val="8"/>
                <w:color w:val="auto"/>
              </w:rPr>
            </w:pPr>
          </w:p>
        </w:tc>
        <w:tc>
          <w:tcPr>
            <w:tcW w:w="400" w:type="dxa"/>
            <w:vAlign w:val="bottom"/>
            <w:tcBorders>
              <w:right w:val="single" w:sz="8" w:color="9EACCA"/>
            </w:tcBorders>
            <w:vMerge w:val="restart"/>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8"/>
                <w:szCs w:val="8"/>
                <w:color w:val="auto"/>
              </w:rPr>
            </w:pPr>
          </w:p>
        </w:tc>
        <w:tc>
          <w:tcPr>
            <w:tcW w:w="420" w:type="dxa"/>
            <w:vAlign w:val="bottom"/>
            <w:tcBorders>
              <w:right w:val="single" w:sz="8" w:color="9EACCA"/>
            </w:tcBorders>
            <w:vMerge w:val="restart"/>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8"/>
                <w:szCs w:val="8"/>
                <w:color w:val="auto"/>
              </w:rPr>
            </w:pPr>
          </w:p>
        </w:tc>
        <w:tc>
          <w:tcPr>
            <w:tcW w:w="760" w:type="dxa"/>
            <w:vAlign w:val="bottom"/>
            <w:tcBorders>
              <w:right w:val="single" w:sz="8" w:color="9EACCA"/>
            </w:tcBorders>
            <w:vMerge w:val="restart"/>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8"/>
                <w:szCs w:val="8"/>
                <w:color w:val="auto"/>
              </w:rPr>
            </w:pPr>
          </w:p>
        </w:tc>
        <w:tc>
          <w:tcPr>
            <w:tcW w:w="840" w:type="dxa"/>
            <w:vAlign w:val="bottom"/>
            <w:tcBorders>
              <w:right w:val="single" w:sz="8" w:color="9EACCA"/>
            </w:tcBorders>
            <w:vMerge w:val="restart"/>
          </w:tcPr>
          <w:p>
            <w:pPr>
              <w:jc w:val="right"/>
              <w:ind w:right="23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8"/>
                <w:szCs w:val="8"/>
                <w:color w:val="auto"/>
              </w:rPr>
            </w:pPr>
          </w:p>
        </w:tc>
        <w:tc>
          <w:tcPr>
            <w:tcW w:w="640" w:type="dxa"/>
            <w:vAlign w:val="bottom"/>
            <w:tcBorders>
              <w:right w:val="single" w:sz="8" w:color="9EACCA"/>
            </w:tcBorders>
            <w:vMerge w:val="restart"/>
          </w:tcPr>
          <w:p>
            <w:pPr>
              <w:jc w:val="right"/>
              <w:ind w:right="408"/>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8"/>
                <w:szCs w:val="8"/>
                <w:color w:val="auto"/>
              </w:rPr>
            </w:pPr>
          </w:p>
        </w:tc>
        <w:tc>
          <w:tcPr>
            <w:tcW w:w="820" w:type="dxa"/>
            <w:vAlign w:val="bottom"/>
            <w:tcBorders>
              <w:right w:val="single" w:sz="8" w:color="9EACCA"/>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8"/>
                <w:szCs w:val="8"/>
                <w:color w:val="auto"/>
              </w:rPr>
            </w:pPr>
          </w:p>
        </w:tc>
        <w:tc>
          <w:tcPr>
            <w:tcW w:w="780" w:type="dxa"/>
            <w:vAlign w:val="bottom"/>
            <w:tcBorders>
              <w:right w:val="single" w:sz="8" w:color="3C5896"/>
            </w:tcBorders>
            <w:vMerge w:val="restart"/>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1720" w:type="dxa"/>
            <w:vAlign w:val="bottom"/>
            <w:tcBorders>
              <w:left w:val="single" w:sz="8" w:color="3C5896"/>
              <w:right w:val="single" w:sz="8" w:color="9EACCA"/>
            </w:tcBorders>
          </w:tcPr>
          <w:p>
            <w:pPr>
              <w:spacing w:after="0"/>
              <w:rPr>
                <w:sz w:val="12"/>
                <w:szCs w:val="12"/>
                <w:color w:val="auto"/>
              </w:rPr>
            </w:pPr>
          </w:p>
        </w:tc>
        <w:tc>
          <w:tcPr>
            <w:tcW w:w="500" w:type="dxa"/>
            <w:vAlign w:val="bottom"/>
            <w:tcBorders>
              <w:right w:val="single" w:sz="8" w:color="9EACCA"/>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9EACCA"/>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right w:val="single" w:sz="8" w:color="9EACCA"/>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right w:val="single" w:sz="8" w:color="9EACCA"/>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9EACCA"/>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right w:val="single" w:sz="8" w:color="9EACCA"/>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right w:val="single" w:sz="8" w:color="9EACCA"/>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right w:val="single" w:sz="8" w:color="9EACCA"/>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3C5896"/>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7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Mitchell Goodman</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2018</w:t>
            </w:r>
          </w:p>
        </w:tc>
        <w:tc>
          <w:tcPr>
            <w:tcW w:w="660" w:type="dxa"/>
            <w:vAlign w:val="bottom"/>
            <w:tcBorders>
              <w:right w:val="single" w:sz="8" w:color="9EACCA"/>
            </w:tcBorders>
            <w:gridSpan w:val="2"/>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rPr>
              <w:t>360,962</w:t>
            </w:r>
          </w:p>
        </w:tc>
        <w:tc>
          <w:tcPr>
            <w:tcW w:w="240" w:type="dxa"/>
            <w:vAlign w:val="bottom"/>
            <w:shd w:val="clear" w:color="auto" w:fill="CCCCCC"/>
          </w:tcPr>
          <w:p>
            <w:pPr>
              <w:spacing w:after="0"/>
              <w:rPr>
                <w:sz w:val="19"/>
                <w:szCs w:val="19"/>
                <w:color w:val="auto"/>
              </w:rPr>
            </w:pPr>
          </w:p>
        </w:tc>
        <w:tc>
          <w:tcPr>
            <w:tcW w:w="400" w:type="dxa"/>
            <w:vAlign w:val="bottom"/>
            <w:tcBorders>
              <w:right w:val="single" w:sz="8" w:color="9EACCA"/>
            </w:tcBorders>
            <w:shd w:val="clear" w:color="auto" w:fill="CCCCCC"/>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CCCC"/>
          </w:tcPr>
          <w:p>
            <w:pPr>
              <w:spacing w:after="0"/>
              <w:rPr>
                <w:sz w:val="19"/>
                <w:szCs w:val="19"/>
                <w:color w:val="auto"/>
              </w:rPr>
            </w:pPr>
          </w:p>
        </w:tc>
        <w:tc>
          <w:tcPr>
            <w:tcW w:w="420" w:type="dxa"/>
            <w:vAlign w:val="bottom"/>
            <w:tcBorders>
              <w:right w:val="single" w:sz="8" w:color="9EACCA"/>
            </w:tcBorders>
            <w:shd w:val="clear" w:color="auto" w:fill="CCCCCC"/>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shd w:val="clear" w:color="auto" w:fill="CCCCCC"/>
          </w:tcPr>
          <w:p>
            <w:pPr>
              <w:jc w:val="right"/>
              <w:ind w:right="230"/>
              <w:spacing w:after="0"/>
              <w:rPr>
                <w:sz w:val="20"/>
                <w:szCs w:val="20"/>
                <w:color w:val="auto"/>
              </w:rPr>
            </w:pPr>
            <w:r>
              <w:rPr>
                <w:rFonts w:ascii="Arial" w:cs="Arial" w:eastAsia="Arial" w:hAnsi="Arial"/>
                <w:sz w:val="14"/>
                <w:szCs w:val="14"/>
                <w:color w:val="auto"/>
              </w:rPr>
              <w:t>138,095</w:t>
            </w:r>
          </w:p>
        </w:tc>
        <w:tc>
          <w:tcPr>
            <w:tcW w:w="440" w:type="dxa"/>
            <w:vAlign w:val="bottom"/>
            <w:shd w:val="clear" w:color="auto" w:fill="CCCCCC"/>
          </w:tcPr>
          <w:p>
            <w:pPr>
              <w:spacing w:after="0"/>
              <w:rPr>
                <w:sz w:val="19"/>
                <w:szCs w:val="19"/>
                <w:color w:val="auto"/>
              </w:rPr>
            </w:pPr>
          </w:p>
        </w:tc>
        <w:tc>
          <w:tcPr>
            <w:tcW w:w="640" w:type="dxa"/>
            <w:vAlign w:val="bottom"/>
            <w:tcBorders>
              <w:right w:val="single" w:sz="8" w:color="9EACCA"/>
            </w:tcBorders>
            <w:shd w:val="clear" w:color="auto" w:fill="CCCCCC"/>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shd w:val="clear" w:color="auto" w:fill="CCCCCC"/>
          </w:tcPr>
          <w:p>
            <w:pPr>
              <w:jc w:val="right"/>
              <w:ind w:right="228"/>
              <w:spacing w:after="0"/>
              <w:rPr>
                <w:sz w:val="20"/>
                <w:szCs w:val="20"/>
                <w:color w:val="auto"/>
              </w:rPr>
            </w:pPr>
            <w:r>
              <w:rPr>
                <w:rFonts w:ascii="Arial" w:cs="Arial" w:eastAsia="Arial" w:hAnsi="Arial"/>
                <w:sz w:val="14"/>
                <w:szCs w:val="14"/>
                <w:color w:val="auto"/>
              </w:rPr>
              <w:t>9,667</w:t>
            </w:r>
          </w:p>
        </w:tc>
        <w:tc>
          <w:tcPr>
            <w:tcW w:w="860" w:type="dxa"/>
            <w:vAlign w:val="bottom"/>
            <w:tcBorders>
              <w:right w:val="single" w:sz="8" w:color="3C5896"/>
            </w:tcBorders>
            <w:gridSpan w:val="2"/>
            <w:shd w:val="clear" w:color="auto" w:fill="CCCCCC"/>
          </w:tcPr>
          <w:p>
            <w:pPr>
              <w:jc w:val="right"/>
              <w:ind w:right="70"/>
              <w:spacing w:after="0"/>
              <w:rPr>
                <w:sz w:val="20"/>
                <w:szCs w:val="20"/>
                <w:color w:val="auto"/>
              </w:rPr>
            </w:pPr>
            <w:r>
              <w:rPr>
                <w:rFonts w:ascii="Arial" w:cs="Arial" w:eastAsia="Arial" w:hAnsi="Arial"/>
                <w:sz w:val="14"/>
                <w:szCs w:val="14"/>
                <w:color w:val="auto"/>
              </w:rPr>
              <w:t>508,724</w:t>
            </w:r>
          </w:p>
        </w:tc>
        <w:tc>
          <w:tcPr>
            <w:tcW w:w="0" w:type="dxa"/>
            <w:vAlign w:val="bottom"/>
          </w:tcPr>
          <w:p>
            <w:pPr>
              <w:spacing w:after="0"/>
              <w:rPr>
                <w:sz w:val="1"/>
                <w:szCs w:val="1"/>
                <w:color w:val="auto"/>
              </w:rPr>
            </w:pPr>
          </w:p>
        </w:tc>
      </w:tr>
      <w:tr>
        <w:trPr>
          <w:trHeight w:val="162"/>
        </w:trPr>
        <w:tc>
          <w:tcPr>
            <w:tcW w:w="17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Former Senior Vice</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2017</w:t>
            </w:r>
          </w:p>
        </w:tc>
        <w:tc>
          <w:tcPr>
            <w:tcW w:w="60" w:type="dxa"/>
            <w:vAlign w:val="bottom"/>
            <w:shd w:val="clear" w:color="auto" w:fill="CCCCCC"/>
          </w:tcPr>
          <w:p>
            <w:pPr>
              <w:spacing w:after="0"/>
              <w:rPr>
                <w:sz w:val="14"/>
                <w:szCs w:val="14"/>
                <w:color w:val="auto"/>
              </w:rPr>
            </w:pPr>
          </w:p>
        </w:tc>
        <w:tc>
          <w:tcPr>
            <w:tcW w:w="600" w:type="dxa"/>
            <w:vAlign w:val="bottom"/>
            <w:tcBorders>
              <w:right w:val="single" w:sz="8" w:color="9EACCA"/>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w w:val="98"/>
              </w:rPr>
              <w:t>344,615</w:t>
            </w:r>
          </w:p>
        </w:tc>
        <w:tc>
          <w:tcPr>
            <w:tcW w:w="240" w:type="dxa"/>
            <w:vAlign w:val="bottom"/>
            <w:shd w:val="clear" w:color="auto" w:fill="CCCCCC"/>
          </w:tcPr>
          <w:p>
            <w:pPr>
              <w:spacing w:after="0"/>
              <w:rPr>
                <w:sz w:val="14"/>
                <w:szCs w:val="14"/>
                <w:color w:val="auto"/>
              </w:rPr>
            </w:pPr>
          </w:p>
        </w:tc>
        <w:tc>
          <w:tcPr>
            <w:tcW w:w="400" w:type="dxa"/>
            <w:vAlign w:val="bottom"/>
            <w:tcBorders>
              <w:right w:val="single" w:sz="8" w:color="9EACCA"/>
            </w:tcBorders>
            <w:vMerge w:val="restart"/>
            <w:shd w:val="clear" w:color="auto" w:fill="CCCCCC"/>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CCCC"/>
          </w:tcPr>
          <w:p>
            <w:pPr>
              <w:spacing w:after="0"/>
              <w:rPr>
                <w:sz w:val="14"/>
                <w:szCs w:val="14"/>
                <w:color w:val="auto"/>
              </w:rPr>
            </w:pPr>
          </w:p>
        </w:tc>
        <w:tc>
          <w:tcPr>
            <w:tcW w:w="760" w:type="dxa"/>
            <w:vAlign w:val="bottom"/>
            <w:tcBorders>
              <w:right w:val="single" w:sz="8" w:color="9EACCA"/>
            </w:tcBorders>
            <w:vMerge w:val="restart"/>
            <w:shd w:val="clear" w:color="auto" w:fill="CCCCCC"/>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CCCC"/>
          </w:tcPr>
          <w:p>
            <w:pPr>
              <w:spacing w:after="0"/>
              <w:rPr>
                <w:sz w:val="14"/>
                <w:szCs w:val="14"/>
                <w:color w:val="auto"/>
              </w:rPr>
            </w:pPr>
          </w:p>
        </w:tc>
        <w:tc>
          <w:tcPr>
            <w:tcW w:w="840" w:type="dxa"/>
            <w:vAlign w:val="bottom"/>
            <w:tcBorders>
              <w:right w:val="single" w:sz="8" w:color="9EACCA"/>
            </w:tcBorders>
            <w:vMerge w:val="restart"/>
            <w:shd w:val="clear" w:color="auto" w:fill="CCCCCC"/>
          </w:tcPr>
          <w:p>
            <w:pPr>
              <w:jc w:val="right"/>
              <w:ind w:right="230"/>
              <w:spacing w:after="0"/>
              <w:rPr>
                <w:sz w:val="20"/>
                <w:szCs w:val="20"/>
                <w:color w:val="auto"/>
              </w:rPr>
            </w:pPr>
            <w:r>
              <w:rPr>
                <w:rFonts w:ascii="Arial" w:cs="Arial" w:eastAsia="Arial" w:hAnsi="Arial"/>
                <w:sz w:val="14"/>
                <w:szCs w:val="14"/>
                <w:color w:val="auto"/>
              </w:rPr>
              <w:t>190,747</w:t>
            </w:r>
          </w:p>
        </w:tc>
        <w:tc>
          <w:tcPr>
            <w:tcW w:w="440" w:type="dxa"/>
            <w:vAlign w:val="bottom"/>
            <w:shd w:val="clear" w:color="auto" w:fill="CCCCCC"/>
          </w:tcPr>
          <w:p>
            <w:pPr>
              <w:spacing w:after="0"/>
              <w:rPr>
                <w:sz w:val="14"/>
                <w:szCs w:val="14"/>
                <w:color w:val="auto"/>
              </w:rPr>
            </w:pPr>
          </w:p>
        </w:tc>
        <w:tc>
          <w:tcPr>
            <w:tcW w:w="640" w:type="dxa"/>
            <w:vAlign w:val="bottom"/>
            <w:tcBorders>
              <w:right w:val="single" w:sz="8" w:color="9EACCA"/>
            </w:tcBorders>
            <w:vMerge w:val="restart"/>
            <w:shd w:val="clear" w:color="auto" w:fill="CCCCCC"/>
          </w:tcPr>
          <w:p>
            <w:pPr>
              <w:jc w:val="right"/>
              <w:ind w:right="408"/>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CCCCC"/>
          </w:tcPr>
          <w:p>
            <w:pPr>
              <w:spacing w:after="0"/>
              <w:rPr>
                <w:sz w:val="14"/>
                <w:szCs w:val="14"/>
                <w:color w:val="auto"/>
              </w:rPr>
            </w:pPr>
          </w:p>
        </w:tc>
        <w:tc>
          <w:tcPr>
            <w:tcW w:w="820" w:type="dxa"/>
            <w:vAlign w:val="bottom"/>
            <w:tcBorders>
              <w:right w:val="single" w:sz="8" w:color="9EACCA"/>
            </w:tcBorders>
            <w:vMerge w:val="restart"/>
            <w:shd w:val="clear" w:color="auto" w:fill="CCCCCC"/>
          </w:tcPr>
          <w:p>
            <w:pPr>
              <w:jc w:val="right"/>
              <w:ind w:right="228"/>
              <w:spacing w:after="0"/>
              <w:rPr>
                <w:sz w:val="20"/>
                <w:szCs w:val="20"/>
                <w:color w:val="auto"/>
              </w:rPr>
            </w:pPr>
            <w:r>
              <w:rPr>
                <w:rFonts w:ascii="Arial" w:cs="Arial" w:eastAsia="Arial" w:hAnsi="Arial"/>
                <w:sz w:val="14"/>
                <w:szCs w:val="14"/>
                <w:color w:val="auto"/>
                <w:w w:val="98"/>
              </w:rPr>
              <w:t>177,887</w:t>
            </w:r>
          </w:p>
        </w:tc>
        <w:tc>
          <w:tcPr>
            <w:tcW w:w="80" w:type="dxa"/>
            <w:vAlign w:val="bottom"/>
            <w:shd w:val="clear" w:color="auto" w:fill="CCCCCC"/>
          </w:tcPr>
          <w:p>
            <w:pPr>
              <w:spacing w:after="0"/>
              <w:rPr>
                <w:sz w:val="14"/>
                <w:szCs w:val="14"/>
                <w:color w:val="auto"/>
              </w:rPr>
            </w:pPr>
          </w:p>
        </w:tc>
        <w:tc>
          <w:tcPr>
            <w:tcW w:w="780" w:type="dxa"/>
            <w:vAlign w:val="bottom"/>
            <w:tcBorders>
              <w:right w:val="single" w:sz="8" w:color="3C5896"/>
            </w:tcBorders>
            <w:vMerge w:val="restart"/>
            <w:shd w:val="clear" w:color="auto" w:fill="CCCCCC"/>
          </w:tcPr>
          <w:p>
            <w:pPr>
              <w:jc w:val="right"/>
              <w:ind w:right="70"/>
              <w:spacing w:after="0"/>
              <w:rPr>
                <w:sz w:val="20"/>
                <w:szCs w:val="20"/>
                <w:color w:val="auto"/>
              </w:rPr>
            </w:pPr>
            <w:r>
              <w:rPr>
                <w:rFonts w:ascii="Arial" w:cs="Arial" w:eastAsia="Arial" w:hAnsi="Arial"/>
                <w:sz w:val="14"/>
                <w:szCs w:val="14"/>
                <w:color w:val="auto"/>
              </w:rPr>
              <w:t>713,249</w:t>
            </w:r>
          </w:p>
        </w:tc>
        <w:tc>
          <w:tcPr>
            <w:tcW w:w="0" w:type="dxa"/>
            <w:vAlign w:val="bottom"/>
          </w:tcPr>
          <w:p>
            <w:pPr>
              <w:spacing w:after="0"/>
              <w:rPr>
                <w:sz w:val="1"/>
                <w:szCs w:val="1"/>
                <w:color w:val="auto"/>
              </w:rPr>
            </w:pPr>
          </w:p>
        </w:tc>
      </w:tr>
      <w:tr>
        <w:trPr>
          <w:trHeight w:val="78"/>
        </w:trPr>
        <w:tc>
          <w:tcPr>
            <w:tcW w:w="1720" w:type="dxa"/>
            <w:vAlign w:val="bottom"/>
            <w:tcBorders>
              <w:left w:val="single" w:sz="8" w:color="3C5896"/>
              <w:right w:val="single" w:sz="8" w:color="9EACCA"/>
            </w:tcBorders>
            <w:vMerge w:val="restart"/>
            <w:shd w:val="clear" w:color="auto" w:fill="CCCCCC"/>
          </w:tcPr>
          <w:p>
            <w:pPr>
              <w:ind w:left="180"/>
              <w:spacing w:after="0"/>
              <w:rPr>
                <w:sz w:val="20"/>
                <w:szCs w:val="20"/>
                <w:color w:val="auto"/>
              </w:rPr>
            </w:pPr>
            <w:r>
              <w:rPr>
                <w:rFonts w:ascii="Arial" w:cs="Arial" w:eastAsia="Arial" w:hAnsi="Arial"/>
                <w:sz w:val="14"/>
                <w:szCs w:val="14"/>
                <w:color w:val="auto"/>
              </w:rPr>
              <w:t>President, General</w:t>
            </w:r>
          </w:p>
        </w:tc>
        <w:tc>
          <w:tcPr>
            <w:tcW w:w="80" w:type="dxa"/>
            <w:vAlign w:val="bottom"/>
            <w:shd w:val="clear" w:color="auto" w:fill="CCCCCC"/>
          </w:tcPr>
          <w:p>
            <w:pPr>
              <w:spacing w:after="0"/>
              <w:rPr>
                <w:sz w:val="6"/>
                <w:szCs w:val="6"/>
                <w:color w:val="auto"/>
              </w:rPr>
            </w:pPr>
          </w:p>
        </w:tc>
        <w:tc>
          <w:tcPr>
            <w:tcW w:w="420" w:type="dxa"/>
            <w:vAlign w:val="bottom"/>
            <w:tcBorders>
              <w:right w:val="single" w:sz="8" w:color="9EACCA"/>
            </w:tcBorders>
            <w:vMerge w:val="continue"/>
            <w:shd w:val="clear" w:color="auto" w:fill="CCCCCC"/>
          </w:tcPr>
          <w:p>
            <w:pPr>
              <w:spacing w:after="0"/>
              <w:rPr>
                <w:sz w:val="6"/>
                <w:szCs w:val="6"/>
                <w:color w:val="auto"/>
              </w:rPr>
            </w:pPr>
          </w:p>
        </w:tc>
        <w:tc>
          <w:tcPr>
            <w:tcW w:w="60" w:type="dxa"/>
            <w:vAlign w:val="bottom"/>
            <w:shd w:val="clear" w:color="auto" w:fill="CCCCCC"/>
          </w:tcPr>
          <w:p>
            <w:pPr>
              <w:spacing w:after="0"/>
              <w:rPr>
                <w:sz w:val="6"/>
                <w:szCs w:val="6"/>
                <w:color w:val="auto"/>
              </w:rPr>
            </w:pPr>
          </w:p>
        </w:tc>
        <w:tc>
          <w:tcPr>
            <w:tcW w:w="600" w:type="dxa"/>
            <w:vAlign w:val="bottom"/>
            <w:tcBorders>
              <w:right w:val="single" w:sz="8" w:color="9EACCA"/>
            </w:tcBorders>
            <w:vMerge w:val="continue"/>
            <w:shd w:val="clear" w:color="auto" w:fill="CCCCCC"/>
          </w:tcPr>
          <w:p>
            <w:pPr>
              <w:spacing w:after="0"/>
              <w:rPr>
                <w:sz w:val="6"/>
                <w:szCs w:val="6"/>
                <w:color w:val="auto"/>
              </w:rPr>
            </w:pPr>
          </w:p>
        </w:tc>
        <w:tc>
          <w:tcPr>
            <w:tcW w:w="240" w:type="dxa"/>
            <w:vAlign w:val="bottom"/>
            <w:shd w:val="clear" w:color="auto" w:fill="CCCCCC"/>
          </w:tcPr>
          <w:p>
            <w:pPr>
              <w:spacing w:after="0"/>
              <w:rPr>
                <w:sz w:val="6"/>
                <w:szCs w:val="6"/>
                <w:color w:val="auto"/>
              </w:rPr>
            </w:pPr>
          </w:p>
        </w:tc>
        <w:tc>
          <w:tcPr>
            <w:tcW w:w="400" w:type="dxa"/>
            <w:vAlign w:val="bottom"/>
            <w:tcBorders>
              <w:right w:val="single" w:sz="8" w:color="9EACCA"/>
            </w:tcBorders>
            <w:vMerge w:val="continue"/>
            <w:shd w:val="clear" w:color="auto" w:fill="CCCCCC"/>
          </w:tcPr>
          <w:p>
            <w:pPr>
              <w:spacing w:after="0"/>
              <w:rPr>
                <w:sz w:val="6"/>
                <w:szCs w:val="6"/>
                <w:color w:val="auto"/>
              </w:rPr>
            </w:pPr>
          </w:p>
        </w:tc>
        <w:tc>
          <w:tcPr>
            <w:tcW w:w="240" w:type="dxa"/>
            <w:vAlign w:val="bottom"/>
            <w:shd w:val="clear" w:color="auto" w:fill="CCCCCC"/>
          </w:tcPr>
          <w:p>
            <w:pPr>
              <w:spacing w:after="0"/>
              <w:rPr>
                <w:sz w:val="6"/>
                <w:szCs w:val="6"/>
                <w:color w:val="auto"/>
              </w:rPr>
            </w:pPr>
          </w:p>
        </w:tc>
        <w:tc>
          <w:tcPr>
            <w:tcW w:w="420" w:type="dxa"/>
            <w:vAlign w:val="bottom"/>
            <w:tcBorders>
              <w:right w:val="single" w:sz="8" w:color="9EACCA"/>
            </w:tcBorders>
            <w:vMerge w:val="continue"/>
            <w:shd w:val="clear" w:color="auto" w:fill="CCCCCC"/>
          </w:tcPr>
          <w:p>
            <w:pPr>
              <w:spacing w:after="0"/>
              <w:rPr>
                <w:sz w:val="6"/>
                <w:szCs w:val="6"/>
                <w:color w:val="auto"/>
              </w:rPr>
            </w:pPr>
          </w:p>
        </w:tc>
        <w:tc>
          <w:tcPr>
            <w:tcW w:w="100" w:type="dxa"/>
            <w:vAlign w:val="bottom"/>
            <w:shd w:val="clear" w:color="auto" w:fill="CCCCCC"/>
          </w:tcPr>
          <w:p>
            <w:pPr>
              <w:spacing w:after="0"/>
              <w:rPr>
                <w:sz w:val="6"/>
                <w:szCs w:val="6"/>
                <w:color w:val="auto"/>
              </w:rPr>
            </w:pPr>
          </w:p>
        </w:tc>
        <w:tc>
          <w:tcPr>
            <w:tcW w:w="760" w:type="dxa"/>
            <w:vAlign w:val="bottom"/>
            <w:tcBorders>
              <w:right w:val="single" w:sz="8" w:color="9EACCA"/>
            </w:tcBorders>
            <w:vMerge w:val="continue"/>
            <w:shd w:val="clear" w:color="auto" w:fill="CCCCCC"/>
          </w:tcPr>
          <w:p>
            <w:pPr>
              <w:spacing w:after="0"/>
              <w:rPr>
                <w:sz w:val="6"/>
                <w:szCs w:val="6"/>
                <w:color w:val="auto"/>
              </w:rPr>
            </w:pPr>
          </w:p>
        </w:tc>
        <w:tc>
          <w:tcPr>
            <w:tcW w:w="280" w:type="dxa"/>
            <w:vAlign w:val="bottom"/>
            <w:shd w:val="clear" w:color="auto" w:fill="CCCCCC"/>
          </w:tcPr>
          <w:p>
            <w:pPr>
              <w:spacing w:after="0"/>
              <w:rPr>
                <w:sz w:val="6"/>
                <w:szCs w:val="6"/>
                <w:color w:val="auto"/>
              </w:rPr>
            </w:pPr>
          </w:p>
        </w:tc>
        <w:tc>
          <w:tcPr>
            <w:tcW w:w="840" w:type="dxa"/>
            <w:vAlign w:val="bottom"/>
            <w:tcBorders>
              <w:right w:val="single" w:sz="8" w:color="9EACCA"/>
            </w:tcBorders>
            <w:vMerge w:val="continue"/>
            <w:shd w:val="clear" w:color="auto" w:fill="CCCCCC"/>
          </w:tcPr>
          <w:p>
            <w:pPr>
              <w:spacing w:after="0"/>
              <w:rPr>
                <w:sz w:val="6"/>
                <w:szCs w:val="6"/>
                <w:color w:val="auto"/>
              </w:rPr>
            </w:pPr>
          </w:p>
        </w:tc>
        <w:tc>
          <w:tcPr>
            <w:tcW w:w="440" w:type="dxa"/>
            <w:vAlign w:val="bottom"/>
            <w:shd w:val="clear" w:color="auto" w:fill="CCCCCC"/>
          </w:tcPr>
          <w:p>
            <w:pPr>
              <w:spacing w:after="0"/>
              <w:rPr>
                <w:sz w:val="6"/>
                <w:szCs w:val="6"/>
                <w:color w:val="auto"/>
              </w:rPr>
            </w:pPr>
          </w:p>
        </w:tc>
        <w:tc>
          <w:tcPr>
            <w:tcW w:w="640" w:type="dxa"/>
            <w:vAlign w:val="bottom"/>
            <w:tcBorders>
              <w:right w:val="single" w:sz="8" w:color="9EACCA"/>
            </w:tcBorders>
            <w:vMerge w:val="continue"/>
            <w:shd w:val="clear" w:color="auto" w:fill="CCCCCC"/>
          </w:tcPr>
          <w:p>
            <w:pPr>
              <w:spacing w:after="0"/>
              <w:rPr>
                <w:sz w:val="6"/>
                <w:szCs w:val="6"/>
                <w:color w:val="auto"/>
              </w:rPr>
            </w:pPr>
          </w:p>
        </w:tc>
        <w:tc>
          <w:tcPr>
            <w:tcW w:w="280" w:type="dxa"/>
            <w:vAlign w:val="bottom"/>
            <w:shd w:val="clear" w:color="auto" w:fill="CCCCCC"/>
          </w:tcPr>
          <w:p>
            <w:pPr>
              <w:spacing w:after="0"/>
              <w:rPr>
                <w:sz w:val="6"/>
                <w:szCs w:val="6"/>
                <w:color w:val="auto"/>
              </w:rPr>
            </w:pPr>
          </w:p>
        </w:tc>
        <w:tc>
          <w:tcPr>
            <w:tcW w:w="820" w:type="dxa"/>
            <w:vAlign w:val="bottom"/>
            <w:tcBorders>
              <w:right w:val="single" w:sz="8" w:color="9EACCA"/>
            </w:tcBorders>
            <w:vMerge w:val="continue"/>
            <w:shd w:val="clear" w:color="auto" w:fill="CCCCCC"/>
          </w:tcPr>
          <w:p>
            <w:pPr>
              <w:spacing w:after="0"/>
              <w:rPr>
                <w:sz w:val="6"/>
                <w:szCs w:val="6"/>
                <w:color w:val="auto"/>
              </w:rPr>
            </w:pPr>
          </w:p>
        </w:tc>
        <w:tc>
          <w:tcPr>
            <w:tcW w:w="80" w:type="dxa"/>
            <w:vAlign w:val="bottom"/>
            <w:shd w:val="clear" w:color="auto" w:fill="CCCCCC"/>
          </w:tcPr>
          <w:p>
            <w:pPr>
              <w:spacing w:after="0"/>
              <w:rPr>
                <w:sz w:val="6"/>
                <w:szCs w:val="6"/>
                <w:color w:val="auto"/>
              </w:rPr>
            </w:pPr>
          </w:p>
        </w:tc>
        <w:tc>
          <w:tcPr>
            <w:tcW w:w="780" w:type="dxa"/>
            <w:vAlign w:val="bottom"/>
            <w:tcBorders>
              <w:right w:val="single" w:sz="8" w:color="3C5896"/>
            </w:tcBorders>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720" w:type="dxa"/>
            <w:vAlign w:val="bottom"/>
            <w:tcBorders>
              <w:left w:val="single" w:sz="8" w:color="3C5896"/>
              <w:right w:val="single" w:sz="8" w:color="9EACCA"/>
            </w:tcBorders>
            <w:vMerge w:val="continue"/>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2016</w:t>
            </w:r>
          </w:p>
        </w:tc>
        <w:tc>
          <w:tcPr>
            <w:tcW w:w="60" w:type="dxa"/>
            <w:vAlign w:val="bottom"/>
            <w:shd w:val="clear" w:color="auto" w:fill="CCCCCC"/>
          </w:tcPr>
          <w:p>
            <w:pPr>
              <w:spacing w:after="0"/>
              <w:rPr>
                <w:sz w:val="7"/>
                <w:szCs w:val="7"/>
                <w:color w:val="auto"/>
              </w:rPr>
            </w:pPr>
          </w:p>
        </w:tc>
        <w:tc>
          <w:tcPr>
            <w:tcW w:w="600" w:type="dxa"/>
            <w:vAlign w:val="bottom"/>
            <w:tcBorders>
              <w:right w:val="single" w:sz="8" w:color="9EACCA"/>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w w:val="98"/>
              </w:rPr>
              <w:t>324,615</w:t>
            </w:r>
          </w:p>
        </w:tc>
        <w:tc>
          <w:tcPr>
            <w:tcW w:w="240" w:type="dxa"/>
            <w:vAlign w:val="bottom"/>
            <w:shd w:val="clear" w:color="auto" w:fill="CCCCCC"/>
          </w:tcPr>
          <w:p>
            <w:pPr>
              <w:spacing w:after="0"/>
              <w:rPr>
                <w:sz w:val="7"/>
                <w:szCs w:val="7"/>
                <w:color w:val="auto"/>
              </w:rPr>
            </w:pPr>
          </w:p>
        </w:tc>
        <w:tc>
          <w:tcPr>
            <w:tcW w:w="400" w:type="dxa"/>
            <w:vAlign w:val="bottom"/>
            <w:tcBorders>
              <w:right w:val="single" w:sz="8" w:color="9EACCA"/>
            </w:tcBorders>
            <w:vMerge w:val="restart"/>
            <w:shd w:val="clear" w:color="auto" w:fill="CCCCCC"/>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CCCC"/>
          </w:tcPr>
          <w:p>
            <w:pPr>
              <w:spacing w:after="0"/>
              <w:rPr>
                <w:sz w:val="7"/>
                <w:szCs w:val="7"/>
                <w:color w:val="auto"/>
              </w:rPr>
            </w:pPr>
          </w:p>
        </w:tc>
        <w:tc>
          <w:tcPr>
            <w:tcW w:w="4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CCCC"/>
          </w:tcPr>
          <w:p>
            <w:pPr>
              <w:spacing w:after="0"/>
              <w:rPr>
                <w:sz w:val="7"/>
                <w:szCs w:val="7"/>
                <w:color w:val="auto"/>
              </w:rPr>
            </w:pPr>
          </w:p>
        </w:tc>
        <w:tc>
          <w:tcPr>
            <w:tcW w:w="760" w:type="dxa"/>
            <w:vAlign w:val="bottom"/>
            <w:tcBorders>
              <w:right w:val="single" w:sz="8" w:color="9EACCA"/>
            </w:tcBorders>
            <w:vMerge w:val="restart"/>
            <w:shd w:val="clear" w:color="auto" w:fill="CCCCCC"/>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CCCC"/>
          </w:tcPr>
          <w:p>
            <w:pPr>
              <w:spacing w:after="0"/>
              <w:rPr>
                <w:sz w:val="7"/>
                <w:szCs w:val="7"/>
                <w:color w:val="auto"/>
              </w:rPr>
            </w:pPr>
          </w:p>
        </w:tc>
        <w:tc>
          <w:tcPr>
            <w:tcW w:w="840" w:type="dxa"/>
            <w:vAlign w:val="bottom"/>
            <w:tcBorders>
              <w:right w:val="single" w:sz="8" w:color="9EACCA"/>
            </w:tcBorders>
            <w:vMerge w:val="restart"/>
            <w:shd w:val="clear" w:color="auto" w:fill="CCCCCC"/>
          </w:tcPr>
          <w:p>
            <w:pPr>
              <w:jc w:val="right"/>
              <w:ind w:right="230"/>
              <w:spacing w:after="0"/>
              <w:rPr>
                <w:sz w:val="20"/>
                <w:szCs w:val="20"/>
                <w:color w:val="auto"/>
              </w:rPr>
            </w:pPr>
            <w:r>
              <w:rPr>
                <w:rFonts w:ascii="Arial" w:cs="Arial" w:eastAsia="Arial" w:hAnsi="Arial"/>
                <w:sz w:val="14"/>
                <w:szCs w:val="14"/>
                <w:color w:val="auto"/>
              </w:rPr>
              <w:t>227,984</w:t>
            </w:r>
          </w:p>
        </w:tc>
        <w:tc>
          <w:tcPr>
            <w:tcW w:w="440" w:type="dxa"/>
            <w:vAlign w:val="bottom"/>
            <w:shd w:val="clear" w:color="auto" w:fill="CCCCCC"/>
          </w:tcPr>
          <w:p>
            <w:pPr>
              <w:spacing w:after="0"/>
              <w:rPr>
                <w:sz w:val="7"/>
                <w:szCs w:val="7"/>
                <w:color w:val="auto"/>
              </w:rPr>
            </w:pPr>
          </w:p>
        </w:tc>
        <w:tc>
          <w:tcPr>
            <w:tcW w:w="640" w:type="dxa"/>
            <w:vAlign w:val="bottom"/>
            <w:tcBorders>
              <w:right w:val="single" w:sz="8" w:color="9EACCA"/>
            </w:tcBorders>
            <w:vMerge w:val="restart"/>
            <w:shd w:val="clear" w:color="auto" w:fill="CCCCCC"/>
          </w:tcPr>
          <w:p>
            <w:pPr>
              <w:jc w:val="right"/>
              <w:ind w:right="408"/>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CCCCC"/>
          </w:tcPr>
          <w:p>
            <w:pPr>
              <w:spacing w:after="0"/>
              <w:rPr>
                <w:sz w:val="7"/>
                <w:szCs w:val="7"/>
                <w:color w:val="auto"/>
              </w:rPr>
            </w:pPr>
          </w:p>
        </w:tc>
        <w:tc>
          <w:tcPr>
            <w:tcW w:w="820" w:type="dxa"/>
            <w:vAlign w:val="bottom"/>
            <w:tcBorders>
              <w:right w:val="single" w:sz="8" w:color="9EACCA"/>
            </w:tcBorders>
            <w:vMerge w:val="restart"/>
            <w:shd w:val="clear" w:color="auto" w:fill="CCCCCC"/>
          </w:tcPr>
          <w:p>
            <w:pPr>
              <w:jc w:val="right"/>
              <w:ind w:right="228"/>
              <w:spacing w:after="0"/>
              <w:rPr>
                <w:sz w:val="20"/>
                <w:szCs w:val="20"/>
                <w:color w:val="auto"/>
              </w:rPr>
            </w:pPr>
            <w:r>
              <w:rPr>
                <w:rFonts w:ascii="Arial" w:cs="Arial" w:eastAsia="Arial" w:hAnsi="Arial"/>
                <w:sz w:val="14"/>
                <w:szCs w:val="14"/>
                <w:color w:val="auto"/>
              </w:rPr>
              <w:t>11,728</w:t>
            </w:r>
          </w:p>
        </w:tc>
        <w:tc>
          <w:tcPr>
            <w:tcW w:w="80" w:type="dxa"/>
            <w:vAlign w:val="bottom"/>
            <w:shd w:val="clear" w:color="auto" w:fill="CCCCCC"/>
          </w:tcPr>
          <w:p>
            <w:pPr>
              <w:spacing w:after="0"/>
              <w:rPr>
                <w:sz w:val="7"/>
                <w:szCs w:val="7"/>
                <w:color w:val="auto"/>
              </w:rPr>
            </w:pPr>
          </w:p>
        </w:tc>
        <w:tc>
          <w:tcPr>
            <w:tcW w:w="780" w:type="dxa"/>
            <w:vAlign w:val="bottom"/>
            <w:tcBorders>
              <w:right w:val="single" w:sz="8" w:color="3C5896"/>
            </w:tcBorders>
            <w:vMerge w:val="restart"/>
            <w:shd w:val="clear" w:color="auto" w:fill="CCCCCC"/>
          </w:tcPr>
          <w:p>
            <w:pPr>
              <w:jc w:val="right"/>
              <w:ind w:right="70"/>
              <w:spacing w:after="0"/>
              <w:rPr>
                <w:sz w:val="20"/>
                <w:szCs w:val="20"/>
                <w:color w:val="auto"/>
              </w:rPr>
            </w:pPr>
            <w:r>
              <w:rPr>
                <w:rFonts w:ascii="Arial" w:cs="Arial" w:eastAsia="Arial" w:hAnsi="Arial"/>
                <w:sz w:val="14"/>
                <w:szCs w:val="14"/>
                <w:color w:val="auto"/>
              </w:rPr>
              <w:t>564,327</w:t>
            </w:r>
          </w:p>
        </w:tc>
        <w:tc>
          <w:tcPr>
            <w:tcW w:w="0" w:type="dxa"/>
            <w:vAlign w:val="bottom"/>
          </w:tcPr>
          <w:p>
            <w:pPr>
              <w:spacing w:after="0"/>
              <w:rPr>
                <w:sz w:val="1"/>
                <w:szCs w:val="1"/>
                <w:color w:val="auto"/>
              </w:rPr>
            </w:pPr>
          </w:p>
        </w:tc>
      </w:tr>
      <w:tr>
        <w:trPr>
          <w:trHeight w:val="191"/>
        </w:trPr>
        <w:tc>
          <w:tcPr>
            <w:tcW w:w="1720" w:type="dxa"/>
            <w:vAlign w:val="bottom"/>
            <w:tcBorders>
              <w:left w:val="single" w:sz="8" w:color="3C5896"/>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Counsel and Secretary</w:t>
            </w:r>
          </w:p>
        </w:tc>
        <w:tc>
          <w:tcPr>
            <w:tcW w:w="80" w:type="dxa"/>
            <w:vAlign w:val="bottom"/>
            <w:tcBorders>
              <w:bottom w:val="single" w:sz="8" w:color="CCCCCC"/>
            </w:tcBorders>
            <w:shd w:val="clear" w:color="auto" w:fill="CCCCCC"/>
          </w:tcPr>
          <w:p>
            <w:pPr>
              <w:spacing w:after="0"/>
              <w:rPr>
                <w:sz w:val="16"/>
                <w:szCs w:val="16"/>
                <w:color w:val="auto"/>
              </w:rPr>
            </w:pPr>
          </w:p>
        </w:tc>
        <w:tc>
          <w:tcPr>
            <w:tcW w:w="4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60" w:type="dxa"/>
            <w:vAlign w:val="bottom"/>
            <w:tcBorders>
              <w:bottom w:val="single" w:sz="8" w:color="CCCCCC"/>
            </w:tcBorders>
            <w:shd w:val="clear" w:color="auto" w:fill="CCCCCC"/>
          </w:tcPr>
          <w:p>
            <w:pPr>
              <w:spacing w:after="0"/>
              <w:rPr>
                <w:sz w:val="16"/>
                <w:szCs w:val="16"/>
                <w:color w:val="auto"/>
              </w:rPr>
            </w:pPr>
          </w:p>
        </w:tc>
        <w:tc>
          <w:tcPr>
            <w:tcW w:w="60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40" w:type="dxa"/>
            <w:vAlign w:val="bottom"/>
            <w:tcBorders>
              <w:bottom w:val="single" w:sz="8" w:color="CCCCCC"/>
            </w:tcBorders>
            <w:shd w:val="clear" w:color="auto" w:fill="CCCCCC"/>
          </w:tcPr>
          <w:p>
            <w:pPr>
              <w:spacing w:after="0"/>
              <w:rPr>
                <w:sz w:val="16"/>
                <w:szCs w:val="16"/>
                <w:color w:val="auto"/>
              </w:rPr>
            </w:pPr>
          </w:p>
        </w:tc>
        <w:tc>
          <w:tcPr>
            <w:tcW w:w="40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40" w:type="dxa"/>
            <w:vAlign w:val="bottom"/>
            <w:tcBorders>
              <w:bottom w:val="single" w:sz="8" w:color="CCCCCC"/>
            </w:tcBorders>
            <w:shd w:val="clear" w:color="auto" w:fill="CCCCCC"/>
          </w:tcPr>
          <w:p>
            <w:pPr>
              <w:spacing w:after="0"/>
              <w:rPr>
                <w:sz w:val="16"/>
                <w:szCs w:val="16"/>
                <w:color w:val="auto"/>
              </w:rPr>
            </w:pPr>
          </w:p>
        </w:tc>
        <w:tc>
          <w:tcPr>
            <w:tcW w:w="4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100" w:type="dxa"/>
            <w:vAlign w:val="bottom"/>
            <w:tcBorders>
              <w:bottom w:val="single" w:sz="8" w:color="CCCCCC"/>
            </w:tcBorders>
            <w:shd w:val="clear" w:color="auto" w:fill="CCCCCC"/>
          </w:tcPr>
          <w:p>
            <w:pPr>
              <w:spacing w:after="0"/>
              <w:rPr>
                <w:sz w:val="16"/>
                <w:szCs w:val="16"/>
                <w:color w:val="auto"/>
              </w:rPr>
            </w:pPr>
          </w:p>
        </w:tc>
        <w:tc>
          <w:tcPr>
            <w:tcW w:w="76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80" w:type="dxa"/>
            <w:vAlign w:val="bottom"/>
            <w:tcBorders>
              <w:bottom w:val="single" w:sz="8" w:color="CCCCCC"/>
            </w:tcBorders>
            <w:shd w:val="clear" w:color="auto" w:fill="CCCCCC"/>
          </w:tcPr>
          <w:p>
            <w:pPr>
              <w:spacing w:after="0"/>
              <w:rPr>
                <w:sz w:val="16"/>
                <w:szCs w:val="16"/>
                <w:color w:val="auto"/>
              </w:rPr>
            </w:pPr>
          </w:p>
        </w:tc>
        <w:tc>
          <w:tcPr>
            <w:tcW w:w="84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440" w:type="dxa"/>
            <w:vAlign w:val="bottom"/>
            <w:tcBorders>
              <w:bottom w:val="single" w:sz="8" w:color="CCCCCC"/>
            </w:tcBorders>
            <w:shd w:val="clear" w:color="auto" w:fill="CCCCCC"/>
          </w:tcPr>
          <w:p>
            <w:pPr>
              <w:spacing w:after="0"/>
              <w:rPr>
                <w:sz w:val="16"/>
                <w:szCs w:val="16"/>
                <w:color w:val="auto"/>
              </w:rPr>
            </w:pPr>
          </w:p>
        </w:tc>
        <w:tc>
          <w:tcPr>
            <w:tcW w:w="64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80" w:type="dxa"/>
            <w:vAlign w:val="bottom"/>
            <w:tcBorders>
              <w:bottom w:val="single" w:sz="8" w:color="CCCCCC"/>
            </w:tcBorders>
            <w:shd w:val="clear" w:color="auto" w:fill="CCCCCC"/>
          </w:tcPr>
          <w:p>
            <w:pPr>
              <w:spacing w:after="0"/>
              <w:rPr>
                <w:sz w:val="16"/>
                <w:szCs w:val="16"/>
                <w:color w:val="auto"/>
              </w:rPr>
            </w:pPr>
          </w:p>
        </w:tc>
        <w:tc>
          <w:tcPr>
            <w:tcW w:w="8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80" w:type="dxa"/>
            <w:vAlign w:val="bottom"/>
            <w:tcBorders>
              <w:bottom w:val="single" w:sz="8" w:color="CCCCCC"/>
            </w:tcBorders>
            <w:shd w:val="clear" w:color="auto" w:fill="CCCCCC"/>
          </w:tcPr>
          <w:p>
            <w:pPr>
              <w:spacing w:after="0"/>
              <w:rPr>
                <w:sz w:val="16"/>
                <w:szCs w:val="16"/>
                <w:color w:val="auto"/>
              </w:rPr>
            </w:pPr>
          </w:p>
        </w:tc>
        <w:tc>
          <w:tcPr>
            <w:tcW w:w="780" w:type="dxa"/>
            <w:vAlign w:val="bottom"/>
            <w:tcBorders>
              <w:bottom w:val="single" w:sz="8" w:color="CCCCCC"/>
              <w:right w:val="single" w:sz="8" w:color="3C5896"/>
            </w:tcBorders>
            <w:vMerge w:val="continue"/>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John Vaught</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2018</w:t>
            </w:r>
          </w:p>
        </w:tc>
        <w:tc>
          <w:tcPr>
            <w:tcW w:w="660" w:type="dxa"/>
            <w:vAlign w:val="bottom"/>
            <w:tcBorders>
              <w:right w:val="single" w:sz="8" w:color="9EACCA"/>
            </w:tcBorders>
            <w:gridSpan w:val="2"/>
          </w:tcPr>
          <w:p>
            <w:pPr>
              <w:jc w:val="right"/>
              <w:ind w:right="10"/>
              <w:spacing w:after="0"/>
              <w:rPr>
                <w:sz w:val="20"/>
                <w:szCs w:val="20"/>
                <w:color w:val="auto"/>
              </w:rPr>
            </w:pPr>
            <w:r>
              <w:rPr>
                <w:rFonts w:ascii="Arial" w:cs="Arial" w:eastAsia="Arial" w:hAnsi="Arial"/>
                <w:sz w:val="14"/>
                <w:szCs w:val="14"/>
                <w:color w:val="auto"/>
              </w:rPr>
              <w:t>300,423</w:t>
            </w:r>
          </w:p>
        </w:tc>
        <w:tc>
          <w:tcPr>
            <w:tcW w:w="240" w:type="dxa"/>
            <w:vAlign w:val="bottom"/>
          </w:tcPr>
          <w:p>
            <w:pPr>
              <w:spacing w:after="0"/>
              <w:rPr>
                <w:sz w:val="19"/>
                <w:szCs w:val="19"/>
                <w:color w:val="auto"/>
              </w:rPr>
            </w:pPr>
          </w:p>
        </w:tc>
        <w:tc>
          <w:tcPr>
            <w:tcW w:w="400" w:type="dxa"/>
            <w:vAlign w:val="bottom"/>
            <w:tcBorders>
              <w:right w:val="single" w:sz="8" w:color="9EACCA"/>
            </w:tcBorders>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9"/>
                <w:szCs w:val="19"/>
                <w:color w:val="auto"/>
              </w:rPr>
            </w:pPr>
          </w:p>
        </w:tc>
        <w:tc>
          <w:tcPr>
            <w:tcW w:w="420" w:type="dxa"/>
            <w:vAlign w:val="bottom"/>
            <w:tcBorders>
              <w:right w:val="single" w:sz="8" w:color="9EACCA"/>
            </w:tcBorders>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9"/>
                <w:szCs w:val="19"/>
                <w:color w:val="auto"/>
              </w:rPr>
            </w:pPr>
          </w:p>
        </w:tc>
        <w:tc>
          <w:tcPr>
            <w:tcW w:w="760" w:type="dxa"/>
            <w:vAlign w:val="bottom"/>
            <w:tcBorders>
              <w:right w:val="single" w:sz="8" w:color="9EACCA"/>
            </w:tcBorders>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tcPr>
          <w:p>
            <w:pPr>
              <w:jc w:val="right"/>
              <w:ind w:right="230"/>
              <w:spacing w:after="0"/>
              <w:rPr>
                <w:sz w:val="20"/>
                <w:szCs w:val="20"/>
                <w:color w:val="auto"/>
              </w:rPr>
            </w:pPr>
            <w:r>
              <w:rPr>
                <w:rFonts w:ascii="Arial" w:cs="Arial" w:eastAsia="Arial" w:hAnsi="Arial"/>
                <w:sz w:val="14"/>
                <w:szCs w:val="14"/>
                <w:color w:val="auto"/>
              </w:rPr>
              <w:t>74,707</w:t>
            </w:r>
          </w:p>
        </w:tc>
        <w:tc>
          <w:tcPr>
            <w:tcW w:w="440" w:type="dxa"/>
            <w:vAlign w:val="bottom"/>
          </w:tcPr>
          <w:p>
            <w:pPr>
              <w:spacing w:after="0"/>
              <w:rPr>
                <w:sz w:val="19"/>
                <w:szCs w:val="19"/>
                <w:color w:val="auto"/>
              </w:rPr>
            </w:pPr>
          </w:p>
        </w:tc>
        <w:tc>
          <w:tcPr>
            <w:tcW w:w="640" w:type="dxa"/>
            <w:vAlign w:val="bottom"/>
            <w:tcBorders>
              <w:right w:val="single" w:sz="8" w:color="9EACCA"/>
            </w:tcBorders>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tcPr>
          <w:p>
            <w:pPr>
              <w:jc w:val="right"/>
              <w:ind w:right="228"/>
              <w:spacing w:after="0"/>
              <w:rPr>
                <w:sz w:val="20"/>
                <w:szCs w:val="20"/>
                <w:color w:val="auto"/>
              </w:rPr>
            </w:pPr>
            <w:r>
              <w:rPr>
                <w:rFonts w:ascii="Arial" w:cs="Arial" w:eastAsia="Arial" w:hAnsi="Arial"/>
                <w:sz w:val="14"/>
                <w:szCs w:val="14"/>
                <w:color w:val="auto"/>
              </w:rPr>
              <w:t>7,344</w:t>
            </w:r>
          </w:p>
        </w:tc>
        <w:tc>
          <w:tcPr>
            <w:tcW w:w="860" w:type="dxa"/>
            <w:vAlign w:val="bottom"/>
            <w:tcBorders>
              <w:right w:val="single" w:sz="8" w:color="3C5896"/>
            </w:tcBorders>
            <w:gridSpan w:val="2"/>
          </w:tcPr>
          <w:p>
            <w:pPr>
              <w:jc w:val="right"/>
              <w:ind w:right="70"/>
              <w:spacing w:after="0"/>
              <w:rPr>
                <w:sz w:val="20"/>
                <w:szCs w:val="20"/>
                <w:color w:val="auto"/>
              </w:rPr>
            </w:pPr>
            <w:r>
              <w:rPr>
                <w:rFonts w:ascii="Arial" w:cs="Arial" w:eastAsia="Arial" w:hAnsi="Arial"/>
                <w:sz w:val="14"/>
                <w:szCs w:val="14"/>
                <w:color w:val="auto"/>
              </w:rPr>
              <w:t>382,474</w:t>
            </w:r>
          </w:p>
        </w:tc>
        <w:tc>
          <w:tcPr>
            <w:tcW w:w="0" w:type="dxa"/>
            <w:vAlign w:val="bottom"/>
          </w:tcPr>
          <w:p>
            <w:pPr>
              <w:spacing w:after="0"/>
              <w:rPr>
                <w:sz w:val="1"/>
                <w:szCs w:val="1"/>
                <w:color w:val="auto"/>
              </w:rPr>
            </w:pPr>
          </w:p>
        </w:tc>
      </w:tr>
      <w:tr>
        <w:trPr>
          <w:trHeight w:val="162"/>
        </w:trPr>
        <w:tc>
          <w:tcPr>
            <w:tcW w:w="17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Senior Vice President</w:t>
            </w: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2017</w:t>
            </w:r>
          </w:p>
        </w:tc>
        <w:tc>
          <w:tcPr>
            <w:tcW w:w="660" w:type="dxa"/>
            <w:vAlign w:val="bottom"/>
            <w:tcBorders>
              <w:right w:val="single" w:sz="8" w:color="9EACCA"/>
            </w:tcBorders>
            <w:gridSpan w:val="2"/>
            <w:vMerge w:val="restart"/>
          </w:tcPr>
          <w:p>
            <w:pPr>
              <w:jc w:val="right"/>
              <w:ind w:right="10"/>
              <w:spacing w:after="0"/>
              <w:rPr>
                <w:sz w:val="20"/>
                <w:szCs w:val="20"/>
                <w:color w:val="auto"/>
              </w:rPr>
            </w:pPr>
            <w:r>
              <w:rPr>
                <w:rFonts w:ascii="Arial" w:cs="Arial" w:eastAsia="Arial" w:hAnsi="Arial"/>
                <w:sz w:val="14"/>
                <w:szCs w:val="14"/>
                <w:color w:val="auto"/>
              </w:rPr>
              <w:t>285,846</w:t>
            </w:r>
          </w:p>
        </w:tc>
        <w:tc>
          <w:tcPr>
            <w:tcW w:w="240" w:type="dxa"/>
            <w:vAlign w:val="bottom"/>
          </w:tcPr>
          <w:p>
            <w:pPr>
              <w:spacing w:after="0"/>
              <w:rPr>
                <w:sz w:val="14"/>
                <w:szCs w:val="14"/>
                <w:color w:val="auto"/>
              </w:rPr>
            </w:pPr>
          </w:p>
        </w:tc>
        <w:tc>
          <w:tcPr>
            <w:tcW w:w="400" w:type="dxa"/>
            <w:vAlign w:val="bottom"/>
            <w:tcBorders>
              <w:right w:val="single" w:sz="8" w:color="9EACCA"/>
            </w:tcBorders>
            <w:vMerge w:val="restart"/>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420" w:type="dxa"/>
            <w:vAlign w:val="bottom"/>
            <w:tcBorders>
              <w:right w:val="single" w:sz="8" w:color="9EACCA"/>
            </w:tcBorders>
            <w:vMerge w:val="restart"/>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760" w:type="dxa"/>
            <w:vAlign w:val="bottom"/>
            <w:tcBorders>
              <w:right w:val="single" w:sz="8" w:color="9EACCA"/>
            </w:tcBorders>
            <w:vMerge w:val="restart"/>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vMerge w:val="restart"/>
          </w:tcPr>
          <w:p>
            <w:pPr>
              <w:jc w:val="right"/>
              <w:ind w:right="230"/>
              <w:spacing w:after="0"/>
              <w:rPr>
                <w:sz w:val="20"/>
                <w:szCs w:val="20"/>
                <w:color w:val="auto"/>
              </w:rPr>
            </w:pPr>
            <w:r>
              <w:rPr>
                <w:rFonts w:ascii="Arial" w:cs="Arial" w:eastAsia="Arial" w:hAnsi="Arial"/>
                <w:sz w:val="14"/>
                <w:szCs w:val="14"/>
                <w:color w:val="auto"/>
              </w:rPr>
              <w:t>106,009</w:t>
            </w:r>
          </w:p>
        </w:tc>
        <w:tc>
          <w:tcPr>
            <w:tcW w:w="440" w:type="dxa"/>
            <w:vAlign w:val="bottom"/>
          </w:tcPr>
          <w:p>
            <w:pPr>
              <w:spacing w:after="0"/>
              <w:rPr>
                <w:sz w:val="14"/>
                <w:szCs w:val="14"/>
                <w:color w:val="auto"/>
              </w:rPr>
            </w:pPr>
          </w:p>
        </w:tc>
        <w:tc>
          <w:tcPr>
            <w:tcW w:w="640" w:type="dxa"/>
            <w:vAlign w:val="bottom"/>
            <w:tcBorders>
              <w:right w:val="single" w:sz="8" w:color="9EACCA"/>
            </w:tcBorders>
            <w:vMerge w:val="restart"/>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vMerge w:val="restart"/>
          </w:tcPr>
          <w:p>
            <w:pPr>
              <w:jc w:val="right"/>
              <w:ind w:right="228"/>
              <w:spacing w:after="0"/>
              <w:rPr>
                <w:sz w:val="20"/>
                <w:szCs w:val="20"/>
                <w:color w:val="auto"/>
              </w:rPr>
            </w:pPr>
            <w:r>
              <w:rPr>
                <w:rFonts w:ascii="Arial" w:cs="Arial" w:eastAsia="Arial" w:hAnsi="Arial"/>
                <w:sz w:val="14"/>
                <w:szCs w:val="14"/>
                <w:color w:val="auto"/>
              </w:rPr>
              <w:t>127,193</w:t>
            </w:r>
          </w:p>
        </w:tc>
        <w:tc>
          <w:tcPr>
            <w:tcW w:w="860" w:type="dxa"/>
            <w:vAlign w:val="bottom"/>
            <w:tcBorders>
              <w:right w:val="single" w:sz="8" w:color="3C5896"/>
            </w:tcBorders>
            <w:gridSpan w:val="2"/>
            <w:vMerge w:val="restart"/>
          </w:tcPr>
          <w:p>
            <w:pPr>
              <w:jc w:val="right"/>
              <w:ind w:right="70"/>
              <w:spacing w:after="0"/>
              <w:rPr>
                <w:sz w:val="20"/>
                <w:szCs w:val="20"/>
                <w:color w:val="auto"/>
              </w:rPr>
            </w:pPr>
            <w:r>
              <w:rPr>
                <w:rFonts w:ascii="Arial" w:cs="Arial" w:eastAsia="Arial" w:hAnsi="Arial"/>
                <w:sz w:val="14"/>
                <w:szCs w:val="14"/>
                <w:color w:val="auto"/>
              </w:rPr>
              <w:t>519,048</w:t>
            </w:r>
          </w:p>
        </w:tc>
        <w:tc>
          <w:tcPr>
            <w:tcW w:w="0" w:type="dxa"/>
            <w:vAlign w:val="bottom"/>
          </w:tcPr>
          <w:p>
            <w:pPr>
              <w:spacing w:after="0"/>
              <w:rPr>
                <w:sz w:val="1"/>
                <w:szCs w:val="1"/>
                <w:color w:val="auto"/>
              </w:rPr>
            </w:pPr>
          </w:p>
        </w:tc>
      </w:tr>
      <w:tr>
        <w:trPr>
          <w:trHeight w:val="78"/>
        </w:trPr>
        <w:tc>
          <w:tcPr>
            <w:tcW w:w="1720" w:type="dxa"/>
            <w:vAlign w:val="bottom"/>
            <w:tcBorders>
              <w:left w:val="single" w:sz="8" w:color="3C5896"/>
              <w:right w:val="single" w:sz="8" w:color="9EACCA"/>
            </w:tcBorders>
            <w:vMerge w:val="restart"/>
          </w:tcPr>
          <w:p>
            <w:pPr>
              <w:ind w:left="180"/>
              <w:spacing w:after="0"/>
              <w:rPr>
                <w:sz w:val="20"/>
                <w:szCs w:val="20"/>
                <w:color w:val="auto"/>
              </w:rPr>
            </w:pPr>
            <w:r>
              <w:rPr>
                <w:rFonts w:ascii="Arial" w:cs="Arial" w:eastAsia="Arial" w:hAnsi="Arial"/>
                <w:sz w:val="14"/>
                <w:szCs w:val="14"/>
                <w:color w:val="auto"/>
              </w:rPr>
              <w:t>and Chief Information</w:t>
            </w:r>
          </w:p>
        </w:tc>
        <w:tc>
          <w:tcPr>
            <w:tcW w:w="500" w:type="dxa"/>
            <w:vAlign w:val="bottom"/>
            <w:tcBorders>
              <w:right w:val="single" w:sz="8" w:color="9EACCA"/>
            </w:tcBorders>
            <w:gridSpan w:val="2"/>
            <w:vMerge w:val="continue"/>
          </w:tcPr>
          <w:p>
            <w:pPr>
              <w:spacing w:after="0"/>
              <w:rPr>
                <w:sz w:val="6"/>
                <w:szCs w:val="6"/>
                <w:color w:val="auto"/>
              </w:rPr>
            </w:pPr>
          </w:p>
        </w:tc>
        <w:tc>
          <w:tcPr>
            <w:tcW w:w="660" w:type="dxa"/>
            <w:vAlign w:val="bottom"/>
            <w:tcBorders>
              <w:right w:val="single" w:sz="8" w:color="9EACCA"/>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Borders>
              <w:right w:val="single" w:sz="8" w:color="9EACCA"/>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Borders>
              <w:right w:val="single" w:sz="8" w:color="9EACCA"/>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right w:val="single" w:sz="8" w:color="9EACCA"/>
            </w:tcBorders>
            <w:vMerge w:val="continue"/>
          </w:tcPr>
          <w:p>
            <w:pPr>
              <w:spacing w:after="0"/>
              <w:rPr>
                <w:sz w:val="6"/>
                <w:szCs w:val="6"/>
                <w:color w:val="auto"/>
              </w:rPr>
            </w:pPr>
          </w:p>
        </w:tc>
        <w:tc>
          <w:tcPr>
            <w:tcW w:w="1120" w:type="dxa"/>
            <w:vAlign w:val="bottom"/>
            <w:tcBorders>
              <w:right w:val="single" w:sz="8" w:color="9EACCA"/>
            </w:tcBorders>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Borders>
              <w:right w:val="single" w:sz="8" w:color="9EACCA"/>
            </w:tcBorders>
            <w:vMerge w:val="continue"/>
          </w:tcPr>
          <w:p>
            <w:pPr>
              <w:spacing w:after="0"/>
              <w:rPr>
                <w:sz w:val="6"/>
                <w:szCs w:val="6"/>
                <w:color w:val="auto"/>
              </w:rPr>
            </w:pPr>
          </w:p>
        </w:tc>
        <w:tc>
          <w:tcPr>
            <w:tcW w:w="1100" w:type="dxa"/>
            <w:vAlign w:val="bottom"/>
            <w:tcBorders>
              <w:right w:val="single" w:sz="8" w:color="9EACCA"/>
            </w:tcBorders>
            <w:gridSpan w:val="2"/>
            <w:vMerge w:val="continue"/>
          </w:tcPr>
          <w:p>
            <w:pPr>
              <w:spacing w:after="0"/>
              <w:rPr>
                <w:sz w:val="6"/>
                <w:szCs w:val="6"/>
                <w:color w:val="auto"/>
              </w:rPr>
            </w:pPr>
          </w:p>
        </w:tc>
        <w:tc>
          <w:tcPr>
            <w:tcW w:w="860" w:type="dxa"/>
            <w:vAlign w:val="bottom"/>
            <w:tcBorders>
              <w:right w:val="single" w:sz="8" w:color="3C58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720" w:type="dxa"/>
            <w:vAlign w:val="bottom"/>
            <w:tcBorders>
              <w:left w:val="single" w:sz="8" w:color="3C5896"/>
              <w:right w:val="single" w:sz="8" w:color="9EACCA"/>
            </w:tcBorders>
            <w:vMerge w:val="continue"/>
          </w:tcPr>
          <w:p>
            <w:pPr>
              <w:spacing w:after="0"/>
              <w:rPr>
                <w:sz w:val="7"/>
                <w:szCs w:val="7"/>
                <w:color w:val="auto"/>
              </w:rPr>
            </w:pP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2016</w:t>
            </w:r>
          </w:p>
        </w:tc>
        <w:tc>
          <w:tcPr>
            <w:tcW w:w="660" w:type="dxa"/>
            <w:vAlign w:val="bottom"/>
            <w:tcBorders>
              <w:right w:val="single" w:sz="8" w:color="9EACCA"/>
            </w:tcBorders>
            <w:gridSpan w:val="2"/>
            <w:vMerge w:val="restart"/>
          </w:tcPr>
          <w:p>
            <w:pPr>
              <w:jc w:val="right"/>
              <w:ind w:right="10"/>
              <w:spacing w:after="0"/>
              <w:rPr>
                <w:sz w:val="20"/>
                <w:szCs w:val="20"/>
                <w:color w:val="auto"/>
              </w:rPr>
            </w:pPr>
            <w:r>
              <w:rPr>
                <w:rFonts w:ascii="Arial" w:cs="Arial" w:eastAsia="Arial" w:hAnsi="Arial"/>
                <w:sz w:val="14"/>
                <w:szCs w:val="14"/>
                <w:color w:val="auto"/>
              </w:rPr>
              <w:t>267,250</w:t>
            </w:r>
          </w:p>
        </w:tc>
        <w:tc>
          <w:tcPr>
            <w:tcW w:w="240" w:type="dxa"/>
            <w:vAlign w:val="bottom"/>
          </w:tcPr>
          <w:p>
            <w:pPr>
              <w:spacing w:after="0"/>
              <w:rPr>
                <w:sz w:val="7"/>
                <w:szCs w:val="7"/>
                <w:color w:val="auto"/>
              </w:rPr>
            </w:pPr>
          </w:p>
        </w:tc>
        <w:tc>
          <w:tcPr>
            <w:tcW w:w="400" w:type="dxa"/>
            <w:vAlign w:val="bottom"/>
            <w:tcBorders>
              <w:right w:val="single" w:sz="8" w:color="9EACCA"/>
            </w:tcBorders>
            <w:vMerge w:val="restart"/>
          </w:tcPr>
          <w:p>
            <w:pPr>
              <w:jc w:val="right"/>
              <w:ind w:right="188"/>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7"/>
                <w:szCs w:val="7"/>
                <w:color w:val="auto"/>
              </w:rPr>
            </w:pPr>
          </w:p>
        </w:tc>
        <w:tc>
          <w:tcPr>
            <w:tcW w:w="420" w:type="dxa"/>
            <w:vAlign w:val="bottom"/>
            <w:tcBorders>
              <w:right w:val="single" w:sz="8" w:color="9EACCA"/>
            </w:tcBorders>
            <w:vMerge w:val="restart"/>
          </w:tcPr>
          <w:p>
            <w:pPr>
              <w:jc w:val="right"/>
              <w:ind w:right="20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7"/>
                <w:szCs w:val="7"/>
                <w:color w:val="auto"/>
              </w:rPr>
            </w:pPr>
          </w:p>
        </w:tc>
        <w:tc>
          <w:tcPr>
            <w:tcW w:w="760" w:type="dxa"/>
            <w:vAlign w:val="bottom"/>
            <w:tcBorders>
              <w:right w:val="single" w:sz="8" w:color="9EACCA"/>
            </w:tcBorders>
            <w:vMerge w:val="restart"/>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9EACCA"/>
            </w:tcBorders>
            <w:gridSpan w:val="2"/>
            <w:vMerge w:val="restart"/>
          </w:tcPr>
          <w:p>
            <w:pPr>
              <w:jc w:val="right"/>
              <w:ind w:right="230"/>
              <w:spacing w:after="0"/>
              <w:rPr>
                <w:sz w:val="20"/>
                <w:szCs w:val="20"/>
                <w:color w:val="auto"/>
              </w:rPr>
            </w:pPr>
            <w:r>
              <w:rPr>
                <w:rFonts w:ascii="Arial" w:cs="Arial" w:eastAsia="Arial" w:hAnsi="Arial"/>
                <w:sz w:val="14"/>
                <w:szCs w:val="14"/>
                <w:color w:val="auto"/>
              </w:rPr>
              <w:t>133,202</w:t>
            </w:r>
          </w:p>
        </w:tc>
        <w:tc>
          <w:tcPr>
            <w:tcW w:w="440" w:type="dxa"/>
            <w:vAlign w:val="bottom"/>
          </w:tcPr>
          <w:p>
            <w:pPr>
              <w:spacing w:after="0"/>
              <w:rPr>
                <w:sz w:val="7"/>
                <w:szCs w:val="7"/>
                <w:color w:val="auto"/>
              </w:rPr>
            </w:pPr>
          </w:p>
        </w:tc>
        <w:tc>
          <w:tcPr>
            <w:tcW w:w="640" w:type="dxa"/>
            <w:vAlign w:val="bottom"/>
            <w:tcBorders>
              <w:right w:val="single" w:sz="8" w:color="9EACCA"/>
            </w:tcBorders>
            <w:vMerge w:val="restart"/>
          </w:tcPr>
          <w:p>
            <w:pPr>
              <w:jc w:val="right"/>
              <w:ind w:right="408"/>
              <w:spacing w:after="0"/>
              <w:rPr>
                <w:sz w:val="20"/>
                <w:szCs w:val="20"/>
                <w:color w:val="auto"/>
              </w:rPr>
            </w:pPr>
            <w:r>
              <w:rPr>
                <w:rFonts w:ascii="Arial" w:cs="Arial" w:eastAsia="Arial" w:hAnsi="Arial"/>
                <w:sz w:val="14"/>
                <w:szCs w:val="14"/>
                <w:color w:val="auto"/>
                <w:w w:val="99"/>
              </w:rPr>
              <w:t>—</w:t>
            </w:r>
          </w:p>
        </w:tc>
        <w:tc>
          <w:tcPr>
            <w:tcW w:w="1100" w:type="dxa"/>
            <w:vAlign w:val="bottom"/>
            <w:tcBorders>
              <w:right w:val="single" w:sz="8" w:color="9EACCA"/>
            </w:tcBorders>
            <w:gridSpan w:val="2"/>
            <w:vMerge w:val="restart"/>
          </w:tcPr>
          <w:p>
            <w:pPr>
              <w:jc w:val="right"/>
              <w:ind w:right="228"/>
              <w:spacing w:after="0"/>
              <w:rPr>
                <w:sz w:val="20"/>
                <w:szCs w:val="20"/>
                <w:color w:val="auto"/>
              </w:rPr>
            </w:pPr>
            <w:r>
              <w:rPr>
                <w:rFonts w:ascii="Arial" w:cs="Arial" w:eastAsia="Arial" w:hAnsi="Arial"/>
                <w:sz w:val="14"/>
                <w:szCs w:val="14"/>
                <w:color w:val="auto"/>
              </w:rPr>
              <w:t>8,422</w:t>
            </w:r>
          </w:p>
        </w:tc>
        <w:tc>
          <w:tcPr>
            <w:tcW w:w="860" w:type="dxa"/>
            <w:vAlign w:val="bottom"/>
            <w:tcBorders>
              <w:right w:val="single" w:sz="8" w:color="3C5896"/>
            </w:tcBorders>
            <w:gridSpan w:val="2"/>
            <w:vMerge w:val="restart"/>
          </w:tcPr>
          <w:p>
            <w:pPr>
              <w:jc w:val="right"/>
              <w:ind w:right="70"/>
              <w:spacing w:after="0"/>
              <w:rPr>
                <w:sz w:val="20"/>
                <w:szCs w:val="20"/>
                <w:color w:val="auto"/>
              </w:rPr>
            </w:pPr>
            <w:r>
              <w:rPr>
                <w:rFonts w:ascii="Arial" w:cs="Arial" w:eastAsia="Arial" w:hAnsi="Arial"/>
                <w:sz w:val="14"/>
                <w:szCs w:val="14"/>
                <w:color w:val="auto"/>
              </w:rPr>
              <w:t>408,874</w:t>
            </w:r>
          </w:p>
        </w:tc>
        <w:tc>
          <w:tcPr>
            <w:tcW w:w="0" w:type="dxa"/>
            <w:vAlign w:val="bottom"/>
          </w:tcPr>
          <w:p>
            <w:pPr>
              <w:spacing w:after="0"/>
              <w:rPr>
                <w:sz w:val="1"/>
                <w:szCs w:val="1"/>
                <w:color w:val="auto"/>
              </w:rPr>
            </w:pPr>
          </w:p>
        </w:tc>
      </w:tr>
      <w:tr>
        <w:trPr>
          <w:trHeight w:val="225"/>
        </w:trPr>
        <w:tc>
          <w:tcPr>
            <w:tcW w:w="17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Officer</w:t>
            </w:r>
          </w:p>
        </w:tc>
        <w:tc>
          <w:tcPr>
            <w:tcW w:w="500" w:type="dxa"/>
            <w:vAlign w:val="bottom"/>
            <w:tcBorders>
              <w:right w:val="single" w:sz="8" w:color="9EACCA"/>
            </w:tcBorders>
            <w:gridSpan w:val="2"/>
            <w:vMerge w:val="continue"/>
          </w:tcPr>
          <w:p>
            <w:pPr>
              <w:spacing w:after="0"/>
              <w:rPr>
                <w:sz w:val="19"/>
                <w:szCs w:val="19"/>
                <w:color w:val="auto"/>
              </w:rPr>
            </w:pPr>
          </w:p>
        </w:tc>
        <w:tc>
          <w:tcPr>
            <w:tcW w:w="660" w:type="dxa"/>
            <w:vAlign w:val="bottom"/>
            <w:tcBorders>
              <w:right w:val="single" w:sz="8" w:color="9EACCA"/>
            </w:tcBorders>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right w:val="single" w:sz="8" w:color="9EACCA"/>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right w:val="single" w:sz="8" w:color="9EACCA"/>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right w:val="single" w:sz="8" w:color="9EACCA"/>
            </w:tcBorders>
            <w:vMerge w:val="continue"/>
          </w:tcPr>
          <w:p>
            <w:pPr>
              <w:spacing w:after="0"/>
              <w:rPr>
                <w:sz w:val="19"/>
                <w:szCs w:val="19"/>
                <w:color w:val="auto"/>
              </w:rPr>
            </w:pPr>
          </w:p>
        </w:tc>
        <w:tc>
          <w:tcPr>
            <w:tcW w:w="1120" w:type="dxa"/>
            <w:vAlign w:val="bottom"/>
            <w:tcBorders>
              <w:right w:val="single" w:sz="8" w:color="9EACCA"/>
            </w:tcBorders>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right w:val="single" w:sz="8" w:color="9EACCA"/>
            </w:tcBorders>
            <w:vMerge w:val="continue"/>
          </w:tcPr>
          <w:p>
            <w:pPr>
              <w:spacing w:after="0"/>
              <w:rPr>
                <w:sz w:val="19"/>
                <w:szCs w:val="19"/>
                <w:color w:val="auto"/>
              </w:rPr>
            </w:pPr>
          </w:p>
        </w:tc>
        <w:tc>
          <w:tcPr>
            <w:tcW w:w="1100" w:type="dxa"/>
            <w:vAlign w:val="bottom"/>
            <w:tcBorders>
              <w:right w:val="single" w:sz="8" w:color="9EACCA"/>
            </w:tcBorders>
            <w:gridSpan w:val="2"/>
            <w:vMerge w:val="continue"/>
          </w:tcPr>
          <w:p>
            <w:pPr>
              <w:spacing w:after="0"/>
              <w:rPr>
                <w:sz w:val="19"/>
                <w:szCs w:val="19"/>
                <w:color w:val="auto"/>
              </w:rPr>
            </w:pPr>
          </w:p>
        </w:tc>
        <w:tc>
          <w:tcPr>
            <w:tcW w:w="860" w:type="dxa"/>
            <w:vAlign w:val="bottom"/>
            <w:tcBorders>
              <w:right w:val="single" w:sz="8" w:color="3C5896"/>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left w:val="single" w:sz="8" w:color="3C5896"/>
              <w:right w:val="single" w:sz="8" w:color="9EACCA"/>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420" w:type="dxa"/>
            <w:vAlign w:val="bottom"/>
            <w:tcBorders>
              <w:right w:val="single" w:sz="8" w:color="3C5896"/>
            </w:tcBorders>
            <w:shd w:val="clear" w:color="auto" w:fill="3C5896"/>
          </w:tcPr>
          <w:p>
            <w:pPr>
              <w:spacing w:after="0" w:line="20" w:lineRule="exact"/>
              <w:rPr>
                <w:sz w:val="1"/>
                <w:szCs w:val="1"/>
                <w:color w:val="auto"/>
              </w:rPr>
            </w:pPr>
          </w:p>
        </w:tc>
        <w:tc>
          <w:tcPr>
            <w:tcW w:w="60" w:type="dxa"/>
            <w:vAlign w:val="bottom"/>
            <w:shd w:val="clear" w:color="auto" w:fill="3C5896"/>
          </w:tcPr>
          <w:p>
            <w:pPr>
              <w:spacing w:after="0" w:line="20" w:lineRule="exact"/>
              <w:rPr>
                <w:sz w:val="1"/>
                <w:szCs w:val="1"/>
                <w:color w:val="auto"/>
              </w:rPr>
            </w:pPr>
          </w:p>
        </w:tc>
        <w:tc>
          <w:tcPr>
            <w:tcW w:w="600" w:type="dxa"/>
            <w:vAlign w:val="bottom"/>
            <w:tcBorders>
              <w:right w:val="single" w:sz="8" w:color="3C5896"/>
            </w:tcBorders>
            <w:shd w:val="clear" w:color="auto" w:fill="3C5896"/>
          </w:tcPr>
          <w:p>
            <w:pPr>
              <w:spacing w:after="0" w:line="20" w:lineRule="exact"/>
              <w:rPr>
                <w:sz w:val="1"/>
                <w:szCs w:val="1"/>
                <w:color w:val="auto"/>
              </w:rPr>
            </w:pPr>
          </w:p>
        </w:tc>
        <w:tc>
          <w:tcPr>
            <w:tcW w:w="240" w:type="dxa"/>
            <w:vAlign w:val="bottom"/>
            <w:shd w:val="clear" w:color="auto" w:fill="3C5896"/>
          </w:tcPr>
          <w:p>
            <w:pPr>
              <w:spacing w:after="0" w:line="20" w:lineRule="exact"/>
              <w:rPr>
                <w:sz w:val="1"/>
                <w:szCs w:val="1"/>
                <w:color w:val="auto"/>
              </w:rPr>
            </w:pPr>
          </w:p>
        </w:tc>
        <w:tc>
          <w:tcPr>
            <w:tcW w:w="400" w:type="dxa"/>
            <w:vAlign w:val="bottom"/>
            <w:tcBorders>
              <w:right w:val="single" w:sz="8" w:color="3C5896"/>
            </w:tcBorders>
            <w:shd w:val="clear" w:color="auto" w:fill="3C5896"/>
          </w:tcPr>
          <w:p>
            <w:pPr>
              <w:spacing w:after="0" w:line="20" w:lineRule="exact"/>
              <w:rPr>
                <w:sz w:val="1"/>
                <w:szCs w:val="1"/>
                <w:color w:val="auto"/>
              </w:rPr>
            </w:pPr>
          </w:p>
        </w:tc>
        <w:tc>
          <w:tcPr>
            <w:tcW w:w="240" w:type="dxa"/>
            <w:vAlign w:val="bottom"/>
            <w:shd w:val="clear" w:color="auto" w:fill="3C5896"/>
          </w:tcPr>
          <w:p>
            <w:pPr>
              <w:spacing w:after="0" w:line="20" w:lineRule="exact"/>
              <w:rPr>
                <w:sz w:val="1"/>
                <w:szCs w:val="1"/>
                <w:color w:val="auto"/>
              </w:rPr>
            </w:pPr>
          </w:p>
        </w:tc>
        <w:tc>
          <w:tcPr>
            <w:tcW w:w="42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28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440" w:type="dxa"/>
            <w:vAlign w:val="bottom"/>
            <w:shd w:val="clear" w:color="auto" w:fill="3C5896"/>
          </w:tcPr>
          <w:p>
            <w:pPr>
              <w:spacing w:after="0" w:line="20" w:lineRule="exact"/>
              <w:rPr>
                <w:sz w:val="1"/>
                <w:szCs w:val="1"/>
                <w:color w:val="auto"/>
              </w:rPr>
            </w:pPr>
          </w:p>
        </w:tc>
        <w:tc>
          <w:tcPr>
            <w:tcW w:w="640" w:type="dxa"/>
            <w:vAlign w:val="bottom"/>
            <w:tcBorders>
              <w:right w:val="single" w:sz="8" w:color="3C5896"/>
            </w:tcBorders>
            <w:shd w:val="clear" w:color="auto" w:fill="3C5896"/>
          </w:tcPr>
          <w:p>
            <w:pPr>
              <w:spacing w:after="0" w:line="20" w:lineRule="exact"/>
              <w:rPr>
                <w:sz w:val="1"/>
                <w:szCs w:val="1"/>
                <w:color w:val="auto"/>
              </w:rPr>
            </w:pPr>
          </w:p>
        </w:tc>
        <w:tc>
          <w:tcPr>
            <w:tcW w:w="280" w:type="dxa"/>
            <w:vAlign w:val="bottom"/>
            <w:shd w:val="clear" w:color="auto" w:fill="3C5896"/>
          </w:tcPr>
          <w:p>
            <w:pPr>
              <w:spacing w:after="0" w:line="20" w:lineRule="exact"/>
              <w:rPr>
                <w:sz w:val="1"/>
                <w:szCs w:val="1"/>
                <w:color w:val="auto"/>
              </w:rPr>
            </w:pPr>
          </w:p>
        </w:tc>
        <w:tc>
          <w:tcPr>
            <w:tcW w:w="82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78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5"/>
          <w:szCs w:val="15"/>
          <w:color w:val="auto"/>
        </w:rPr>
        <w:t>(1)</w:t>
        <w:tab/>
        <w:t>All Other Compensation for 2018 included:</w:t>
      </w:r>
    </w:p>
    <w:p>
      <w:pPr>
        <w:spacing w:after="0" w:line="115" w:lineRule="exact"/>
        <w:rPr>
          <w:sz w:val="20"/>
          <w:szCs w:val="20"/>
          <w:color w:val="auto"/>
        </w:rPr>
      </w:pPr>
    </w:p>
    <w:tbl>
      <w:tblPr>
        <w:tblLayout w:type="fixed"/>
        <w:tblInd w:w="1130" w:type="dxa"/>
        <w:tblCellMar>
          <w:top w:w="0" w:type="dxa"/>
          <w:left w:w="0" w:type="dxa"/>
          <w:bottom w:w="0" w:type="dxa"/>
          <w:right w:w="0" w:type="dxa"/>
        </w:tblCellMar>
      </w:tblPr>
      <w:tr>
        <w:trPr>
          <w:trHeight w:val="167"/>
        </w:trPr>
        <w:tc>
          <w:tcPr>
            <w:tcW w:w="2560" w:type="dxa"/>
            <w:vAlign w:val="bottom"/>
            <w:tcBorders>
              <w:left w:val="single" w:sz="8" w:color="3C5896"/>
              <w:right w:val="single" w:sz="8" w:color="9EACCA"/>
            </w:tcBorders>
            <w:shd w:val="clear" w:color="auto" w:fill="3C5896"/>
          </w:tcPr>
          <w:p>
            <w:pPr>
              <w:spacing w:after="0"/>
              <w:rPr>
                <w:sz w:val="14"/>
                <w:szCs w:val="14"/>
                <w:color w:val="auto"/>
              </w:rPr>
            </w:pPr>
          </w:p>
        </w:tc>
        <w:tc>
          <w:tcPr>
            <w:tcW w:w="1080" w:type="dxa"/>
            <w:vAlign w:val="bottom"/>
            <w:tcBorders>
              <w:right w:val="single" w:sz="8" w:color="9EACCA"/>
            </w:tcBorders>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4"/>
              </w:rPr>
              <w:t>Employer</w:t>
            </w:r>
          </w:p>
        </w:tc>
        <w:tc>
          <w:tcPr>
            <w:tcW w:w="1080" w:type="dxa"/>
            <w:vAlign w:val="bottom"/>
            <w:tcBorders>
              <w:right w:val="single" w:sz="8" w:color="9EACCA"/>
            </w:tcBorders>
            <w:shd w:val="clear" w:color="auto" w:fill="3C5896"/>
          </w:tcPr>
          <w:p>
            <w:pPr>
              <w:spacing w:after="0"/>
              <w:rPr>
                <w:sz w:val="14"/>
                <w:szCs w:val="14"/>
                <w:color w:val="auto"/>
              </w:rPr>
            </w:pPr>
          </w:p>
        </w:tc>
        <w:tc>
          <w:tcPr>
            <w:tcW w:w="880" w:type="dxa"/>
            <w:vAlign w:val="bottom"/>
            <w:tcBorders>
              <w:right w:val="single" w:sz="8" w:color="9EACCA"/>
            </w:tcBorders>
            <w:shd w:val="clear" w:color="auto" w:fill="3C5896"/>
          </w:tcPr>
          <w:p>
            <w:pPr>
              <w:spacing w:after="0"/>
              <w:rPr>
                <w:sz w:val="14"/>
                <w:szCs w:val="14"/>
                <w:color w:val="auto"/>
              </w:rPr>
            </w:pPr>
          </w:p>
        </w:tc>
        <w:tc>
          <w:tcPr>
            <w:tcW w:w="1080" w:type="dxa"/>
            <w:vAlign w:val="bottom"/>
            <w:tcBorders>
              <w:right w:val="single" w:sz="8" w:color="9EACCA"/>
            </w:tcBorders>
            <w:shd w:val="clear" w:color="auto" w:fill="3C5896"/>
          </w:tcPr>
          <w:p>
            <w:pPr>
              <w:jc w:val="center"/>
              <w:ind w:right="33"/>
              <w:spacing w:after="0"/>
              <w:rPr>
                <w:sz w:val="20"/>
                <w:szCs w:val="20"/>
                <w:color w:val="auto"/>
              </w:rPr>
            </w:pPr>
            <w:r>
              <w:rPr>
                <w:rFonts w:ascii="Arial" w:cs="Arial" w:eastAsia="Arial" w:hAnsi="Arial"/>
                <w:sz w:val="13"/>
                <w:szCs w:val="13"/>
                <w:b w:val="1"/>
                <w:bCs w:val="1"/>
                <w:color w:val="FFFFFF"/>
                <w:w w:val="96"/>
              </w:rPr>
              <w:t>Disability and</w:t>
            </w:r>
          </w:p>
        </w:tc>
        <w:tc>
          <w:tcPr>
            <w:tcW w:w="1080" w:type="dxa"/>
            <w:vAlign w:val="bottom"/>
            <w:tcBorders>
              <w:right w:val="single" w:sz="8" w:color="9EACCA"/>
            </w:tcBorders>
            <w:shd w:val="clear" w:color="auto" w:fill="3C5896"/>
          </w:tcPr>
          <w:p>
            <w:pPr>
              <w:spacing w:after="0"/>
              <w:rPr>
                <w:sz w:val="14"/>
                <w:szCs w:val="14"/>
                <w:color w:val="auto"/>
              </w:rPr>
            </w:pPr>
          </w:p>
        </w:tc>
        <w:tc>
          <w:tcPr>
            <w:tcW w:w="1080" w:type="dxa"/>
            <w:vAlign w:val="bottom"/>
            <w:tcBorders>
              <w:right w:val="single" w:sz="8" w:color="3C5896"/>
            </w:tcBorders>
            <w:shd w:val="clear" w:color="auto" w:fill="3C5896"/>
          </w:tcPr>
          <w:p>
            <w:pPr>
              <w:spacing w:after="0"/>
              <w:rPr>
                <w:sz w:val="14"/>
                <w:szCs w:val="14"/>
                <w:color w:val="auto"/>
              </w:rPr>
            </w:pPr>
          </w:p>
        </w:tc>
      </w:tr>
      <w:tr>
        <w:trPr>
          <w:trHeight w:val="149"/>
        </w:trPr>
        <w:tc>
          <w:tcPr>
            <w:tcW w:w="2560" w:type="dxa"/>
            <w:vAlign w:val="bottom"/>
            <w:tcBorders>
              <w:left w:val="single" w:sz="8" w:color="3C5896"/>
              <w:right w:val="single" w:sz="8" w:color="9EACCA"/>
            </w:tcBorders>
            <w:shd w:val="clear" w:color="auto" w:fill="3C5896"/>
          </w:tcPr>
          <w:p>
            <w:pPr>
              <w:spacing w:after="0"/>
              <w:rPr>
                <w:sz w:val="12"/>
                <w:szCs w:val="12"/>
                <w:color w:val="auto"/>
              </w:rPr>
            </w:pPr>
          </w:p>
        </w:tc>
        <w:tc>
          <w:tcPr>
            <w:tcW w:w="1080" w:type="dxa"/>
            <w:vAlign w:val="bottom"/>
            <w:tcBorders>
              <w:right w:val="single" w:sz="8" w:color="9EACCA"/>
            </w:tcBorders>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5"/>
              </w:rPr>
              <w:t>401(k)</w:t>
            </w:r>
          </w:p>
        </w:tc>
        <w:tc>
          <w:tcPr>
            <w:tcW w:w="1080" w:type="dxa"/>
            <w:vAlign w:val="bottom"/>
            <w:tcBorders>
              <w:right w:val="single" w:sz="8" w:color="9EACCA"/>
            </w:tcBorders>
            <w:shd w:val="clear" w:color="auto" w:fill="3C5896"/>
          </w:tcPr>
          <w:p>
            <w:pPr>
              <w:spacing w:after="0"/>
              <w:rPr>
                <w:sz w:val="12"/>
                <w:szCs w:val="12"/>
                <w:color w:val="auto"/>
              </w:rPr>
            </w:pPr>
          </w:p>
        </w:tc>
        <w:tc>
          <w:tcPr>
            <w:tcW w:w="880" w:type="dxa"/>
            <w:vAlign w:val="bottom"/>
            <w:tcBorders>
              <w:right w:val="single" w:sz="8" w:color="9EACCA"/>
            </w:tcBorders>
            <w:shd w:val="clear" w:color="auto" w:fill="3C5896"/>
          </w:tcPr>
          <w:p>
            <w:pPr>
              <w:ind w:left="280"/>
              <w:spacing w:after="0"/>
              <w:rPr>
                <w:sz w:val="20"/>
                <w:szCs w:val="20"/>
                <w:color w:val="auto"/>
              </w:rPr>
            </w:pPr>
            <w:r>
              <w:rPr>
                <w:rFonts w:ascii="Arial" w:cs="Arial" w:eastAsia="Arial" w:hAnsi="Arial"/>
                <w:sz w:val="13"/>
                <w:szCs w:val="13"/>
                <w:b w:val="1"/>
                <w:bCs w:val="1"/>
                <w:color w:val="FFFFFF"/>
              </w:rPr>
              <w:t>Life</w:t>
            </w:r>
          </w:p>
        </w:tc>
        <w:tc>
          <w:tcPr>
            <w:tcW w:w="1080" w:type="dxa"/>
            <w:vAlign w:val="bottom"/>
            <w:tcBorders>
              <w:right w:val="single" w:sz="8" w:color="9EACCA"/>
            </w:tcBorders>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5"/>
              </w:rPr>
              <w:t>AD&amp;D</w:t>
            </w:r>
          </w:p>
        </w:tc>
        <w:tc>
          <w:tcPr>
            <w:tcW w:w="1080" w:type="dxa"/>
            <w:vAlign w:val="bottom"/>
            <w:tcBorders>
              <w:right w:val="single" w:sz="8" w:color="9EACCA"/>
            </w:tcBorders>
            <w:shd w:val="clear" w:color="auto" w:fill="3C5896"/>
          </w:tcPr>
          <w:p>
            <w:pPr>
              <w:spacing w:after="0"/>
              <w:rPr>
                <w:sz w:val="12"/>
                <w:szCs w:val="12"/>
                <w:color w:val="auto"/>
              </w:rPr>
            </w:pPr>
          </w:p>
        </w:tc>
        <w:tc>
          <w:tcPr>
            <w:tcW w:w="1080" w:type="dxa"/>
            <w:vAlign w:val="bottom"/>
            <w:tcBorders>
              <w:right w:val="single" w:sz="8" w:color="3C5896"/>
            </w:tcBorders>
            <w:shd w:val="clear" w:color="auto" w:fill="3C5896"/>
          </w:tcPr>
          <w:p>
            <w:pPr>
              <w:spacing w:after="0"/>
              <w:rPr>
                <w:sz w:val="12"/>
                <w:szCs w:val="12"/>
                <w:color w:val="auto"/>
              </w:rPr>
            </w:pPr>
          </w:p>
        </w:tc>
      </w:tr>
      <w:tr>
        <w:trPr>
          <w:trHeight w:val="149"/>
        </w:trPr>
        <w:tc>
          <w:tcPr>
            <w:tcW w:w="2560" w:type="dxa"/>
            <w:vAlign w:val="bottom"/>
            <w:tcBorders>
              <w:left w:val="single" w:sz="8" w:color="3C5896"/>
              <w:right w:val="single" w:sz="8" w:color="9EACCA"/>
            </w:tcBorders>
            <w:shd w:val="clear" w:color="auto" w:fill="3C5896"/>
          </w:tcPr>
          <w:p>
            <w:pPr>
              <w:spacing w:after="0"/>
              <w:rPr>
                <w:sz w:val="12"/>
                <w:szCs w:val="12"/>
                <w:color w:val="auto"/>
              </w:rPr>
            </w:pPr>
          </w:p>
        </w:tc>
        <w:tc>
          <w:tcPr>
            <w:tcW w:w="1080" w:type="dxa"/>
            <w:vAlign w:val="bottom"/>
            <w:tcBorders>
              <w:right w:val="single" w:sz="8" w:color="9EACCA"/>
            </w:tcBorders>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8"/>
              </w:rPr>
              <w:t>Matching</w:t>
            </w:r>
          </w:p>
        </w:tc>
        <w:tc>
          <w:tcPr>
            <w:tcW w:w="1080" w:type="dxa"/>
            <w:vAlign w:val="bottom"/>
            <w:tcBorders>
              <w:right w:val="single" w:sz="8" w:color="9EACCA"/>
            </w:tcBorders>
            <w:shd w:val="clear" w:color="auto" w:fill="3C5896"/>
          </w:tcPr>
          <w:p>
            <w:pPr>
              <w:jc w:val="center"/>
              <w:ind w:right="11"/>
              <w:spacing w:after="0"/>
              <w:rPr>
                <w:sz w:val="20"/>
                <w:szCs w:val="20"/>
                <w:color w:val="auto"/>
              </w:rPr>
            </w:pPr>
            <w:r>
              <w:rPr>
                <w:rFonts w:ascii="Arial" w:cs="Arial" w:eastAsia="Arial" w:hAnsi="Arial"/>
                <w:sz w:val="13"/>
                <w:szCs w:val="13"/>
                <w:b w:val="1"/>
                <w:bCs w:val="1"/>
                <w:color w:val="FFFFFF"/>
                <w:w w:val="95"/>
              </w:rPr>
              <w:t>Tax Services</w:t>
            </w:r>
          </w:p>
        </w:tc>
        <w:tc>
          <w:tcPr>
            <w:tcW w:w="880" w:type="dxa"/>
            <w:vAlign w:val="bottom"/>
            <w:tcBorders>
              <w:right w:val="single" w:sz="8" w:color="9EACCA"/>
            </w:tcBorders>
            <w:shd w:val="clear" w:color="auto" w:fill="3C5896"/>
          </w:tcPr>
          <w:p>
            <w:pPr>
              <w:jc w:val="center"/>
              <w:ind w:right="12"/>
              <w:spacing w:after="0"/>
              <w:rPr>
                <w:sz w:val="20"/>
                <w:szCs w:val="20"/>
                <w:color w:val="auto"/>
              </w:rPr>
            </w:pPr>
            <w:r>
              <w:rPr>
                <w:rFonts w:ascii="Arial" w:cs="Arial" w:eastAsia="Arial" w:hAnsi="Arial"/>
                <w:sz w:val="13"/>
                <w:szCs w:val="13"/>
                <w:b w:val="1"/>
                <w:bCs w:val="1"/>
                <w:color w:val="FFFFFF"/>
                <w:w w:val="97"/>
              </w:rPr>
              <w:t>Insurance</w:t>
            </w:r>
          </w:p>
        </w:tc>
        <w:tc>
          <w:tcPr>
            <w:tcW w:w="1080" w:type="dxa"/>
            <w:vAlign w:val="bottom"/>
            <w:tcBorders>
              <w:right w:val="single" w:sz="8" w:color="9EACCA"/>
            </w:tcBorders>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7"/>
              </w:rPr>
              <w:t>Insurance</w:t>
            </w:r>
          </w:p>
        </w:tc>
        <w:tc>
          <w:tcPr>
            <w:tcW w:w="1080" w:type="dxa"/>
            <w:vAlign w:val="bottom"/>
            <w:tcBorders>
              <w:right w:val="single" w:sz="8" w:color="9EACCA"/>
            </w:tcBorders>
            <w:shd w:val="clear" w:color="auto" w:fill="3C5896"/>
          </w:tcPr>
          <w:p>
            <w:pPr>
              <w:spacing w:after="0"/>
              <w:rPr>
                <w:sz w:val="12"/>
                <w:szCs w:val="12"/>
                <w:color w:val="auto"/>
              </w:rPr>
            </w:pPr>
          </w:p>
        </w:tc>
        <w:tc>
          <w:tcPr>
            <w:tcW w:w="1080" w:type="dxa"/>
            <w:vAlign w:val="bottom"/>
            <w:tcBorders>
              <w:right w:val="single" w:sz="8" w:color="3C5896"/>
            </w:tcBorders>
            <w:shd w:val="clear" w:color="auto" w:fill="3C5896"/>
          </w:tcPr>
          <w:p>
            <w:pPr>
              <w:spacing w:after="0"/>
              <w:rPr>
                <w:sz w:val="12"/>
                <w:szCs w:val="12"/>
                <w:color w:val="auto"/>
              </w:rPr>
            </w:pPr>
          </w:p>
        </w:tc>
      </w:tr>
      <w:tr>
        <w:trPr>
          <w:trHeight w:val="136"/>
        </w:trPr>
        <w:tc>
          <w:tcPr>
            <w:tcW w:w="2560" w:type="dxa"/>
            <w:vAlign w:val="bottom"/>
            <w:tcBorders>
              <w:left w:val="single" w:sz="8" w:color="3C5896"/>
              <w:right w:val="single" w:sz="8" w:color="9EACCA"/>
            </w:tcBorders>
            <w:shd w:val="clear" w:color="auto" w:fill="3C5896"/>
          </w:tcPr>
          <w:p>
            <w:pPr>
              <w:spacing w:after="0"/>
              <w:rPr>
                <w:sz w:val="11"/>
                <w:szCs w:val="11"/>
                <w:color w:val="auto"/>
              </w:rPr>
            </w:pPr>
          </w:p>
        </w:tc>
        <w:tc>
          <w:tcPr>
            <w:tcW w:w="1080" w:type="dxa"/>
            <w:vAlign w:val="bottom"/>
            <w:tcBorders>
              <w:right w:val="single" w:sz="8" w:color="9EACCA"/>
            </w:tcBorders>
            <w:shd w:val="clear" w:color="auto" w:fill="3C5896"/>
          </w:tcPr>
          <w:p>
            <w:pPr>
              <w:jc w:val="center"/>
              <w:ind w:right="13"/>
              <w:spacing w:after="0" w:line="137" w:lineRule="exact"/>
              <w:rPr>
                <w:sz w:val="20"/>
                <w:szCs w:val="20"/>
                <w:color w:val="auto"/>
              </w:rPr>
            </w:pPr>
            <w:r>
              <w:rPr>
                <w:rFonts w:ascii="Arial" w:cs="Arial" w:eastAsia="Arial" w:hAnsi="Arial"/>
                <w:sz w:val="13"/>
                <w:szCs w:val="13"/>
                <w:b w:val="1"/>
                <w:bCs w:val="1"/>
                <w:color w:val="FFFFFF"/>
                <w:w w:val="98"/>
              </w:rPr>
              <w:t>Contributions</w:t>
            </w:r>
          </w:p>
        </w:tc>
        <w:tc>
          <w:tcPr>
            <w:tcW w:w="1080" w:type="dxa"/>
            <w:vAlign w:val="bottom"/>
            <w:tcBorders>
              <w:right w:val="single" w:sz="8" w:color="9EACCA"/>
            </w:tcBorders>
            <w:shd w:val="clear" w:color="auto" w:fill="3C5896"/>
          </w:tcPr>
          <w:p>
            <w:pPr>
              <w:jc w:val="center"/>
              <w:ind w:right="11"/>
              <w:spacing w:after="0" w:line="137" w:lineRule="exact"/>
              <w:rPr>
                <w:sz w:val="20"/>
                <w:szCs w:val="20"/>
                <w:color w:val="auto"/>
              </w:rPr>
            </w:pPr>
            <w:r>
              <w:rPr>
                <w:rFonts w:ascii="Arial" w:cs="Arial" w:eastAsia="Arial" w:hAnsi="Arial"/>
                <w:sz w:val="13"/>
                <w:szCs w:val="13"/>
                <w:b w:val="1"/>
                <w:bCs w:val="1"/>
                <w:color w:val="FFFFFF"/>
                <w:w w:val="97"/>
              </w:rPr>
              <w:t>Reimbursement</w:t>
            </w:r>
          </w:p>
        </w:tc>
        <w:tc>
          <w:tcPr>
            <w:tcW w:w="880" w:type="dxa"/>
            <w:vAlign w:val="bottom"/>
            <w:tcBorders>
              <w:right w:val="single" w:sz="8" w:color="9EACCA"/>
            </w:tcBorders>
            <w:shd w:val="clear" w:color="auto" w:fill="3C5896"/>
          </w:tcPr>
          <w:p>
            <w:pPr>
              <w:jc w:val="center"/>
              <w:ind w:right="12"/>
              <w:spacing w:after="0" w:line="137" w:lineRule="exact"/>
              <w:rPr>
                <w:sz w:val="20"/>
                <w:szCs w:val="20"/>
                <w:color w:val="auto"/>
              </w:rPr>
            </w:pPr>
            <w:r>
              <w:rPr>
                <w:rFonts w:ascii="Arial" w:cs="Arial" w:eastAsia="Arial" w:hAnsi="Arial"/>
                <w:sz w:val="13"/>
                <w:szCs w:val="13"/>
                <w:b w:val="1"/>
                <w:bCs w:val="1"/>
                <w:color w:val="FFFFFF"/>
                <w:w w:val="95"/>
              </w:rPr>
              <w:t>Premiums</w:t>
            </w:r>
          </w:p>
        </w:tc>
        <w:tc>
          <w:tcPr>
            <w:tcW w:w="1080" w:type="dxa"/>
            <w:vAlign w:val="bottom"/>
            <w:tcBorders>
              <w:right w:val="single" w:sz="8" w:color="9EACCA"/>
            </w:tcBorders>
            <w:shd w:val="clear" w:color="auto" w:fill="3C5896"/>
          </w:tcPr>
          <w:p>
            <w:pPr>
              <w:jc w:val="center"/>
              <w:ind w:right="13"/>
              <w:spacing w:after="0" w:line="137" w:lineRule="exact"/>
              <w:rPr>
                <w:sz w:val="20"/>
                <w:szCs w:val="20"/>
                <w:color w:val="auto"/>
              </w:rPr>
            </w:pPr>
            <w:r>
              <w:rPr>
                <w:rFonts w:ascii="Arial" w:cs="Arial" w:eastAsia="Arial" w:hAnsi="Arial"/>
                <w:sz w:val="13"/>
                <w:szCs w:val="13"/>
                <w:b w:val="1"/>
                <w:bCs w:val="1"/>
                <w:color w:val="FFFFFF"/>
                <w:w w:val="95"/>
              </w:rPr>
              <w:t>Premiums</w:t>
            </w:r>
          </w:p>
        </w:tc>
        <w:tc>
          <w:tcPr>
            <w:tcW w:w="1080" w:type="dxa"/>
            <w:vAlign w:val="bottom"/>
            <w:tcBorders>
              <w:right w:val="single" w:sz="8" w:color="9EACCA"/>
            </w:tcBorders>
            <w:shd w:val="clear" w:color="auto" w:fill="3C5896"/>
          </w:tcPr>
          <w:p>
            <w:pPr>
              <w:jc w:val="right"/>
              <w:ind w:right="351"/>
              <w:spacing w:after="0" w:line="137" w:lineRule="exact"/>
              <w:rPr>
                <w:sz w:val="20"/>
                <w:szCs w:val="20"/>
                <w:color w:val="auto"/>
              </w:rPr>
            </w:pPr>
            <w:r>
              <w:rPr>
                <w:rFonts w:ascii="Arial" w:cs="Arial" w:eastAsia="Arial" w:hAnsi="Arial"/>
                <w:sz w:val="13"/>
                <w:szCs w:val="13"/>
                <w:b w:val="1"/>
                <w:bCs w:val="1"/>
                <w:color w:val="FFFFFF"/>
              </w:rPr>
              <w:t>Other</w:t>
            </w:r>
          </w:p>
        </w:tc>
        <w:tc>
          <w:tcPr>
            <w:tcW w:w="1080" w:type="dxa"/>
            <w:vAlign w:val="bottom"/>
            <w:tcBorders>
              <w:right w:val="single" w:sz="8" w:color="3C5896"/>
            </w:tcBorders>
            <w:shd w:val="clear" w:color="auto" w:fill="3C5896"/>
          </w:tcPr>
          <w:p>
            <w:pPr>
              <w:jc w:val="right"/>
              <w:ind w:right="371"/>
              <w:spacing w:after="0" w:line="137" w:lineRule="exact"/>
              <w:rPr>
                <w:sz w:val="20"/>
                <w:szCs w:val="20"/>
                <w:color w:val="auto"/>
              </w:rPr>
            </w:pPr>
            <w:r>
              <w:rPr>
                <w:rFonts w:ascii="Arial" w:cs="Arial" w:eastAsia="Arial" w:hAnsi="Arial"/>
                <w:sz w:val="13"/>
                <w:szCs w:val="13"/>
                <w:b w:val="1"/>
                <w:bCs w:val="1"/>
                <w:color w:val="FFFFFF"/>
              </w:rPr>
              <w:t>Total</w:t>
            </w:r>
          </w:p>
        </w:tc>
      </w:tr>
      <w:tr>
        <w:trPr>
          <w:trHeight w:val="223"/>
        </w:trPr>
        <w:tc>
          <w:tcPr>
            <w:tcW w:w="2560" w:type="dxa"/>
            <w:vAlign w:val="bottom"/>
            <w:tcBorders>
              <w:left w:val="single" w:sz="8" w:color="3C5896"/>
              <w:bottom w:val="single" w:sz="8" w:color="auto"/>
              <w:right w:val="single" w:sz="8" w:color="9EACCA"/>
            </w:tcBorders>
            <w:shd w:val="clear" w:color="auto" w:fill="3C5896"/>
          </w:tcPr>
          <w:p>
            <w:pPr>
              <w:ind w:left="1160"/>
              <w:spacing w:after="0"/>
              <w:rPr>
                <w:sz w:val="20"/>
                <w:szCs w:val="20"/>
                <w:color w:val="auto"/>
              </w:rPr>
            </w:pPr>
            <w:r>
              <w:rPr>
                <w:rFonts w:ascii="Arial" w:cs="Arial" w:eastAsia="Arial" w:hAnsi="Arial"/>
                <w:sz w:val="13"/>
                <w:szCs w:val="13"/>
                <w:b w:val="1"/>
                <w:bCs w:val="1"/>
                <w:color w:val="FFFFFF"/>
              </w:rPr>
              <w:t>NEO</w:t>
            </w:r>
          </w:p>
        </w:tc>
        <w:tc>
          <w:tcPr>
            <w:tcW w:w="108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(a)</w:t>
            </w:r>
          </w:p>
        </w:tc>
        <w:tc>
          <w:tcPr>
            <w:tcW w:w="108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r>
              <w:rPr>
                <w:rFonts w:ascii="Arial" w:cs="Arial" w:eastAsia="Arial" w:hAnsi="Arial"/>
                <w:sz w:val="19"/>
                <w:szCs w:val="19"/>
                <w:b w:val="1"/>
                <w:bCs w:val="1"/>
                <w:color w:val="FFFFFF"/>
                <w:w w:val="87"/>
                <w:vertAlign w:val="superscript"/>
              </w:rPr>
              <w:t>(b)</w:t>
            </w:r>
          </w:p>
        </w:tc>
        <w:tc>
          <w:tcPr>
            <w:tcW w:w="88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(c)</w:t>
            </w:r>
          </w:p>
        </w:tc>
        <w:tc>
          <w:tcPr>
            <w:tcW w:w="108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r>
              <w:rPr>
                <w:rFonts w:ascii="Arial" w:cs="Arial" w:eastAsia="Arial" w:hAnsi="Arial"/>
                <w:sz w:val="19"/>
                <w:szCs w:val="19"/>
                <w:b w:val="1"/>
                <w:bCs w:val="1"/>
                <w:color w:val="FFFFFF"/>
                <w:w w:val="87"/>
                <w:vertAlign w:val="superscript"/>
              </w:rPr>
              <w:t>(d)</w:t>
            </w:r>
          </w:p>
        </w:tc>
        <w:tc>
          <w:tcPr>
            <w:tcW w:w="1080" w:type="dxa"/>
            <w:vAlign w:val="bottom"/>
            <w:tcBorders>
              <w:bottom w:val="single" w:sz="8" w:color="auto"/>
              <w:right w:val="single" w:sz="8" w:color="9EACCA"/>
            </w:tcBorders>
            <w:shd w:val="clear" w:color="auto" w:fill="3C5896"/>
          </w:tcPr>
          <w:p>
            <w:pPr>
              <w:jc w:val="right"/>
              <w:ind w:right="351"/>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(e)</w:t>
            </w:r>
          </w:p>
        </w:tc>
        <w:tc>
          <w:tcPr>
            <w:tcW w:w="1080" w:type="dxa"/>
            <w:vAlign w:val="bottom"/>
            <w:tcBorders>
              <w:bottom w:val="single" w:sz="8" w:color="auto"/>
              <w:right w:val="single" w:sz="8" w:color="3C5896"/>
            </w:tcBorders>
            <w:shd w:val="clear" w:color="auto" w:fill="3C5896"/>
          </w:tcPr>
          <w:p>
            <w:pPr>
              <w:jc w:val="right"/>
              <w:ind w:right="431"/>
              <w:spacing w:after="0"/>
              <w:rPr>
                <w:sz w:val="20"/>
                <w:szCs w:val="20"/>
                <w:color w:val="auto"/>
              </w:rPr>
            </w:pPr>
            <w:r>
              <w:rPr>
                <w:rFonts w:ascii="Arial" w:cs="Arial" w:eastAsia="Arial" w:hAnsi="Arial"/>
                <w:sz w:val="13"/>
                <w:szCs w:val="13"/>
                <w:b w:val="1"/>
                <w:bCs w:val="1"/>
                <w:color w:val="FFFFFF"/>
              </w:rPr>
              <w:t>($)</w:t>
            </w:r>
          </w:p>
        </w:tc>
      </w:tr>
      <w:tr>
        <w:trPr>
          <w:trHeight w:val="210"/>
        </w:trPr>
        <w:tc>
          <w:tcPr>
            <w:tcW w:w="256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4"/>
                <w:szCs w:val="14"/>
                <w:color w:val="auto"/>
              </w:rPr>
              <w:t>L. Reade Fahs</w:t>
            </w:r>
          </w:p>
        </w:tc>
        <w:tc>
          <w:tcPr>
            <w:tcW w:w="10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3,769</w:t>
            </w:r>
          </w:p>
        </w:tc>
        <w:tc>
          <w:tcPr>
            <w:tcW w:w="1080" w:type="dxa"/>
            <w:vAlign w:val="bottom"/>
            <w:tcBorders>
              <w:right w:val="single" w:sz="8" w:color="9EACCA"/>
            </w:tcBorders>
          </w:tcPr>
          <w:p>
            <w:pPr>
              <w:jc w:val="right"/>
              <w:ind w:right="311"/>
              <w:spacing w:after="0"/>
              <w:rPr>
                <w:sz w:val="20"/>
                <w:szCs w:val="20"/>
                <w:color w:val="auto"/>
              </w:rPr>
            </w:pPr>
            <w:r>
              <w:rPr>
                <w:rFonts w:ascii="Arial" w:cs="Arial" w:eastAsia="Arial" w:hAnsi="Arial"/>
                <w:sz w:val="14"/>
                <w:szCs w:val="14"/>
                <w:color w:val="auto"/>
              </w:rPr>
              <w:t>3,860</w:t>
            </w:r>
          </w:p>
        </w:tc>
        <w:tc>
          <w:tcPr>
            <w:tcW w:w="8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660</w:t>
            </w:r>
          </w:p>
        </w:tc>
        <w:tc>
          <w:tcPr>
            <w:tcW w:w="1080" w:type="dxa"/>
            <w:vAlign w:val="bottom"/>
            <w:tcBorders>
              <w:right w:val="single" w:sz="8" w:color="9EACCA"/>
            </w:tcBorders>
          </w:tcPr>
          <w:p>
            <w:pPr>
              <w:jc w:val="right"/>
              <w:ind w:right="313"/>
              <w:spacing w:after="0"/>
              <w:rPr>
                <w:sz w:val="20"/>
                <w:szCs w:val="20"/>
                <w:color w:val="auto"/>
              </w:rPr>
            </w:pPr>
            <w:r>
              <w:rPr>
                <w:rFonts w:ascii="Arial" w:cs="Arial" w:eastAsia="Arial" w:hAnsi="Arial"/>
                <w:sz w:val="14"/>
                <w:szCs w:val="14"/>
                <w:color w:val="auto"/>
              </w:rPr>
              <w:t>2,396</w:t>
            </w:r>
          </w:p>
        </w:tc>
        <w:tc>
          <w:tcPr>
            <w:tcW w:w="1080" w:type="dxa"/>
            <w:vAlign w:val="bottom"/>
            <w:tcBorders>
              <w:right w:val="single" w:sz="8" w:color="9EACCA"/>
            </w:tcBorders>
          </w:tcPr>
          <w:p>
            <w:pPr>
              <w:jc w:val="right"/>
              <w:ind w:right="311"/>
              <w:spacing w:after="0"/>
              <w:rPr>
                <w:sz w:val="20"/>
                <w:szCs w:val="20"/>
                <w:color w:val="auto"/>
              </w:rPr>
            </w:pPr>
            <w:r>
              <w:rPr>
                <w:rFonts w:ascii="Arial" w:cs="Arial" w:eastAsia="Arial" w:hAnsi="Arial"/>
                <w:sz w:val="14"/>
                <w:szCs w:val="14"/>
                <w:color w:val="auto"/>
              </w:rPr>
              <w:t>3,350</w:t>
            </w:r>
          </w:p>
        </w:tc>
        <w:tc>
          <w:tcPr>
            <w:tcW w:w="1080" w:type="dxa"/>
            <w:vAlign w:val="bottom"/>
            <w:tcBorders>
              <w:right w:val="single" w:sz="8" w:color="3C5896"/>
            </w:tcBorders>
          </w:tcPr>
          <w:p>
            <w:pPr>
              <w:jc w:val="right"/>
              <w:ind w:right="291"/>
              <w:spacing w:after="0"/>
              <w:rPr>
                <w:sz w:val="20"/>
                <w:szCs w:val="20"/>
                <w:color w:val="auto"/>
              </w:rPr>
            </w:pPr>
            <w:r>
              <w:rPr>
                <w:rFonts w:ascii="Arial" w:cs="Arial" w:eastAsia="Arial" w:hAnsi="Arial"/>
                <w:sz w:val="14"/>
                <w:szCs w:val="14"/>
                <w:color w:val="auto"/>
              </w:rPr>
              <w:t>14,035</w:t>
            </w:r>
          </w:p>
        </w:tc>
      </w:tr>
      <w:tr>
        <w:trPr>
          <w:trHeight w:val="216"/>
        </w:trPr>
        <w:tc>
          <w:tcPr>
            <w:tcW w:w="256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4"/>
                <w:szCs w:val="14"/>
                <w:color w:val="auto"/>
              </w:rPr>
              <w:t>Patrick R. Moore</w:t>
            </w:r>
          </w:p>
        </w:tc>
        <w:tc>
          <w:tcPr>
            <w:tcW w:w="10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6,744</w:t>
            </w:r>
          </w:p>
        </w:tc>
        <w:tc>
          <w:tcPr>
            <w:tcW w:w="1080" w:type="dxa"/>
            <w:vAlign w:val="bottom"/>
            <w:tcBorders>
              <w:right w:val="single" w:sz="8" w:color="9EACCA"/>
            </w:tcBorders>
            <w:shd w:val="clear" w:color="auto" w:fill="CCCCCC"/>
          </w:tcPr>
          <w:p>
            <w:pPr>
              <w:jc w:val="right"/>
              <w:ind w:right="311"/>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660</w:t>
            </w:r>
          </w:p>
        </w:tc>
        <w:tc>
          <w:tcPr>
            <w:tcW w:w="1080" w:type="dxa"/>
            <w:vAlign w:val="bottom"/>
            <w:tcBorders>
              <w:right w:val="single" w:sz="8" w:color="9EACCA"/>
            </w:tcBorders>
            <w:shd w:val="clear" w:color="auto" w:fill="CCCCCC"/>
          </w:tcPr>
          <w:p>
            <w:pPr>
              <w:jc w:val="right"/>
              <w:ind w:right="313"/>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9EACCA"/>
            </w:tcBorders>
            <w:shd w:val="clear" w:color="auto" w:fill="CCCCCC"/>
          </w:tcPr>
          <w:p>
            <w:pPr>
              <w:jc w:val="right"/>
              <w:ind w:right="311"/>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3C5896"/>
            </w:tcBorders>
            <w:shd w:val="clear" w:color="auto" w:fill="CCCCCC"/>
          </w:tcPr>
          <w:p>
            <w:pPr>
              <w:jc w:val="right"/>
              <w:ind w:right="291"/>
              <w:spacing w:after="0"/>
              <w:rPr>
                <w:sz w:val="20"/>
                <w:szCs w:val="20"/>
                <w:color w:val="auto"/>
              </w:rPr>
            </w:pPr>
            <w:r>
              <w:rPr>
                <w:rFonts w:ascii="Arial" w:cs="Arial" w:eastAsia="Arial" w:hAnsi="Arial"/>
                <w:sz w:val="14"/>
                <w:szCs w:val="14"/>
                <w:color w:val="auto"/>
              </w:rPr>
              <w:t>7,404</w:t>
            </w:r>
          </w:p>
        </w:tc>
      </w:tr>
      <w:tr>
        <w:trPr>
          <w:trHeight w:val="216"/>
        </w:trPr>
        <w:tc>
          <w:tcPr>
            <w:tcW w:w="256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4"/>
                <w:szCs w:val="14"/>
                <w:color w:val="auto"/>
              </w:rPr>
              <w:t>Jeff McAllister</w:t>
            </w:r>
          </w:p>
        </w:tc>
        <w:tc>
          <w:tcPr>
            <w:tcW w:w="10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4,772</w:t>
            </w:r>
          </w:p>
        </w:tc>
        <w:tc>
          <w:tcPr>
            <w:tcW w:w="1080" w:type="dxa"/>
            <w:vAlign w:val="bottom"/>
            <w:tcBorders>
              <w:right w:val="single" w:sz="8" w:color="9EACCA"/>
            </w:tcBorders>
          </w:tcPr>
          <w:p>
            <w:pPr>
              <w:jc w:val="right"/>
              <w:ind w:right="311"/>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660</w:t>
            </w:r>
          </w:p>
        </w:tc>
        <w:tc>
          <w:tcPr>
            <w:tcW w:w="1080" w:type="dxa"/>
            <w:vAlign w:val="bottom"/>
            <w:tcBorders>
              <w:right w:val="single" w:sz="8" w:color="9EACCA"/>
            </w:tcBorders>
          </w:tcPr>
          <w:p>
            <w:pPr>
              <w:jc w:val="right"/>
              <w:ind w:right="313"/>
              <w:spacing w:after="0"/>
              <w:rPr>
                <w:sz w:val="20"/>
                <w:szCs w:val="20"/>
                <w:color w:val="auto"/>
              </w:rPr>
            </w:pPr>
            <w:r>
              <w:rPr>
                <w:rFonts w:ascii="Arial" w:cs="Arial" w:eastAsia="Arial" w:hAnsi="Arial"/>
                <w:sz w:val="14"/>
                <w:szCs w:val="14"/>
                <w:color w:val="auto"/>
              </w:rPr>
              <w:t>4,078</w:t>
            </w:r>
          </w:p>
        </w:tc>
        <w:tc>
          <w:tcPr>
            <w:tcW w:w="1080" w:type="dxa"/>
            <w:vAlign w:val="bottom"/>
            <w:tcBorders>
              <w:right w:val="single" w:sz="8" w:color="9EACCA"/>
            </w:tcBorders>
          </w:tcPr>
          <w:p>
            <w:pPr>
              <w:jc w:val="right"/>
              <w:ind w:right="311"/>
              <w:spacing w:after="0"/>
              <w:rPr>
                <w:sz w:val="20"/>
                <w:szCs w:val="20"/>
                <w:color w:val="auto"/>
              </w:rPr>
            </w:pPr>
            <w:r>
              <w:rPr>
                <w:rFonts w:ascii="Arial" w:cs="Arial" w:eastAsia="Arial" w:hAnsi="Arial"/>
                <w:sz w:val="14"/>
                <w:szCs w:val="14"/>
                <w:color w:val="auto"/>
              </w:rPr>
              <w:t>9,424</w:t>
            </w:r>
          </w:p>
        </w:tc>
        <w:tc>
          <w:tcPr>
            <w:tcW w:w="1080" w:type="dxa"/>
            <w:vAlign w:val="bottom"/>
            <w:tcBorders>
              <w:right w:val="single" w:sz="8" w:color="3C5896"/>
            </w:tcBorders>
          </w:tcPr>
          <w:p>
            <w:pPr>
              <w:jc w:val="right"/>
              <w:ind w:right="291"/>
              <w:spacing w:after="0"/>
              <w:rPr>
                <w:sz w:val="20"/>
                <w:szCs w:val="20"/>
                <w:color w:val="auto"/>
              </w:rPr>
            </w:pPr>
            <w:r>
              <w:rPr>
                <w:rFonts w:ascii="Arial" w:cs="Arial" w:eastAsia="Arial" w:hAnsi="Arial"/>
                <w:sz w:val="14"/>
                <w:szCs w:val="14"/>
                <w:color w:val="auto"/>
              </w:rPr>
              <w:t>18,883</w:t>
            </w:r>
          </w:p>
        </w:tc>
      </w:tr>
      <w:tr>
        <w:trPr>
          <w:trHeight w:val="216"/>
        </w:trPr>
        <w:tc>
          <w:tcPr>
            <w:tcW w:w="256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4"/>
                <w:szCs w:val="14"/>
                <w:color w:val="auto"/>
              </w:rPr>
              <w:t>Mitchell Goodman</w:t>
            </w:r>
          </w:p>
        </w:tc>
        <w:tc>
          <w:tcPr>
            <w:tcW w:w="10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4,275</w:t>
            </w:r>
          </w:p>
        </w:tc>
        <w:tc>
          <w:tcPr>
            <w:tcW w:w="1080" w:type="dxa"/>
            <w:vAlign w:val="bottom"/>
            <w:tcBorders>
              <w:right w:val="single" w:sz="8" w:color="9EACCA"/>
            </w:tcBorders>
            <w:shd w:val="clear" w:color="auto" w:fill="CCCCCC"/>
          </w:tcPr>
          <w:p>
            <w:pPr>
              <w:jc w:val="right"/>
              <w:ind w:right="311"/>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660</w:t>
            </w:r>
          </w:p>
        </w:tc>
        <w:tc>
          <w:tcPr>
            <w:tcW w:w="1080" w:type="dxa"/>
            <w:vAlign w:val="bottom"/>
            <w:tcBorders>
              <w:right w:val="single" w:sz="8" w:color="9EACCA"/>
            </w:tcBorders>
            <w:shd w:val="clear" w:color="auto" w:fill="CCCCCC"/>
          </w:tcPr>
          <w:p>
            <w:pPr>
              <w:jc w:val="right"/>
              <w:ind w:right="313"/>
              <w:spacing w:after="0"/>
              <w:rPr>
                <w:sz w:val="20"/>
                <w:szCs w:val="20"/>
                <w:color w:val="auto"/>
              </w:rPr>
            </w:pPr>
            <w:r>
              <w:rPr>
                <w:rFonts w:ascii="Arial" w:cs="Arial" w:eastAsia="Arial" w:hAnsi="Arial"/>
                <w:sz w:val="14"/>
                <w:szCs w:val="14"/>
                <w:color w:val="auto"/>
              </w:rPr>
              <w:t>4,732</w:t>
            </w:r>
          </w:p>
        </w:tc>
        <w:tc>
          <w:tcPr>
            <w:tcW w:w="1080" w:type="dxa"/>
            <w:vAlign w:val="bottom"/>
            <w:tcBorders>
              <w:right w:val="single" w:sz="8" w:color="9EACCA"/>
            </w:tcBorders>
            <w:shd w:val="clear" w:color="auto" w:fill="CCCCCC"/>
          </w:tcPr>
          <w:p>
            <w:pPr>
              <w:jc w:val="right"/>
              <w:ind w:right="311"/>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3C5896"/>
            </w:tcBorders>
            <w:shd w:val="clear" w:color="auto" w:fill="CCCCCC"/>
          </w:tcPr>
          <w:p>
            <w:pPr>
              <w:jc w:val="right"/>
              <w:ind w:right="291"/>
              <w:spacing w:after="0"/>
              <w:rPr>
                <w:sz w:val="20"/>
                <w:szCs w:val="20"/>
                <w:color w:val="auto"/>
              </w:rPr>
            </w:pPr>
            <w:r>
              <w:rPr>
                <w:rFonts w:ascii="Arial" w:cs="Arial" w:eastAsia="Arial" w:hAnsi="Arial"/>
                <w:sz w:val="14"/>
                <w:szCs w:val="14"/>
                <w:color w:val="auto"/>
              </w:rPr>
              <w:t>9,667</w:t>
            </w:r>
          </w:p>
        </w:tc>
      </w:tr>
      <w:tr>
        <w:trPr>
          <w:trHeight w:val="216"/>
        </w:trPr>
        <w:tc>
          <w:tcPr>
            <w:tcW w:w="256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4"/>
                <w:szCs w:val="14"/>
                <w:color w:val="auto"/>
              </w:rPr>
              <w:t>John Vaught</w:t>
            </w:r>
          </w:p>
        </w:tc>
        <w:tc>
          <w:tcPr>
            <w:tcW w:w="1080" w:type="dxa"/>
            <w:vAlign w:val="bottom"/>
            <w:tcBorders>
              <w:bottom w:val="single" w:sz="8" w:color="3C5896"/>
              <w:right w:val="single" w:sz="8" w:color="9EACCA"/>
            </w:tcBorders>
          </w:tcPr>
          <w:p>
            <w:pPr>
              <w:jc w:val="center"/>
              <w:spacing w:after="0"/>
              <w:rPr>
                <w:sz w:val="20"/>
                <w:szCs w:val="20"/>
                <w:color w:val="auto"/>
              </w:rPr>
            </w:pPr>
            <w:r>
              <w:rPr>
                <w:rFonts w:ascii="Arial" w:cs="Arial" w:eastAsia="Arial" w:hAnsi="Arial"/>
                <w:sz w:val="14"/>
                <w:szCs w:val="14"/>
                <w:color w:val="auto"/>
              </w:rPr>
              <w:t>4,506</w:t>
            </w:r>
          </w:p>
        </w:tc>
        <w:tc>
          <w:tcPr>
            <w:tcW w:w="1080" w:type="dxa"/>
            <w:vAlign w:val="bottom"/>
            <w:tcBorders>
              <w:bottom w:val="single" w:sz="8" w:color="3C5896"/>
              <w:right w:val="single" w:sz="8" w:color="9EACCA"/>
            </w:tcBorders>
          </w:tcPr>
          <w:p>
            <w:pPr>
              <w:jc w:val="right"/>
              <w:ind w:right="3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3C5896"/>
              <w:right w:val="single" w:sz="8" w:color="9EACCA"/>
            </w:tcBorders>
          </w:tcPr>
          <w:p>
            <w:pPr>
              <w:jc w:val="center"/>
              <w:spacing w:after="0"/>
              <w:rPr>
                <w:sz w:val="20"/>
                <w:szCs w:val="20"/>
                <w:color w:val="auto"/>
              </w:rPr>
            </w:pPr>
            <w:r>
              <w:rPr>
                <w:rFonts w:ascii="Arial" w:cs="Arial" w:eastAsia="Arial" w:hAnsi="Arial"/>
                <w:sz w:val="14"/>
                <w:szCs w:val="14"/>
                <w:color w:val="auto"/>
              </w:rPr>
              <w:t>660</w:t>
            </w:r>
          </w:p>
        </w:tc>
        <w:tc>
          <w:tcPr>
            <w:tcW w:w="1080" w:type="dxa"/>
            <w:vAlign w:val="bottom"/>
            <w:tcBorders>
              <w:bottom w:val="single" w:sz="8" w:color="3C5896"/>
              <w:right w:val="single" w:sz="8" w:color="9EACCA"/>
            </w:tcBorders>
          </w:tcPr>
          <w:p>
            <w:pPr>
              <w:jc w:val="right"/>
              <w:ind w:right="313"/>
              <w:spacing w:after="0"/>
              <w:rPr>
                <w:sz w:val="20"/>
                <w:szCs w:val="20"/>
                <w:color w:val="auto"/>
              </w:rPr>
            </w:pPr>
            <w:r>
              <w:rPr>
                <w:rFonts w:ascii="Arial" w:cs="Arial" w:eastAsia="Arial" w:hAnsi="Arial"/>
                <w:sz w:val="14"/>
                <w:szCs w:val="14"/>
                <w:color w:val="auto"/>
              </w:rPr>
              <w:t>2,177</w:t>
            </w:r>
          </w:p>
        </w:tc>
        <w:tc>
          <w:tcPr>
            <w:tcW w:w="1080" w:type="dxa"/>
            <w:vAlign w:val="bottom"/>
            <w:tcBorders>
              <w:bottom w:val="single" w:sz="8" w:color="3C5896"/>
              <w:right w:val="single" w:sz="8" w:color="9EACCA"/>
            </w:tcBorders>
          </w:tcPr>
          <w:p>
            <w:pPr>
              <w:jc w:val="right"/>
              <w:ind w:right="3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3C5896"/>
              <w:right w:val="single" w:sz="8" w:color="3C5896"/>
            </w:tcBorders>
          </w:tcPr>
          <w:p>
            <w:pPr>
              <w:jc w:val="right"/>
              <w:ind w:right="291"/>
              <w:spacing w:after="0"/>
              <w:rPr>
                <w:sz w:val="20"/>
                <w:szCs w:val="20"/>
                <w:color w:val="auto"/>
              </w:rPr>
            </w:pPr>
            <w:r>
              <w:rPr>
                <w:rFonts w:ascii="Arial" w:cs="Arial" w:eastAsia="Arial" w:hAnsi="Arial"/>
                <w:sz w:val="14"/>
                <w:szCs w:val="14"/>
                <w:color w:val="auto"/>
              </w:rPr>
              <w:t>7,344</w:t>
            </w:r>
          </w:p>
        </w:tc>
      </w:tr>
    </w:tbl>
    <w:p>
      <w:pPr>
        <w:spacing w:after="0" w:line="91" w:lineRule="exact"/>
        <w:rPr>
          <w:sz w:val="20"/>
          <w:szCs w:val="20"/>
          <w:color w:val="auto"/>
        </w:rPr>
      </w:pPr>
    </w:p>
    <w:p>
      <w:pPr>
        <w:ind w:left="1420" w:hanging="332"/>
        <w:spacing w:after="0"/>
        <w:tabs>
          <w:tab w:leader="none" w:pos="1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401(k) Plan provides for a 50% matching contribution on the first 3% of participants’ pre-tax contributions up to IRS limits.</w:t>
      </w:r>
    </w:p>
    <w:p>
      <w:pPr>
        <w:spacing w:after="0" w:line="43" w:lineRule="exact"/>
        <w:rPr>
          <w:rFonts w:ascii="Arial" w:cs="Arial" w:eastAsia="Arial" w:hAnsi="Arial"/>
          <w:sz w:val="15"/>
          <w:szCs w:val="15"/>
          <w:color w:val="auto"/>
        </w:rPr>
      </w:pPr>
    </w:p>
    <w:p>
      <w:pPr>
        <w:ind w:left="1420" w:right="419" w:hanging="332"/>
        <w:spacing w:after="0" w:line="242" w:lineRule="auto"/>
        <w:tabs>
          <w:tab w:leader="none" w:pos="1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With respect to each calendar year of employment, Mr. Fahs is entitled to be reimbursed by us for the reasonable cost of tax accounting services.</w:t>
      </w:r>
    </w:p>
    <w:p>
      <w:pPr>
        <w:spacing w:after="0" w:line="30" w:lineRule="exact"/>
        <w:rPr>
          <w:rFonts w:ascii="Arial" w:cs="Arial" w:eastAsia="Arial" w:hAnsi="Arial"/>
          <w:sz w:val="15"/>
          <w:szCs w:val="15"/>
          <w:color w:val="auto"/>
        </w:rPr>
      </w:pPr>
    </w:p>
    <w:p>
      <w:pPr>
        <w:ind w:left="1420" w:hanging="332"/>
        <w:spacing w:after="0"/>
        <w:tabs>
          <w:tab w:leader="none" w:pos="1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Each of our NEOs is entitled to basic life insurance coverage of up to two times base salary up to $500,000.</w:t>
      </w:r>
    </w:p>
    <w:p>
      <w:pPr>
        <w:spacing w:after="0" w:line="43" w:lineRule="exact"/>
        <w:rPr>
          <w:rFonts w:ascii="Arial" w:cs="Arial" w:eastAsia="Arial" w:hAnsi="Arial"/>
          <w:sz w:val="15"/>
          <w:szCs w:val="15"/>
          <w:color w:val="auto"/>
        </w:rPr>
      </w:pPr>
    </w:p>
    <w:p>
      <w:pPr>
        <w:ind w:left="1420" w:right="439" w:hanging="332"/>
        <w:spacing w:after="0" w:line="235" w:lineRule="auto"/>
        <w:tabs>
          <w:tab w:leader="none" w:pos="1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Each of our NEOs is entitled to supplemental long-term disability and accidental death insurance coverage. The total benefit maximum of both the basic and supplemental disability insurance coverage is $10,000 and the maximum accidental death benefit is up to the lessor of two times base salary or $500,000.</w:t>
      </w:r>
    </w:p>
    <w:p>
      <w:pPr>
        <w:spacing w:after="0" w:line="33" w:lineRule="exact"/>
        <w:rPr>
          <w:rFonts w:ascii="Arial" w:cs="Arial" w:eastAsia="Arial" w:hAnsi="Arial"/>
          <w:sz w:val="15"/>
          <w:szCs w:val="15"/>
          <w:color w:val="auto"/>
        </w:rPr>
      </w:pPr>
    </w:p>
    <w:p>
      <w:pPr>
        <w:ind w:left="1420" w:hanging="332"/>
        <w:spacing w:after="0"/>
        <w:tabs>
          <w:tab w:leader="none" w:pos="1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fees paid for Mr. Fahs’ YPO membership and fees paid for Mr. McAllister’s taxable relocation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22  </w:t>
      </w:r>
      <w:r>
        <w:rPr>
          <w:sz w:val="1"/>
          <w:szCs w:val="1"/>
          <w:color w:val="auto"/>
        </w:rPr>
        <w:drawing>
          <wp:inline distT="0" distB="0" distL="0" distR="0">
            <wp:extent cx="291465" cy="22288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FFFFFF"/>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2018 Grants of Plan-Based Awards</w:t>
      </w:r>
    </w:p>
    <w:p>
      <w:pPr>
        <w:spacing w:after="0" w:line="139" w:lineRule="exact"/>
        <w:rPr>
          <w:sz w:val="20"/>
          <w:szCs w:val="20"/>
          <w:color w:val="auto"/>
        </w:rPr>
      </w:pPr>
    </w:p>
    <w:p>
      <w:pPr>
        <w:ind w:left="760" w:right="1160"/>
        <w:spacing w:after="0" w:line="262" w:lineRule="auto"/>
        <w:rPr>
          <w:sz w:val="20"/>
          <w:szCs w:val="20"/>
          <w:color w:val="auto"/>
        </w:rPr>
      </w:pPr>
      <w:r>
        <w:rPr>
          <w:rFonts w:ascii="Arial" w:cs="Arial" w:eastAsia="Arial" w:hAnsi="Arial"/>
          <w:sz w:val="18"/>
          <w:szCs w:val="18"/>
          <w:color w:val="auto"/>
        </w:rPr>
        <w:t>The following table sets forth information concerning grants of plan-based awards to the NEOs during the fiscal year ended December 29, 2018.</w:t>
      </w:r>
    </w:p>
    <w:p>
      <w:pPr>
        <w:spacing w:after="0" w:line="116" w:lineRule="exact"/>
        <w:rPr>
          <w:sz w:val="20"/>
          <w:szCs w:val="20"/>
          <w:color w:val="auto"/>
        </w:rPr>
      </w:pPr>
    </w:p>
    <w:tbl>
      <w:tblPr>
        <w:tblLayout w:type="fixed"/>
        <w:tblInd w:w="770" w:type="dxa"/>
        <w:tblCellMar>
          <w:top w:w="0" w:type="dxa"/>
          <w:left w:w="0" w:type="dxa"/>
          <w:bottom w:w="0" w:type="dxa"/>
          <w:right w:w="0" w:type="dxa"/>
        </w:tblCellMar>
      </w:tblPr>
      <w:tr>
        <w:trPr>
          <w:trHeight w:val="167"/>
        </w:trPr>
        <w:tc>
          <w:tcPr>
            <w:tcW w:w="1560" w:type="dxa"/>
            <w:vAlign w:val="bottom"/>
            <w:tcBorders>
              <w:left w:val="single" w:sz="8" w:color="3C5896"/>
              <w:right w:val="single" w:sz="8" w:color="9EACCA"/>
            </w:tcBorders>
            <w:shd w:val="clear" w:color="auto" w:fill="3C5896"/>
          </w:tcPr>
          <w:p>
            <w:pPr>
              <w:spacing w:after="0"/>
              <w:rPr>
                <w:sz w:val="14"/>
                <w:szCs w:val="14"/>
                <w:color w:val="auto"/>
              </w:rPr>
            </w:pPr>
          </w:p>
        </w:tc>
        <w:tc>
          <w:tcPr>
            <w:tcW w:w="780" w:type="dxa"/>
            <w:vAlign w:val="bottom"/>
            <w:tcBorders>
              <w:right w:val="single" w:sz="8" w:color="9EACCA"/>
            </w:tcBorders>
            <w:shd w:val="clear" w:color="auto" w:fill="3C5896"/>
          </w:tcPr>
          <w:p>
            <w:pPr>
              <w:spacing w:after="0"/>
              <w:rPr>
                <w:sz w:val="14"/>
                <w:szCs w:val="14"/>
                <w:color w:val="auto"/>
              </w:rPr>
            </w:pPr>
          </w:p>
        </w:tc>
        <w:tc>
          <w:tcPr>
            <w:tcW w:w="40" w:type="dxa"/>
            <w:vAlign w:val="bottom"/>
            <w:shd w:val="clear" w:color="auto" w:fill="3C5896"/>
          </w:tcPr>
          <w:p>
            <w:pPr>
              <w:spacing w:after="0"/>
              <w:rPr>
                <w:sz w:val="14"/>
                <w:szCs w:val="14"/>
                <w:color w:val="auto"/>
              </w:rPr>
            </w:pPr>
          </w:p>
        </w:tc>
        <w:tc>
          <w:tcPr>
            <w:tcW w:w="740" w:type="dxa"/>
            <w:vAlign w:val="bottom"/>
            <w:shd w:val="clear" w:color="auto" w:fill="3C5896"/>
          </w:tcPr>
          <w:p>
            <w:pPr>
              <w:spacing w:after="0"/>
              <w:rPr>
                <w:sz w:val="14"/>
                <w:szCs w:val="14"/>
                <w:color w:val="auto"/>
              </w:rPr>
            </w:pPr>
          </w:p>
        </w:tc>
        <w:tc>
          <w:tcPr>
            <w:tcW w:w="20" w:type="dxa"/>
            <w:vAlign w:val="bottom"/>
            <w:shd w:val="clear" w:color="auto" w:fill="3C5896"/>
          </w:tcPr>
          <w:p>
            <w:pPr>
              <w:spacing w:after="0"/>
              <w:rPr>
                <w:sz w:val="14"/>
                <w:szCs w:val="14"/>
                <w:color w:val="auto"/>
              </w:rPr>
            </w:pPr>
          </w:p>
        </w:tc>
        <w:tc>
          <w:tcPr>
            <w:tcW w:w="800" w:type="dxa"/>
            <w:vAlign w:val="bottom"/>
            <w:shd w:val="clear" w:color="auto" w:fill="3C5896"/>
          </w:tcPr>
          <w:p>
            <w:pPr>
              <w:spacing w:after="0"/>
              <w:rPr>
                <w:sz w:val="14"/>
                <w:szCs w:val="14"/>
                <w:color w:val="auto"/>
              </w:rPr>
            </w:pPr>
          </w:p>
        </w:tc>
        <w:tc>
          <w:tcPr>
            <w:tcW w:w="20" w:type="dxa"/>
            <w:vAlign w:val="bottom"/>
            <w:shd w:val="clear" w:color="auto" w:fill="3C5896"/>
          </w:tcPr>
          <w:p>
            <w:pPr>
              <w:spacing w:after="0"/>
              <w:rPr>
                <w:sz w:val="14"/>
                <w:szCs w:val="14"/>
                <w:color w:val="auto"/>
              </w:rPr>
            </w:pPr>
          </w:p>
        </w:tc>
        <w:tc>
          <w:tcPr>
            <w:tcW w:w="900" w:type="dxa"/>
            <w:vAlign w:val="bottom"/>
            <w:tcBorders>
              <w:right w:val="single" w:sz="8" w:color="9EACCA"/>
            </w:tcBorders>
            <w:shd w:val="clear" w:color="auto" w:fill="3C5896"/>
          </w:tcPr>
          <w:p>
            <w:pPr>
              <w:spacing w:after="0"/>
              <w:rPr>
                <w:sz w:val="14"/>
                <w:szCs w:val="14"/>
                <w:color w:val="auto"/>
              </w:rPr>
            </w:pPr>
          </w:p>
        </w:tc>
        <w:tc>
          <w:tcPr>
            <w:tcW w:w="40" w:type="dxa"/>
            <w:vAlign w:val="bottom"/>
            <w:shd w:val="clear" w:color="auto" w:fill="3C5896"/>
          </w:tcPr>
          <w:p>
            <w:pPr>
              <w:spacing w:after="0"/>
              <w:rPr>
                <w:sz w:val="14"/>
                <w:szCs w:val="14"/>
                <w:color w:val="auto"/>
              </w:rPr>
            </w:pPr>
          </w:p>
        </w:tc>
        <w:tc>
          <w:tcPr>
            <w:tcW w:w="700" w:type="dxa"/>
            <w:vAlign w:val="bottom"/>
            <w:shd w:val="clear" w:color="auto" w:fill="3C5896"/>
          </w:tcPr>
          <w:p>
            <w:pPr>
              <w:spacing w:after="0"/>
              <w:rPr>
                <w:sz w:val="14"/>
                <w:szCs w:val="14"/>
                <w:color w:val="auto"/>
              </w:rPr>
            </w:pPr>
          </w:p>
        </w:tc>
        <w:tc>
          <w:tcPr>
            <w:tcW w:w="20" w:type="dxa"/>
            <w:vAlign w:val="bottom"/>
            <w:shd w:val="clear" w:color="auto" w:fill="3C5896"/>
          </w:tcPr>
          <w:p>
            <w:pPr>
              <w:spacing w:after="0"/>
              <w:rPr>
                <w:sz w:val="14"/>
                <w:szCs w:val="14"/>
                <w:color w:val="auto"/>
              </w:rPr>
            </w:pPr>
          </w:p>
        </w:tc>
        <w:tc>
          <w:tcPr>
            <w:tcW w:w="520" w:type="dxa"/>
            <w:vAlign w:val="bottom"/>
            <w:shd w:val="clear" w:color="auto" w:fill="3C5896"/>
          </w:tcPr>
          <w:p>
            <w:pPr>
              <w:spacing w:after="0"/>
              <w:rPr>
                <w:sz w:val="14"/>
                <w:szCs w:val="14"/>
                <w:color w:val="auto"/>
              </w:rPr>
            </w:pPr>
          </w:p>
        </w:tc>
        <w:tc>
          <w:tcPr>
            <w:tcW w:w="20" w:type="dxa"/>
            <w:vAlign w:val="bottom"/>
            <w:shd w:val="clear" w:color="auto" w:fill="3C5896"/>
          </w:tcPr>
          <w:p>
            <w:pPr>
              <w:spacing w:after="0"/>
              <w:rPr>
                <w:sz w:val="14"/>
                <w:szCs w:val="14"/>
                <w:color w:val="auto"/>
              </w:rPr>
            </w:pPr>
          </w:p>
        </w:tc>
        <w:tc>
          <w:tcPr>
            <w:tcW w:w="760" w:type="dxa"/>
            <w:vAlign w:val="bottom"/>
            <w:tcBorders>
              <w:right w:val="single" w:sz="8" w:color="9EACCA"/>
            </w:tcBorders>
            <w:shd w:val="clear" w:color="auto" w:fill="3C5896"/>
          </w:tcPr>
          <w:p>
            <w:pPr>
              <w:spacing w:after="0"/>
              <w:rPr>
                <w:sz w:val="14"/>
                <w:szCs w:val="14"/>
                <w:color w:val="auto"/>
              </w:rPr>
            </w:pP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680" w:type="dxa"/>
            <w:vAlign w:val="bottom"/>
            <w:tcBorders>
              <w:right w:val="single" w:sz="8" w:color="9EACCA"/>
            </w:tcBorders>
            <w:shd w:val="clear" w:color="auto" w:fill="3C5896"/>
          </w:tcPr>
          <w:p>
            <w:pPr>
              <w:spacing w:after="0"/>
              <w:rPr>
                <w:sz w:val="14"/>
                <w:szCs w:val="14"/>
                <w:color w:val="auto"/>
              </w:rPr>
            </w:pPr>
          </w:p>
        </w:tc>
        <w:tc>
          <w:tcPr>
            <w:tcW w:w="800" w:type="dxa"/>
            <w:vAlign w:val="bottom"/>
            <w:tcBorders>
              <w:right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40" w:type="dxa"/>
            <w:vAlign w:val="bottom"/>
            <w:shd w:val="clear" w:color="auto" w:fill="3C5896"/>
          </w:tcPr>
          <w:p>
            <w:pPr>
              <w:spacing w:after="0"/>
              <w:rPr>
                <w:sz w:val="12"/>
                <w:szCs w:val="12"/>
                <w:color w:val="auto"/>
              </w:rPr>
            </w:pPr>
          </w:p>
        </w:tc>
        <w:tc>
          <w:tcPr>
            <w:tcW w:w="20" w:type="dxa"/>
            <w:vAlign w:val="bottom"/>
            <w:shd w:val="clear" w:color="auto" w:fill="3C5896"/>
          </w:tcPr>
          <w:p>
            <w:pPr>
              <w:spacing w:after="0"/>
              <w:rPr>
                <w:sz w:val="12"/>
                <w:szCs w:val="12"/>
                <w:color w:val="auto"/>
              </w:rPr>
            </w:pPr>
          </w:p>
        </w:tc>
        <w:tc>
          <w:tcPr>
            <w:tcW w:w="800" w:type="dxa"/>
            <w:vAlign w:val="bottom"/>
            <w:shd w:val="clear" w:color="auto" w:fill="3C5896"/>
          </w:tcPr>
          <w:p>
            <w:pPr>
              <w:spacing w:after="0"/>
              <w:rPr>
                <w:sz w:val="12"/>
                <w:szCs w:val="12"/>
                <w:color w:val="auto"/>
              </w:rPr>
            </w:pPr>
          </w:p>
        </w:tc>
        <w:tc>
          <w:tcPr>
            <w:tcW w:w="20" w:type="dxa"/>
            <w:vAlign w:val="bottom"/>
            <w:shd w:val="clear" w:color="auto" w:fill="3C5896"/>
          </w:tcPr>
          <w:p>
            <w:pPr>
              <w:spacing w:after="0"/>
              <w:rPr>
                <w:sz w:val="12"/>
                <w:szCs w:val="12"/>
                <w:color w:val="auto"/>
              </w:rPr>
            </w:pPr>
          </w:p>
        </w:tc>
        <w:tc>
          <w:tcPr>
            <w:tcW w:w="90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shd w:val="clear" w:color="auto" w:fill="3C5896"/>
          </w:tcPr>
          <w:p>
            <w:pPr>
              <w:spacing w:after="0"/>
              <w:rPr>
                <w:sz w:val="12"/>
                <w:szCs w:val="12"/>
                <w:color w:val="auto"/>
              </w:rPr>
            </w:pPr>
          </w:p>
        </w:tc>
        <w:tc>
          <w:tcPr>
            <w:tcW w:w="20" w:type="dxa"/>
            <w:vAlign w:val="bottom"/>
            <w:shd w:val="clear" w:color="auto" w:fill="3C5896"/>
          </w:tcPr>
          <w:p>
            <w:pPr>
              <w:spacing w:after="0"/>
              <w:rPr>
                <w:sz w:val="12"/>
                <w:szCs w:val="12"/>
                <w:color w:val="auto"/>
              </w:rPr>
            </w:pPr>
          </w:p>
        </w:tc>
        <w:tc>
          <w:tcPr>
            <w:tcW w:w="520" w:type="dxa"/>
            <w:vAlign w:val="bottom"/>
            <w:shd w:val="clear" w:color="auto" w:fill="3C5896"/>
          </w:tcPr>
          <w:p>
            <w:pPr>
              <w:spacing w:after="0"/>
              <w:rPr>
                <w:sz w:val="12"/>
                <w:szCs w:val="12"/>
                <w:color w:val="auto"/>
              </w:rPr>
            </w:pPr>
          </w:p>
        </w:tc>
        <w:tc>
          <w:tcPr>
            <w:tcW w:w="20" w:type="dxa"/>
            <w:vAlign w:val="bottom"/>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68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3C5896"/>
            </w:tcBorders>
            <w:shd w:val="clear" w:color="auto" w:fill="3C589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2480" w:type="dxa"/>
            <w:vAlign w:val="bottom"/>
            <w:tcBorders>
              <w:right w:val="single" w:sz="8" w:color="9EACCA"/>
            </w:tcBorders>
            <w:gridSpan w:val="5"/>
            <w:shd w:val="clear" w:color="auto" w:fill="3C5896"/>
          </w:tcPr>
          <w:p>
            <w:pPr>
              <w:jc w:val="center"/>
              <w:ind w:right="51"/>
              <w:spacing w:after="0"/>
              <w:rPr>
                <w:sz w:val="20"/>
                <w:szCs w:val="20"/>
                <w:color w:val="auto"/>
              </w:rPr>
            </w:pPr>
            <w:r>
              <w:rPr>
                <w:rFonts w:ascii="Arial" w:cs="Arial" w:eastAsia="Arial" w:hAnsi="Arial"/>
                <w:sz w:val="13"/>
                <w:szCs w:val="13"/>
                <w:b w:val="1"/>
                <w:bCs w:val="1"/>
                <w:color w:val="FFFFFF"/>
                <w:w w:val="97"/>
              </w:rPr>
              <w:t>Estimated Possible</w:t>
            </w:r>
          </w:p>
        </w:tc>
        <w:tc>
          <w:tcPr>
            <w:tcW w:w="40" w:type="dxa"/>
            <w:vAlign w:val="bottom"/>
            <w:shd w:val="clear" w:color="auto" w:fill="3C5896"/>
          </w:tcPr>
          <w:p>
            <w:pPr>
              <w:spacing w:after="0"/>
              <w:rPr>
                <w:sz w:val="12"/>
                <w:szCs w:val="12"/>
                <w:color w:val="auto"/>
              </w:rPr>
            </w:pPr>
          </w:p>
        </w:tc>
        <w:tc>
          <w:tcPr>
            <w:tcW w:w="2020" w:type="dxa"/>
            <w:vAlign w:val="bottom"/>
            <w:tcBorders>
              <w:right w:val="single" w:sz="8" w:color="9EACCA"/>
            </w:tcBorders>
            <w:gridSpan w:val="5"/>
            <w:shd w:val="clear" w:color="auto" w:fill="3C5896"/>
          </w:tcPr>
          <w:p>
            <w:pPr>
              <w:jc w:val="center"/>
              <w:ind w:right="31"/>
              <w:spacing w:after="0"/>
              <w:rPr>
                <w:sz w:val="20"/>
                <w:szCs w:val="20"/>
                <w:color w:val="auto"/>
              </w:rPr>
            </w:pPr>
            <w:r>
              <w:rPr>
                <w:rFonts w:ascii="Arial" w:cs="Arial" w:eastAsia="Arial" w:hAnsi="Arial"/>
                <w:sz w:val="13"/>
                <w:szCs w:val="13"/>
                <w:b w:val="1"/>
                <w:bCs w:val="1"/>
                <w:color w:val="FFFFFF"/>
                <w:w w:val="97"/>
              </w:rPr>
              <w:t>Estimated Possible</w:t>
            </w:r>
          </w:p>
        </w:tc>
        <w:tc>
          <w:tcPr>
            <w:tcW w:w="80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7"/>
              </w:rPr>
              <w:t>awards:</w:t>
            </w:r>
          </w:p>
        </w:tc>
        <w:tc>
          <w:tcPr>
            <w:tcW w:w="6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3"/>
              </w:rPr>
              <w:t>Exercise</w:t>
            </w:r>
          </w:p>
        </w:tc>
        <w:tc>
          <w:tcPr>
            <w:tcW w:w="800" w:type="dxa"/>
            <w:vAlign w:val="bottom"/>
            <w:tcBorders>
              <w:right w:val="single" w:sz="8" w:color="3C5896"/>
            </w:tcBorders>
            <w:shd w:val="clear" w:color="auto" w:fill="3C589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2480" w:type="dxa"/>
            <w:vAlign w:val="bottom"/>
            <w:tcBorders>
              <w:right w:val="single" w:sz="8" w:color="9EACCA"/>
            </w:tcBorders>
            <w:gridSpan w:val="5"/>
            <w:shd w:val="clear" w:color="auto" w:fill="3C5896"/>
          </w:tcPr>
          <w:p>
            <w:pPr>
              <w:jc w:val="center"/>
              <w:ind w:right="51"/>
              <w:spacing w:after="0"/>
              <w:rPr>
                <w:sz w:val="20"/>
                <w:szCs w:val="20"/>
                <w:color w:val="auto"/>
              </w:rPr>
            </w:pPr>
            <w:r>
              <w:rPr>
                <w:rFonts w:ascii="Arial" w:cs="Arial" w:eastAsia="Arial" w:hAnsi="Arial"/>
                <w:sz w:val="13"/>
                <w:szCs w:val="13"/>
                <w:b w:val="1"/>
                <w:bCs w:val="1"/>
                <w:color w:val="FFFFFF"/>
                <w:w w:val="97"/>
              </w:rPr>
              <w:t>Payouts Under Non-Equity</w:t>
            </w:r>
          </w:p>
        </w:tc>
        <w:tc>
          <w:tcPr>
            <w:tcW w:w="40" w:type="dxa"/>
            <w:vAlign w:val="bottom"/>
            <w:shd w:val="clear" w:color="auto" w:fill="3C5896"/>
          </w:tcPr>
          <w:p>
            <w:pPr>
              <w:spacing w:after="0"/>
              <w:rPr>
                <w:sz w:val="12"/>
                <w:szCs w:val="12"/>
                <w:color w:val="auto"/>
              </w:rPr>
            </w:pPr>
          </w:p>
        </w:tc>
        <w:tc>
          <w:tcPr>
            <w:tcW w:w="2020" w:type="dxa"/>
            <w:vAlign w:val="bottom"/>
            <w:tcBorders>
              <w:right w:val="single" w:sz="8" w:color="9EACCA"/>
            </w:tcBorders>
            <w:gridSpan w:val="5"/>
            <w:shd w:val="clear" w:color="auto" w:fill="3C5896"/>
          </w:tcPr>
          <w:p>
            <w:pPr>
              <w:jc w:val="center"/>
              <w:ind w:right="51"/>
              <w:spacing w:after="0"/>
              <w:rPr>
                <w:sz w:val="20"/>
                <w:szCs w:val="20"/>
                <w:color w:val="auto"/>
              </w:rPr>
            </w:pPr>
            <w:r>
              <w:rPr>
                <w:rFonts w:ascii="Arial" w:cs="Arial" w:eastAsia="Arial" w:hAnsi="Arial"/>
                <w:sz w:val="13"/>
                <w:szCs w:val="13"/>
                <w:b w:val="1"/>
                <w:bCs w:val="1"/>
                <w:color w:val="FFFFFF"/>
                <w:w w:val="96"/>
              </w:rPr>
              <w:t>Payouts Under Equity</w:t>
            </w: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6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9"/>
              </w:rPr>
              <w:t>or base</w:t>
            </w:r>
          </w:p>
        </w:tc>
        <w:tc>
          <w:tcPr>
            <w:tcW w:w="80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49"/>
        </w:trPr>
        <w:tc>
          <w:tcPr>
            <w:tcW w:w="1560" w:type="dxa"/>
            <w:vAlign w:val="bottom"/>
            <w:tcBorders>
              <w:left w:val="single" w:sz="8" w:color="3C5896"/>
              <w:right w:val="single" w:sz="8" w:color="9EACCA"/>
            </w:tcBorders>
            <w:shd w:val="clear" w:color="auto" w:fill="3C5896"/>
          </w:tcPr>
          <w:p>
            <w:pPr>
              <w:spacing w:after="0"/>
              <w:rPr>
                <w:sz w:val="12"/>
                <w:szCs w:val="12"/>
                <w:color w:val="auto"/>
              </w:rPr>
            </w:pPr>
          </w:p>
        </w:tc>
        <w:tc>
          <w:tcPr>
            <w:tcW w:w="78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2480" w:type="dxa"/>
            <w:vAlign w:val="bottom"/>
            <w:tcBorders>
              <w:right w:val="single" w:sz="8" w:color="9EACCA"/>
            </w:tcBorders>
            <w:gridSpan w:val="5"/>
            <w:shd w:val="clear" w:color="auto" w:fill="3C5896"/>
          </w:tcPr>
          <w:p>
            <w:pPr>
              <w:jc w:val="center"/>
              <w:spacing w:after="0" w:line="149" w:lineRule="exact"/>
              <w:rPr>
                <w:sz w:val="20"/>
                <w:szCs w:val="20"/>
                <w:color w:val="auto"/>
              </w:rPr>
            </w:pPr>
            <w:r>
              <w:rPr>
                <w:rFonts w:ascii="Arial" w:cs="Arial" w:eastAsia="Arial" w:hAnsi="Arial"/>
                <w:sz w:val="11"/>
                <w:szCs w:val="11"/>
                <w:b w:val="1"/>
                <w:bCs w:val="1"/>
                <w:color w:val="FFFFFF"/>
              </w:rPr>
              <w:t>Incentive Plan Awards</w:t>
            </w:r>
            <w:r>
              <w:rPr>
                <w:rFonts w:ascii="Arial" w:cs="Arial" w:eastAsia="Arial" w:hAnsi="Arial"/>
                <w:sz w:val="17"/>
                <w:szCs w:val="17"/>
                <w:b w:val="1"/>
                <w:bCs w:val="1"/>
                <w:color w:val="FFFFFF"/>
                <w:vertAlign w:val="superscript"/>
              </w:rPr>
              <w:t>(1)</w:t>
            </w:r>
          </w:p>
        </w:tc>
        <w:tc>
          <w:tcPr>
            <w:tcW w:w="40" w:type="dxa"/>
            <w:vAlign w:val="bottom"/>
            <w:shd w:val="clear" w:color="auto" w:fill="3C5896"/>
          </w:tcPr>
          <w:p>
            <w:pPr>
              <w:spacing w:after="0"/>
              <w:rPr>
                <w:sz w:val="12"/>
                <w:szCs w:val="12"/>
                <w:color w:val="auto"/>
              </w:rPr>
            </w:pPr>
          </w:p>
        </w:tc>
        <w:tc>
          <w:tcPr>
            <w:tcW w:w="2020" w:type="dxa"/>
            <w:vAlign w:val="bottom"/>
            <w:tcBorders>
              <w:right w:val="single" w:sz="8" w:color="9EACCA"/>
            </w:tcBorders>
            <w:gridSpan w:val="5"/>
            <w:shd w:val="clear" w:color="auto" w:fill="3C5896"/>
          </w:tcPr>
          <w:p>
            <w:pPr>
              <w:jc w:val="center"/>
              <w:ind w:right="11"/>
              <w:spacing w:after="0"/>
              <w:rPr>
                <w:sz w:val="20"/>
                <w:szCs w:val="20"/>
                <w:color w:val="auto"/>
              </w:rPr>
            </w:pPr>
            <w:r>
              <w:rPr>
                <w:rFonts w:ascii="Arial" w:cs="Arial" w:eastAsia="Arial" w:hAnsi="Arial"/>
                <w:sz w:val="13"/>
                <w:szCs w:val="13"/>
                <w:b w:val="1"/>
                <w:bCs w:val="1"/>
                <w:color w:val="FFFFFF"/>
                <w:w w:val="97"/>
              </w:rPr>
              <w:t>Incentive Plan Awards</w:t>
            </w: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securities</w:t>
            </w:r>
          </w:p>
        </w:tc>
        <w:tc>
          <w:tcPr>
            <w:tcW w:w="6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price of</w:t>
            </w:r>
          </w:p>
        </w:tc>
        <w:tc>
          <w:tcPr>
            <w:tcW w:w="80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3"/>
              </w:rPr>
              <w:t>Fair Value</w:t>
            </w:r>
          </w:p>
        </w:tc>
        <w:tc>
          <w:tcPr>
            <w:tcW w:w="0" w:type="dxa"/>
            <w:vAlign w:val="bottom"/>
          </w:tcPr>
          <w:p>
            <w:pPr>
              <w:spacing w:after="0"/>
              <w:rPr>
                <w:sz w:val="1"/>
                <w:szCs w:val="1"/>
                <w:color w:val="auto"/>
              </w:rPr>
            </w:pPr>
          </w:p>
        </w:tc>
      </w:tr>
      <w:tr>
        <w:trPr>
          <w:trHeight w:val="76"/>
        </w:trPr>
        <w:tc>
          <w:tcPr>
            <w:tcW w:w="1560" w:type="dxa"/>
            <w:vAlign w:val="bottom"/>
            <w:tcBorders>
              <w:left w:val="single" w:sz="8" w:color="3C5896"/>
              <w:right w:val="single" w:sz="8" w:color="9EACCA"/>
            </w:tcBorders>
            <w:shd w:val="clear" w:color="auto" w:fill="3C5896"/>
          </w:tcPr>
          <w:p>
            <w:pPr>
              <w:spacing w:after="0"/>
              <w:rPr>
                <w:sz w:val="6"/>
                <w:szCs w:val="6"/>
                <w:color w:val="auto"/>
              </w:rPr>
            </w:pPr>
          </w:p>
        </w:tc>
        <w:tc>
          <w:tcPr>
            <w:tcW w:w="780" w:type="dxa"/>
            <w:vAlign w:val="bottom"/>
            <w:tcBorders>
              <w:right w:val="single" w:sz="8" w:color="9EACCA"/>
            </w:tcBorders>
            <w:shd w:val="clear" w:color="auto" w:fill="3C5896"/>
          </w:tcPr>
          <w:p>
            <w:pPr>
              <w:spacing w:after="0"/>
              <w:rPr>
                <w:sz w:val="6"/>
                <w:szCs w:val="6"/>
                <w:color w:val="auto"/>
              </w:rPr>
            </w:pPr>
          </w:p>
        </w:tc>
        <w:tc>
          <w:tcPr>
            <w:tcW w:w="40" w:type="dxa"/>
            <w:vAlign w:val="bottom"/>
            <w:shd w:val="clear" w:color="auto" w:fill="3C5896"/>
          </w:tcPr>
          <w:p>
            <w:pPr>
              <w:spacing w:after="0"/>
              <w:rPr>
                <w:sz w:val="6"/>
                <w:szCs w:val="6"/>
                <w:color w:val="auto"/>
              </w:rPr>
            </w:pPr>
          </w:p>
        </w:tc>
        <w:tc>
          <w:tcPr>
            <w:tcW w:w="740" w:type="dxa"/>
            <w:vAlign w:val="bottom"/>
            <w:vMerge w:val="restart"/>
            <w:shd w:val="clear" w:color="auto" w:fill="3C5896"/>
          </w:tcPr>
          <w:p>
            <w:pPr>
              <w:jc w:val="right"/>
              <w:ind w:right="38"/>
              <w:spacing w:after="0"/>
              <w:rPr>
                <w:sz w:val="20"/>
                <w:szCs w:val="20"/>
                <w:color w:val="auto"/>
              </w:rPr>
            </w:pPr>
            <w:r>
              <w:rPr>
                <w:rFonts w:ascii="Arial" w:cs="Arial" w:eastAsia="Arial" w:hAnsi="Arial"/>
                <w:sz w:val="13"/>
                <w:szCs w:val="13"/>
                <w:b w:val="1"/>
                <w:bCs w:val="1"/>
                <w:color w:val="FFFFFF"/>
                <w:w w:val="98"/>
              </w:rPr>
              <w:t>Threshold</w:t>
            </w:r>
          </w:p>
        </w:tc>
        <w:tc>
          <w:tcPr>
            <w:tcW w:w="20" w:type="dxa"/>
            <w:vAlign w:val="bottom"/>
            <w:shd w:val="clear" w:color="auto" w:fill="3C5896"/>
          </w:tcPr>
          <w:p>
            <w:pPr>
              <w:spacing w:after="0"/>
              <w:rPr>
                <w:sz w:val="6"/>
                <w:szCs w:val="6"/>
                <w:color w:val="auto"/>
              </w:rPr>
            </w:pPr>
          </w:p>
        </w:tc>
        <w:tc>
          <w:tcPr>
            <w:tcW w:w="800" w:type="dxa"/>
            <w:vAlign w:val="bottom"/>
            <w:vMerge w:val="restart"/>
            <w:shd w:val="clear" w:color="auto" w:fill="3C5896"/>
          </w:tcPr>
          <w:p>
            <w:pPr>
              <w:jc w:val="right"/>
              <w:ind w:right="171"/>
              <w:spacing w:after="0"/>
              <w:rPr>
                <w:sz w:val="20"/>
                <w:szCs w:val="20"/>
                <w:color w:val="auto"/>
              </w:rPr>
            </w:pPr>
            <w:r>
              <w:rPr>
                <w:rFonts w:ascii="Arial" w:cs="Arial" w:eastAsia="Arial" w:hAnsi="Arial"/>
                <w:sz w:val="13"/>
                <w:szCs w:val="13"/>
                <w:b w:val="1"/>
                <w:bCs w:val="1"/>
                <w:color w:val="FFFFFF"/>
              </w:rPr>
              <w:t>Target</w:t>
            </w:r>
          </w:p>
        </w:tc>
        <w:tc>
          <w:tcPr>
            <w:tcW w:w="20" w:type="dxa"/>
            <w:vAlign w:val="bottom"/>
            <w:shd w:val="clear" w:color="auto" w:fill="3C5896"/>
          </w:tcPr>
          <w:p>
            <w:pPr>
              <w:spacing w:after="0"/>
              <w:rPr>
                <w:sz w:val="6"/>
                <w:szCs w:val="6"/>
                <w:color w:val="auto"/>
              </w:rPr>
            </w:pPr>
          </w:p>
        </w:tc>
        <w:tc>
          <w:tcPr>
            <w:tcW w:w="900" w:type="dxa"/>
            <w:vAlign w:val="bottom"/>
            <w:tcBorders>
              <w:right w:val="single" w:sz="8" w:color="9EACCA"/>
            </w:tcBorders>
            <w:vMerge w:val="restart"/>
            <w:shd w:val="clear" w:color="auto" w:fill="3C5896"/>
          </w:tcPr>
          <w:p>
            <w:pPr>
              <w:jc w:val="right"/>
              <w:ind w:right="131"/>
              <w:spacing w:after="0"/>
              <w:rPr>
                <w:sz w:val="20"/>
                <w:szCs w:val="20"/>
                <w:color w:val="auto"/>
              </w:rPr>
            </w:pPr>
            <w:r>
              <w:rPr>
                <w:rFonts w:ascii="Arial" w:cs="Arial" w:eastAsia="Arial" w:hAnsi="Arial"/>
                <w:sz w:val="13"/>
                <w:szCs w:val="13"/>
                <w:b w:val="1"/>
                <w:bCs w:val="1"/>
                <w:color w:val="FFFFFF"/>
              </w:rPr>
              <w:t>Maximum</w:t>
            </w:r>
          </w:p>
        </w:tc>
        <w:tc>
          <w:tcPr>
            <w:tcW w:w="40" w:type="dxa"/>
            <w:vAlign w:val="bottom"/>
            <w:shd w:val="clear" w:color="auto" w:fill="3C5896"/>
          </w:tcPr>
          <w:p>
            <w:pPr>
              <w:spacing w:after="0"/>
              <w:rPr>
                <w:sz w:val="6"/>
                <w:szCs w:val="6"/>
                <w:color w:val="auto"/>
              </w:rPr>
            </w:pPr>
          </w:p>
        </w:tc>
        <w:tc>
          <w:tcPr>
            <w:tcW w:w="700" w:type="dxa"/>
            <w:vAlign w:val="bottom"/>
            <w:vMerge w:val="restart"/>
            <w:shd w:val="clear" w:color="auto" w:fill="3C5896"/>
          </w:tcPr>
          <w:p>
            <w:pPr>
              <w:spacing w:after="0"/>
              <w:rPr>
                <w:sz w:val="20"/>
                <w:szCs w:val="20"/>
                <w:color w:val="auto"/>
              </w:rPr>
            </w:pPr>
            <w:r>
              <w:rPr>
                <w:rFonts w:ascii="Arial" w:cs="Arial" w:eastAsia="Arial" w:hAnsi="Arial"/>
                <w:sz w:val="13"/>
                <w:szCs w:val="13"/>
                <w:b w:val="1"/>
                <w:bCs w:val="1"/>
                <w:color w:val="FFFFFF"/>
              </w:rPr>
              <w:t>Threshold</w:t>
            </w:r>
          </w:p>
        </w:tc>
        <w:tc>
          <w:tcPr>
            <w:tcW w:w="20" w:type="dxa"/>
            <w:vAlign w:val="bottom"/>
            <w:shd w:val="clear" w:color="auto" w:fill="3C5896"/>
          </w:tcPr>
          <w:p>
            <w:pPr>
              <w:spacing w:after="0"/>
              <w:rPr>
                <w:sz w:val="6"/>
                <w:szCs w:val="6"/>
                <w:color w:val="auto"/>
              </w:rPr>
            </w:pPr>
          </w:p>
        </w:tc>
        <w:tc>
          <w:tcPr>
            <w:tcW w:w="520" w:type="dxa"/>
            <w:vAlign w:val="bottom"/>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20" w:type="dxa"/>
            <w:vAlign w:val="bottom"/>
            <w:shd w:val="clear" w:color="auto" w:fill="3C5896"/>
          </w:tcPr>
          <w:p>
            <w:pPr>
              <w:spacing w:after="0"/>
              <w:rPr>
                <w:sz w:val="6"/>
                <w:szCs w:val="6"/>
                <w:color w:val="auto"/>
              </w:rPr>
            </w:pPr>
          </w:p>
        </w:tc>
        <w:tc>
          <w:tcPr>
            <w:tcW w:w="760" w:type="dxa"/>
            <w:vAlign w:val="bottom"/>
            <w:tcBorders>
              <w:right w:val="single" w:sz="8" w:color="9EACCA"/>
            </w:tcBorders>
            <w:vMerge w:val="restart"/>
            <w:shd w:val="clear" w:color="auto" w:fill="3C5896"/>
          </w:tcPr>
          <w:p>
            <w:pPr>
              <w:ind w:left="60"/>
              <w:spacing w:after="0"/>
              <w:rPr>
                <w:sz w:val="20"/>
                <w:szCs w:val="20"/>
                <w:color w:val="auto"/>
              </w:rPr>
            </w:pPr>
            <w:r>
              <w:rPr>
                <w:rFonts w:ascii="Arial" w:cs="Arial" w:eastAsia="Arial" w:hAnsi="Arial"/>
                <w:sz w:val="13"/>
                <w:szCs w:val="13"/>
                <w:b w:val="1"/>
                <w:bCs w:val="1"/>
                <w:color w:val="FFFFFF"/>
              </w:rPr>
              <w:t>Maximum</w:t>
            </w:r>
          </w:p>
        </w:tc>
        <w:tc>
          <w:tcPr>
            <w:tcW w:w="800" w:type="dxa"/>
            <w:vAlign w:val="bottom"/>
            <w:tcBorders>
              <w:right w:val="single" w:sz="8" w:color="9EACCA"/>
            </w:tcBorders>
            <w:vMerge w:val="restart"/>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6"/>
              </w:rPr>
              <w:t>underlying</w:t>
            </w:r>
          </w:p>
        </w:tc>
        <w:tc>
          <w:tcPr>
            <w:tcW w:w="68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00" w:type="dxa"/>
            <w:vAlign w:val="bottom"/>
            <w:tcBorders>
              <w:right w:val="single" w:sz="8" w:color="3C5896"/>
            </w:tcBorders>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of Option</w:t>
            </w:r>
          </w:p>
        </w:tc>
        <w:tc>
          <w:tcPr>
            <w:tcW w:w="0" w:type="dxa"/>
            <w:vAlign w:val="bottom"/>
          </w:tcPr>
          <w:p>
            <w:pPr>
              <w:spacing w:after="0"/>
              <w:rPr>
                <w:sz w:val="1"/>
                <w:szCs w:val="1"/>
                <w:color w:val="auto"/>
              </w:rPr>
            </w:pPr>
          </w:p>
        </w:tc>
      </w:tr>
      <w:tr>
        <w:trPr>
          <w:trHeight w:val="73"/>
        </w:trPr>
        <w:tc>
          <w:tcPr>
            <w:tcW w:w="1560" w:type="dxa"/>
            <w:vAlign w:val="bottom"/>
            <w:tcBorders>
              <w:left w:val="single" w:sz="8" w:color="3C5896"/>
              <w:right w:val="single" w:sz="8" w:color="9EACCA"/>
            </w:tcBorders>
            <w:shd w:val="clear" w:color="auto" w:fill="3C5896"/>
          </w:tcPr>
          <w:p>
            <w:pPr>
              <w:spacing w:after="0"/>
              <w:rPr>
                <w:sz w:val="6"/>
                <w:szCs w:val="6"/>
                <w:color w:val="auto"/>
              </w:rPr>
            </w:pPr>
          </w:p>
        </w:tc>
        <w:tc>
          <w:tcPr>
            <w:tcW w:w="780" w:type="dxa"/>
            <w:vAlign w:val="bottom"/>
            <w:tcBorders>
              <w:right w:val="single" w:sz="8" w:color="9EACCA"/>
            </w:tcBorders>
            <w:shd w:val="clear" w:color="auto" w:fill="3C5896"/>
          </w:tcPr>
          <w:p>
            <w:pPr>
              <w:spacing w:after="0"/>
              <w:rPr>
                <w:sz w:val="6"/>
                <w:szCs w:val="6"/>
                <w:color w:val="auto"/>
              </w:rPr>
            </w:pPr>
          </w:p>
        </w:tc>
        <w:tc>
          <w:tcPr>
            <w:tcW w:w="40" w:type="dxa"/>
            <w:vAlign w:val="bottom"/>
            <w:shd w:val="clear" w:color="auto" w:fill="3C5896"/>
          </w:tcPr>
          <w:p>
            <w:pPr>
              <w:spacing w:after="0"/>
              <w:rPr>
                <w:sz w:val="6"/>
                <w:szCs w:val="6"/>
                <w:color w:val="auto"/>
              </w:rPr>
            </w:pPr>
          </w:p>
        </w:tc>
        <w:tc>
          <w:tcPr>
            <w:tcW w:w="740" w:type="dxa"/>
            <w:vAlign w:val="bottom"/>
            <w:vMerge w:val="continue"/>
            <w:shd w:val="clear" w:color="auto" w:fill="3C5896"/>
          </w:tcPr>
          <w:p>
            <w:pPr>
              <w:spacing w:after="0"/>
              <w:rPr>
                <w:sz w:val="6"/>
                <w:szCs w:val="6"/>
                <w:color w:val="auto"/>
              </w:rPr>
            </w:pPr>
          </w:p>
        </w:tc>
        <w:tc>
          <w:tcPr>
            <w:tcW w:w="20" w:type="dxa"/>
            <w:vAlign w:val="bottom"/>
            <w:shd w:val="clear" w:color="auto" w:fill="9EACCA"/>
          </w:tcPr>
          <w:p>
            <w:pPr>
              <w:spacing w:after="0"/>
              <w:rPr>
                <w:sz w:val="6"/>
                <w:szCs w:val="6"/>
                <w:color w:val="auto"/>
              </w:rPr>
            </w:pPr>
          </w:p>
        </w:tc>
        <w:tc>
          <w:tcPr>
            <w:tcW w:w="800" w:type="dxa"/>
            <w:vAlign w:val="bottom"/>
            <w:vMerge w:val="continue"/>
            <w:shd w:val="clear" w:color="auto" w:fill="3C5896"/>
          </w:tcPr>
          <w:p>
            <w:pPr>
              <w:spacing w:after="0"/>
              <w:rPr>
                <w:sz w:val="6"/>
                <w:szCs w:val="6"/>
                <w:color w:val="auto"/>
              </w:rPr>
            </w:pPr>
          </w:p>
        </w:tc>
        <w:tc>
          <w:tcPr>
            <w:tcW w:w="20" w:type="dxa"/>
            <w:vAlign w:val="bottom"/>
            <w:shd w:val="clear" w:color="auto" w:fill="9EACCA"/>
          </w:tcPr>
          <w:p>
            <w:pPr>
              <w:spacing w:after="0"/>
              <w:rPr>
                <w:sz w:val="6"/>
                <w:szCs w:val="6"/>
                <w:color w:val="auto"/>
              </w:rPr>
            </w:pPr>
          </w:p>
        </w:tc>
        <w:tc>
          <w:tcPr>
            <w:tcW w:w="900" w:type="dxa"/>
            <w:vAlign w:val="bottom"/>
            <w:tcBorders>
              <w:right w:val="single" w:sz="8" w:color="9EACCA"/>
            </w:tcBorders>
            <w:vMerge w:val="continue"/>
            <w:shd w:val="clear" w:color="auto" w:fill="3C5896"/>
          </w:tcPr>
          <w:p>
            <w:pPr>
              <w:spacing w:after="0"/>
              <w:rPr>
                <w:sz w:val="6"/>
                <w:szCs w:val="6"/>
                <w:color w:val="auto"/>
              </w:rPr>
            </w:pPr>
          </w:p>
        </w:tc>
        <w:tc>
          <w:tcPr>
            <w:tcW w:w="40" w:type="dxa"/>
            <w:vAlign w:val="bottom"/>
            <w:shd w:val="clear" w:color="auto" w:fill="3C5896"/>
          </w:tcPr>
          <w:p>
            <w:pPr>
              <w:spacing w:after="0"/>
              <w:rPr>
                <w:sz w:val="6"/>
                <w:szCs w:val="6"/>
                <w:color w:val="auto"/>
              </w:rPr>
            </w:pPr>
          </w:p>
        </w:tc>
        <w:tc>
          <w:tcPr>
            <w:tcW w:w="700" w:type="dxa"/>
            <w:vAlign w:val="bottom"/>
            <w:vMerge w:val="continue"/>
            <w:shd w:val="clear" w:color="auto" w:fill="3C5896"/>
          </w:tcPr>
          <w:p>
            <w:pPr>
              <w:spacing w:after="0"/>
              <w:rPr>
                <w:sz w:val="6"/>
                <w:szCs w:val="6"/>
                <w:color w:val="auto"/>
              </w:rPr>
            </w:pPr>
          </w:p>
        </w:tc>
        <w:tc>
          <w:tcPr>
            <w:tcW w:w="20" w:type="dxa"/>
            <w:vAlign w:val="bottom"/>
            <w:shd w:val="clear" w:color="auto" w:fill="9EACCA"/>
          </w:tcPr>
          <w:p>
            <w:pPr>
              <w:spacing w:after="0"/>
              <w:rPr>
                <w:sz w:val="6"/>
                <w:szCs w:val="6"/>
                <w:color w:val="auto"/>
              </w:rPr>
            </w:pPr>
          </w:p>
        </w:tc>
        <w:tc>
          <w:tcPr>
            <w:tcW w:w="520" w:type="dxa"/>
            <w:vAlign w:val="bottom"/>
            <w:vMerge w:val="continue"/>
            <w:shd w:val="clear" w:color="auto" w:fill="3C5896"/>
          </w:tcPr>
          <w:p>
            <w:pPr>
              <w:spacing w:after="0"/>
              <w:rPr>
                <w:sz w:val="6"/>
                <w:szCs w:val="6"/>
                <w:color w:val="auto"/>
              </w:rPr>
            </w:pPr>
          </w:p>
        </w:tc>
        <w:tc>
          <w:tcPr>
            <w:tcW w:w="20" w:type="dxa"/>
            <w:vAlign w:val="bottom"/>
            <w:shd w:val="clear" w:color="auto" w:fill="9EACCA"/>
          </w:tcPr>
          <w:p>
            <w:pPr>
              <w:spacing w:after="0"/>
              <w:rPr>
                <w:sz w:val="6"/>
                <w:szCs w:val="6"/>
                <w:color w:val="auto"/>
              </w:rPr>
            </w:pPr>
          </w:p>
        </w:tc>
        <w:tc>
          <w:tcPr>
            <w:tcW w:w="760" w:type="dxa"/>
            <w:vAlign w:val="bottom"/>
            <w:tcBorders>
              <w:right w:val="single" w:sz="8" w:color="9EACCA"/>
            </w:tcBorders>
            <w:vMerge w:val="continue"/>
            <w:shd w:val="clear" w:color="auto" w:fill="3C5896"/>
          </w:tcPr>
          <w:p>
            <w:pPr>
              <w:spacing w:after="0"/>
              <w:rPr>
                <w:sz w:val="6"/>
                <w:szCs w:val="6"/>
                <w:color w:val="auto"/>
              </w:rPr>
            </w:pPr>
          </w:p>
        </w:tc>
        <w:tc>
          <w:tcPr>
            <w:tcW w:w="800" w:type="dxa"/>
            <w:vAlign w:val="bottom"/>
            <w:tcBorders>
              <w:right w:val="single" w:sz="8" w:color="9EACCA"/>
            </w:tcBorders>
            <w:vMerge w:val="continue"/>
            <w:shd w:val="clear" w:color="auto" w:fill="3C5896"/>
          </w:tcPr>
          <w:p>
            <w:pPr>
              <w:spacing w:after="0"/>
              <w:rPr>
                <w:sz w:val="6"/>
                <w:szCs w:val="6"/>
                <w:color w:val="auto"/>
              </w:rPr>
            </w:pPr>
          </w:p>
        </w:tc>
        <w:tc>
          <w:tcPr>
            <w:tcW w:w="680" w:type="dxa"/>
            <w:vAlign w:val="bottom"/>
            <w:tcBorders>
              <w:right w:val="single" w:sz="8" w:color="9EACCA"/>
            </w:tcBorders>
            <w:vMerge w:val="continue"/>
            <w:shd w:val="clear" w:color="auto" w:fill="3C5896"/>
          </w:tcPr>
          <w:p>
            <w:pPr>
              <w:spacing w:after="0"/>
              <w:rPr>
                <w:sz w:val="6"/>
                <w:szCs w:val="6"/>
                <w:color w:val="auto"/>
              </w:rPr>
            </w:pPr>
          </w:p>
        </w:tc>
        <w:tc>
          <w:tcPr>
            <w:tcW w:w="800" w:type="dxa"/>
            <w:vAlign w:val="bottom"/>
            <w:tcBorders>
              <w:right w:val="single" w:sz="8" w:color="3C5896"/>
            </w:tcBorders>
            <w:vMerge w:val="continue"/>
            <w:shd w:val="clear" w:color="auto" w:fill="3C5896"/>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560" w:type="dxa"/>
            <w:vAlign w:val="bottom"/>
            <w:tcBorders>
              <w:left w:val="single" w:sz="8" w:color="3C5896"/>
              <w:right w:val="single" w:sz="8" w:color="9EACCA"/>
            </w:tcBorders>
            <w:shd w:val="clear" w:color="auto" w:fill="3C5896"/>
          </w:tcPr>
          <w:p>
            <w:pPr>
              <w:spacing w:after="0"/>
              <w:rPr>
                <w:sz w:val="11"/>
                <w:szCs w:val="11"/>
                <w:color w:val="auto"/>
              </w:rPr>
            </w:pPr>
          </w:p>
        </w:tc>
        <w:tc>
          <w:tcPr>
            <w:tcW w:w="780" w:type="dxa"/>
            <w:vAlign w:val="bottom"/>
            <w:tcBorders>
              <w:right w:val="single" w:sz="8" w:color="9EACCA"/>
            </w:tcBorders>
            <w:shd w:val="clear" w:color="auto" w:fill="3C5896"/>
          </w:tcPr>
          <w:p>
            <w:pPr>
              <w:spacing w:after="0"/>
              <w:rPr>
                <w:sz w:val="11"/>
                <w:szCs w:val="11"/>
                <w:color w:val="auto"/>
              </w:rPr>
            </w:pPr>
          </w:p>
        </w:tc>
        <w:tc>
          <w:tcPr>
            <w:tcW w:w="40" w:type="dxa"/>
            <w:vAlign w:val="bottom"/>
            <w:shd w:val="clear" w:color="auto" w:fill="3C5896"/>
          </w:tcPr>
          <w:p>
            <w:pPr>
              <w:spacing w:after="0"/>
              <w:rPr>
                <w:sz w:val="11"/>
                <w:szCs w:val="11"/>
                <w:color w:val="auto"/>
              </w:rPr>
            </w:pPr>
          </w:p>
        </w:tc>
        <w:tc>
          <w:tcPr>
            <w:tcW w:w="740" w:type="dxa"/>
            <w:vAlign w:val="bottom"/>
            <w:vMerge w:val="continue"/>
            <w:shd w:val="clear" w:color="auto" w:fill="3C5896"/>
          </w:tcPr>
          <w:p>
            <w:pPr>
              <w:spacing w:after="0"/>
              <w:rPr>
                <w:sz w:val="11"/>
                <w:szCs w:val="11"/>
                <w:color w:val="auto"/>
              </w:rPr>
            </w:pPr>
          </w:p>
        </w:tc>
        <w:tc>
          <w:tcPr>
            <w:tcW w:w="20" w:type="dxa"/>
            <w:vAlign w:val="bottom"/>
            <w:shd w:val="clear" w:color="auto" w:fill="9EACCA"/>
          </w:tcPr>
          <w:p>
            <w:pPr>
              <w:spacing w:after="0"/>
              <w:rPr>
                <w:sz w:val="11"/>
                <w:szCs w:val="11"/>
                <w:color w:val="auto"/>
              </w:rPr>
            </w:pPr>
          </w:p>
        </w:tc>
        <w:tc>
          <w:tcPr>
            <w:tcW w:w="800" w:type="dxa"/>
            <w:vAlign w:val="bottom"/>
            <w:vMerge w:val="continue"/>
            <w:shd w:val="clear" w:color="auto" w:fill="3C5896"/>
          </w:tcPr>
          <w:p>
            <w:pPr>
              <w:spacing w:after="0"/>
              <w:rPr>
                <w:sz w:val="11"/>
                <w:szCs w:val="11"/>
                <w:color w:val="auto"/>
              </w:rPr>
            </w:pPr>
          </w:p>
        </w:tc>
        <w:tc>
          <w:tcPr>
            <w:tcW w:w="20" w:type="dxa"/>
            <w:vAlign w:val="bottom"/>
            <w:shd w:val="clear" w:color="auto" w:fill="9EACCA"/>
          </w:tcPr>
          <w:p>
            <w:pPr>
              <w:spacing w:after="0"/>
              <w:rPr>
                <w:sz w:val="11"/>
                <w:szCs w:val="11"/>
                <w:color w:val="auto"/>
              </w:rPr>
            </w:pPr>
          </w:p>
        </w:tc>
        <w:tc>
          <w:tcPr>
            <w:tcW w:w="900" w:type="dxa"/>
            <w:vAlign w:val="bottom"/>
            <w:tcBorders>
              <w:right w:val="single" w:sz="8" w:color="9EACCA"/>
            </w:tcBorders>
            <w:vMerge w:val="continue"/>
            <w:shd w:val="clear" w:color="auto" w:fill="3C5896"/>
          </w:tcPr>
          <w:p>
            <w:pPr>
              <w:spacing w:after="0"/>
              <w:rPr>
                <w:sz w:val="11"/>
                <w:szCs w:val="11"/>
                <w:color w:val="auto"/>
              </w:rPr>
            </w:pPr>
          </w:p>
        </w:tc>
        <w:tc>
          <w:tcPr>
            <w:tcW w:w="40" w:type="dxa"/>
            <w:vAlign w:val="bottom"/>
            <w:shd w:val="clear" w:color="auto" w:fill="3C5896"/>
          </w:tcPr>
          <w:p>
            <w:pPr>
              <w:spacing w:after="0"/>
              <w:rPr>
                <w:sz w:val="11"/>
                <w:szCs w:val="11"/>
                <w:color w:val="auto"/>
              </w:rPr>
            </w:pPr>
          </w:p>
        </w:tc>
        <w:tc>
          <w:tcPr>
            <w:tcW w:w="700" w:type="dxa"/>
            <w:vAlign w:val="bottom"/>
            <w:vMerge w:val="continue"/>
            <w:shd w:val="clear" w:color="auto" w:fill="3C5896"/>
          </w:tcPr>
          <w:p>
            <w:pPr>
              <w:spacing w:after="0"/>
              <w:rPr>
                <w:sz w:val="11"/>
                <w:szCs w:val="11"/>
                <w:color w:val="auto"/>
              </w:rPr>
            </w:pPr>
          </w:p>
        </w:tc>
        <w:tc>
          <w:tcPr>
            <w:tcW w:w="20" w:type="dxa"/>
            <w:vAlign w:val="bottom"/>
            <w:shd w:val="clear" w:color="auto" w:fill="9EACCA"/>
          </w:tcPr>
          <w:p>
            <w:pPr>
              <w:spacing w:after="0"/>
              <w:rPr>
                <w:sz w:val="11"/>
                <w:szCs w:val="11"/>
                <w:color w:val="auto"/>
              </w:rPr>
            </w:pPr>
          </w:p>
        </w:tc>
        <w:tc>
          <w:tcPr>
            <w:tcW w:w="520" w:type="dxa"/>
            <w:vAlign w:val="bottom"/>
            <w:vMerge w:val="continue"/>
            <w:shd w:val="clear" w:color="auto" w:fill="3C5896"/>
          </w:tcPr>
          <w:p>
            <w:pPr>
              <w:spacing w:after="0"/>
              <w:rPr>
                <w:sz w:val="11"/>
                <w:szCs w:val="11"/>
                <w:color w:val="auto"/>
              </w:rPr>
            </w:pPr>
          </w:p>
        </w:tc>
        <w:tc>
          <w:tcPr>
            <w:tcW w:w="20" w:type="dxa"/>
            <w:vAlign w:val="bottom"/>
            <w:shd w:val="clear" w:color="auto" w:fill="9EACCA"/>
          </w:tcPr>
          <w:p>
            <w:pPr>
              <w:spacing w:after="0"/>
              <w:rPr>
                <w:sz w:val="11"/>
                <w:szCs w:val="11"/>
                <w:color w:val="auto"/>
              </w:rPr>
            </w:pPr>
          </w:p>
        </w:tc>
        <w:tc>
          <w:tcPr>
            <w:tcW w:w="760" w:type="dxa"/>
            <w:vAlign w:val="bottom"/>
            <w:tcBorders>
              <w:right w:val="single" w:sz="8" w:color="9EACCA"/>
            </w:tcBorders>
            <w:vMerge w:val="continue"/>
            <w:shd w:val="clear" w:color="auto" w:fill="3C5896"/>
          </w:tcPr>
          <w:p>
            <w:pPr>
              <w:spacing w:after="0"/>
              <w:rPr>
                <w:sz w:val="11"/>
                <w:szCs w:val="11"/>
                <w:color w:val="auto"/>
              </w:rPr>
            </w:pPr>
          </w:p>
        </w:tc>
        <w:tc>
          <w:tcPr>
            <w:tcW w:w="800" w:type="dxa"/>
            <w:vAlign w:val="bottom"/>
            <w:tcBorders>
              <w:right w:val="single" w:sz="8" w:color="9EACCA"/>
            </w:tcBorders>
            <w:shd w:val="clear" w:color="auto" w:fill="3C5896"/>
          </w:tcPr>
          <w:p>
            <w:pPr>
              <w:jc w:val="center"/>
              <w:spacing w:after="0" w:line="135" w:lineRule="exact"/>
              <w:rPr>
                <w:sz w:val="20"/>
                <w:szCs w:val="20"/>
                <w:color w:val="auto"/>
              </w:rPr>
            </w:pPr>
            <w:r>
              <w:rPr>
                <w:rFonts w:ascii="Arial" w:cs="Arial" w:eastAsia="Arial" w:hAnsi="Arial"/>
                <w:sz w:val="13"/>
                <w:szCs w:val="13"/>
                <w:b w:val="1"/>
                <w:bCs w:val="1"/>
                <w:color w:val="FFFFFF"/>
                <w:w w:val="97"/>
              </w:rPr>
              <w:t>options</w:t>
            </w:r>
          </w:p>
        </w:tc>
        <w:tc>
          <w:tcPr>
            <w:tcW w:w="680" w:type="dxa"/>
            <w:vAlign w:val="bottom"/>
            <w:tcBorders>
              <w:right w:val="single" w:sz="8" w:color="9EACCA"/>
            </w:tcBorders>
            <w:shd w:val="clear" w:color="auto" w:fill="3C5896"/>
          </w:tcPr>
          <w:p>
            <w:pPr>
              <w:jc w:val="center"/>
              <w:spacing w:after="0" w:line="135" w:lineRule="exact"/>
              <w:rPr>
                <w:sz w:val="20"/>
                <w:szCs w:val="20"/>
                <w:color w:val="auto"/>
              </w:rPr>
            </w:pPr>
            <w:r>
              <w:rPr>
                <w:rFonts w:ascii="Arial" w:cs="Arial" w:eastAsia="Arial" w:hAnsi="Arial"/>
                <w:sz w:val="13"/>
                <w:szCs w:val="13"/>
                <w:b w:val="1"/>
                <w:bCs w:val="1"/>
                <w:color w:val="FFFFFF"/>
                <w:w w:val="93"/>
              </w:rPr>
              <w:t>awards</w:t>
            </w:r>
          </w:p>
        </w:tc>
        <w:tc>
          <w:tcPr>
            <w:tcW w:w="800" w:type="dxa"/>
            <w:vAlign w:val="bottom"/>
            <w:tcBorders>
              <w:right w:val="single" w:sz="8" w:color="3C5896"/>
            </w:tcBorders>
            <w:shd w:val="clear" w:color="auto" w:fill="3C5896"/>
          </w:tcPr>
          <w:p>
            <w:pPr>
              <w:jc w:val="center"/>
              <w:spacing w:after="0" w:line="135" w:lineRule="exact"/>
              <w:rPr>
                <w:sz w:val="20"/>
                <w:szCs w:val="20"/>
                <w:color w:val="auto"/>
              </w:rPr>
            </w:pPr>
            <w:r>
              <w:rPr>
                <w:rFonts w:ascii="Arial" w:cs="Arial" w:eastAsia="Arial" w:hAnsi="Arial"/>
                <w:sz w:val="13"/>
                <w:szCs w:val="13"/>
                <w:b w:val="1"/>
                <w:bCs w:val="1"/>
                <w:color w:val="FFFFFF"/>
                <w:w w:val="95"/>
              </w:rPr>
              <w:t>Award</w:t>
            </w:r>
          </w:p>
        </w:tc>
        <w:tc>
          <w:tcPr>
            <w:tcW w:w="0" w:type="dxa"/>
            <w:vAlign w:val="bottom"/>
          </w:tcPr>
          <w:p>
            <w:pPr>
              <w:spacing w:after="0"/>
              <w:rPr>
                <w:sz w:val="1"/>
                <w:szCs w:val="1"/>
                <w:color w:val="auto"/>
              </w:rPr>
            </w:pPr>
          </w:p>
        </w:tc>
      </w:tr>
      <w:tr>
        <w:trPr>
          <w:trHeight w:val="198"/>
        </w:trPr>
        <w:tc>
          <w:tcPr>
            <w:tcW w:w="1560" w:type="dxa"/>
            <w:vAlign w:val="bottom"/>
            <w:tcBorders>
              <w:left w:val="single" w:sz="8" w:color="3C5896"/>
              <w:right w:val="single" w:sz="8" w:color="9EACCA"/>
            </w:tcBorders>
            <w:shd w:val="clear" w:color="auto" w:fill="3C5896"/>
          </w:tcPr>
          <w:p>
            <w:pPr>
              <w:ind w:left="600"/>
              <w:spacing w:after="0"/>
              <w:rPr>
                <w:sz w:val="20"/>
                <w:szCs w:val="20"/>
                <w:color w:val="auto"/>
              </w:rPr>
            </w:pPr>
            <w:r>
              <w:rPr>
                <w:rFonts w:ascii="Arial" w:cs="Arial" w:eastAsia="Arial" w:hAnsi="Arial"/>
                <w:sz w:val="13"/>
                <w:szCs w:val="13"/>
                <w:b w:val="1"/>
                <w:bCs w:val="1"/>
                <w:color w:val="FFFFFF"/>
              </w:rPr>
              <w:t>Name</w:t>
            </w:r>
          </w:p>
        </w:tc>
        <w:tc>
          <w:tcPr>
            <w:tcW w:w="7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9"/>
              </w:rPr>
              <w:t>Grant Date</w:t>
            </w:r>
          </w:p>
        </w:tc>
        <w:tc>
          <w:tcPr>
            <w:tcW w:w="40" w:type="dxa"/>
            <w:vAlign w:val="bottom"/>
            <w:shd w:val="clear" w:color="auto" w:fill="3C5896"/>
          </w:tcPr>
          <w:p>
            <w:pPr>
              <w:spacing w:after="0"/>
              <w:rPr>
                <w:sz w:val="17"/>
                <w:szCs w:val="17"/>
                <w:color w:val="auto"/>
              </w:rPr>
            </w:pPr>
          </w:p>
        </w:tc>
        <w:tc>
          <w:tcPr>
            <w:tcW w:w="740" w:type="dxa"/>
            <w:vAlign w:val="bottom"/>
            <w:shd w:val="clear" w:color="auto" w:fill="3C5896"/>
          </w:tcPr>
          <w:p>
            <w:pPr>
              <w:jc w:val="right"/>
              <w:ind w:right="258"/>
              <w:spacing w:after="0"/>
              <w:rPr>
                <w:sz w:val="20"/>
                <w:szCs w:val="20"/>
                <w:color w:val="auto"/>
              </w:rPr>
            </w:pPr>
            <w:r>
              <w:rPr>
                <w:rFonts w:ascii="Arial" w:cs="Arial" w:eastAsia="Arial" w:hAnsi="Arial"/>
                <w:sz w:val="13"/>
                <w:szCs w:val="13"/>
                <w:b w:val="1"/>
                <w:bCs w:val="1"/>
                <w:color w:val="FFFFFF"/>
              </w:rPr>
              <w:t>($)</w:t>
            </w:r>
          </w:p>
        </w:tc>
        <w:tc>
          <w:tcPr>
            <w:tcW w:w="20" w:type="dxa"/>
            <w:vAlign w:val="bottom"/>
            <w:shd w:val="clear" w:color="auto" w:fill="9EACCA"/>
          </w:tcPr>
          <w:p>
            <w:pPr>
              <w:spacing w:after="0"/>
              <w:rPr>
                <w:sz w:val="17"/>
                <w:szCs w:val="17"/>
                <w:color w:val="auto"/>
              </w:rPr>
            </w:pPr>
          </w:p>
        </w:tc>
        <w:tc>
          <w:tcPr>
            <w:tcW w:w="800" w:type="dxa"/>
            <w:vAlign w:val="bottom"/>
            <w:shd w:val="clear" w:color="auto" w:fill="3C5896"/>
          </w:tcPr>
          <w:p>
            <w:pPr>
              <w:jc w:val="right"/>
              <w:ind w:right="251"/>
              <w:spacing w:after="0"/>
              <w:rPr>
                <w:sz w:val="20"/>
                <w:szCs w:val="20"/>
                <w:color w:val="auto"/>
              </w:rPr>
            </w:pPr>
            <w:r>
              <w:rPr>
                <w:rFonts w:ascii="Arial" w:cs="Arial" w:eastAsia="Arial" w:hAnsi="Arial"/>
                <w:sz w:val="13"/>
                <w:szCs w:val="13"/>
                <w:b w:val="1"/>
                <w:bCs w:val="1"/>
                <w:color w:val="FFFFFF"/>
              </w:rPr>
              <w:t>($)</w:t>
            </w:r>
          </w:p>
        </w:tc>
        <w:tc>
          <w:tcPr>
            <w:tcW w:w="20" w:type="dxa"/>
            <w:vAlign w:val="bottom"/>
            <w:shd w:val="clear" w:color="auto" w:fill="9EACCA"/>
          </w:tcPr>
          <w:p>
            <w:pPr>
              <w:spacing w:after="0"/>
              <w:rPr>
                <w:sz w:val="17"/>
                <w:szCs w:val="17"/>
                <w:color w:val="auto"/>
              </w:rPr>
            </w:pPr>
          </w:p>
        </w:tc>
        <w:tc>
          <w:tcPr>
            <w:tcW w:w="900" w:type="dxa"/>
            <w:vAlign w:val="bottom"/>
            <w:tcBorders>
              <w:right w:val="single" w:sz="8" w:color="9EACCA"/>
            </w:tcBorders>
            <w:shd w:val="clear" w:color="auto" w:fill="3C5896"/>
          </w:tcPr>
          <w:p>
            <w:pPr>
              <w:jc w:val="right"/>
              <w:ind w:right="311"/>
              <w:spacing w:after="0"/>
              <w:rPr>
                <w:sz w:val="20"/>
                <w:szCs w:val="20"/>
                <w:color w:val="auto"/>
              </w:rPr>
            </w:pPr>
            <w:r>
              <w:rPr>
                <w:rFonts w:ascii="Arial" w:cs="Arial" w:eastAsia="Arial" w:hAnsi="Arial"/>
                <w:sz w:val="13"/>
                <w:szCs w:val="13"/>
                <w:b w:val="1"/>
                <w:bCs w:val="1"/>
                <w:color w:val="FFFFFF"/>
              </w:rPr>
              <w:t>($)</w:t>
            </w:r>
          </w:p>
        </w:tc>
        <w:tc>
          <w:tcPr>
            <w:tcW w:w="40" w:type="dxa"/>
            <w:vAlign w:val="bottom"/>
            <w:shd w:val="clear" w:color="auto" w:fill="3C5896"/>
          </w:tcPr>
          <w:p>
            <w:pPr>
              <w:spacing w:after="0"/>
              <w:rPr>
                <w:sz w:val="17"/>
                <w:szCs w:val="17"/>
                <w:color w:val="auto"/>
              </w:rPr>
            </w:pPr>
          </w:p>
        </w:tc>
        <w:tc>
          <w:tcPr>
            <w:tcW w:w="700" w:type="dxa"/>
            <w:vAlign w:val="bottom"/>
            <w:shd w:val="clear" w:color="auto" w:fill="3C5896"/>
          </w:tcPr>
          <w:p>
            <w:pPr>
              <w:ind w:left="260"/>
              <w:spacing w:after="0"/>
              <w:rPr>
                <w:sz w:val="20"/>
                <w:szCs w:val="20"/>
                <w:color w:val="auto"/>
              </w:rPr>
            </w:pPr>
            <w:r>
              <w:rPr>
                <w:rFonts w:ascii="Arial" w:cs="Arial" w:eastAsia="Arial" w:hAnsi="Arial"/>
                <w:sz w:val="13"/>
                <w:szCs w:val="13"/>
                <w:b w:val="1"/>
                <w:bCs w:val="1"/>
                <w:color w:val="FFFFFF"/>
              </w:rPr>
              <w:t>($)</w:t>
            </w:r>
          </w:p>
        </w:tc>
        <w:tc>
          <w:tcPr>
            <w:tcW w:w="20" w:type="dxa"/>
            <w:vAlign w:val="bottom"/>
            <w:shd w:val="clear" w:color="auto" w:fill="9EACCA"/>
          </w:tcPr>
          <w:p>
            <w:pPr>
              <w:spacing w:after="0"/>
              <w:rPr>
                <w:sz w:val="17"/>
                <w:szCs w:val="17"/>
                <w:color w:val="auto"/>
              </w:rPr>
            </w:pPr>
          </w:p>
        </w:tc>
        <w:tc>
          <w:tcPr>
            <w:tcW w:w="520" w:type="dxa"/>
            <w:vAlign w:val="bottom"/>
            <w:shd w:val="clear" w:color="auto" w:fill="3C5896"/>
          </w:tcPr>
          <w:p>
            <w:pPr>
              <w:jc w:val="right"/>
              <w:ind w:right="111"/>
              <w:spacing w:after="0"/>
              <w:rPr>
                <w:sz w:val="20"/>
                <w:szCs w:val="20"/>
                <w:color w:val="auto"/>
              </w:rPr>
            </w:pPr>
            <w:r>
              <w:rPr>
                <w:rFonts w:ascii="Arial" w:cs="Arial" w:eastAsia="Arial" w:hAnsi="Arial"/>
                <w:sz w:val="13"/>
                <w:szCs w:val="13"/>
                <w:b w:val="1"/>
                <w:bCs w:val="1"/>
                <w:color w:val="FFFFFF"/>
              </w:rPr>
              <w:t>($)</w:t>
            </w:r>
          </w:p>
        </w:tc>
        <w:tc>
          <w:tcPr>
            <w:tcW w:w="20" w:type="dxa"/>
            <w:vAlign w:val="bottom"/>
            <w:shd w:val="clear" w:color="auto" w:fill="9EACCA"/>
          </w:tcPr>
          <w:p>
            <w:pPr>
              <w:spacing w:after="0"/>
              <w:rPr>
                <w:sz w:val="17"/>
                <w:szCs w:val="17"/>
                <w:color w:val="auto"/>
              </w:rPr>
            </w:pPr>
          </w:p>
        </w:tc>
        <w:tc>
          <w:tcPr>
            <w:tcW w:w="760" w:type="dxa"/>
            <w:vAlign w:val="bottom"/>
            <w:tcBorders>
              <w:right w:val="single" w:sz="8" w:color="9EACCA"/>
            </w:tcBorders>
            <w:shd w:val="clear" w:color="auto" w:fill="3C5896"/>
          </w:tcPr>
          <w:p>
            <w:pPr>
              <w:ind w:left="300"/>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right w:val="single" w:sz="8" w:color="9EACCA"/>
            </w:tcBorders>
            <w:shd w:val="clear" w:color="auto" w:fill="3C5896"/>
          </w:tcPr>
          <w:p>
            <w:pPr>
              <w:ind w:left="300"/>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($/Sh)</w:t>
            </w:r>
          </w:p>
        </w:tc>
        <w:tc>
          <w:tcPr>
            <w:tcW w:w="800" w:type="dxa"/>
            <w:vAlign w:val="bottom"/>
            <w:tcBorders>
              <w:right w:val="single" w:sz="8" w:color="3C5896"/>
            </w:tcBorders>
            <w:shd w:val="clear" w:color="auto" w:fill="3C5896"/>
          </w:tcPr>
          <w:p>
            <w:pPr>
              <w:ind w:left="3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6"/>
        </w:trPr>
        <w:tc>
          <w:tcPr>
            <w:tcW w:w="15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L. Reade Fahs</w:t>
            </w:r>
          </w:p>
        </w:tc>
        <w:tc>
          <w:tcPr>
            <w:tcW w:w="7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78"/>
              <w:spacing w:after="0"/>
              <w:rPr>
                <w:sz w:val="20"/>
                <w:szCs w:val="20"/>
                <w:color w:val="auto"/>
              </w:rPr>
            </w:pPr>
            <w:r>
              <w:rPr>
                <w:rFonts w:ascii="Arial" w:cs="Arial" w:eastAsia="Arial" w:hAnsi="Arial"/>
                <w:sz w:val="14"/>
                <w:szCs w:val="14"/>
                <w:color w:val="auto"/>
              </w:rPr>
              <w:t>450,000</w:t>
            </w:r>
          </w:p>
        </w:tc>
        <w:tc>
          <w:tcPr>
            <w:tcW w:w="20" w:type="dxa"/>
            <w:vAlign w:val="bottom"/>
            <w:shd w:val="clear" w:color="auto" w:fill="9EACCA"/>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900,000</w:t>
            </w:r>
          </w:p>
        </w:tc>
        <w:tc>
          <w:tcPr>
            <w:tcW w:w="20" w:type="dxa"/>
            <w:vAlign w:val="bottom"/>
            <w:shd w:val="clear" w:color="auto" w:fill="9EACCA"/>
          </w:tcPr>
          <w:p>
            <w:pPr>
              <w:spacing w:after="0"/>
              <w:rPr>
                <w:sz w:val="18"/>
                <w:szCs w:val="18"/>
                <w:color w:val="auto"/>
              </w:rPr>
            </w:pPr>
          </w:p>
        </w:tc>
        <w:tc>
          <w:tcPr>
            <w:tcW w:w="90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1,530,000</w:t>
            </w:r>
          </w:p>
        </w:tc>
        <w:tc>
          <w:tcPr>
            <w:tcW w:w="4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760" w:type="dxa"/>
            <w:vAlign w:val="bottom"/>
            <w:tcBorders>
              <w:right w:val="single" w:sz="8" w:color="9EACCA"/>
            </w:tcBorders>
          </w:tcPr>
          <w:p>
            <w:pPr>
              <w:ind w:left="3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9EACCA"/>
            </w:tcBorders>
          </w:tcPr>
          <w:p>
            <w:pPr>
              <w:ind w:left="3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3C5896"/>
            </w:tcBorders>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Patrick R. Moore</w:t>
            </w:r>
          </w:p>
        </w:tc>
        <w:tc>
          <w:tcPr>
            <w:tcW w:w="7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CCCC"/>
          </w:tcPr>
          <w:p>
            <w:pPr>
              <w:jc w:val="right"/>
              <w:ind w:right="78"/>
              <w:spacing w:after="0"/>
              <w:rPr>
                <w:sz w:val="20"/>
                <w:szCs w:val="20"/>
                <w:color w:val="auto"/>
              </w:rPr>
            </w:pPr>
            <w:r>
              <w:rPr>
                <w:rFonts w:ascii="Arial" w:cs="Arial" w:eastAsia="Arial" w:hAnsi="Arial"/>
                <w:sz w:val="14"/>
                <w:szCs w:val="14"/>
                <w:color w:val="auto"/>
              </w:rPr>
              <w:t>105,481</w:t>
            </w:r>
          </w:p>
        </w:tc>
        <w:tc>
          <w:tcPr>
            <w:tcW w:w="20" w:type="dxa"/>
            <w:vAlign w:val="bottom"/>
            <w:shd w:val="clear" w:color="auto" w:fill="9EACCA"/>
          </w:tcPr>
          <w:p>
            <w:pPr>
              <w:spacing w:after="0"/>
              <w:rPr>
                <w:sz w:val="18"/>
                <w:szCs w:val="18"/>
                <w:color w:val="auto"/>
              </w:rPr>
            </w:pPr>
          </w:p>
        </w:tc>
        <w:tc>
          <w:tcPr>
            <w:tcW w:w="800" w:type="dxa"/>
            <w:vAlign w:val="bottom"/>
            <w:shd w:val="clear" w:color="auto" w:fill="CCCCCC"/>
          </w:tcPr>
          <w:p>
            <w:pPr>
              <w:jc w:val="right"/>
              <w:ind w:right="71"/>
              <w:spacing w:after="0"/>
              <w:rPr>
                <w:sz w:val="20"/>
                <w:szCs w:val="20"/>
                <w:color w:val="auto"/>
              </w:rPr>
            </w:pPr>
            <w:r>
              <w:rPr>
                <w:rFonts w:ascii="Arial" w:cs="Arial" w:eastAsia="Arial" w:hAnsi="Arial"/>
                <w:sz w:val="14"/>
                <w:szCs w:val="14"/>
                <w:color w:val="auto"/>
              </w:rPr>
              <w:t>210,962</w:t>
            </w:r>
          </w:p>
        </w:tc>
        <w:tc>
          <w:tcPr>
            <w:tcW w:w="20" w:type="dxa"/>
            <w:vAlign w:val="bottom"/>
            <w:shd w:val="clear" w:color="auto" w:fill="9EACCA"/>
          </w:tcPr>
          <w:p>
            <w:pPr>
              <w:spacing w:after="0"/>
              <w:rPr>
                <w:sz w:val="18"/>
                <w:szCs w:val="18"/>
                <w:color w:val="auto"/>
              </w:rPr>
            </w:pPr>
          </w:p>
        </w:tc>
        <w:tc>
          <w:tcPr>
            <w:tcW w:w="900" w:type="dxa"/>
            <w:vAlign w:val="bottom"/>
            <w:tcBorders>
              <w:right w:val="single" w:sz="8" w:color="9EACCA"/>
            </w:tcBorders>
            <w:shd w:val="clear" w:color="auto" w:fill="CCCCCC"/>
          </w:tcPr>
          <w:p>
            <w:pPr>
              <w:jc w:val="right"/>
              <w:ind w:right="71"/>
              <w:spacing w:after="0"/>
              <w:rPr>
                <w:sz w:val="20"/>
                <w:szCs w:val="20"/>
                <w:color w:val="auto"/>
              </w:rPr>
            </w:pPr>
            <w:r>
              <w:rPr>
                <w:rFonts w:ascii="Arial" w:cs="Arial" w:eastAsia="Arial" w:hAnsi="Arial"/>
                <w:sz w:val="14"/>
                <w:szCs w:val="14"/>
                <w:color w:val="auto"/>
              </w:rPr>
              <w:t>469,389</w:t>
            </w:r>
          </w:p>
        </w:tc>
        <w:tc>
          <w:tcPr>
            <w:tcW w:w="40" w:type="dxa"/>
            <w:vAlign w:val="bottom"/>
            <w:shd w:val="clear" w:color="auto" w:fill="CCCCCC"/>
          </w:tcPr>
          <w:p>
            <w:pPr>
              <w:spacing w:after="0"/>
              <w:rPr>
                <w:sz w:val="18"/>
                <w:szCs w:val="18"/>
                <w:color w:val="auto"/>
              </w:rPr>
            </w:pPr>
          </w:p>
        </w:tc>
        <w:tc>
          <w:tcPr>
            <w:tcW w:w="700" w:type="dxa"/>
            <w:vAlign w:val="bottom"/>
            <w:shd w:val="clear" w:color="auto" w:fill="CCCCCC"/>
          </w:tcPr>
          <w:p>
            <w:pPr>
              <w:ind w:lef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520" w:type="dxa"/>
            <w:vAlign w:val="bottom"/>
            <w:shd w:val="clear" w:color="auto" w:fill="CCCCCC"/>
          </w:tcPr>
          <w:p>
            <w:pPr>
              <w:jc w:val="right"/>
              <w:ind w:right="111"/>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760" w:type="dxa"/>
            <w:vAlign w:val="bottom"/>
            <w:tcBorders>
              <w:right w:val="single" w:sz="8" w:color="9EACCA"/>
            </w:tcBorders>
            <w:shd w:val="clear" w:color="auto" w:fill="CCCCCC"/>
          </w:tcPr>
          <w:p>
            <w:pPr>
              <w:ind w:left="3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9EACCA"/>
            </w:tcBorders>
            <w:shd w:val="clear" w:color="auto" w:fill="CCCCCC"/>
          </w:tcPr>
          <w:p>
            <w:pPr>
              <w:ind w:left="3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3C5896"/>
            </w:tcBorders>
            <w:shd w:val="clear" w:color="auto" w:fill="CCCCCC"/>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Jeff McAllister</w:t>
            </w:r>
          </w:p>
        </w:tc>
        <w:tc>
          <w:tcPr>
            <w:tcW w:w="7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ind w:right="78"/>
              <w:spacing w:after="0"/>
              <w:rPr>
                <w:sz w:val="20"/>
                <w:szCs w:val="20"/>
                <w:color w:val="auto"/>
              </w:rPr>
            </w:pPr>
            <w:r>
              <w:rPr>
                <w:rFonts w:ascii="Arial" w:cs="Arial" w:eastAsia="Arial" w:hAnsi="Arial"/>
                <w:sz w:val="14"/>
                <w:szCs w:val="14"/>
                <w:color w:val="auto"/>
              </w:rPr>
              <w:t>168,750</w:t>
            </w:r>
          </w:p>
        </w:tc>
        <w:tc>
          <w:tcPr>
            <w:tcW w:w="20" w:type="dxa"/>
            <w:vAlign w:val="bottom"/>
            <w:shd w:val="clear" w:color="auto" w:fill="9EACCA"/>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337,500</w:t>
            </w:r>
          </w:p>
        </w:tc>
        <w:tc>
          <w:tcPr>
            <w:tcW w:w="20" w:type="dxa"/>
            <w:vAlign w:val="bottom"/>
            <w:shd w:val="clear" w:color="auto" w:fill="9EACCA"/>
          </w:tcPr>
          <w:p>
            <w:pPr>
              <w:spacing w:after="0"/>
              <w:rPr>
                <w:sz w:val="18"/>
                <w:szCs w:val="18"/>
                <w:color w:val="auto"/>
              </w:rPr>
            </w:pPr>
          </w:p>
        </w:tc>
        <w:tc>
          <w:tcPr>
            <w:tcW w:w="90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731,250</w:t>
            </w:r>
          </w:p>
        </w:tc>
        <w:tc>
          <w:tcPr>
            <w:tcW w:w="4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760" w:type="dxa"/>
            <w:vAlign w:val="bottom"/>
            <w:tcBorders>
              <w:right w:val="single" w:sz="8" w:color="9EACCA"/>
            </w:tcBorders>
          </w:tcPr>
          <w:p>
            <w:pPr>
              <w:ind w:left="3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9EACCA"/>
            </w:tcBorders>
          </w:tcPr>
          <w:p>
            <w:pPr>
              <w:ind w:left="3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3C5896"/>
            </w:tcBorders>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Mitchell Goodman</w:t>
            </w:r>
          </w:p>
        </w:tc>
        <w:tc>
          <w:tcPr>
            <w:tcW w:w="7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CCCC"/>
          </w:tcPr>
          <w:p>
            <w:pPr>
              <w:jc w:val="right"/>
              <w:ind w:right="78"/>
              <w:spacing w:after="0"/>
              <w:rPr>
                <w:sz w:val="20"/>
                <w:szCs w:val="20"/>
                <w:color w:val="auto"/>
              </w:rPr>
            </w:pPr>
            <w:r>
              <w:rPr>
                <w:rFonts w:ascii="Arial" w:cs="Arial" w:eastAsia="Arial" w:hAnsi="Arial"/>
                <w:sz w:val="14"/>
                <w:szCs w:val="14"/>
                <w:color w:val="auto"/>
              </w:rPr>
              <w:t>90,241</w:t>
            </w:r>
          </w:p>
        </w:tc>
        <w:tc>
          <w:tcPr>
            <w:tcW w:w="20" w:type="dxa"/>
            <w:vAlign w:val="bottom"/>
            <w:shd w:val="clear" w:color="auto" w:fill="9EACCA"/>
          </w:tcPr>
          <w:p>
            <w:pPr>
              <w:spacing w:after="0"/>
              <w:rPr>
                <w:sz w:val="18"/>
                <w:szCs w:val="18"/>
                <w:color w:val="auto"/>
              </w:rPr>
            </w:pPr>
          </w:p>
        </w:tc>
        <w:tc>
          <w:tcPr>
            <w:tcW w:w="800" w:type="dxa"/>
            <w:vAlign w:val="bottom"/>
            <w:shd w:val="clear" w:color="auto" w:fill="CCCCCC"/>
          </w:tcPr>
          <w:p>
            <w:pPr>
              <w:jc w:val="right"/>
              <w:ind w:right="71"/>
              <w:spacing w:after="0"/>
              <w:rPr>
                <w:sz w:val="20"/>
                <w:szCs w:val="20"/>
                <w:color w:val="auto"/>
              </w:rPr>
            </w:pPr>
            <w:r>
              <w:rPr>
                <w:rFonts w:ascii="Arial" w:cs="Arial" w:eastAsia="Arial" w:hAnsi="Arial"/>
                <w:sz w:val="14"/>
                <w:szCs w:val="14"/>
                <w:color w:val="auto"/>
              </w:rPr>
              <w:t>180,481</w:t>
            </w:r>
          </w:p>
        </w:tc>
        <w:tc>
          <w:tcPr>
            <w:tcW w:w="20" w:type="dxa"/>
            <w:vAlign w:val="bottom"/>
            <w:shd w:val="clear" w:color="auto" w:fill="9EACCA"/>
          </w:tcPr>
          <w:p>
            <w:pPr>
              <w:spacing w:after="0"/>
              <w:rPr>
                <w:sz w:val="18"/>
                <w:szCs w:val="18"/>
                <w:color w:val="auto"/>
              </w:rPr>
            </w:pPr>
          </w:p>
        </w:tc>
        <w:tc>
          <w:tcPr>
            <w:tcW w:w="900" w:type="dxa"/>
            <w:vAlign w:val="bottom"/>
            <w:tcBorders>
              <w:right w:val="single" w:sz="8" w:color="9EACCA"/>
            </w:tcBorders>
            <w:shd w:val="clear" w:color="auto" w:fill="CCCCCC"/>
          </w:tcPr>
          <w:p>
            <w:pPr>
              <w:jc w:val="right"/>
              <w:ind w:right="71"/>
              <w:spacing w:after="0"/>
              <w:rPr>
                <w:sz w:val="20"/>
                <w:szCs w:val="20"/>
                <w:color w:val="auto"/>
              </w:rPr>
            </w:pPr>
            <w:r>
              <w:rPr>
                <w:rFonts w:ascii="Arial" w:cs="Arial" w:eastAsia="Arial" w:hAnsi="Arial"/>
                <w:sz w:val="14"/>
                <w:szCs w:val="14"/>
                <w:color w:val="auto"/>
              </w:rPr>
              <w:t>401,570</w:t>
            </w:r>
          </w:p>
        </w:tc>
        <w:tc>
          <w:tcPr>
            <w:tcW w:w="40" w:type="dxa"/>
            <w:vAlign w:val="bottom"/>
            <w:shd w:val="clear" w:color="auto" w:fill="CCCCCC"/>
          </w:tcPr>
          <w:p>
            <w:pPr>
              <w:spacing w:after="0"/>
              <w:rPr>
                <w:sz w:val="18"/>
                <w:szCs w:val="18"/>
                <w:color w:val="auto"/>
              </w:rPr>
            </w:pPr>
          </w:p>
        </w:tc>
        <w:tc>
          <w:tcPr>
            <w:tcW w:w="700" w:type="dxa"/>
            <w:vAlign w:val="bottom"/>
            <w:shd w:val="clear" w:color="auto" w:fill="CCCCCC"/>
          </w:tcPr>
          <w:p>
            <w:pPr>
              <w:ind w:lef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520" w:type="dxa"/>
            <w:vAlign w:val="bottom"/>
            <w:shd w:val="clear" w:color="auto" w:fill="CCCCCC"/>
          </w:tcPr>
          <w:p>
            <w:pPr>
              <w:jc w:val="right"/>
              <w:ind w:right="111"/>
              <w:spacing w:after="0"/>
              <w:rPr>
                <w:sz w:val="20"/>
                <w:szCs w:val="20"/>
                <w:color w:val="auto"/>
              </w:rPr>
            </w:pPr>
            <w:r>
              <w:rPr>
                <w:rFonts w:ascii="Arial" w:cs="Arial" w:eastAsia="Arial" w:hAnsi="Arial"/>
                <w:sz w:val="14"/>
                <w:szCs w:val="14"/>
                <w:color w:val="auto"/>
              </w:rPr>
              <w:t>—</w:t>
            </w:r>
          </w:p>
        </w:tc>
        <w:tc>
          <w:tcPr>
            <w:tcW w:w="20" w:type="dxa"/>
            <w:vAlign w:val="bottom"/>
            <w:shd w:val="clear" w:color="auto" w:fill="9EACCA"/>
          </w:tcPr>
          <w:p>
            <w:pPr>
              <w:spacing w:after="0"/>
              <w:rPr>
                <w:sz w:val="18"/>
                <w:szCs w:val="18"/>
                <w:color w:val="auto"/>
              </w:rPr>
            </w:pPr>
          </w:p>
        </w:tc>
        <w:tc>
          <w:tcPr>
            <w:tcW w:w="760" w:type="dxa"/>
            <w:vAlign w:val="bottom"/>
            <w:tcBorders>
              <w:right w:val="single" w:sz="8" w:color="9EACCA"/>
            </w:tcBorders>
            <w:shd w:val="clear" w:color="auto" w:fill="CCCCCC"/>
          </w:tcPr>
          <w:p>
            <w:pPr>
              <w:ind w:left="3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9EACCA"/>
            </w:tcBorders>
            <w:shd w:val="clear" w:color="auto" w:fill="CCCCCC"/>
          </w:tcPr>
          <w:p>
            <w:pPr>
              <w:ind w:left="3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3C5896"/>
            </w:tcBorders>
            <w:shd w:val="clear" w:color="auto" w:fill="CCCCCC"/>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60" w:type="dxa"/>
            <w:vAlign w:val="bottom"/>
            <w:tcBorders>
              <w:left w:val="single" w:sz="8" w:color="3C5896"/>
              <w:bottom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John Vaught</w:t>
            </w:r>
          </w:p>
        </w:tc>
        <w:tc>
          <w:tcPr>
            <w:tcW w:w="780" w:type="dxa"/>
            <w:vAlign w:val="bottom"/>
            <w:tcBorders>
              <w:bottom w:val="single" w:sz="8" w:color="3C5896"/>
              <w:right w:val="single" w:sz="8" w:color="9EACCA"/>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3C5896"/>
            </w:tcBorders>
            <w:gridSpan w:val="2"/>
          </w:tcPr>
          <w:p>
            <w:pPr>
              <w:jc w:val="right"/>
              <w:ind w:right="78"/>
              <w:spacing w:after="0"/>
              <w:rPr>
                <w:sz w:val="20"/>
                <w:szCs w:val="20"/>
                <w:color w:val="auto"/>
              </w:rPr>
            </w:pPr>
            <w:r>
              <w:rPr>
                <w:rFonts w:ascii="Arial" w:cs="Arial" w:eastAsia="Arial" w:hAnsi="Arial"/>
                <w:sz w:val="14"/>
                <w:szCs w:val="14"/>
                <w:color w:val="auto"/>
              </w:rPr>
              <w:t>48,819</w:t>
            </w:r>
          </w:p>
        </w:tc>
        <w:tc>
          <w:tcPr>
            <w:tcW w:w="20" w:type="dxa"/>
            <w:vAlign w:val="bottom"/>
            <w:tcBorders>
              <w:bottom w:val="single" w:sz="8" w:color="3C5896"/>
            </w:tcBorders>
            <w:shd w:val="clear" w:color="auto" w:fill="9EACCA"/>
          </w:tcPr>
          <w:p>
            <w:pPr>
              <w:spacing w:after="0"/>
              <w:rPr>
                <w:sz w:val="18"/>
                <w:szCs w:val="18"/>
                <w:color w:val="auto"/>
              </w:rPr>
            </w:pPr>
          </w:p>
        </w:tc>
        <w:tc>
          <w:tcPr>
            <w:tcW w:w="800" w:type="dxa"/>
            <w:vAlign w:val="bottom"/>
            <w:tcBorders>
              <w:bottom w:val="single" w:sz="8" w:color="3C5896"/>
            </w:tcBorders>
          </w:tcPr>
          <w:p>
            <w:pPr>
              <w:jc w:val="right"/>
              <w:ind w:right="71"/>
              <w:spacing w:after="0"/>
              <w:rPr>
                <w:sz w:val="20"/>
                <w:szCs w:val="20"/>
                <w:color w:val="auto"/>
              </w:rPr>
            </w:pPr>
            <w:r>
              <w:rPr>
                <w:rFonts w:ascii="Arial" w:cs="Arial" w:eastAsia="Arial" w:hAnsi="Arial"/>
                <w:sz w:val="14"/>
                <w:szCs w:val="14"/>
                <w:color w:val="auto"/>
              </w:rPr>
              <w:t>97,637</w:t>
            </w:r>
          </w:p>
        </w:tc>
        <w:tc>
          <w:tcPr>
            <w:tcW w:w="20" w:type="dxa"/>
            <w:vAlign w:val="bottom"/>
            <w:tcBorders>
              <w:bottom w:val="single" w:sz="8" w:color="3C5896"/>
            </w:tcBorders>
            <w:shd w:val="clear" w:color="auto" w:fill="9EACCA"/>
          </w:tcPr>
          <w:p>
            <w:pPr>
              <w:spacing w:after="0"/>
              <w:rPr>
                <w:sz w:val="18"/>
                <w:szCs w:val="18"/>
                <w:color w:val="auto"/>
              </w:rPr>
            </w:pPr>
          </w:p>
        </w:tc>
        <w:tc>
          <w:tcPr>
            <w:tcW w:w="900" w:type="dxa"/>
            <w:vAlign w:val="bottom"/>
            <w:tcBorders>
              <w:bottom w:val="single" w:sz="8" w:color="3C5896"/>
              <w:right w:val="single" w:sz="8" w:color="9EACCA"/>
            </w:tcBorders>
          </w:tcPr>
          <w:p>
            <w:pPr>
              <w:jc w:val="right"/>
              <w:ind w:right="71"/>
              <w:spacing w:after="0"/>
              <w:rPr>
                <w:sz w:val="20"/>
                <w:szCs w:val="20"/>
                <w:color w:val="auto"/>
              </w:rPr>
            </w:pPr>
            <w:r>
              <w:rPr>
                <w:rFonts w:ascii="Arial" w:cs="Arial" w:eastAsia="Arial" w:hAnsi="Arial"/>
                <w:sz w:val="14"/>
                <w:szCs w:val="14"/>
                <w:color w:val="auto"/>
              </w:rPr>
              <w:t>255,360</w:t>
            </w:r>
          </w:p>
        </w:tc>
        <w:tc>
          <w:tcPr>
            <w:tcW w:w="40" w:type="dxa"/>
            <w:vAlign w:val="bottom"/>
            <w:tcBorders>
              <w:bottom w:val="single" w:sz="8" w:color="3C5896"/>
            </w:tcBorders>
          </w:tcPr>
          <w:p>
            <w:pPr>
              <w:spacing w:after="0"/>
              <w:rPr>
                <w:sz w:val="18"/>
                <w:szCs w:val="18"/>
                <w:color w:val="auto"/>
              </w:rPr>
            </w:pPr>
          </w:p>
        </w:tc>
        <w:tc>
          <w:tcPr>
            <w:tcW w:w="700" w:type="dxa"/>
            <w:vAlign w:val="bottom"/>
            <w:tcBorders>
              <w:bottom w:val="single" w:sz="8" w:color="3C5896"/>
            </w:tcBorders>
          </w:tcPr>
          <w:p>
            <w:pPr>
              <w:ind w:left="2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3C5896"/>
            </w:tcBorders>
            <w:shd w:val="clear" w:color="auto" w:fill="9EACCA"/>
          </w:tcPr>
          <w:p>
            <w:pPr>
              <w:spacing w:after="0"/>
              <w:rPr>
                <w:sz w:val="18"/>
                <w:szCs w:val="18"/>
                <w:color w:val="auto"/>
              </w:rPr>
            </w:pPr>
          </w:p>
        </w:tc>
        <w:tc>
          <w:tcPr>
            <w:tcW w:w="520" w:type="dxa"/>
            <w:vAlign w:val="bottom"/>
            <w:tcBorders>
              <w:bottom w:val="single" w:sz="8" w:color="3C5896"/>
            </w:tcBorders>
          </w:tcPr>
          <w:p>
            <w:pPr>
              <w:jc w:val="right"/>
              <w:ind w:right="111"/>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3C5896"/>
            </w:tcBorders>
            <w:shd w:val="clear" w:color="auto" w:fill="9EACCA"/>
          </w:tcPr>
          <w:p>
            <w:pPr>
              <w:spacing w:after="0"/>
              <w:rPr>
                <w:sz w:val="18"/>
                <w:szCs w:val="18"/>
                <w:color w:val="auto"/>
              </w:rPr>
            </w:pPr>
          </w:p>
        </w:tc>
        <w:tc>
          <w:tcPr>
            <w:tcW w:w="760" w:type="dxa"/>
            <w:vAlign w:val="bottom"/>
            <w:tcBorders>
              <w:bottom w:val="single" w:sz="8" w:color="3C5896"/>
              <w:right w:val="single" w:sz="8" w:color="9EACCA"/>
            </w:tcBorders>
          </w:tcPr>
          <w:p>
            <w:pPr>
              <w:ind w:lef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C5896"/>
              <w:right w:val="single" w:sz="8" w:color="9EACCA"/>
            </w:tcBorders>
          </w:tcPr>
          <w:p>
            <w:pPr>
              <w:ind w:left="3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3C5896"/>
              <w:right w:val="single" w:sz="8" w:color="9EACCA"/>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3C5896"/>
              <w:right w:val="single" w:sz="8" w:color="3C5896"/>
            </w:tcBorders>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-951230</wp:posOffset>
            </wp:positionV>
            <wp:extent cx="28644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58" w:lineRule="exact"/>
        <w:rPr>
          <w:sz w:val="20"/>
          <w:szCs w:val="20"/>
          <w:color w:val="auto"/>
        </w:rPr>
      </w:pPr>
    </w:p>
    <w:p>
      <w:pPr>
        <w:ind w:left="1080" w:right="780" w:hanging="316"/>
        <w:spacing w:after="0" w:line="235"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Reflects the possible payouts of cash incentive compensation under the MIP. See “Compensation Discussion and Analysis-Compensation Elements-Management Incentive Plan” above for a description of the MIP. The actual amounts paid are described in the “Non-Equity Incentive Plan Compensation” column of the “Summary Compensation Table.”</w:t>
      </w:r>
    </w:p>
    <w:p>
      <w:pPr>
        <w:spacing w:after="0" w:line="176" w:lineRule="exact"/>
        <w:rPr>
          <w:sz w:val="20"/>
          <w:szCs w:val="20"/>
          <w:color w:val="auto"/>
        </w:rPr>
      </w:pPr>
    </w:p>
    <w:p>
      <w:pPr>
        <w:ind w:left="760" w:right="2900"/>
        <w:spacing w:after="0" w:line="388" w:lineRule="auto"/>
        <w:rPr>
          <w:sz w:val="20"/>
          <w:szCs w:val="20"/>
          <w:color w:val="auto"/>
        </w:rPr>
      </w:pPr>
      <w:r>
        <w:rPr>
          <w:rFonts w:ascii="Arial" w:cs="Arial" w:eastAsia="Arial" w:hAnsi="Arial"/>
          <w:sz w:val="18"/>
          <w:szCs w:val="18"/>
          <w:b w:val="1"/>
          <w:bCs w:val="1"/>
          <w:color w:val="auto"/>
        </w:rPr>
        <w:t xml:space="preserve">Narrative to Summary Compensation Table and 2018 Grants of Plan-Based Awards </w:t>
      </w:r>
      <w:r>
        <w:rPr>
          <w:rFonts w:ascii="Arial" w:cs="Arial" w:eastAsia="Arial" w:hAnsi="Arial"/>
          <w:sz w:val="18"/>
          <w:szCs w:val="18"/>
          <w:b w:val="1"/>
          <w:bCs w:val="1"/>
          <w:i w:val="1"/>
          <w:iCs w:val="1"/>
          <w:color w:val="auto"/>
        </w:rPr>
        <w:t>2014 Options</w:t>
      </w:r>
    </w:p>
    <w:p>
      <w:pPr>
        <w:spacing w:after="0" w:line="1" w:lineRule="exact"/>
        <w:rPr>
          <w:sz w:val="20"/>
          <w:szCs w:val="20"/>
          <w:color w:val="auto"/>
        </w:rPr>
      </w:pPr>
    </w:p>
    <w:p>
      <w:pPr>
        <w:ind w:left="760" w:right="800"/>
        <w:spacing w:after="0" w:line="253" w:lineRule="auto"/>
        <w:rPr>
          <w:sz w:val="20"/>
          <w:szCs w:val="20"/>
          <w:color w:val="auto"/>
        </w:rPr>
      </w:pPr>
      <w:r>
        <w:rPr>
          <w:rFonts w:ascii="Arial" w:cs="Arial" w:eastAsia="Arial" w:hAnsi="Arial"/>
          <w:sz w:val="18"/>
          <w:szCs w:val="18"/>
          <w:color w:val="auto"/>
        </w:rPr>
        <w:t>Each of our NEOs, except Mr. McAllister, received option grants in fiscal year 2014, which we refer to as the “2014 Options.” The 2014 Options consist of 40% time-based and 60% performance-based options. The time-based 2014 Options were eligible to vest as to 20% of the shares subject to such option on each anniversary of the closing date of our acquisition by affiliates of KKR. Accordingly, all of the shares subject to such time-based options vested and are exercisable as of March 13, 2019, the fifth anniversary of the closing date of our acquisition by affiliates of KKR.</w:t>
      </w:r>
    </w:p>
    <w:p>
      <w:pPr>
        <w:spacing w:after="0" w:line="97" w:lineRule="exact"/>
        <w:rPr>
          <w:sz w:val="20"/>
          <w:szCs w:val="20"/>
          <w:color w:val="auto"/>
        </w:rPr>
      </w:pPr>
    </w:p>
    <w:p>
      <w:pPr>
        <w:ind w:left="760" w:right="820"/>
        <w:spacing w:after="0" w:line="252" w:lineRule="auto"/>
        <w:rPr>
          <w:sz w:val="20"/>
          <w:szCs w:val="20"/>
          <w:color w:val="auto"/>
        </w:rPr>
      </w:pPr>
      <w:r>
        <w:rPr>
          <w:rFonts w:ascii="Arial" w:cs="Arial" w:eastAsia="Arial" w:hAnsi="Arial"/>
          <w:sz w:val="18"/>
          <w:szCs w:val="18"/>
          <w:color w:val="auto"/>
        </w:rPr>
        <w:t>The performance-based 2014 Options are eligible to vest upon (i) a change in control (as defined in our 2014 Stock Incentive Plan), (ii) extraordinary dividend payment(s), (iii) a sale of shares by affiliates of KKR into the public market or (iv) any other event or transaction (or series of events or transactions) wherein affiliates of KKR receive cash, on a cumulative basis, in respect of their shares, which we refer to as a “Realization Event.” Upon each date that a Realization Event occurs, a percentage of the performance-based options will vest if affiliates of KKR receive proceeds that result in the achievement of a cumulative internal rate of return equal to at least 20% and:</w:t>
      </w:r>
    </w:p>
    <w:p>
      <w:pPr>
        <w:spacing w:after="0" w:line="74" w:lineRule="exact"/>
        <w:rPr>
          <w:sz w:val="20"/>
          <w:szCs w:val="20"/>
          <w:color w:val="auto"/>
        </w:rPr>
      </w:pPr>
    </w:p>
    <w:p>
      <w:pPr>
        <w:ind w:left="1140" w:right="880" w:hanging="214"/>
        <w:spacing w:after="0" w:line="262" w:lineRule="auto"/>
        <w:tabs>
          <w:tab w:leader="none" w:pos="1140" w:val="left"/>
        </w:tabs>
        <w:numPr>
          <w:ilvl w:val="0"/>
          <w:numId w:val="19"/>
        </w:numPr>
        <w:rPr>
          <w:rFonts w:ascii="Arial" w:cs="Arial" w:eastAsia="Arial" w:hAnsi="Arial"/>
          <w:sz w:val="18"/>
          <w:szCs w:val="18"/>
          <w:color w:val="3C5896"/>
        </w:rPr>
      </w:pPr>
      <w:r>
        <w:rPr>
          <w:rFonts w:ascii="Arial" w:cs="Arial" w:eastAsia="Arial" w:hAnsi="Arial"/>
          <w:sz w:val="18"/>
          <w:szCs w:val="18"/>
          <w:color w:val="auto"/>
        </w:rPr>
        <w:t>If the multiple of invested capital (the “MOIC”), achieved is less than two times, no portion of the performance-based options will vest;</w:t>
      </w:r>
    </w:p>
    <w:p>
      <w:pPr>
        <w:spacing w:after="0" w:line="74" w:lineRule="exact"/>
        <w:rPr>
          <w:rFonts w:ascii="Arial" w:cs="Arial" w:eastAsia="Arial" w:hAnsi="Arial"/>
          <w:sz w:val="18"/>
          <w:szCs w:val="18"/>
          <w:color w:val="3C5896"/>
        </w:rPr>
      </w:pPr>
    </w:p>
    <w:p>
      <w:pPr>
        <w:ind w:left="1140" w:hanging="214"/>
        <w:spacing w:after="0"/>
        <w:tabs>
          <w:tab w:leader="none" w:pos="1140" w:val="left"/>
        </w:tabs>
        <w:numPr>
          <w:ilvl w:val="0"/>
          <w:numId w:val="19"/>
        </w:numPr>
        <w:rPr>
          <w:rFonts w:ascii="Arial" w:cs="Arial" w:eastAsia="Arial" w:hAnsi="Arial"/>
          <w:sz w:val="18"/>
          <w:szCs w:val="18"/>
          <w:color w:val="3C5896"/>
        </w:rPr>
      </w:pPr>
      <w:r>
        <w:rPr>
          <w:rFonts w:ascii="Arial" w:cs="Arial" w:eastAsia="Arial" w:hAnsi="Arial"/>
          <w:sz w:val="18"/>
          <w:szCs w:val="18"/>
          <w:color w:val="auto"/>
        </w:rPr>
        <w:t>If the MOIC achieved is equal to two times, then 25% of the performance-based options will vest; and</w:t>
      </w:r>
    </w:p>
    <w:p>
      <w:pPr>
        <w:spacing w:after="0" w:line="103" w:lineRule="exact"/>
        <w:rPr>
          <w:rFonts w:ascii="Arial" w:cs="Arial" w:eastAsia="Arial" w:hAnsi="Arial"/>
          <w:sz w:val="18"/>
          <w:szCs w:val="18"/>
          <w:color w:val="3C5896"/>
        </w:rPr>
      </w:pPr>
    </w:p>
    <w:p>
      <w:pPr>
        <w:ind w:left="1140" w:right="1040" w:hanging="214"/>
        <w:spacing w:after="0" w:line="254" w:lineRule="auto"/>
        <w:tabs>
          <w:tab w:leader="none" w:pos="1140" w:val="left"/>
        </w:tabs>
        <w:numPr>
          <w:ilvl w:val="0"/>
          <w:numId w:val="19"/>
        </w:numPr>
        <w:rPr>
          <w:rFonts w:ascii="Arial" w:cs="Arial" w:eastAsia="Arial" w:hAnsi="Arial"/>
          <w:sz w:val="18"/>
          <w:szCs w:val="18"/>
          <w:color w:val="3C5896"/>
        </w:rPr>
      </w:pPr>
      <w:r>
        <w:rPr>
          <w:rFonts w:ascii="Arial" w:cs="Arial" w:eastAsia="Arial" w:hAnsi="Arial"/>
          <w:sz w:val="18"/>
          <w:szCs w:val="18"/>
          <w:color w:val="auto"/>
        </w:rPr>
        <w:t>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w:t>
      </w:r>
    </w:p>
    <w:p>
      <w:pPr>
        <w:spacing w:after="0" w:line="96" w:lineRule="exact"/>
        <w:rPr>
          <w:sz w:val="20"/>
          <w:szCs w:val="20"/>
          <w:color w:val="auto"/>
        </w:rPr>
      </w:pPr>
    </w:p>
    <w:p>
      <w:pPr>
        <w:ind w:left="760" w:right="1320"/>
        <w:spacing w:after="0" w:line="256" w:lineRule="auto"/>
        <w:rPr>
          <w:sz w:val="20"/>
          <w:szCs w:val="20"/>
          <w:color w:val="auto"/>
        </w:rPr>
      </w:pPr>
      <w:r>
        <w:rPr>
          <w:rFonts w:ascii="Arial" w:cs="Arial" w:eastAsia="Arial" w:hAnsi="Arial"/>
          <w:sz w:val="18"/>
          <w:szCs w:val="18"/>
          <w:color w:val="auto"/>
        </w:rPr>
        <w:t>In July 2018 and November 2018, we conducted secondary offerings of our common stock pursuant to which Realization Events occurred and a portion of the performance-based 2014 Options became vested and exercisable.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Rollover Options</w:t>
      </w:r>
    </w:p>
    <w:p>
      <w:pPr>
        <w:spacing w:after="0" w:line="139" w:lineRule="exact"/>
        <w:rPr>
          <w:sz w:val="20"/>
          <w:szCs w:val="20"/>
          <w:color w:val="auto"/>
        </w:rPr>
      </w:pPr>
    </w:p>
    <w:p>
      <w:pPr>
        <w:ind w:left="760" w:right="840"/>
        <w:spacing w:after="0" w:line="253" w:lineRule="auto"/>
        <w:rPr>
          <w:sz w:val="20"/>
          <w:szCs w:val="20"/>
          <w:color w:val="auto"/>
        </w:rPr>
      </w:pPr>
      <w:r>
        <w:rPr>
          <w:rFonts w:ascii="Arial" w:cs="Arial" w:eastAsia="Arial" w:hAnsi="Arial"/>
          <w:sz w:val="18"/>
          <w:szCs w:val="18"/>
          <w:color w:val="auto"/>
        </w:rPr>
        <w:t>Mr. Vaught received “rollover options” in 2014 in connection with our acquisition by affiliates of KKR. The rollover options were fully vested as of their date of grant and generally remain outstanding in accordance with the terms of the governing stock incentive plans and grant agreements and a separate rollover option agreement entered into with Mr. Vaught (except the exercise price and number of shares underlying the rollover options were adjusted as a result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560070</wp:posOffset>
            </wp:positionV>
            <wp:extent cx="291465"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23</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McAllister 2017 Options</w:t>
      </w:r>
    </w:p>
    <w:p>
      <w:pPr>
        <w:spacing w:after="0" w:line="139" w:lineRule="exact"/>
        <w:rPr>
          <w:sz w:val="20"/>
          <w:szCs w:val="20"/>
          <w:color w:val="auto"/>
        </w:rPr>
      </w:pPr>
    </w:p>
    <w:p>
      <w:pPr>
        <w:ind w:left="760" w:right="519"/>
        <w:spacing w:after="0" w:line="252" w:lineRule="auto"/>
        <w:rPr>
          <w:sz w:val="20"/>
          <w:szCs w:val="20"/>
          <w:color w:val="auto"/>
        </w:rPr>
      </w:pPr>
      <w:r>
        <w:rPr>
          <w:rFonts w:ascii="Arial" w:cs="Arial" w:eastAsia="Arial" w:hAnsi="Arial"/>
          <w:sz w:val="18"/>
          <w:szCs w:val="18"/>
          <w:color w:val="auto"/>
        </w:rPr>
        <w:t>On August 14, 2017, in connection with his start of employment, our Board of Directors granted Mr. McAllister an option to purchase 362,317 shares of our common stock pursuant to our 2014 Stock Incentive Plan, with an exercise price of $15.74 per share (the “McAllister 2017 Options”). On February 1, 2019, in connection with his transition from the Chief Operating Officer position to become Special Advisor to the Board, we entered into a Transition Agreement with Mr. McAllister (the “Transition Agreement”). Pursuant to the terms of the Transition Agreement, the vesting terms of the remaining McAllister 2017 Options were modified as follows:</w:t>
      </w:r>
    </w:p>
    <w:p>
      <w:pPr>
        <w:spacing w:after="0" w:line="74" w:lineRule="exact"/>
        <w:rPr>
          <w:sz w:val="20"/>
          <w:szCs w:val="20"/>
          <w:color w:val="auto"/>
        </w:rPr>
      </w:pPr>
    </w:p>
    <w:p>
      <w:pPr>
        <w:ind w:left="1140" w:right="279" w:hanging="214"/>
        <w:spacing w:after="0" w:line="254" w:lineRule="auto"/>
        <w:tabs>
          <w:tab w:leader="none" w:pos="1140" w:val="left"/>
        </w:tabs>
        <w:numPr>
          <w:ilvl w:val="0"/>
          <w:numId w:val="20"/>
        </w:numPr>
        <w:rPr>
          <w:rFonts w:ascii="Arial" w:cs="Arial" w:eastAsia="Arial" w:hAnsi="Arial"/>
          <w:sz w:val="18"/>
          <w:szCs w:val="18"/>
          <w:color w:val="3C5896"/>
        </w:rPr>
      </w:pPr>
      <w:r>
        <w:rPr>
          <w:rFonts w:ascii="Arial" w:cs="Arial" w:eastAsia="Arial" w:hAnsi="Arial"/>
          <w:sz w:val="18"/>
          <w:szCs w:val="18"/>
          <w:color w:val="auto"/>
        </w:rPr>
        <w:t>The time-based options continue to vest as to 20% of the shares subject to such option on each anniversary of the grant date, except that, with respect to the 28,985 time-based options scheduled to vest on August 14, 2021, such options will instead vest on December 31, 2021, subject to Mr. McAllister continuing to be employed through December 31, 2020.</w:t>
      </w:r>
    </w:p>
    <w:p>
      <w:pPr>
        <w:spacing w:after="0" w:line="82" w:lineRule="exact"/>
        <w:rPr>
          <w:rFonts w:ascii="Arial" w:cs="Arial" w:eastAsia="Arial" w:hAnsi="Arial"/>
          <w:sz w:val="18"/>
          <w:szCs w:val="18"/>
          <w:color w:val="3C5896"/>
        </w:rPr>
      </w:pPr>
    </w:p>
    <w:p>
      <w:pPr>
        <w:ind w:left="1140" w:right="359" w:hanging="214"/>
        <w:spacing w:after="0" w:line="256" w:lineRule="auto"/>
        <w:tabs>
          <w:tab w:leader="none" w:pos="1140" w:val="left"/>
        </w:tabs>
        <w:numPr>
          <w:ilvl w:val="0"/>
          <w:numId w:val="20"/>
        </w:numPr>
        <w:rPr>
          <w:rFonts w:ascii="Arial" w:cs="Arial" w:eastAsia="Arial" w:hAnsi="Arial"/>
          <w:sz w:val="18"/>
          <w:szCs w:val="18"/>
          <w:color w:val="3C5896"/>
        </w:rPr>
      </w:pPr>
      <w:r>
        <w:rPr>
          <w:rFonts w:ascii="Arial" w:cs="Arial" w:eastAsia="Arial" w:hAnsi="Arial"/>
          <w:sz w:val="18"/>
          <w:szCs w:val="18"/>
          <w:color w:val="auto"/>
        </w:rPr>
        <w:t>With respect to the 43,478 performance-based options that were scheduled to vest based on actual performance through December 31, 2018, such performance-based options vested as of December 31, 2018, based on actual performance.</w:t>
      </w:r>
    </w:p>
    <w:p>
      <w:pPr>
        <w:spacing w:after="0" w:line="80" w:lineRule="exact"/>
        <w:rPr>
          <w:rFonts w:ascii="Arial" w:cs="Arial" w:eastAsia="Arial" w:hAnsi="Arial"/>
          <w:sz w:val="18"/>
          <w:szCs w:val="18"/>
          <w:color w:val="3C5896"/>
        </w:rPr>
      </w:pPr>
    </w:p>
    <w:p>
      <w:pPr>
        <w:ind w:left="1140" w:right="259" w:hanging="214"/>
        <w:spacing w:after="0" w:line="254" w:lineRule="auto"/>
        <w:tabs>
          <w:tab w:leader="none" w:pos="1140" w:val="left"/>
        </w:tabs>
        <w:numPr>
          <w:ilvl w:val="0"/>
          <w:numId w:val="20"/>
        </w:numPr>
        <w:rPr>
          <w:rFonts w:ascii="Arial" w:cs="Arial" w:eastAsia="Arial" w:hAnsi="Arial"/>
          <w:sz w:val="18"/>
          <w:szCs w:val="18"/>
          <w:color w:val="3C5896"/>
        </w:rPr>
      </w:pPr>
      <w:r>
        <w:rPr>
          <w:rFonts w:ascii="Arial" w:cs="Arial" w:eastAsia="Arial" w:hAnsi="Arial"/>
          <w:sz w:val="18"/>
          <w:szCs w:val="18"/>
          <w:color w:val="auto"/>
        </w:rPr>
        <w:t>With respect to the two tranches of 43,478 performance-based options - the first scheduled to vest on December 31, 2019 and the second scheduled to vest on December 31, 2020 - such options will vest on the aforementioned dates regardless of performance so long as Mr. McAllister is employed by the Company on the applicable vesting date.</w:t>
      </w:r>
    </w:p>
    <w:p>
      <w:pPr>
        <w:spacing w:after="0" w:line="96" w:lineRule="exact"/>
        <w:rPr>
          <w:sz w:val="20"/>
          <w:szCs w:val="20"/>
          <w:color w:val="auto"/>
        </w:rPr>
      </w:pPr>
    </w:p>
    <w:p>
      <w:pPr>
        <w:ind w:left="760" w:right="339"/>
        <w:spacing w:after="0" w:line="271" w:lineRule="auto"/>
        <w:rPr>
          <w:sz w:val="20"/>
          <w:szCs w:val="20"/>
          <w:color w:val="auto"/>
        </w:rPr>
      </w:pPr>
      <w:r>
        <w:rPr>
          <w:rFonts w:ascii="Arial" w:cs="Arial" w:eastAsia="Arial" w:hAnsi="Arial"/>
          <w:sz w:val="17"/>
          <w:szCs w:val="17"/>
          <w:color w:val="auto"/>
        </w:rPr>
        <w:t>In the event that Mr. McAllister terminates his employment during the period from January 10, 2019 through December 31, 2020 (the “Transition Period”) for any reason (other than when grounds for “cause” exist), the McAllister 2017 Options will continue to vest as if no such termination of employment had taken place (subject only to Mr. McAllister’s continued compliance with the Restrictive Covenant Agreement, as defined in the Transition Agreement). The time-based and performance-based McAllister 2017 Options fully vest upon a change in control.</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2017 Post-IPO Options</w:t>
      </w:r>
    </w:p>
    <w:p>
      <w:pPr>
        <w:spacing w:after="0" w:line="139" w:lineRule="exact"/>
        <w:rPr>
          <w:sz w:val="20"/>
          <w:szCs w:val="20"/>
          <w:color w:val="auto"/>
        </w:rPr>
      </w:pPr>
    </w:p>
    <w:p>
      <w:pPr>
        <w:ind w:left="760" w:right="319"/>
        <w:spacing w:after="0" w:line="253" w:lineRule="auto"/>
        <w:rPr>
          <w:sz w:val="20"/>
          <w:szCs w:val="20"/>
          <w:color w:val="auto"/>
        </w:rPr>
      </w:pPr>
      <w:r>
        <w:rPr>
          <w:rFonts w:ascii="Arial" w:cs="Arial" w:eastAsia="Arial" w:hAnsi="Arial"/>
          <w:sz w:val="18"/>
          <w:szCs w:val="18"/>
          <w:color w:val="auto"/>
        </w:rPr>
        <w:t>In connection with our IPO, on October 25, 2017, our Board of Directors granted Mr. Moore a time-based option to purchase 92,443 shares of our common stock pursuant to our 2017 Omnibus Incentive Plan, with an exercise price of $22.00 per share (the “2017 Post-IPO Options”). The 2017 Post-IPO Options vest in three substantially equal installments on each of the first, second and third anniversaries of the grant date, subject to continued employment through the applicable vesting date.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Management Stockholder’s Agreement</w:t>
      </w:r>
    </w:p>
    <w:p>
      <w:pPr>
        <w:spacing w:after="0" w:line="139" w:lineRule="exact"/>
        <w:rPr>
          <w:sz w:val="20"/>
          <w:szCs w:val="20"/>
          <w:color w:val="auto"/>
        </w:rPr>
      </w:pPr>
    </w:p>
    <w:p>
      <w:pPr>
        <w:ind w:left="760" w:right="359"/>
        <w:spacing w:after="0" w:line="270" w:lineRule="auto"/>
        <w:rPr>
          <w:sz w:val="20"/>
          <w:szCs w:val="20"/>
          <w:color w:val="auto"/>
        </w:rPr>
      </w:pPr>
      <w:r>
        <w:rPr>
          <w:rFonts w:ascii="Arial" w:cs="Arial" w:eastAsia="Arial" w:hAnsi="Arial"/>
          <w:sz w:val="17"/>
          <w:szCs w:val="17"/>
          <w:color w:val="auto"/>
        </w:rPr>
        <w:t>Each of our NEOs is party to a Management Stockholder’s Agreement with us. The Management Stockholder’s Agreement, along with an Option Agreement and, with respect to Mr. Vaught, an Option Rollover Agreement, generally govern each NEO’s rights with respect to shares of common stock of the Company held by such NEO prior to our IPO, including such NEO’s stock options, and, with respect to Mr. Vaught, his rollover options, and contain certain rights and obligations of the parties thereto with respect to vesting, transfer restrictions, put and call rights, tag-along rights, drag-along rights, registration rights and rights of first refusal, and certain other matters.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Put Rights</w:t>
      </w:r>
    </w:p>
    <w:p>
      <w:pPr>
        <w:spacing w:after="0" w:line="139" w:lineRule="exact"/>
        <w:rPr>
          <w:sz w:val="20"/>
          <w:szCs w:val="20"/>
          <w:color w:val="auto"/>
        </w:rPr>
      </w:pPr>
    </w:p>
    <w:p>
      <w:pPr>
        <w:ind w:left="760" w:right="279"/>
        <w:spacing w:after="0" w:line="252" w:lineRule="auto"/>
        <w:rPr>
          <w:sz w:val="20"/>
          <w:szCs w:val="20"/>
          <w:color w:val="auto"/>
        </w:rPr>
      </w:pPr>
      <w:r>
        <w:rPr>
          <w:rFonts w:ascii="Arial" w:cs="Arial" w:eastAsia="Arial" w:hAnsi="Arial"/>
          <w:sz w:val="18"/>
          <w:szCs w:val="18"/>
          <w:color w:val="auto"/>
        </w:rPr>
        <w:t>The 2014 Options and the McAllister 2017 Options (collectively, the “Pre-IPO Options”) are subject to certain put and call rights pursuant to the Management Stockholder’s Agreements. Specifically, prior to a change of control (as defined in the Management Stockholder’s Agreement), if an NEO’s employment is terminated as a result of death or disability, then such NEO has a right, subject to specified limitations and for a specified period following such termination, to cause the Company to repurchase all or any vested Pre-IPO Options for an amount equal to the product of (x) the excess, if any, of fair market value on the repurchase calculation date (as defined in the Management Stockholder’s Agreement) of a share underlying the option over the exercise price and (y) the number of options. We refer to this calculation as the “Option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24  </w:t>
      </w:r>
      <w:r>
        <w:rPr>
          <w:sz w:val="1"/>
          <w:szCs w:val="1"/>
          <w:color w:val="auto"/>
        </w:rPr>
        <w:drawing>
          <wp:inline distT="0" distB="0" distL="0" distR="0">
            <wp:extent cx="291465" cy="22288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FFFFFF"/>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Call Rights Regarding the NEOs’ Vested Pre-IPO Options</w:t>
      </w:r>
    </w:p>
    <w:p>
      <w:pPr>
        <w:spacing w:after="0" w:line="139" w:lineRule="exact"/>
        <w:rPr>
          <w:sz w:val="20"/>
          <w:szCs w:val="20"/>
          <w:color w:val="auto"/>
        </w:rPr>
      </w:pPr>
    </w:p>
    <w:p>
      <w:pPr>
        <w:ind w:left="760" w:right="820"/>
        <w:spacing w:after="0" w:line="254" w:lineRule="auto"/>
        <w:rPr>
          <w:sz w:val="20"/>
          <w:szCs w:val="20"/>
          <w:color w:val="auto"/>
        </w:rPr>
      </w:pPr>
      <w:r>
        <w:rPr>
          <w:rFonts w:ascii="Arial" w:cs="Arial" w:eastAsia="Arial" w:hAnsi="Arial"/>
          <w:sz w:val="18"/>
          <w:szCs w:val="18"/>
          <w:color w:val="auto"/>
        </w:rPr>
        <w:t>Prior to a change of control, if an NEO’s employment is terminated for any reason, or in the event of a breach by an NEO of the Management Stockholder’s Agreement, including a restrictive covenant violation, the Company has the right, for a specified period following the termination of such NEO’s employment, to purchase all of such NEO’s vested options as follows:</w:t>
      </w:r>
    </w:p>
    <w:p>
      <w:pPr>
        <w:spacing w:after="0" w:line="124" w:lineRule="exact"/>
        <w:rPr>
          <w:sz w:val="20"/>
          <w:szCs w:val="20"/>
          <w:color w:val="auto"/>
        </w:rPr>
      </w:pPr>
    </w:p>
    <w:tbl>
      <w:tblPr>
        <w:tblLayout w:type="fixed"/>
        <w:tblInd w:w="770" w:type="dxa"/>
        <w:tblCellMar>
          <w:top w:w="0" w:type="dxa"/>
          <w:left w:w="0" w:type="dxa"/>
          <w:bottom w:w="0" w:type="dxa"/>
          <w:right w:w="0" w:type="dxa"/>
        </w:tblCellMar>
      </w:tblPr>
      <w:tr>
        <w:trPr>
          <w:trHeight w:val="265"/>
        </w:trPr>
        <w:tc>
          <w:tcPr>
            <w:tcW w:w="5420" w:type="dxa"/>
            <w:vAlign w:val="bottom"/>
            <w:tcBorders>
              <w:left w:val="single" w:sz="8" w:color="3C5896"/>
              <w:bottom w:val="single" w:sz="8" w:color="auto"/>
              <w:right w:val="single" w:sz="8" w:color="9EACCA"/>
            </w:tcBorders>
            <w:shd w:val="clear" w:color="auto" w:fill="3C5896"/>
          </w:tcPr>
          <w:p>
            <w:pPr>
              <w:ind w:left="2000"/>
              <w:spacing w:after="0"/>
              <w:rPr>
                <w:sz w:val="20"/>
                <w:szCs w:val="20"/>
                <w:color w:val="auto"/>
              </w:rPr>
            </w:pPr>
            <w:r>
              <w:rPr>
                <w:rFonts w:ascii="Arial" w:cs="Arial" w:eastAsia="Arial" w:hAnsi="Arial"/>
                <w:sz w:val="18"/>
                <w:szCs w:val="18"/>
                <w:b w:val="1"/>
                <w:bCs w:val="1"/>
                <w:color w:val="FFFFFF"/>
              </w:rPr>
              <w:t>Triggering Event</w:t>
            </w:r>
          </w:p>
        </w:tc>
        <w:tc>
          <w:tcPr>
            <w:tcW w:w="3780" w:type="dxa"/>
            <w:vAlign w:val="bottom"/>
            <w:tcBorders>
              <w:bottom w:val="single" w:sz="8" w:color="auto"/>
              <w:right w:val="single" w:sz="8" w:color="3C5896"/>
            </w:tcBorders>
            <w:shd w:val="clear" w:color="auto" w:fill="3C5896"/>
          </w:tcPr>
          <w:p>
            <w:pPr>
              <w:ind w:left="1480"/>
              <w:spacing w:after="0"/>
              <w:rPr>
                <w:sz w:val="20"/>
                <w:szCs w:val="20"/>
                <w:color w:val="auto"/>
              </w:rPr>
            </w:pPr>
            <w:r>
              <w:rPr>
                <w:rFonts w:ascii="Arial" w:cs="Arial" w:eastAsia="Arial" w:hAnsi="Arial"/>
                <w:sz w:val="18"/>
                <w:szCs w:val="18"/>
                <w:b w:val="1"/>
                <w:bCs w:val="1"/>
                <w:color w:val="FFFFFF"/>
              </w:rPr>
              <w:t>Call Price</w:t>
            </w:r>
          </w:p>
        </w:tc>
      </w:tr>
      <w:tr>
        <w:trPr>
          <w:trHeight w:val="256"/>
        </w:trPr>
        <w:tc>
          <w:tcPr>
            <w:tcW w:w="54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Death or Disability</w:t>
            </w:r>
          </w:p>
        </w:tc>
        <w:tc>
          <w:tcPr>
            <w:tcW w:w="3780" w:type="dxa"/>
            <w:vAlign w:val="bottom"/>
            <w:tcBorders>
              <w:right w:val="single" w:sz="8" w:color="3C5896"/>
            </w:tcBorders>
          </w:tcPr>
          <w:p>
            <w:pPr>
              <w:ind w:left="60"/>
              <w:spacing w:after="0"/>
              <w:rPr>
                <w:sz w:val="20"/>
                <w:szCs w:val="20"/>
                <w:color w:val="auto"/>
              </w:rPr>
            </w:pPr>
            <w:r>
              <w:rPr>
                <w:rFonts w:ascii="Arial" w:cs="Arial" w:eastAsia="Arial" w:hAnsi="Arial"/>
                <w:sz w:val="18"/>
                <w:szCs w:val="18"/>
                <w:color w:val="auto"/>
              </w:rPr>
              <w:t>Option Formula</w:t>
            </w:r>
          </w:p>
        </w:tc>
      </w:tr>
      <w:tr>
        <w:trPr>
          <w:trHeight w:val="257"/>
        </w:trPr>
        <w:tc>
          <w:tcPr>
            <w:tcW w:w="54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Termination for Cause</w:t>
            </w:r>
          </w:p>
        </w:tc>
        <w:tc>
          <w:tcPr>
            <w:tcW w:w="3780" w:type="dxa"/>
            <w:vAlign w:val="bottom"/>
            <w:tcBorders>
              <w:right w:val="single" w:sz="8" w:color="3C5896"/>
            </w:tcBorders>
            <w:shd w:val="clear" w:color="auto" w:fill="CCCCCC"/>
          </w:tcPr>
          <w:p>
            <w:pPr>
              <w:ind w:left="60"/>
              <w:spacing w:after="0"/>
              <w:rPr>
                <w:sz w:val="20"/>
                <w:szCs w:val="20"/>
                <w:color w:val="auto"/>
              </w:rPr>
            </w:pPr>
            <w:r>
              <w:rPr>
                <w:rFonts w:ascii="Arial" w:cs="Arial" w:eastAsia="Arial" w:hAnsi="Arial"/>
                <w:sz w:val="18"/>
                <w:szCs w:val="18"/>
                <w:color w:val="auto"/>
              </w:rPr>
              <w:t>Options are terminated without payment</w:t>
            </w:r>
          </w:p>
        </w:tc>
      </w:tr>
      <w:tr>
        <w:trPr>
          <w:trHeight w:val="257"/>
        </w:trPr>
        <w:tc>
          <w:tcPr>
            <w:tcW w:w="54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Termination Without Cause or for Good Reason</w:t>
            </w:r>
          </w:p>
        </w:tc>
        <w:tc>
          <w:tcPr>
            <w:tcW w:w="3780" w:type="dxa"/>
            <w:vAlign w:val="bottom"/>
            <w:tcBorders>
              <w:right w:val="single" w:sz="8" w:color="3C5896"/>
            </w:tcBorders>
          </w:tcPr>
          <w:p>
            <w:pPr>
              <w:ind w:left="60"/>
              <w:spacing w:after="0"/>
              <w:rPr>
                <w:sz w:val="20"/>
                <w:szCs w:val="20"/>
                <w:color w:val="auto"/>
              </w:rPr>
            </w:pPr>
            <w:r>
              <w:rPr>
                <w:rFonts w:ascii="Arial" w:cs="Arial" w:eastAsia="Arial" w:hAnsi="Arial"/>
                <w:sz w:val="18"/>
                <w:szCs w:val="18"/>
                <w:color w:val="auto"/>
              </w:rPr>
              <w:t>Option Formula</w:t>
            </w:r>
          </w:p>
        </w:tc>
      </w:tr>
      <w:tr>
        <w:trPr>
          <w:trHeight w:val="215"/>
        </w:trPr>
        <w:tc>
          <w:tcPr>
            <w:tcW w:w="54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Termination Without Good Reason (other than due to death or</w:t>
            </w:r>
          </w:p>
        </w:tc>
        <w:tc>
          <w:tcPr>
            <w:tcW w:w="3780" w:type="dxa"/>
            <w:vAlign w:val="bottom"/>
            <w:tcBorders>
              <w:right w:val="single" w:sz="8" w:color="3C5896"/>
            </w:tcBorders>
            <w:shd w:val="clear" w:color="auto" w:fill="CCCCCC"/>
          </w:tcPr>
          <w:p>
            <w:pPr>
              <w:spacing w:after="0"/>
              <w:rPr>
                <w:sz w:val="18"/>
                <w:szCs w:val="18"/>
                <w:color w:val="auto"/>
              </w:rPr>
            </w:pPr>
          </w:p>
        </w:tc>
      </w:tr>
      <w:tr>
        <w:trPr>
          <w:trHeight w:val="217"/>
        </w:trPr>
        <w:tc>
          <w:tcPr>
            <w:tcW w:w="5420" w:type="dxa"/>
            <w:vAlign w:val="bottom"/>
            <w:tcBorders>
              <w:left w:val="single" w:sz="8" w:color="3C5896"/>
              <w:right w:val="single" w:sz="8" w:color="9EACCA"/>
            </w:tcBorders>
            <w:shd w:val="clear" w:color="auto" w:fill="CCCCCC"/>
          </w:tcPr>
          <w:p>
            <w:pPr>
              <w:ind w:left="220"/>
              <w:spacing w:after="0"/>
              <w:rPr>
                <w:sz w:val="20"/>
                <w:szCs w:val="20"/>
                <w:color w:val="auto"/>
              </w:rPr>
            </w:pPr>
            <w:r>
              <w:rPr>
                <w:rFonts w:ascii="Arial" w:cs="Arial" w:eastAsia="Arial" w:hAnsi="Arial"/>
                <w:sz w:val="18"/>
                <w:szCs w:val="18"/>
                <w:color w:val="auto"/>
              </w:rPr>
              <w:t>Disability)</w:t>
            </w:r>
          </w:p>
        </w:tc>
        <w:tc>
          <w:tcPr>
            <w:tcW w:w="3780" w:type="dxa"/>
            <w:vAlign w:val="bottom"/>
            <w:tcBorders>
              <w:right w:val="single" w:sz="8" w:color="3C5896"/>
            </w:tcBorders>
            <w:shd w:val="clear" w:color="auto" w:fill="CCCCCC"/>
          </w:tcPr>
          <w:p>
            <w:pPr>
              <w:ind w:left="60"/>
              <w:spacing w:after="0"/>
              <w:rPr>
                <w:sz w:val="20"/>
                <w:szCs w:val="20"/>
                <w:color w:val="auto"/>
              </w:rPr>
            </w:pPr>
            <w:r>
              <w:rPr>
                <w:rFonts w:ascii="Arial" w:cs="Arial" w:eastAsia="Arial" w:hAnsi="Arial"/>
                <w:sz w:val="18"/>
                <w:szCs w:val="18"/>
                <w:color w:val="auto"/>
              </w:rPr>
              <w:t>Option Formula</w:t>
            </w:r>
          </w:p>
        </w:tc>
      </w:tr>
      <w:tr>
        <w:trPr>
          <w:trHeight w:val="257"/>
        </w:trPr>
        <w:tc>
          <w:tcPr>
            <w:tcW w:w="542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Material Breach of Management Stockholder’s Agreement</w:t>
            </w:r>
          </w:p>
        </w:tc>
        <w:tc>
          <w:tcPr>
            <w:tcW w:w="3780" w:type="dxa"/>
            <w:vAlign w:val="bottom"/>
            <w:tcBorders>
              <w:bottom w:val="single" w:sz="8" w:color="3C5896"/>
              <w:right w:val="single" w:sz="8" w:color="3C5896"/>
            </w:tcBorders>
          </w:tcPr>
          <w:p>
            <w:pPr>
              <w:ind w:left="60"/>
              <w:spacing w:after="0"/>
              <w:rPr>
                <w:sz w:val="20"/>
                <w:szCs w:val="20"/>
                <w:color w:val="auto"/>
              </w:rPr>
            </w:pPr>
            <w:r>
              <w:rPr>
                <w:rFonts w:ascii="Arial" w:cs="Arial" w:eastAsia="Arial" w:hAnsi="Arial"/>
                <w:sz w:val="18"/>
                <w:szCs w:val="18"/>
                <w:color w:val="auto"/>
              </w:rPr>
              <w:t>Options are terminated without payment</w:t>
            </w:r>
          </w:p>
        </w:tc>
      </w:tr>
    </w:tbl>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Call Rights Regarding Mr. Vaught’s Rollover Options</w:t>
      </w:r>
    </w:p>
    <w:p>
      <w:pPr>
        <w:spacing w:after="0" w:line="139" w:lineRule="exact"/>
        <w:rPr>
          <w:sz w:val="20"/>
          <w:szCs w:val="20"/>
          <w:color w:val="auto"/>
        </w:rPr>
      </w:pPr>
    </w:p>
    <w:p>
      <w:pPr>
        <w:ind w:left="760" w:right="840"/>
        <w:spacing w:after="0" w:line="254" w:lineRule="auto"/>
        <w:rPr>
          <w:sz w:val="20"/>
          <w:szCs w:val="20"/>
          <w:color w:val="auto"/>
        </w:rPr>
      </w:pPr>
      <w:r>
        <w:rPr>
          <w:rFonts w:ascii="Arial" w:cs="Arial" w:eastAsia="Arial" w:hAnsi="Arial"/>
          <w:sz w:val="18"/>
          <w:szCs w:val="18"/>
          <w:color w:val="auto"/>
        </w:rPr>
        <w:t>Prior to a change of control, if Mr. Vaught’s employment is terminated for any reason, or in the event of a breach by Mr. Vaught of the Management Stockholder’s Agreement, including a restrictive covenant violation, the Company has the right, for a specified period following the termination of such NEO’s employment, to purchase all of Mr. Vaught’s vested rollover options as follows:</w:t>
      </w:r>
    </w:p>
    <w:p>
      <w:pPr>
        <w:spacing w:after="0" w:line="138" w:lineRule="exact"/>
        <w:rPr>
          <w:sz w:val="20"/>
          <w:szCs w:val="20"/>
          <w:color w:val="auto"/>
        </w:rPr>
      </w:pPr>
    </w:p>
    <w:tbl>
      <w:tblPr>
        <w:tblLayout w:type="fixed"/>
        <w:tblInd w:w="770" w:type="dxa"/>
        <w:tblCellMar>
          <w:top w:w="0" w:type="dxa"/>
          <w:left w:w="0" w:type="dxa"/>
          <w:bottom w:w="0" w:type="dxa"/>
          <w:right w:w="0" w:type="dxa"/>
        </w:tblCellMar>
      </w:tblPr>
      <w:tr>
        <w:trPr>
          <w:trHeight w:val="265"/>
        </w:trPr>
        <w:tc>
          <w:tcPr>
            <w:tcW w:w="5440" w:type="dxa"/>
            <w:vAlign w:val="bottom"/>
            <w:tcBorders>
              <w:left w:val="single" w:sz="8" w:color="3C5896"/>
              <w:bottom w:val="single" w:sz="8" w:color="auto"/>
              <w:right w:val="single" w:sz="8" w:color="9EACCA"/>
            </w:tcBorders>
            <w:shd w:val="clear" w:color="auto" w:fill="3C5896"/>
          </w:tcPr>
          <w:p>
            <w:pPr>
              <w:ind w:left="2000"/>
              <w:spacing w:after="0"/>
              <w:rPr>
                <w:sz w:val="20"/>
                <w:szCs w:val="20"/>
                <w:color w:val="auto"/>
              </w:rPr>
            </w:pPr>
            <w:r>
              <w:rPr>
                <w:rFonts w:ascii="Arial" w:cs="Arial" w:eastAsia="Arial" w:hAnsi="Arial"/>
                <w:sz w:val="18"/>
                <w:szCs w:val="18"/>
                <w:b w:val="1"/>
                <w:bCs w:val="1"/>
                <w:color w:val="FFFFFF"/>
              </w:rPr>
              <w:t>Triggering Event</w:t>
            </w:r>
          </w:p>
        </w:tc>
        <w:tc>
          <w:tcPr>
            <w:tcW w:w="3760" w:type="dxa"/>
            <w:vAlign w:val="bottom"/>
            <w:tcBorders>
              <w:bottom w:val="single" w:sz="8" w:color="auto"/>
              <w:right w:val="single" w:sz="8" w:color="3C5896"/>
            </w:tcBorders>
            <w:shd w:val="clear" w:color="auto" w:fill="3C5896"/>
          </w:tcPr>
          <w:p>
            <w:pPr>
              <w:ind w:left="1460"/>
              <w:spacing w:after="0"/>
              <w:rPr>
                <w:sz w:val="20"/>
                <w:szCs w:val="20"/>
                <w:color w:val="auto"/>
              </w:rPr>
            </w:pPr>
            <w:r>
              <w:rPr>
                <w:rFonts w:ascii="Arial" w:cs="Arial" w:eastAsia="Arial" w:hAnsi="Arial"/>
                <w:sz w:val="18"/>
                <w:szCs w:val="18"/>
                <w:b w:val="1"/>
                <w:bCs w:val="1"/>
                <w:color w:val="FFFFFF"/>
              </w:rPr>
              <w:t>Call Price</w:t>
            </w:r>
          </w:p>
        </w:tc>
      </w:tr>
      <w:tr>
        <w:trPr>
          <w:trHeight w:val="256"/>
        </w:trPr>
        <w:tc>
          <w:tcPr>
            <w:tcW w:w="54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Death or Disability</w:t>
            </w:r>
          </w:p>
        </w:tc>
        <w:tc>
          <w:tcPr>
            <w:tcW w:w="3760" w:type="dxa"/>
            <w:vAlign w:val="bottom"/>
            <w:tcBorders>
              <w:right w:val="single" w:sz="8" w:color="3C5896"/>
            </w:tcBorders>
          </w:tcPr>
          <w:p>
            <w:pPr>
              <w:ind w:left="60"/>
              <w:spacing w:after="0"/>
              <w:rPr>
                <w:sz w:val="20"/>
                <w:szCs w:val="20"/>
                <w:color w:val="auto"/>
              </w:rPr>
            </w:pPr>
            <w:r>
              <w:rPr>
                <w:rFonts w:ascii="Arial" w:cs="Arial" w:eastAsia="Arial" w:hAnsi="Arial"/>
                <w:sz w:val="18"/>
                <w:szCs w:val="18"/>
                <w:color w:val="auto"/>
              </w:rPr>
              <w:t>Option Formula</w:t>
            </w:r>
          </w:p>
        </w:tc>
      </w:tr>
      <w:tr>
        <w:trPr>
          <w:trHeight w:val="257"/>
        </w:trPr>
        <w:tc>
          <w:tcPr>
            <w:tcW w:w="54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Termination for Cause</w:t>
            </w:r>
          </w:p>
        </w:tc>
        <w:tc>
          <w:tcPr>
            <w:tcW w:w="3760" w:type="dxa"/>
            <w:vAlign w:val="bottom"/>
            <w:tcBorders>
              <w:right w:val="single" w:sz="8" w:color="3C5896"/>
            </w:tcBorders>
            <w:shd w:val="clear" w:color="auto" w:fill="CCCCCC"/>
          </w:tcPr>
          <w:p>
            <w:pPr>
              <w:ind w:left="60"/>
              <w:spacing w:after="0"/>
              <w:rPr>
                <w:sz w:val="20"/>
                <w:szCs w:val="20"/>
                <w:color w:val="auto"/>
              </w:rPr>
            </w:pPr>
            <w:r>
              <w:rPr>
                <w:rFonts w:ascii="Arial" w:cs="Arial" w:eastAsia="Arial" w:hAnsi="Arial"/>
                <w:sz w:val="18"/>
                <w:szCs w:val="18"/>
                <w:color w:val="auto"/>
              </w:rPr>
              <w:t>Option Formula</w:t>
            </w:r>
          </w:p>
        </w:tc>
      </w:tr>
      <w:tr>
        <w:trPr>
          <w:trHeight w:val="257"/>
        </w:trPr>
        <w:tc>
          <w:tcPr>
            <w:tcW w:w="54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Termination Without Cause or for Good Reason</w:t>
            </w:r>
          </w:p>
        </w:tc>
        <w:tc>
          <w:tcPr>
            <w:tcW w:w="3760" w:type="dxa"/>
            <w:vAlign w:val="bottom"/>
            <w:tcBorders>
              <w:right w:val="single" w:sz="8" w:color="3C5896"/>
            </w:tcBorders>
          </w:tcPr>
          <w:p>
            <w:pPr>
              <w:ind w:left="60"/>
              <w:spacing w:after="0"/>
              <w:rPr>
                <w:sz w:val="20"/>
                <w:szCs w:val="20"/>
                <w:color w:val="auto"/>
              </w:rPr>
            </w:pPr>
            <w:r>
              <w:rPr>
                <w:rFonts w:ascii="Arial" w:cs="Arial" w:eastAsia="Arial" w:hAnsi="Arial"/>
                <w:sz w:val="18"/>
                <w:szCs w:val="18"/>
                <w:color w:val="auto"/>
              </w:rPr>
              <w:t>Option Formula</w:t>
            </w:r>
          </w:p>
        </w:tc>
      </w:tr>
      <w:tr>
        <w:trPr>
          <w:trHeight w:val="215"/>
        </w:trPr>
        <w:tc>
          <w:tcPr>
            <w:tcW w:w="54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Termination Without Good Reason (other than due to death or</w:t>
            </w:r>
          </w:p>
        </w:tc>
        <w:tc>
          <w:tcPr>
            <w:tcW w:w="3760" w:type="dxa"/>
            <w:vAlign w:val="bottom"/>
            <w:tcBorders>
              <w:right w:val="single" w:sz="8" w:color="3C5896"/>
            </w:tcBorders>
            <w:shd w:val="clear" w:color="auto" w:fill="CCCCCC"/>
          </w:tcPr>
          <w:p>
            <w:pPr>
              <w:spacing w:after="0"/>
              <w:rPr>
                <w:sz w:val="18"/>
                <w:szCs w:val="18"/>
                <w:color w:val="auto"/>
              </w:rPr>
            </w:pPr>
          </w:p>
        </w:tc>
      </w:tr>
      <w:tr>
        <w:trPr>
          <w:trHeight w:val="217"/>
        </w:trPr>
        <w:tc>
          <w:tcPr>
            <w:tcW w:w="5440" w:type="dxa"/>
            <w:vAlign w:val="bottom"/>
            <w:tcBorders>
              <w:left w:val="single" w:sz="8" w:color="3C5896"/>
              <w:right w:val="single" w:sz="8" w:color="9EACCA"/>
            </w:tcBorders>
            <w:shd w:val="clear" w:color="auto" w:fill="CCCCCC"/>
          </w:tcPr>
          <w:p>
            <w:pPr>
              <w:ind w:left="220"/>
              <w:spacing w:after="0"/>
              <w:rPr>
                <w:sz w:val="20"/>
                <w:szCs w:val="20"/>
                <w:color w:val="auto"/>
              </w:rPr>
            </w:pPr>
            <w:r>
              <w:rPr>
                <w:rFonts w:ascii="Arial" w:cs="Arial" w:eastAsia="Arial" w:hAnsi="Arial"/>
                <w:sz w:val="18"/>
                <w:szCs w:val="18"/>
                <w:color w:val="auto"/>
              </w:rPr>
              <w:t>Disability)</w:t>
            </w:r>
          </w:p>
        </w:tc>
        <w:tc>
          <w:tcPr>
            <w:tcW w:w="3760" w:type="dxa"/>
            <w:vAlign w:val="bottom"/>
            <w:tcBorders>
              <w:right w:val="single" w:sz="8" w:color="3C5896"/>
            </w:tcBorders>
            <w:shd w:val="clear" w:color="auto" w:fill="CCCCCC"/>
          </w:tcPr>
          <w:p>
            <w:pPr>
              <w:ind w:left="60"/>
              <w:spacing w:after="0"/>
              <w:rPr>
                <w:sz w:val="20"/>
                <w:szCs w:val="20"/>
                <w:color w:val="auto"/>
              </w:rPr>
            </w:pPr>
            <w:r>
              <w:rPr>
                <w:rFonts w:ascii="Arial" w:cs="Arial" w:eastAsia="Arial" w:hAnsi="Arial"/>
                <w:sz w:val="18"/>
                <w:szCs w:val="18"/>
                <w:color w:val="auto"/>
              </w:rPr>
              <w:t>Option Formula</w:t>
            </w:r>
          </w:p>
        </w:tc>
      </w:tr>
      <w:tr>
        <w:trPr>
          <w:trHeight w:val="257"/>
        </w:trPr>
        <w:tc>
          <w:tcPr>
            <w:tcW w:w="544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Material Breach of Management Stockholder’s Agreement</w:t>
            </w:r>
          </w:p>
        </w:tc>
        <w:tc>
          <w:tcPr>
            <w:tcW w:w="3760" w:type="dxa"/>
            <w:vAlign w:val="bottom"/>
            <w:tcBorders>
              <w:bottom w:val="single" w:sz="8" w:color="3C5896"/>
              <w:right w:val="single" w:sz="8" w:color="3C5896"/>
            </w:tcBorders>
          </w:tcPr>
          <w:p>
            <w:pPr>
              <w:ind w:left="60"/>
              <w:spacing w:after="0"/>
              <w:rPr>
                <w:sz w:val="20"/>
                <w:szCs w:val="20"/>
                <w:color w:val="auto"/>
              </w:rPr>
            </w:pPr>
            <w:r>
              <w:rPr>
                <w:rFonts w:ascii="Arial" w:cs="Arial" w:eastAsia="Arial" w:hAnsi="Arial"/>
                <w:sz w:val="18"/>
                <w:szCs w:val="18"/>
                <w:color w:val="auto"/>
              </w:rPr>
              <w:t>Option Formula</w:t>
            </w:r>
          </w:p>
        </w:tc>
      </w:tr>
    </w:tbl>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39" w:lineRule="exact"/>
        <w:rPr>
          <w:sz w:val="20"/>
          <w:szCs w:val="20"/>
          <w:color w:val="auto"/>
        </w:rPr>
      </w:pPr>
    </w:p>
    <w:p>
      <w:pPr>
        <w:ind w:left="760" w:right="820"/>
        <w:spacing w:after="0" w:line="252" w:lineRule="auto"/>
        <w:rPr>
          <w:sz w:val="20"/>
          <w:szCs w:val="20"/>
          <w:color w:val="auto"/>
        </w:rPr>
      </w:pPr>
      <w:r>
        <w:rPr>
          <w:rFonts w:ascii="Arial" w:cs="Arial" w:eastAsia="Arial" w:hAnsi="Arial"/>
          <w:sz w:val="18"/>
          <w:szCs w:val="18"/>
          <w:color w:val="auto"/>
        </w:rPr>
        <w:t>In addition, our NEOs have agreed to specified restrictive covenants, including an indefinite confidentiality and non-disparagement covenants, and covenants related to non-competition and non-solicitation of our employees, consultants and independent contractors at all times during the NEO’s employment, and for specific periods following the termination of employment for any reason. The post-employment restricted time periods are as follows: Mr. Fahs for twenty four months after termination; Messrs. Moore, McAllister and Goodman for eighteen months after termination; and Mr. Vaught for twelve months after termination.</w:t>
      </w:r>
    </w:p>
    <w:p>
      <w:pPr>
        <w:spacing w:after="0" w:line="101" w:lineRule="exact"/>
        <w:rPr>
          <w:sz w:val="20"/>
          <w:szCs w:val="20"/>
          <w:color w:val="auto"/>
        </w:rPr>
      </w:pPr>
    </w:p>
    <w:p>
      <w:pPr>
        <w:ind w:left="760" w:right="1000"/>
        <w:spacing w:after="0" w:line="254" w:lineRule="auto"/>
        <w:rPr>
          <w:sz w:val="20"/>
          <w:szCs w:val="20"/>
          <w:color w:val="auto"/>
        </w:rPr>
      </w:pPr>
      <w:r>
        <w:rPr>
          <w:rFonts w:ascii="Arial" w:cs="Arial" w:eastAsia="Arial" w:hAnsi="Arial"/>
          <w:sz w:val="18"/>
          <w:szCs w:val="18"/>
          <w:color w:val="auto"/>
        </w:rPr>
        <w:t>Additional terms regarding the equity awards are summarized above under “Compensation Discussion and Analysis—Compensation Elements—Long-Term Incentive Awards” and under “Potential Payments upon Termination or Change in Control” below. See also “Transactions with Related Persons” for additional information regarding the Management Stockholder’s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1922780</wp:posOffset>
            </wp:positionV>
            <wp:extent cx="291465" cy="222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25</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Equity Awards at 2018 Fiscal Year End</w:t>
      </w:r>
    </w:p>
    <w:p>
      <w:pPr>
        <w:spacing w:after="0" w:line="139" w:lineRule="exact"/>
        <w:rPr>
          <w:sz w:val="20"/>
          <w:szCs w:val="20"/>
          <w:color w:val="auto"/>
        </w:rPr>
      </w:pPr>
    </w:p>
    <w:p>
      <w:pPr>
        <w:ind w:left="760" w:right="1299"/>
        <w:spacing w:after="0" w:line="262" w:lineRule="auto"/>
        <w:rPr>
          <w:sz w:val="20"/>
          <w:szCs w:val="20"/>
          <w:color w:val="auto"/>
        </w:rPr>
      </w:pPr>
      <w:r>
        <w:rPr>
          <w:rFonts w:ascii="Arial" w:cs="Arial" w:eastAsia="Arial" w:hAnsi="Arial"/>
          <w:sz w:val="18"/>
          <w:szCs w:val="18"/>
          <w:color w:val="auto"/>
        </w:rPr>
        <w:t>The following table sets forth information regarding outstanding equity awards made to our NEOs as of December 29, 2018.</w:t>
      </w:r>
    </w:p>
    <w:p>
      <w:pPr>
        <w:spacing w:after="0" w:line="116" w:lineRule="exact"/>
        <w:rPr>
          <w:sz w:val="20"/>
          <w:szCs w:val="20"/>
          <w:color w:val="auto"/>
        </w:rPr>
      </w:pPr>
    </w:p>
    <w:tbl>
      <w:tblPr>
        <w:tblLayout w:type="fixed"/>
        <w:tblInd w:w="770" w:type="dxa"/>
        <w:tblCellMar>
          <w:top w:w="0" w:type="dxa"/>
          <w:left w:w="0" w:type="dxa"/>
          <w:bottom w:w="0" w:type="dxa"/>
          <w:right w:w="0" w:type="dxa"/>
        </w:tblCellMar>
      </w:tblPr>
      <w:tr>
        <w:trPr>
          <w:trHeight w:val="211"/>
        </w:trPr>
        <w:tc>
          <w:tcPr>
            <w:tcW w:w="2220" w:type="dxa"/>
            <w:vAlign w:val="bottom"/>
            <w:tcBorders>
              <w:left w:val="single" w:sz="8" w:color="3C5896"/>
              <w:right w:val="single" w:sz="8" w:color="9EACCA"/>
            </w:tcBorders>
            <w:shd w:val="clear" w:color="auto" w:fill="3C5896"/>
          </w:tcPr>
          <w:p>
            <w:pPr>
              <w:spacing w:after="0"/>
              <w:rPr>
                <w:sz w:val="18"/>
                <w:szCs w:val="18"/>
                <w:color w:val="auto"/>
              </w:rPr>
            </w:pPr>
          </w:p>
        </w:tc>
        <w:tc>
          <w:tcPr>
            <w:tcW w:w="1300" w:type="dxa"/>
            <w:vAlign w:val="bottom"/>
            <w:tcBorders>
              <w:right w:val="single" w:sz="8" w:color="9EACCA"/>
            </w:tcBorders>
            <w:shd w:val="clear" w:color="auto" w:fill="3C5896"/>
          </w:tcPr>
          <w:p>
            <w:pPr>
              <w:spacing w:after="0"/>
              <w:rPr>
                <w:sz w:val="18"/>
                <w:szCs w:val="18"/>
                <w:color w:val="auto"/>
              </w:rPr>
            </w:pPr>
          </w:p>
        </w:tc>
        <w:tc>
          <w:tcPr>
            <w:tcW w:w="1140" w:type="dxa"/>
            <w:vAlign w:val="bottom"/>
            <w:tcBorders>
              <w:right w:val="single" w:sz="8" w:color="9EACCA"/>
            </w:tcBorders>
            <w:shd w:val="clear" w:color="auto" w:fill="3C5896"/>
          </w:tcPr>
          <w:p>
            <w:pPr>
              <w:spacing w:after="0"/>
              <w:rPr>
                <w:sz w:val="18"/>
                <w:szCs w:val="18"/>
                <w:color w:val="auto"/>
              </w:rPr>
            </w:pPr>
          </w:p>
        </w:tc>
        <w:tc>
          <w:tcPr>
            <w:tcW w:w="1380" w:type="dxa"/>
            <w:vAlign w:val="bottom"/>
            <w:tcBorders>
              <w:right w:val="single" w:sz="8" w:color="9EACCA"/>
            </w:tcBorders>
            <w:shd w:val="clear" w:color="auto" w:fill="3C5896"/>
          </w:tcPr>
          <w:p>
            <w:pPr>
              <w:spacing w:after="0"/>
              <w:rPr>
                <w:sz w:val="18"/>
                <w:szCs w:val="18"/>
                <w:color w:val="auto"/>
              </w:rPr>
            </w:pPr>
          </w:p>
        </w:tc>
        <w:tc>
          <w:tcPr>
            <w:tcW w:w="12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Equity</w:t>
            </w:r>
          </w:p>
        </w:tc>
        <w:tc>
          <w:tcPr>
            <w:tcW w:w="860" w:type="dxa"/>
            <w:vAlign w:val="bottom"/>
            <w:tcBorders>
              <w:right w:val="single" w:sz="8" w:color="9EACCA"/>
            </w:tcBorders>
            <w:shd w:val="clear" w:color="auto" w:fill="3C5896"/>
          </w:tcPr>
          <w:p>
            <w:pPr>
              <w:spacing w:after="0"/>
              <w:rPr>
                <w:sz w:val="18"/>
                <w:szCs w:val="18"/>
                <w:color w:val="auto"/>
              </w:rPr>
            </w:pPr>
          </w:p>
        </w:tc>
        <w:tc>
          <w:tcPr>
            <w:tcW w:w="1060" w:type="dxa"/>
            <w:vAlign w:val="bottom"/>
            <w:tcBorders>
              <w:right w:val="single" w:sz="8" w:color="3C5896"/>
            </w:tcBorders>
            <w:shd w:val="clear" w:color="auto" w:fill="3C5896"/>
          </w:tcPr>
          <w:p>
            <w:pPr>
              <w:spacing w:after="0"/>
              <w:rPr>
                <w:sz w:val="18"/>
                <w:szCs w:val="18"/>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1300" w:type="dxa"/>
            <w:vAlign w:val="bottom"/>
            <w:tcBorders>
              <w:right w:val="single" w:sz="8" w:color="9EACCA"/>
            </w:tcBorders>
            <w:shd w:val="clear" w:color="auto" w:fill="3C5896"/>
          </w:tcPr>
          <w:p>
            <w:pPr>
              <w:spacing w:after="0"/>
              <w:rPr>
                <w:sz w:val="16"/>
                <w:szCs w:val="16"/>
                <w:color w:val="auto"/>
              </w:rPr>
            </w:pPr>
          </w:p>
        </w:tc>
        <w:tc>
          <w:tcPr>
            <w:tcW w:w="1140" w:type="dxa"/>
            <w:vAlign w:val="bottom"/>
            <w:tcBorders>
              <w:right w:val="single" w:sz="8" w:color="9EACCA"/>
            </w:tcBorders>
            <w:shd w:val="clear" w:color="auto" w:fill="3C5896"/>
          </w:tcPr>
          <w:p>
            <w:pPr>
              <w:spacing w:after="0"/>
              <w:rPr>
                <w:sz w:val="16"/>
                <w:szCs w:val="16"/>
                <w:color w:val="auto"/>
              </w:rPr>
            </w:pPr>
          </w:p>
        </w:tc>
        <w:tc>
          <w:tcPr>
            <w:tcW w:w="1380" w:type="dxa"/>
            <w:vAlign w:val="bottom"/>
            <w:tcBorders>
              <w:right w:val="single" w:sz="8" w:color="9EACCA"/>
            </w:tcBorders>
            <w:shd w:val="clear" w:color="auto" w:fill="3C5896"/>
          </w:tcPr>
          <w:p>
            <w:pPr>
              <w:spacing w:after="0"/>
              <w:rPr>
                <w:sz w:val="16"/>
                <w:szCs w:val="16"/>
                <w:color w:val="auto"/>
              </w:rPr>
            </w:pPr>
          </w:p>
        </w:tc>
        <w:tc>
          <w:tcPr>
            <w:tcW w:w="12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Incentive</w:t>
            </w:r>
          </w:p>
        </w:tc>
        <w:tc>
          <w:tcPr>
            <w:tcW w:w="860" w:type="dxa"/>
            <w:vAlign w:val="bottom"/>
            <w:tcBorders>
              <w:right w:val="single" w:sz="8" w:color="9EACCA"/>
            </w:tcBorders>
            <w:shd w:val="clear" w:color="auto" w:fill="3C5896"/>
          </w:tcPr>
          <w:p>
            <w:pPr>
              <w:spacing w:after="0"/>
              <w:rPr>
                <w:sz w:val="16"/>
                <w:szCs w:val="16"/>
                <w:color w:val="auto"/>
              </w:rPr>
            </w:pPr>
          </w:p>
        </w:tc>
        <w:tc>
          <w:tcPr>
            <w:tcW w:w="1060" w:type="dxa"/>
            <w:vAlign w:val="bottom"/>
            <w:tcBorders>
              <w:right w:val="single" w:sz="8" w:color="3C5896"/>
            </w:tcBorders>
            <w:shd w:val="clear" w:color="auto" w:fill="3C5896"/>
          </w:tcPr>
          <w:p>
            <w:pPr>
              <w:spacing w:after="0"/>
              <w:rPr>
                <w:sz w:val="16"/>
                <w:szCs w:val="16"/>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1300" w:type="dxa"/>
            <w:vAlign w:val="bottom"/>
            <w:tcBorders>
              <w:right w:val="single" w:sz="8" w:color="9EACCA"/>
            </w:tcBorders>
            <w:shd w:val="clear" w:color="auto" w:fill="3C5896"/>
          </w:tcPr>
          <w:p>
            <w:pPr>
              <w:spacing w:after="0"/>
              <w:rPr>
                <w:sz w:val="16"/>
                <w:szCs w:val="16"/>
                <w:color w:val="auto"/>
              </w:rPr>
            </w:pPr>
          </w:p>
        </w:tc>
        <w:tc>
          <w:tcPr>
            <w:tcW w:w="1140" w:type="dxa"/>
            <w:vAlign w:val="bottom"/>
            <w:tcBorders>
              <w:right w:val="single" w:sz="8" w:color="9EACCA"/>
            </w:tcBorders>
            <w:shd w:val="clear" w:color="auto" w:fill="3C5896"/>
          </w:tcPr>
          <w:p>
            <w:pPr>
              <w:spacing w:after="0"/>
              <w:rPr>
                <w:sz w:val="16"/>
                <w:szCs w:val="16"/>
                <w:color w:val="auto"/>
              </w:rPr>
            </w:pPr>
          </w:p>
        </w:tc>
        <w:tc>
          <w:tcPr>
            <w:tcW w:w="1380" w:type="dxa"/>
            <w:vAlign w:val="bottom"/>
            <w:tcBorders>
              <w:right w:val="single" w:sz="8" w:color="9EACCA"/>
            </w:tcBorders>
            <w:shd w:val="clear" w:color="auto" w:fill="3C5896"/>
          </w:tcPr>
          <w:p>
            <w:pPr>
              <w:spacing w:after="0"/>
              <w:rPr>
                <w:sz w:val="16"/>
                <w:szCs w:val="16"/>
                <w:color w:val="auto"/>
              </w:rPr>
            </w:pPr>
          </w:p>
        </w:tc>
        <w:tc>
          <w:tcPr>
            <w:tcW w:w="12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Plan Awards:</w:t>
            </w:r>
          </w:p>
        </w:tc>
        <w:tc>
          <w:tcPr>
            <w:tcW w:w="860" w:type="dxa"/>
            <w:vAlign w:val="bottom"/>
            <w:tcBorders>
              <w:right w:val="single" w:sz="8" w:color="9EACCA"/>
            </w:tcBorders>
            <w:shd w:val="clear" w:color="auto" w:fill="3C5896"/>
          </w:tcPr>
          <w:p>
            <w:pPr>
              <w:spacing w:after="0"/>
              <w:rPr>
                <w:sz w:val="16"/>
                <w:szCs w:val="16"/>
                <w:color w:val="auto"/>
              </w:rPr>
            </w:pPr>
          </w:p>
        </w:tc>
        <w:tc>
          <w:tcPr>
            <w:tcW w:w="1060" w:type="dxa"/>
            <w:vAlign w:val="bottom"/>
            <w:tcBorders>
              <w:right w:val="single" w:sz="8" w:color="3C5896"/>
            </w:tcBorders>
            <w:shd w:val="clear" w:color="auto" w:fill="3C5896"/>
          </w:tcPr>
          <w:p>
            <w:pPr>
              <w:spacing w:after="0"/>
              <w:rPr>
                <w:sz w:val="16"/>
                <w:szCs w:val="16"/>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1300" w:type="dxa"/>
            <w:vAlign w:val="bottom"/>
            <w:tcBorders>
              <w:right w:val="single" w:sz="8" w:color="9EACCA"/>
            </w:tcBorders>
            <w:shd w:val="clear" w:color="auto" w:fill="3C5896"/>
          </w:tcPr>
          <w:p>
            <w:pPr>
              <w:spacing w:after="0"/>
              <w:rPr>
                <w:sz w:val="16"/>
                <w:szCs w:val="16"/>
                <w:color w:val="auto"/>
              </w:rPr>
            </w:pPr>
          </w:p>
        </w:tc>
        <w:tc>
          <w:tcPr>
            <w:tcW w:w="11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Number of</w:t>
            </w:r>
          </w:p>
        </w:tc>
        <w:tc>
          <w:tcPr>
            <w:tcW w:w="13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Number of</w:t>
            </w:r>
          </w:p>
        </w:tc>
        <w:tc>
          <w:tcPr>
            <w:tcW w:w="12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Number of</w:t>
            </w:r>
          </w:p>
        </w:tc>
        <w:tc>
          <w:tcPr>
            <w:tcW w:w="860" w:type="dxa"/>
            <w:vAlign w:val="bottom"/>
            <w:tcBorders>
              <w:right w:val="single" w:sz="8" w:color="9EACCA"/>
            </w:tcBorders>
            <w:shd w:val="clear" w:color="auto" w:fill="3C5896"/>
          </w:tcPr>
          <w:p>
            <w:pPr>
              <w:spacing w:after="0"/>
              <w:rPr>
                <w:sz w:val="16"/>
                <w:szCs w:val="16"/>
                <w:color w:val="auto"/>
              </w:rPr>
            </w:pPr>
          </w:p>
        </w:tc>
        <w:tc>
          <w:tcPr>
            <w:tcW w:w="1060" w:type="dxa"/>
            <w:vAlign w:val="bottom"/>
            <w:tcBorders>
              <w:right w:val="single" w:sz="8" w:color="3C5896"/>
            </w:tcBorders>
            <w:shd w:val="clear" w:color="auto" w:fill="3C5896"/>
          </w:tcPr>
          <w:p>
            <w:pPr>
              <w:spacing w:after="0"/>
              <w:rPr>
                <w:sz w:val="16"/>
                <w:szCs w:val="16"/>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1300" w:type="dxa"/>
            <w:vAlign w:val="bottom"/>
            <w:tcBorders>
              <w:right w:val="single" w:sz="8" w:color="9EACCA"/>
            </w:tcBorders>
            <w:shd w:val="clear" w:color="auto" w:fill="3C5896"/>
          </w:tcPr>
          <w:p>
            <w:pPr>
              <w:spacing w:after="0"/>
              <w:rPr>
                <w:sz w:val="16"/>
                <w:szCs w:val="16"/>
                <w:color w:val="auto"/>
              </w:rPr>
            </w:pPr>
          </w:p>
        </w:tc>
        <w:tc>
          <w:tcPr>
            <w:tcW w:w="11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Securities</w:t>
            </w:r>
          </w:p>
        </w:tc>
        <w:tc>
          <w:tcPr>
            <w:tcW w:w="13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Securities</w:t>
            </w:r>
          </w:p>
        </w:tc>
        <w:tc>
          <w:tcPr>
            <w:tcW w:w="12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Securities</w:t>
            </w:r>
          </w:p>
        </w:tc>
        <w:tc>
          <w:tcPr>
            <w:tcW w:w="860" w:type="dxa"/>
            <w:vAlign w:val="bottom"/>
            <w:tcBorders>
              <w:right w:val="single" w:sz="8" w:color="9EACCA"/>
            </w:tcBorders>
            <w:shd w:val="clear" w:color="auto" w:fill="3C5896"/>
          </w:tcPr>
          <w:p>
            <w:pPr>
              <w:spacing w:after="0"/>
              <w:rPr>
                <w:sz w:val="16"/>
                <w:szCs w:val="16"/>
                <w:color w:val="auto"/>
              </w:rPr>
            </w:pPr>
          </w:p>
        </w:tc>
        <w:tc>
          <w:tcPr>
            <w:tcW w:w="1060" w:type="dxa"/>
            <w:vAlign w:val="bottom"/>
            <w:tcBorders>
              <w:right w:val="single" w:sz="8" w:color="3C5896"/>
            </w:tcBorders>
            <w:shd w:val="clear" w:color="auto" w:fill="3C5896"/>
          </w:tcPr>
          <w:p>
            <w:pPr>
              <w:spacing w:after="0"/>
              <w:rPr>
                <w:sz w:val="16"/>
                <w:szCs w:val="16"/>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1300" w:type="dxa"/>
            <w:vAlign w:val="bottom"/>
            <w:tcBorders>
              <w:right w:val="single" w:sz="8" w:color="9EACCA"/>
            </w:tcBorders>
            <w:shd w:val="clear" w:color="auto" w:fill="3C5896"/>
          </w:tcPr>
          <w:p>
            <w:pPr>
              <w:spacing w:after="0"/>
              <w:rPr>
                <w:sz w:val="16"/>
                <w:szCs w:val="16"/>
                <w:color w:val="auto"/>
              </w:rPr>
            </w:pPr>
          </w:p>
        </w:tc>
        <w:tc>
          <w:tcPr>
            <w:tcW w:w="11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Underlying</w:t>
            </w:r>
          </w:p>
        </w:tc>
        <w:tc>
          <w:tcPr>
            <w:tcW w:w="13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Underlying</w:t>
            </w:r>
          </w:p>
        </w:tc>
        <w:tc>
          <w:tcPr>
            <w:tcW w:w="12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Underlying</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Option</w:t>
            </w:r>
          </w:p>
        </w:tc>
        <w:tc>
          <w:tcPr>
            <w:tcW w:w="1060" w:type="dxa"/>
            <w:vAlign w:val="bottom"/>
            <w:tcBorders>
              <w:right w:val="single" w:sz="8" w:color="3C5896"/>
            </w:tcBorders>
            <w:shd w:val="clear" w:color="auto" w:fill="3C5896"/>
          </w:tcPr>
          <w:p>
            <w:pPr>
              <w:spacing w:after="0"/>
              <w:rPr>
                <w:sz w:val="16"/>
                <w:szCs w:val="16"/>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1300" w:type="dxa"/>
            <w:vAlign w:val="bottom"/>
            <w:tcBorders>
              <w:right w:val="single" w:sz="8" w:color="9EACCA"/>
            </w:tcBorders>
            <w:shd w:val="clear" w:color="auto" w:fill="3C5896"/>
          </w:tcPr>
          <w:p>
            <w:pPr>
              <w:spacing w:after="0"/>
              <w:rPr>
                <w:sz w:val="16"/>
                <w:szCs w:val="16"/>
                <w:color w:val="auto"/>
              </w:rPr>
            </w:pPr>
          </w:p>
        </w:tc>
        <w:tc>
          <w:tcPr>
            <w:tcW w:w="11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Unexercised</w:t>
            </w:r>
          </w:p>
        </w:tc>
        <w:tc>
          <w:tcPr>
            <w:tcW w:w="13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Unexercised</w:t>
            </w:r>
          </w:p>
        </w:tc>
        <w:tc>
          <w:tcPr>
            <w:tcW w:w="12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Unexercised</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Exercise</w:t>
            </w:r>
          </w:p>
        </w:tc>
        <w:tc>
          <w:tcPr>
            <w:tcW w:w="106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Option</w:t>
            </w:r>
          </w:p>
        </w:tc>
      </w:tr>
      <w:tr>
        <w:trPr>
          <w:trHeight w:val="180"/>
        </w:trPr>
        <w:tc>
          <w:tcPr>
            <w:tcW w:w="2220" w:type="dxa"/>
            <w:vAlign w:val="bottom"/>
            <w:tcBorders>
              <w:left w:val="single" w:sz="8" w:color="3C5896"/>
              <w:right w:val="single" w:sz="8" w:color="9EACCA"/>
            </w:tcBorders>
            <w:shd w:val="clear" w:color="auto" w:fill="3C5896"/>
          </w:tcPr>
          <w:p>
            <w:pPr>
              <w:spacing w:after="0"/>
              <w:rPr>
                <w:sz w:val="15"/>
                <w:szCs w:val="15"/>
                <w:color w:val="auto"/>
              </w:rPr>
            </w:pPr>
          </w:p>
        </w:tc>
        <w:tc>
          <w:tcPr>
            <w:tcW w:w="1300" w:type="dxa"/>
            <w:vAlign w:val="bottom"/>
            <w:tcBorders>
              <w:right w:val="single" w:sz="8" w:color="9EACCA"/>
            </w:tcBorders>
            <w:shd w:val="clear" w:color="auto" w:fill="3C5896"/>
          </w:tcPr>
          <w:p>
            <w:pPr>
              <w:spacing w:after="0"/>
              <w:rPr>
                <w:sz w:val="15"/>
                <w:szCs w:val="15"/>
                <w:color w:val="auto"/>
              </w:rPr>
            </w:pPr>
          </w:p>
        </w:tc>
        <w:tc>
          <w:tcPr>
            <w:tcW w:w="1140" w:type="dxa"/>
            <w:vAlign w:val="bottom"/>
            <w:tcBorders>
              <w:right w:val="single" w:sz="8" w:color="9EACCA"/>
            </w:tcBorders>
            <w:shd w:val="clear" w:color="auto" w:fill="3C5896"/>
          </w:tcPr>
          <w:p>
            <w:pPr>
              <w:jc w:val="center"/>
              <w:spacing w:after="0" w:line="181" w:lineRule="exact"/>
              <w:rPr>
                <w:sz w:val="20"/>
                <w:szCs w:val="20"/>
                <w:color w:val="auto"/>
              </w:rPr>
            </w:pPr>
            <w:r>
              <w:rPr>
                <w:rFonts w:ascii="Arial" w:cs="Arial" w:eastAsia="Arial" w:hAnsi="Arial"/>
                <w:sz w:val="16"/>
                <w:szCs w:val="16"/>
                <w:b w:val="1"/>
                <w:bCs w:val="1"/>
                <w:color w:val="FFFFFF"/>
              </w:rPr>
              <w:t>Options (#)</w:t>
            </w:r>
          </w:p>
        </w:tc>
        <w:tc>
          <w:tcPr>
            <w:tcW w:w="1380" w:type="dxa"/>
            <w:vAlign w:val="bottom"/>
            <w:tcBorders>
              <w:right w:val="single" w:sz="8" w:color="9EACCA"/>
            </w:tcBorders>
            <w:shd w:val="clear" w:color="auto" w:fill="3C5896"/>
          </w:tcPr>
          <w:p>
            <w:pPr>
              <w:jc w:val="center"/>
              <w:spacing w:after="0" w:line="181" w:lineRule="exact"/>
              <w:rPr>
                <w:sz w:val="20"/>
                <w:szCs w:val="20"/>
                <w:color w:val="auto"/>
              </w:rPr>
            </w:pPr>
            <w:r>
              <w:rPr>
                <w:rFonts w:ascii="Arial" w:cs="Arial" w:eastAsia="Arial" w:hAnsi="Arial"/>
                <w:sz w:val="16"/>
                <w:szCs w:val="16"/>
                <w:b w:val="1"/>
                <w:bCs w:val="1"/>
                <w:color w:val="FFFFFF"/>
              </w:rPr>
              <w:t>Options (#)</w:t>
            </w:r>
          </w:p>
        </w:tc>
        <w:tc>
          <w:tcPr>
            <w:tcW w:w="1240" w:type="dxa"/>
            <w:vAlign w:val="bottom"/>
            <w:tcBorders>
              <w:right w:val="single" w:sz="8" w:color="9EACCA"/>
            </w:tcBorders>
            <w:shd w:val="clear" w:color="auto" w:fill="3C5896"/>
          </w:tcPr>
          <w:p>
            <w:pPr>
              <w:jc w:val="center"/>
              <w:spacing w:after="0" w:line="181" w:lineRule="exact"/>
              <w:rPr>
                <w:sz w:val="20"/>
                <w:szCs w:val="20"/>
                <w:color w:val="auto"/>
              </w:rPr>
            </w:pPr>
            <w:r>
              <w:rPr>
                <w:rFonts w:ascii="Arial" w:cs="Arial" w:eastAsia="Arial" w:hAnsi="Arial"/>
                <w:sz w:val="16"/>
                <w:szCs w:val="16"/>
                <w:b w:val="1"/>
                <w:bCs w:val="1"/>
                <w:color w:val="FFFFFF"/>
              </w:rPr>
              <w:t>Unearned</w:t>
            </w:r>
          </w:p>
        </w:tc>
        <w:tc>
          <w:tcPr>
            <w:tcW w:w="860" w:type="dxa"/>
            <w:vAlign w:val="bottom"/>
            <w:tcBorders>
              <w:right w:val="single" w:sz="8" w:color="9EACCA"/>
            </w:tcBorders>
            <w:shd w:val="clear" w:color="auto" w:fill="3C5896"/>
          </w:tcPr>
          <w:p>
            <w:pPr>
              <w:jc w:val="center"/>
              <w:spacing w:after="0" w:line="181" w:lineRule="exact"/>
              <w:rPr>
                <w:sz w:val="20"/>
                <w:szCs w:val="20"/>
                <w:color w:val="auto"/>
              </w:rPr>
            </w:pPr>
            <w:r>
              <w:rPr>
                <w:rFonts w:ascii="Arial" w:cs="Arial" w:eastAsia="Arial" w:hAnsi="Arial"/>
                <w:sz w:val="16"/>
                <w:szCs w:val="16"/>
                <w:b w:val="1"/>
                <w:bCs w:val="1"/>
                <w:color w:val="FFFFFF"/>
              </w:rPr>
              <w:t>Price</w:t>
            </w:r>
          </w:p>
        </w:tc>
        <w:tc>
          <w:tcPr>
            <w:tcW w:w="1060" w:type="dxa"/>
            <w:vAlign w:val="bottom"/>
            <w:tcBorders>
              <w:right w:val="single" w:sz="8" w:color="3C5896"/>
            </w:tcBorders>
            <w:shd w:val="clear" w:color="auto" w:fill="3C5896"/>
          </w:tcPr>
          <w:p>
            <w:pPr>
              <w:jc w:val="center"/>
              <w:spacing w:after="0" w:line="181" w:lineRule="exact"/>
              <w:rPr>
                <w:sz w:val="20"/>
                <w:szCs w:val="20"/>
                <w:color w:val="auto"/>
              </w:rPr>
            </w:pPr>
            <w:r>
              <w:rPr>
                <w:rFonts w:ascii="Arial" w:cs="Arial" w:eastAsia="Arial" w:hAnsi="Arial"/>
                <w:sz w:val="16"/>
                <w:szCs w:val="16"/>
                <w:b w:val="1"/>
                <w:bCs w:val="1"/>
                <w:color w:val="FFFFFF"/>
              </w:rPr>
              <w:t>Expiration</w:t>
            </w:r>
          </w:p>
        </w:tc>
      </w:tr>
      <w:tr>
        <w:trPr>
          <w:trHeight w:val="243"/>
        </w:trPr>
        <w:tc>
          <w:tcPr>
            <w:tcW w:w="2220" w:type="dxa"/>
            <w:vAlign w:val="bottom"/>
            <w:tcBorders>
              <w:left w:val="single" w:sz="8" w:color="3C5896"/>
              <w:right w:val="single" w:sz="8" w:color="9EACCA"/>
            </w:tcBorders>
            <w:shd w:val="clear" w:color="auto" w:fill="3C5896"/>
          </w:tcPr>
          <w:p>
            <w:pPr>
              <w:ind w:left="880"/>
              <w:spacing w:after="0"/>
              <w:rPr>
                <w:sz w:val="20"/>
                <w:szCs w:val="20"/>
                <w:color w:val="auto"/>
              </w:rPr>
            </w:pPr>
            <w:r>
              <w:rPr>
                <w:rFonts w:ascii="Arial" w:cs="Arial" w:eastAsia="Arial" w:hAnsi="Arial"/>
                <w:sz w:val="16"/>
                <w:szCs w:val="16"/>
                <w:b w:val="1"/>
                <w:bCs w:val="1"/>
                <w:color w:val="FFFFFF"/>
              </w:rPr>
              <w:t>Name</w:t>
            </w:r>
          </w:p>
        </w:tc>
        <w:tc>
          <w:tcPr>
            <w:tcW w:w="1300" w:type="dxa"/>
            <w:vAlign w:val="bottom"/>
            <w:tcBorders>
              <w:right w:val="single" w:sz="8" w:color="9EACCA"/>
            </w:tcBorders>
            <w:shd w:val="clear" w:color="auto" w:fill="3C5896"/>
          </w:tcPr>
          <w:p>
            <w:pPr>
              <w:jc w:val="right"/>
              <w:ind w:right="151"/>
              <w:spacing w:after="0"/>
              <w:rPr>
                <w:sz w:val="20"/>
                <w:szCs w:val="20"/>
                <w:color w:val="auto"/>
              </w:rPr>
            </w:pPr>
            <w:r>
              <w:rPr>
                <w:rFonts w:ascii="Arial" w:cs="Arial" w:eastAsia="Arial" w:hAnsi="Arial"/>
                <w:sz w:val="16"/>
                <w:szCs w:val="16"/>
                <w:b w:val="1"/>
                <w:bCs w:val="1"/>
                <w:color w:val="FFFFFF"/>
              </w:rPr>
              <w:t>Grant Date</w:t>
            </w:r>
          </w:p>
        </w:tc>
        <w:tc>
          <w:tcPr>
            <w:tcW w:w="11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Exercisable</w:t>
            </w:r>
          </w:p>
        </w:tc>
        <w:tc>
          <w:tcPr>
            <w:tcW w:w="138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97"/>
              </w:rPr>
              <w:t>Unexercisable</w:t>
            </w:r>
            <w:r>
              <w:rPr>
                <w:rFonts w:ascii="Arial" w:cs="Arial" w:eastAsia="Arial" w:hAnsi="Arial"/>
                <w:sz w:val="25"/>
                <w:szCs w:val="25"/>
                <w:b w:val="1"/>
                <w:bCs w:val="1"/>
                <w:color w:val="FFFFFF"/>
                <w:w w:val="97"/>
                <w:vertAlign w:val="superscript"/>
              </w:rPr>
              <w:t>(1)</w:t>
            </w:r>
          </w:p>
        </w:tc>
        <w:tc>
          <w:tcPr>
            <w:tcW w:w="124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97"/>
              </w:rPr>
              <w:t>Options (#)</w:t>
            </w:r>
            <w:r>
              <w:rPr>
                <w:rFonts w:ascii="Arial" w:cs="Arial" w:eastAsia="Arial" w:hAnsi="Arial"/>
                <w:sz w:val="25"/>
                <w:szCs w:val="25"/>
                <w:b w:val="1"/>
                <w:bCs w:val="1"/>
                <w:color w:val="FFFFFF"/>
                <w:w w:val="97"/>
                <w:vertAlign w:val="superscript"/>
              </w:rPr>
              <w:t>(2)</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w:t>
            </w:r>
          </w:p>
        </w:tc>
        <w:tc>
          <w:tcPr>
            <w:tcW w:w="1060" w:type="dxa"/>
            <w:vAlign w:val="bottom"/>
            <w:tcBorders>
              <w:right w:val="single" w:sz="8" w:color="3C5896"/>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94"/>
              </w:rPr>
              <w:t>Date</w:t>
            </w:r>
            <w:r>
              <w:rPr>
                <w:rFonts w:ascii="Arial" w:cs="Arial" w:eastAsia="Arial" w:hAnsi="Arial"/>
                <w:sz w:val="25"/>
                <w:szCs w:val="25"/>
                <w:b w:val="1"/>
                <w:bCs w:val="1"/>
                <w:color w:val="FFFFFF"/>
                <w:w w:val="94"/>
                <w:vertAlign w:val="superscript"/>
              </w:rPr>
              <w:t>(3)</w:t>
            </w:r>
          </w:p>
        </w:tc>
      </w:tr>
      <w:tr>
        <w:trPr>
          <w:trHeight w:val="257"/>
        </w:trPr>
        <w:tc>
          <w:tcPr>
            <w:tcW w:w="22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L. Reade Fahs</w:t>
            </w:r>
          </w:p>
        </w:tc>
        <w:tc>
          <w:tcPr>
            <w:tcW w:w="1300" w:type="dxa"/>
            <w:vAlign w:val="bottom"/>
            <w:tcBorders>
              <w:right w:val="single" w:sz="8" w:color="9EACCA"/>
            </w:tcBorders>
          </w:tcPr>
          <w:p>
            <w:pPr>
              <w:jc w:val="right"/>
              <w:ind w:right="111"/>
              <w:spacing w:after="0"/>
              <w:rPr>
                <w:sz w:val="20"/>
                <w:szCs w:val="20"/>
                <w:color w:val="auto"/>
              </w:rPr>
            </w:pPr>
            <w:r>
              <w:rPr>
                <w:rFonts w:ascii="Arial" w:cs="Arial" w:eastAsia="Arial" w:hAnsi="Arial"/>
                <w:sz w:val="18"/>
                <w:szCs w:val="18"/>
                <w:color w:val="auto"/>
              </w:rPr>
              <w:t>3/13/2014</w:t>
            </w:r>
          </w:p>
        </w:tc>
        <w:tc>
          <w:tcPr>
            <w:tcW w:w="1140" w:type="dxa"/>
            <w:vAlign w:val="bottom"/>
            <w:tcBorders>
              <w:right w:val="single" w:sz="8" w:color="9EACCA"/>
            </w:tcBorders>
          </w:tcPr>
          <w:p>
            <w:pPr>
              <w:jc w:val="right"/>
              <w:ind w:right="173"/>
              <w:spacing w:after="0"/>
              <w:rPr>
                <w:sz w:val="20"/>
                <w:szCs w:val="20"/>
                <w:color w:val="auto"/>
              </w:rPr>
            </w:pPr>
            <w:r>
              <w:rPr>
                <w:rFonts w:ascii="Arial" w:cs="Arial" w:eastAsia="Arial" w:hAnsi="Arial"/>
                <w:sz w:val="18"/>
                <w:szCs w:val="18"/>
                <w:color w:val="auto"/>
              </w:rPr>
              <w:t>694,209</w:t>
            </w:r>
          </w:p>
        </w:tc>
        <w:tc>
          <w:tcPr>
            <w:tcW w:w="1380" w:type="dxa"/>
            <w:vAlign w:val="bottom"/>
            <w:tcBorders>
              <w:right w:val="single" w:sz="8" w:color="9EACCA"/>
            </w:tcBorders>
          </w:tcPr>
          <w:p>
            <w:pPr>
              <w:jc w:val="right"/>
              <w:ind w:right="293"/>
              <w:spacing w:after="0"/>
              <w:rPr>
                <w:sz w:val="20"/>
                <w:szCs w:val="20"/>
                <w:color w:val="auto"/>
              </w:rPr>
            </w:pPr>
            <w:r>
              <w:rPr>
                <w:rFonts w:ascii="Arial" w:cs="Arial" w:eastAsia="Arial" w:hAnsi="Arial"/>
                <w:sz w:val="18"/>
                <w:szCs w:val="18"/>
                <w:color w:val="auto"/>
              </w:rPr>
              <w:t>122,059</w:t>
            </w:r>
          </w:p>
        </w:tc>
        <w:tc>
          <w:tcPr>
            <w:tcW w:w="1240" w:type="dxa"/>
            <w:vAlign w:val="bottom"/>
            <w:tcBorders>
              <w:right w:val="single" w:sz="8" w:color="9EACCA"/>
            </w:tcBorders>
          </w:tcPr>
          <w:p>
            <w:pPr>
              <w:jc w:val="right"/>
              <w:ind w:right="214"/>
              <w:spacing w:after="0"/>
              <w:rPr>
                <w:sz w:val="20"/>
                <w:szCs w:val="20"/>
                <w:color w:val="auto"/>
              </w:rPr>
            </w:pPr>
            <w:r>
              <w:rPr>
                <w:rFonts w:ascii="Arial" w:cs="Arial" w:eastAsia="Arial" w:hAnsi="Arial"/>
                <w:sz w:val="18"/>
                <w:szCs w:val="18"/>
                <w:color w:val="auto"/>
              </w:rPr>
              <w:t>343,289</w:t>
            </w:r>
          </w:p>
        </w:tc>
        <w:tc>
          <w:tcPr>
            <w:tcW w:w="860" w:type="dxa"/>
            <w:vAlign w:val="bottom"/>
            <w:tcBorders>
              <w:right w:val="single" w:sz="8" w:color="9EACCA"/>
            </w:tcBorders>
          </w:tcPr>
          <w:p>
            <w:pPr>
              <w:jc w:val="right"/>
              <w:ind w:right="112"/>
              <w:spacing w:after="0"/>
              <w:rPr>
                <w:sz w:val="20"/>
                <w:szCs w:val="20"/>
                <w:color w:val="auto"/>
              </w:rPr>
            </w:pPr>
            <w:r>
              <w:rPr>
                <w:rFonts w:ascii="Arial" w:cs="Arial" w:eastAsia="Arial" w:hAnsi="Arial"/>
                <w:sz w:val="18"/>
                <w:szCs w:val="18"/>
                <w:color w:val="auto"/>
              </w:rPr>
              <w:t>4.27</w:t>
            </w:r>
          </w:p>
        </w:tc>
        <w:tc>
          <w:tcPr>
            <w:tcW w:w="106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3/13/2024</w:t>
            </w:r>
          </w:p>
        </w:tc>
      </w:tr>
      <w:tr>
        <w:trPr>
          <w:trHeight w:val="257"/>
        </w:trPr>
        <w:tc>
          <w:tcPr>
            <w:tcW w:w="22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Patrick R. Moore</w:t>
            </w:r>
          </w:p>
        </w:tc>
        <w:tc>
          <w:tcPr>
            <w:tcW w:w="130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8"/>
                <w:szCs w:val="18"/>
                <w:color w:val="auto"/>
              </w:rPr>
              <w:t>9/16/2014</w:t>
            </w:r>
          </w:p>
        </w:tc>
        <w:tc>
          <w:tcPr>
            <w:tcW w:w="1140" w:type="dxa"/>
            <w:vAlign w:val="bottom"/>
            <w:tcBorders>
              <w:right w:val="single" w:sz="8" w:color="9EACCA"/>
            </w:tcBorders>
            <w:shd w:val="clear" w:color="auto" w:fill="CCCCCC"/>
          </w:tcPr>
          <w:p>
            <w:pPr>
              <w:jc w:val="right"/>
              <w:ind w:right="173"/>
              <w:spacing w:after="0"/>
              <w:rPr>
                <w:sz w:val="20"/>
                <w:szCs w:val="20"/>
                <w:color w:val="auto"/>
              </w:rPr>
            </w:pPr>
            <w:r>
              <w:rPr>
                <w:rFonts w:ascii="Arial" w:cs="Arial" w:eastAsia="Arial" w:hAnsi="Arial"/>
                <w:sz w:val="18"/>
                <w:szCs w:val="18"/>
                <w:color w:val="auto"/>
              </w:rPr>
              <w:t>142,845</w:t>
            </w:r>
          </w:p>
        </w:tc>
        <w:tc>
          <w:tcPr>
            <w:tcW w:w="1380" w:type="dxa"/>
            <w:vAlign w:val="bottom"/>
            <w:tcBorders>
              <w:right w:val="single" w:sz="8" w:color="9EACCA"/>
            </w:tcBorders>
            <w:shd w:val="clear" w:color="auto" w:fill="CCCCCC"/>
          </w:tcPr>
          <w:p>
            <w:pPr>
              <w:jc w:val="right"/>
              <w:ind w:right="293"/>
              <w:spacing w:after="0"/>
              <w:rPr>
                <w:sz w:val="20"/>
                <w:szCs w:val="20"/>
                <w:color w:val="auto"/>
              </w:rPr>
            </w:pPr>
            <w:r>
              <w:rPr>
                <w:rFonts w:ascii="Arial" w:cs="Arial" w:eastAsia="Arial" w:hAnsi="Arial"/>
                <w:sz w:val="18"/>
                <w:szCs w:val="18"/>
                <w:color w:val="auto"/>
              </w:rPr>
              <w:t>21,360</w:t>
            </w:r>
          </w:p>
        </w:tc>
        <w:tc>
          <w:tcPr>
            <w:tcW w:w="1240" w:type="dxa"/>
            <w:vAlign w:val="bottom"/>
            <w:tcBorders>
              <w:right w:val="single" w:sz="8" w:color="9EACCA"/>
            </w:tcBorders>
            <w:shd w:val="clear" w:color="auto" w:fill="CCCCCC"/>
          </w:tcPr>
          <w:p>
            <w:pPr>
              <w:jc w:val="right"/>
              <w:ind w:right="214"/>
              <w:spacing w:after="0"/>
              <w:rPr>
                <w:sz w:val="20"/>
                <w:szCs w:val="20"/>
                <w:color w:val="auto"/>
              </w:rPr>
            </w:pPr>
            <w:r>
              <w:rPr>
                <w:rFonts w:ascii="Arial" w:cs="Arial" w:eastAsia="Arial" w:hAnsi="Arial"/>
                <w:sz w:val="18"/>
                <w:szCs w:val="18"/>
                <w:color w:val="auto"/>
              </w:rPr>
              <w:t>60,076</w:t>
            </w:r>
          </w:p>
        </w:tc>
        <w:tc>
          <w:tcPr>
            <w:tcW w:w="860" w:type="dxa"/>
            <w:vAlign w:val="bottom"/>
            <w:tcBorders>
              <w:right w:val="single" w:sz="8" w:color="9EACCA"/>
            </w:tcBorders>
            <w:shd w:val="clear" w:color="auto" w:fill="CCCCCC"/>
          </w:tcPr>
          <w:p>
            <w:pPr>
              <w:jc w:val="right"/>
              <w:ind w:right="112"/>
              <w:spacing w:after="0"/>
              <w:rPr>
                <w:sz w:val="20"/>
                <w:szCs w:val="20"/>
                <w:color w:val="auto"/>
              </w:rPr>
            </w:pPr>
            <w:r>
              <w:rPr>
                <w:rFonts w:ascii="Arial" w:cs="Arial" w:eastAsia="Arial" w:hAnsi="Arial"/>
                <w:sz w:val="18"/>
                <w:szCs w:val="18"/>
                <w:color w:val="auto"/>
              </w:rPr>
              <w:t>4.27</w:t>
            </w:r>
          </w:p>
        </w:tc>
        <w:tc>
          <w:tcPr>
            <w:tcW w:w="106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9/16/2024</w:t>
            </w:r>
          </w:p>
        </w:tc>
      </w:tr>
      <w:tr>
        <w:trPr>
          <w:trHeight w:val="257"/>
        </w:trPr>
        <w:tc>
          <w:tcPr>
            <w:tcW w:w="2220" w:type="dxa"/>
            <w:vAlign w:val="bottom"/>
            <w:tcBorders>
              <w:left w:val="single" w:sz="8" w:color="3C5896"/>
              <w:right w:val="single" w:sz="8" w:color="9EACCA"/>
            </w:tcBorders>
          </w:tcPr>
          <w:p>
            <w:pPr>
              <w:spacing w:after="0"/>
              <w:rPr>
                <w:sz w:val="22"/>
                <w:szCs w:val="22"/>
                <w:color w:val="auto"/>
              </w:rPr>
            </w:pPr>
          </w:p>
        </w:tc>
        <w:tc>
          <w:tcPr>
            <w:tcW w:w="1300" w:type="dxa"/>
            <w:vAlign w:val="bottom"/>
            <w:tcBorders>
              <w:right w:val="single" w:sz="8" w:color="9EACCA"/>
            </w:tcBorders>
          </w:tcPr>
          <w:p>
            <w:pPr>
              <w:jc w:val="right"/>
              <w:ind w:right="111"/>
              <w:spacing w:after="0"/>
              <w:rPr>
                <w:sz w:val="20"/>
                <w:szCs w:val="20"/>
                <w:color w:val="auto"/>
              </w:rPr>
            </w:pPr>
            <w:r>
              <w:rPr>
                <w:rFonts w:ascii="Arial" w:cs="Arial" w:eastAsia="Arial" w:hAnsi="Arial"/>
                <w:sz w:val="18"/>
                <w:szCs w:val="18"/>
                <w:color w:val="auto"/>
              </w:rPr>
              <w:t>9/16/2014</w:t>
            </w:r>
          </w:p>
        </w:tc>
        <w:tc>
          <w:tcPr>
            <w:tcW w:w="1140" w:type="dxa"/>
            <w:vAlign w:val="bottom"/>
            <w:tcBorders>
              <w:right w:val="single" w:sz="8" w:color="9EACCA"/>
            </w:tcBorders>
          </w:tcPr>
          <w:p>
            <w:pPr>
              <w:jc w:val="right"/>
              <w:ind w:right="173"/>
              <w:spacing w:after="0"/>
              <w:rPr>
                <w:sz w:val="20"/>
                <w:szCs w:val="20"/>
                <w:color w:val="auto"/>
              </w:rPr>
            </w:pPr>
            <w:r>
              <w:rPr>
                <w:rFonts w:ascii="Arial" w:cs="Arial" w:eastAsia="Arial" w:hAnsi="Arial"/>
                <w:sz w:val="18"/>
                <w:szCs w:val="18"/>
                <w:color w:val="auto"/>
              </w:rPr>
              <w:t>21,360</w:t>
            </w:r>
          </w:p>
        </w:tc>
        <w:tc>
          <w:tcPr>
            <w:tcW w:w="1380" w:type="dxa"/>
            <w:vAlign w:val="bottom"/>
            <w:tcBorders>
              <w:right w:val="single" w:sz="8" w:color="9EACCA"/>
            </w:tcBorders>
          </w:tcPr>
          <w:p>
            <w:pPr>
              <w:jc w:val="right"/>
              <w:ind w:right="293"/>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9EACCA"/>
            </w:tcBorders>
          </w:tcPr>
          <w:p>
            <w:pPr>
              <w:jc w:val="right"/>
              <w:ind w:right="21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9EACCA"/>
            </w:tcBorders>
          </w:tcPr>
          <w:p>
            <w:pPr>
              <w:jc w:val="right"/>
              <w:ind w:right="112"/>
              <w:spacing w:after="0"/>
              <w:rPr>
                <w:sz w:val="20"/>
                <w:szCs w:val="20"/>
                <w:color w:val="auto"/>
              </w:rPr>
            </w:pPr>
            <w:r>
              <w:rPr>
                <w:rFonts w:ascii="Arial" w:cs="Arial" w:eastAsia="Arial" w:hAnsi="Arial"/>
                <w:sz w:val="18"/>
                <w:szCs w:val="18"/>
                <w:color w:val="auto"/>
              </w:rPr>
              <w:t>7.25</w:t>
            </w:r>
          </w:p>
        </w:tc>
        <w:tc>
          <w:tcPr>
            <w:tcW w:w="106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9/16/2024</w:t>
            </w:r>
          </w:p>
        </w:tc>
      </w:tr>
      <w:tr>
        <w:trPr>
          <w:trHeight w:val="257"/>
        </w:trPr>
        <w:tc>
          <w:tcPr>
            <w:tcW w:w="2220" w:type="dxa"/>
            <w:vAlign w:val="bottom"/>
            <w:tcBorders>
              <w:left w:val="single" w:sz="8" w:color="3C5896"/>
              <w:right w:val="single" w:sz="8" w:color="9EACCA"/>
            </w:tcBorders>
            <w:shd w:val="clear" w:color="auto" w:fill="CCCCCC"/>
          </w:tcPr>
          <w:p>
            <w:pPr>
              <w:spacing w:after="0"/>
              <w:rPr>
                <w:sz w:val="22"/>
                <w:szCs w:val="22"/>
                <w:color w:val="auto"/>
              </w:rPr>
            </w:pPr>
          </w:p>
        </w:tc>
        <w:tc>
          <w:tcPr>
            <w:tcW w:w="130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8"/>
                <w:szCs w:val="18"/>
                <w:color w:val="auto"/>
              </w:rPr>
              <w:t>10/25/2017</w:t>
            </w:r>
          </w:p>
        </w:tc>
        <w:tc>
          <w:tcPr>
            <w:tcW w:w="1140" w:type="dxa"/>
            <w:vAlign w:val="bottom"/>
            <w:tcBorders>
              <w:right w:val="single" w:sz="8" w:color="9EACCA"/>
            </w:tcBorders>
            <w:shd w:val="clear" w:color="auto" w:fill="CCCCCC"/>
          </w:tcPr>
          <w:p>
            <w:pPr>
              <w:jc w:val="right"/>
              <w:ind w:right="173"/>
              <w:spacing w:after="0"/>
              <w:rPr>
                <w:sz w:val="20"/>
                <w:szCs w:val="20"/>
                <w:color w:val="auto"/>
              </w:rPr>
            </w:pPr>
            <w:r>
              <w:rPr>
                <w:rFonts w:ascii="Arial" w:cs="Arial" w:eastAsia="Arial" w:hAnsi="Arial"/>
                <w:sz w:val="18"/>
                <w:szCs w:val="18"/>
                <w:color w:val="auto"/>
              </w:rPr>
              <w:t>30,814</w:t>
            </w:r>
          </w:p>
        </w:tc>
        <w:tc>
          <w:tcPr>
            <w:tcW w:w="1380" w:type="dxa"/>
            <w:vAlign w:val="bottom"/>
            <w:tcBorders>
              <w:right w:val="single" w:sz="8" w:color="9EACCA"/>
            </w:tcBorders>
            <w:shd w:val="clear" w:color="auto" w:fill="CCCCCC"/>
          </w:tcPr>
          <w:p>
            <w:pPr>
              <w:jc w:val="right"/>
              <w:ind w:right="293"/>
              <w:spacing w:after="0"/>
              <w:rPr>
                <w:sz w:val="20"/>
                <w:szCs w:val="20"/>
                <w:color w:val="auto"/>
              </w:rPr>
            </w:pPr>
            <w:r>
              <w:rPr>
                <w:rFonts w:ascii="Arial" w:cs="Arial" w:eastAsia="Arial" w:hAnsi="Arial"/>
                <w:sz w:val="18"/>
                <w:szCs w:val="18"/>
                <w:color w:val="auto"/>
              </w:rPr>
              <w:t>61,629</w:t>
            </w:r>
          </w:p>
        </w:tc>
        <w:tc>
          <w:tcPr>
            <w:tcW w:w="1240" w:type="dxa"/>
            <w:vAlign w:val="bottom"/>
            <w:tcBorders>
              <w:right w:val="single" w:sz="8" w:color="9EACCA"/>
            </w:tcBorders>
            <w:shd w:val="clear" w:color="auto" w:fill="CCCCCC"/>
          </w:tcPr>
          <w:p>
            <w:pPr>
              <w:jc w:val="right"/>
              <w:ind w:right="21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9EACCA"/>
            </w:tcBorders>
            <w:shd w:val="clear" w:color="auto" w:fill="CCCCCC"/>
          </w:tcPr>
          <w:p>
            <w:pPr>
              <w:jc w:val="right"/>
              <w:ind w:right="112"/>
              <w:spacing w:after="0"/>
              <w:rPr>
                <w:sz w:val="20"/>
                <w:szCs w:val="20"/>
                <w:color w:val="auto"/>
              </w:rPr>
            </w:pPr>
            <w:r>
              <w:rPr>
                <w:rFonts w:ascii="Arial" w:cs="Arial" w:eastAsia="Arial" w:hAnsi="Arial"/>
                <w:sz w:val="18"/>
                <w:szCs w:val="18"/>
                <w:color w:val="auto"/>
              </w:rPr>
              <w:t>22.00</w:t>
            </w:r>
          </w:p>
        </w:tc>
        <w:tc>
          <w:tcPr>
            <w:tcW w:w="106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highlight w:val="lightGray"/>
              </w:rPr>
              <w:t>10/25/2027</w:t>
            </w:r>
          </w:p>
        </w:tc>
      </w:tr>
      <w:tr>
        <w:trPr>
          <w:trHeight w:val="257"/>
        </w:trPr>
        <w:tc>
          <w:tcPr>
            <w:tcW w:w="22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Jeff McAllister</w:t>
            </w:r>
          </w:p>
        </w:tc>
        <w:tc>
          <w:tcPr>
            <w:tcW w:w="1300" w:type="dxa"/>
            <w:vAlign w:val="bottom"/>
            <w:tcBorders>
              <w:right w:val="single" w:sz="8" w:color="9EACCA"/>
            </w:tcBorders>
          </w:tcPr>
          <w:p>
            <w:pPr>
              <w:jc w:val="right"/>
              <w:ind w:right="111"/>
              <w:spacing w:after="0"/>
              <w:rPr>
                <w:sz w:val="20"/>
                <w:szCs w:val="20"/>
                <w:color w:val="auto"/>
              </w:rPr>
            </w:pPr>
            <w:r>
              <w:rPr>
                <w:rFonts w:ascii="Arial" w:cs="Arial" w:eastAsia="Arial" w:hAnsi="Arial"/>
                <w:sz w:val="18"/>
                <w:szCs w:val="18"/>
                <w:color w:val="auto"/>
              </w:rPr>
              <w:t>8/14/2017</w:t>
            </w:r>
          </w:p>
        </w:tc>
        <w:tc>
          <w:tcPr>
            <w:tcW w:w="1140" w:type="dxa"/>
            <w:vAlign w:val="bottom"/>
            <w:tcBorders>
              <w:right w:val="single" w:sz="8" w:color="9EACCA"/>
            </w:tcBorders>
          </w:tcPr>
          <w:p>
            <w:pPr>
              <w:jc w:val="right"/>
              <w:ind w:right="173"/>
              <w:spacing w:after="0"/>
              <w:rPr>
                <w:sz w:val="20"/>
                <w:szCs w:val="20"/>
                <w:color w:val="auto"/>
              </w:rPr>
            </w:pPr>
            <w:r>
              <w:rPr>
                <w:rFonts w:ascii="Arial" w:cs="Arial" w:eastAsia="Arial" w:hAnsi="Arial"/>
                <w:sz w:val="18"/>
                <w:szCs w:val="18"/>
                <w:color w:val="auto"/>
              </w:rPr>
              <w:t>95,521</w:t>
            </w:r>
          </w:p>
        </w:tc>
        <w:tc>
          <w:tcPr>
            <w:tcW w:w="1380" w:type="dxa"/>
            <w:vAlign w:val="bottom"/>
            <w:tcBorders>
              <w:right w:val="single" w:sz="8" w:color="9EACCA"/>
            </w:tcBorders>
          </w:tcPr>
          <w:p>
            <w:pPr>
              <w:jc w:val="right"/>
              <w:ind w:right="293"/>
              <w:spacing w:after="0"/>
              <w:rPr>
                <w:sz w:val="20"/>
                <w:szCs w:val="20"/>
                <w:color w:val="auto"/>
              </w:rPr>
            </w:pPr>
            <w:r>
              <w:rPr>
                <w:rFonts w:ascii="Arial" w:cs="Arial" w:eastAsia="Arial" w:hAnsi="Arial"/>
                <w:sz w:val="18"/>
                <w:szCs w:val="18"/>
                <w:color w:val="auto"/>
              </w:rPr>
              <w:t>115,942</w:t>
            </w:r>
          </w:p>
        </w:tc>
        <w:tc>
          <w:tcPr>
            <w:tcW w:w="1240" w:type="dxa"/>
            <w:vAlign w:val="bottom"/>
            <w:tcBorders>
              <w:right w:val="single" w:sz="8" w:color="9EACCA"/>
            </w:tcBorders>
          </w:tcPr>
          <w:p>
            <w:pPr>
              <w:jc w:val="right"/>
              <w:ind w:right="214"/>
              <w:spacing w:after="0"/>
              <w:rPr>
                <w:sz w:val="20"/>
                <w:szCs w:val="20"/>
                <w:color w:val="auto"/>
              </w:rPr>
            </w:pPr>
            <w:r>
              <w:rPr>
                <w:rFonts w:ascii="Arial" w:cs="Arial" w:eastAsia="Arial" w:hAnsi="Arial"/>
                <w:sz w:val="18"/>
                <w:szCs w:val="18"/>
                <w:color w:val="auto"/>
              </w:rPr>
              <w:t>150,854</w:t>
            </w:r>
          </w:p>
        </w:tc>
        <w:tc>
          <w:tcPr>
            <w:tcW w:w="860" w:type="dxa"/>
            <w:vAlign w:val="bottom"/>
            <w:tcBorders>
              <w:right w:val="single" w:sz="8" w:color="9EACCA"/>
            </w:tcBorders>
          </w:tcPr>
          <w:p>
            <w:pPr>
              <w:jc w:val="right"/>
              <w:ind w:right="112"/>
              <w:spacing w:after="0"/>
              <w:rPr>
                <w:sz w:val="20"/>
                <w:szCs w:val="20"/>
                <w:color w:val="auto"/>
              </w:rPr>
            </w:pPr>
            <w:r>
              <w:rPr>
                <w:rFonts w:ascii="Arial" w:cs="Arial" w:eastAsia="Arial" w:hAnsi="Arial"/>
                <w:sz w:val="18"/>
                <w:szCs w:val="18"/>
                <w:color w:val="auto"/>
              </w:rPr>
              <w:t>15.74</w:t>
            </w:r>
          </w:p>
        </w:tc>
        <w:tc>
          <w:tcPr>
            <w:tcW w:w="106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8/14/2027</w:t>
            </w:r>
          </w:p>
        </w:tc>
      </w:tr>
      <w:tr>
        <w:trPr>
          <w:trHeight w:val="257"/>
        </w:trPr>
        <w:tc>
          <w:tcPr>
            <w:tcW w:w="22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Mitchell Goodman</w:t>
            </w:r>
          </w:p>
        </w:tc>
        <w:tc>
          <w:tcPr>
            <w:tcW w:w="130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8"/>
                <w:szCs w:val="18"/>
                <w:color w:val="auto"/>
              </w:rPr>
              <w:t>3/13/2014</w:t>
            </w:r>
          </w:p>
        </w:tc>
        <w:tc>
          <w:tcPr>
            <w:tcW w:w="1140" w:type="dxa"/>
            <w:vAlign w:val="bottom"/>
            <w:tcBorders>
              <w:right w:val="single" w:sz="8" w:color="9EACCA"/>
            </w:tcBorders>
            <w:shd w:val="clear" w:color="auto" w:fill="CCCCCC"/>
          </w:tcPr>
          <w:p>
            <w:pPr>
              <w:jc w:val="right"/>
              <w:ind w:right="173"/>
              <w:spacing w:after="0"/>
              <w:rPr>
                <w:sz w:val="20"/>
                <w:szCs w:val="20"/>
                <w:color w:val="auto"/>
              </w:rPr>
            </w:pPr>
            <w:r>
              <w:rPr>
                <w:rFonts w:ascii="Arial" w:cs="Arial" w:eastAsia="Arial" w:hAnsi="Arial"/>
                <w:sz w:val="18"/>
                <w:szCs w:val="18"/>
                <w:color w:val="auto"/>
              </w:rPr>
              <w:t>48,060</w:t>
            </w:r>
          </w:p>
        </w:tc>
        <w:tc>
          <w:tcPr>
            <w:tcW w:w="1380" w:type="dxa"/>
            <w:vAlign w:val="bottom"/>
            <w:tcBorders>
              <w:right w:val="single" w:sz="8" w:color="9EACCA"/>
            </w:tcBorders>
            <w:shd w:val="clear" w:color="auto" w:fill="CCCCCC"/>
          </w:tcPr>
          <w:p>
            <w:pPr>
              <w:jc w:val="right"/>
              <w:ind w:right="293"/>
              <w:spacing w:after="0"/>
              <w:rPr>
                <w:sz w:val="20"/>
                <w:szCs w:val="20"/>
                <w:color w:val="auto"/>
              </w:rPr>
            </w:pPr>
            <w:r>
              <w:rPr>
                <w:rFonts w:ascii="Arial" w:cs="Arial" w:eastAsia="Arial" w:hAnsi="Arial"/>
                <w:sz w:val="18"/>
                <w:szCs w:val="18"/>
                <w:color w:val="auto"/>
              </w:rPr>
              <w:t>28,480</w:t>
            </w:r>
          </w:p>
        </w:tc>
        <w:tc>
          <w:tcPr>
            <w:tcW w:w="1240" w:type="dxa"/>
            <w:vAlign w:val="bottom"/>
            <w:tcBorders>
              <w:right w:val="single" w:sz="8" w:color="9EACCA"/>
            </w:tcBorders>
            <w:shd w:val="clear" w:color="auto" w:fill="CCCCCC"/>
          </w:tcPr>
          <w:p>
            <w:pPr>
              <w:jc w:val="right"/>
              <w:ind w:right="214"/>
              <w:spacing w:after="0"/>
              <w:rPr>
                <w:sz w:val="20"/>
                <w:szCs w:val="20"/>
                <w:color w:val="auto"/>
              </w:rPr>
            </w:pPr>
            <w:r>
              <w:rPr>
                <w:rFonts w:ascii="Arial" w:cs="Arial" w:eastAsia="Arial" w:hAnsi="Arial"/>
                <w:sz w:val="18"/>
                <w:szCs w:val="18"/>
                <w:color w:val="auto"/>
              </w:rPr>
              <w:t>80,102</w:t>
            </w:r>
          </w:p>
        </w:tc>
        <w:tc>
          <w:tcPr>
            <w:tcW w:w="860" w:type="dxa"/>
            <w:vAlign w:val="bottom"/>
            <w:tcBorders>
              <w:right w:val="single" w:sz="8" w:color="9EACCA"/>
            </w:tcBorders>
            <w:shd w:val="clear" w:color="auto" w:fill="CCCCCC"/>
          </w:tcPr>
          <w:p>
            <w:pPr>
              <w:jc w:val="right"/>
              <w:ind w:right="112"/>
              <w:spacing w:after="0"/>
              <w:rPr>
                <w:sz w:val="20"/>
                <w:szCs w:val="20"/>
                <w:color w:val="auto"/>
              </w:rPr>
            </w:pPr>
            <w:r>
              <w:rPr>
                <w:rFonts w:ascii="Arial" w:cs="Arial" w:eastAsia="Arial" w:hAnsi="Arial"/>
                <w:sz w:val="18"/>
                <w:szCs w:val="18"/>
                <w:color w:val="auto"/>
              </w:rPr>
              <w:t>4.27</w:t>
            </w:r>
          </w:p>
        </w:tc>
        <w:tc>
          <w:tcPr>
            <w:tcW w:w="106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3/13/2024</w:t>
            </w:r>
          </w:p>
        </w:tc>
      </w:tr>
      <w:tr>
        <w:trPr>
          <w:trHeight w:val="257"/>
        </w:trPr>
        <w:tc>
          <w:tcPr>
            <w:tcW w:w="2220" w:type="dxa"/>
            <w:vAlign w:val="bottom"/>
            <w:tcBorders>
              <w:left w:val="single" w:sz="8" w:color="3C5896"/>
              <w:right w:val="single" w:sz="8" w:color="9EACCA"/>
            </w:tcBorders>
          </w:tcPr>
          <w:p>
            <w:pPr>
              <w:spacing w:after="0"/>
              <w:rPr>
                <w:sz w:val="22"/>
                <w:szCs w:val="22"/>
                <w:color w:val="auto"/>
              </w:rPr>
            </w:pPr>
          </w:p>
        </w:tc>
        <w:tc>
          <w:tcPr>
            <w:tcW w:w="1300" w:type="dxa"/>
            <w:vAlign w:val="bottom"/>
            <w:tcBorders>
              <w:right w:val="single" w:sz="8" w:color="9EACCA"/>
            </w:tcBorders>
          </w:tcPr>
          <w:p>
            <w:pPr>
              <w:jc w:val="right"/>
              <w:ind w:right="111"/>
              <w:spacing w:after="0"/>
              <w:rPr>
                <w:sz w:val="20"/>
                <w:szCs w:val="20"/>
                <w:color w:val="auto"/>
              </w:rPr>
            </w:pPr>
            <w:r>
              <w:rPr>
                <w:rFonts w:ascii="Arial" w:cs="Arial" w:eastAsia="Arial" w:hAnsi="Arial"/>
                <w:sz w:val="18"/>
                <w:szCs w:val="18"/>
                <w:color w:val="auto"/>
              </w:rPr>
              <w:t>3/13/2014</w:t>
            </w:r>
          </w:p>
        </w:tc>
        <w:tc>
          <w:tcPr>
            <w:tcW w:w="1140" w:type="dxa"/>
            <w:vAlign w:val="bottom"/>
            <w:tcBorders>
              <w:right w:val="single" w:sz="8" w:color="9EACCA"/>
            </w:tcBorders>
          </w:tcPr>
          <w:p>
            <w:pPr>
              <w:jc w:val="right"/>
              <w:ind w:right="173"/>
              <w:spacing w:after="0"/>
              <w:rPr>
                <w:sz w:val="20"/>
                <w:szCs w:val="20"/>
                <w:color w:val="auto"/>
              </w:rPr>
            </w:pPr>
            <w:r>
              <w:rPr>
                <w:rFonts w:ascii="Arial" w:cs="Arial" w:eastAsia="Arial" w:hAnsi="Arial"/>
                <w:sz w:val="18"/>
                <w:szCs w:val="18"/>
                <w:color w:val="auto"/>
              </w:rPr>
              <w:t>3,650</w:t>
            </w:r>
          </w:p>
        </w:tc>
        <w:tc>
          <w:tcPr>
            <w:tcW w:w="1380" w:type="dxa"/>
            <w:vAlign w:val="bottom"/>
            <w:tcBorders>
              <w:right w:val="single" w:sz="8" w:color="9EACCA"/>
            </w:tcBorders>
          </w:tcPr>
          <w:p>
            <w:pPr>
              <w:jc w:val="right"/>
              <w:ind w:right="293"/>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9EACCA"/>
            </w:tcBorders>
          </w:tcPr>
          <w:p>
            <w:pPr>
              <w:jc w:val="right"/>
              <w:ind w:right="21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9EACCA"/>
            </w:tcBorders>
          </w:tcPr>
          <w:p>
            <w:pPr>
              <w:jc w:val="right"/>
              <w:ind w:right="112"/>
              <w:spacing w:after="0"/>
              <w:rPr>
                <w:sz w:val="20"/>
                <w:szCs w:val="20"/>
                <w:color w:val="auto"/>
              </w:rPr>
            </w:pPr>
            <w:r>
              <w:rPr>
                <w:rFonts w:ascii="Arial" w:cs="Arial" w:eastAsia="Arial" w:hAnsi="Arial"/>
                <w:sz w:val="18"/>
                <w:szCs w:val="18"/>
                <w:color w:val="auto"/>
              </w:rPr>
              <w:t>7.25</w:t>
            </w:r>
          </w:p>
        </w:tc>
        <w:tc>
          <w:tcPr>
            <w:tcW w:w="106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3/13/2024</w:t>
            </w:r>
          </w:p>
        </w:tc>
      </w:tr>
      <w:tr>
        <w:trPr>
          <w:trHeight w:val="270"/>
        </w:trPr>
        <w:tc>
          <w:tcPr>
            <w:tcW w:w="2220" w:type="dxa"/>
            <w:vAlign w:val="bottom"/>
            <w:tcBorders>
              <w:left w:val="single" w:sz="8" w:color="3C5896"/>
              <w:right w:val="single" w:sz="8" w:color="9EACCA"/>
            </w:tcBorders>
            <w:shd w:val="clear" w:color="auto" w:fill="CCCCCC"/>
          </w:tcPr>
          <w:p>
            <w:pPr>
              <w:spacing w:after="0"/>
              <w:rPr>
                <w:sz w:val="23"/>
                <w:szCs w:val="23"/>
                <w:color w:val="auto"/>
              </w:rPr>
            </w:pPr>
          </w:p>
        </w:tc>
        <w:tc>
          <w:tcPr>
            <w:tcW w:w="130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8"/>
                <w:szCs w:val="18"/>
                <w:color w:val="auto"/>
              </w:rPr>
              <w:t>3/13/2014</w:t>
            </w:r>
          </w:p>
        </w:tc>
        <w:tc>
          <w:tcPr>
            <w:tcW w:w="1140" w:type="dxa"/>
            <w:vAlign w:val="bottom"/>
            <w:tcBorders>
              <w:right w:val="single" w:sz="8" w:color="9EACCA"/>
            </w:tcBorders>
            <w:shd w:val="clear" w:color="auto" w:fill="CCCCCC"/>
          </w:tcPr>
          <w:p>
            <w:pPr>
              <w:jc w:val="right"/>
              <w:ind w:right="173"/>
              <w:spacing w:after="0"/>
              <w:rPr>
                <w:sz w:val="20"/>
                <w:szCs w:val="20"/>
                <w:color w:val="auto"/>
              </w:rPr>
            </w:pPr>
            <w:r>
              <w:rPr>
                <w:rFonts w:ascii="Arial" w:cs="Arial" w:eastAsia="Arial" w:hAnsi="Arial"/>
                <w:sz w:val="18"/>
                <w:szCs w:val="18"/>
                <w:color w:val="auto"/>
              </w:rPr>
              <w:t>28,480</w:t>
            </w:r>
          </w:p>
        </w:tc>
        <w:tc>
          <w:tcPr>
            <w:tcW w:w="1380" w:type="dxa"/>
            <w:vAlign w:val="bottom"/>
            <w:tcBorders>
              <w:right w:val="single" w:sz="8" w:color="9EACCA"/>
            </w:tcBorders>
            <w:shd w:val="clear" w:color="auto" w:fill="CCCCCC"/>
          </w:tcPr>
          <w:p>
            <w:pPr>
              <w:jc w:val="right"/>
              <w:ind w:right="293"/>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9EACCA"/>
            </w:tcBorders>
            <w:shd w:val="clear" w:color="auto" w:fill="CCCCCC"/>
          </w:tcPr>
          <w:p>
            <w:pPr>
              <w:jc w:val="right"/>
              <w:ind w:right="21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9EACCA"/>
            </w:tcBorders>
            <w:shd w:val="clear" w:color="auto" w:fill="CCCCCC"/>
          </w:tcPr>
          <w:p>
            <w:pPr>
              <w:jc w:val="right"/>
              <w:ind w:right="112"/>
              <w:spacing w:after="0"/>
              <w:rPr>
                <w:sz w:val="20"/>
                <w:szCs w:val="20"/>
                <w:color w:val="auto"/>
              </w:rPr>
            </w:pPr>
            <w:r>
              <w:rPr>
                <w:rFonts w:ascii="Arial" w:cs="Arial" w:eastAsia="Arial" w:hAnsi="Arial"/>
                <w:sz w:val="18"/>
                <w:szCs w:val="18"/>
                <w:color w:val="auto"/>
              </w:rPr>
              <w:t>8.23</w:t>
            </w:r>
          </w:p>
        </w:tc>
        <w:tc>
          <w:tcPr>
            <w:tcW w:w="106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3/13/2024</w:t>
            </w:r>
          </w:p>
        </w:tc>
      </w:tr>
      <w:tr>
        <w:trPr>
          <w:trHeight w:val="270"/>
        </w:trPr>
        <w:tc>
          <w:tcPr>
            <w:tcW w:w="22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John Vaught</w:t>
            </w:r>
          </w:p>
        </w:tc>
        <w:tc>
          <w:tcPr>
            <w:tcW w:w="1300" w:type="dxa"/>
            <w:vAlign w:val="bottom"/>
            <w:tcBorders>
              <w:right w:val="single" w:sz="8" w:color="9EACCA"/>
            </w:tcBorders>
          </w:tcPr>
          <w:p>
            <w:pPr>
              <w:jc w:val="right"/>
              <w:ind w:right="111"/>
              <w:spacing w:after="0"/>
              <w:rPr>
                <w:sz w:val="20"/>
                <w:szCs w:val="20"/>
                <w:color w:val="auto"/>
              </w:rPr>
            </w:pPr>
            <w:r>
              <w:rPr>
                <w:rFonts w:ascii="Arial" w:cs="Arial" w:eastAsia="Arial" w:hAnsi="Arial"/>
                <w:sz w:val="18"/>
                <w:szCs w:val="18"/>
                <w:color w:val="auto"/>
              </w:rPr>
              <w:t>3/13/2014</w:t>
            </w:r>
          </w:p>
        </w:tc>
        <w:tc>
          <w:tcPr>
            <w:tcW w:w="1140" w:type="dxa"/>
            <w:vAlign w:val="bottom"/>
            <w:tcBorders>
              <w:right w:val="single" w:sz="8" w:color="9EACCA"/>
            </w:tcBorders>
          </w:tcPr>
          <w:p>
            <w:pPr>
              <w:spacing w:after="0"/>
              <w:rPr>
                <w:sz w:val="23"/>
                <w:szCs w:val="23"/>
                <w:color w:val="auto"/>
              </w:rPr>
            </w:pPr>
          </w:p>
        </w:tc>
        <w:tc>
          <w:tcPr>
            <w:tcW w:w="1380" w:type="dxa"/>
            <w:vAlign w:val="bottom"/>
            <w:tcBorders>
              <w:right w:val="single" w:sz="8" w:color="9EACCA"/>
            </w:tcBorders>
          </w:tcPr>
          <w:p>
            <w:pPr>
              <w:jc w:val="right"/>
              <w:ind w:right="293"/>
              <w:spacing w:after="0"/>
              <w:rPr>
                <w:sz w:val="20"/>
                <w:szCs w:val="20"/>
                <w:color w:val="auto"/>
              </w:rPr>
            </w:pPr>
            <w:r>
              <w:rPr>
                <w:rFonts w:ascii="Arial" w:cs="Arial" w:eastAsia="Arial" w:hAnsi="Arial"/>
                <w:sz w:val="18"/>
                <w:szCs w:val="18"/>
                <w:color w:val="auto"/>
              </w:rPr>
              <w:t>13,426</w:t>
            </w:r>
          </w:p>
        </w:tc>
        <w:tc>
          <w:tcPr>
            <w:tcW w:w="1240" w:type="dxa"/>
            <w:vAlign w:val="bottom"/>
            <w:tcBorders>
              <w:right w:val="single" w:sz="8" w:color="9EACCA"/>
            </w:tcBorders>
          </w:tcPr>
          <w:p>
            <w:pPr>
              <w:jc w:val="right"/>
              <w:ind w:right="214"/>
              <w:spacing w:after="0"/>
              <w:rPr>
                <w:sz w:val="20"/>
                <w:szCs w:val="20"/>
                <w:color w:val="auto"/>
              </w:rPr>
            </w:pPr>
            <w:r>
              <w:rPr>
                <w:rFonts w:ascii="Arial" w:cs="Arial" w:eastAsia="Arial" w:hAnsi="Arial"/>
                <w:sz w:val="18"/>
                <w:szCs w:val="18"/>
                <w:color w:val="auto"/>
              </w:rPr>
              <w:t>37,762</w:t>
            </w:r>
          </w:p>
        </w:tc>
        <w:tc>
          <w:tcPr>
            <w:tcW w:w="860" w:type="dxa"/>
            <w:vAlign w:val="bottom"/>
            <w:tcBorders>
              <w:right w:val="single" w:sz="8" w:color="9EACCA"/>
            </w:tcBorders>
          </w:tcPr>
          <w:p>
            <w:pPr>
              <w:jc w:val="right"/>
              <w:ind w:right="112"/>
              <w:spacing w:after="0"/>
              <w:rPr>
                <w:sz w:val="20"/>
                <w:szCs w:val="20"/>
                <w:color w:val="auto"/>
              </w:rPr>
            </w:pPr>
            <w:r>
              <w:rPr>
                <w:rFonts w:ascii="Arial" w:cs="Arial" w:eastAsia="Arial" w:hAnsi="Arial"/>
                <w:sz w:val="18"/>
                <w:szCs w:val="18"/>
                <w:color w:val="auto"/>
              </w:rPr>
              <w:t>4.27</w:t>
            </w:r>
          </w:p>
        </w:tc>
        <w:tc>
          <w:tcPr>
            <w:tcW w:w="106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3/13/2024</w:t>
            </w:r>
          </w:p>
        </w:tc>
      </w:tr>
      <w:tr>
        <w:trPr>
          <w:trHeight w:val="270"/>
        </w:trPr>
        <w:tc>
          <w:tcPr>
            <w:tcW w:w="2220" w:type="dxa"/>
            <w:vAlign w:val="bottom"/>
            <w:tcBorders>
              <w:left w:val="single" w:sz="8" w:color="3C5896"/>
              <w:right w:val="single" w:sz="8" w:color="9EACCA"/>
            </w:tcBorders>
            <w:shd w:val="clear" w:color="auto" w:fill="CCCCCC"/>
          </w:tcPr>
          <w:p>
            <w:pPr>
              <w:spacing w:after="0"/>
              <w:rPr>
                <w:sz w:val="23"/>
                <w:szCs w:val="23"/>
                <w:color w:val="auto"/>
              </w:rPr>
            </w:pPr>
          </w:p>
        </w:tc>
        <w:tc>
          <w:tcPr>
            <w:tcW w:w="130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8"/>
                <w:szCs w:val="18"/>
                <w:color w:val="auto"/>
              </w:rPr>
              <w:t>3/13/2014</w:t>
            </w:r>
          </w:p>
        </w:tc>
        <w:tc>
          <w:tcPr>
            <w:tcW w:w="1140" w:type="dxa"/>
            <w:vAlign w:val="bottom"/>
            <w:tcBorders>
              <w:right w:val="single" w:sz="8" w:color="9EACCA"/>
            </w:tcBorders>
            <w:shd w:val="clear" w:color="auto" w:fill="CCCCCC"/>
          </w:tcPr>
          <w:p>
            <w:pPr>
              <w:jc w:val="right"/>
              <w:ind w:right="173"/>
              <w:spacing w:after="0"/>
              <w:rPr>
                <w:sz w:val="20"/>
                <w:szCs w:val="20"/>
                <w:color w:val="auto"/>
              </w:rPr>
            </w:pPr>
            <w:r>
              <w:rPr>
                <w:rFonts w:ascii="Arial" w:cs="Arial" w:eastAsia="Arial" w:hAnsi="Arial"/>
                <w:sz w:val="18"/>
                <w:szCs w:val="18"/>
                <w:color w:val="auto"/>
              </w:rPr>
              <w:t>4,137</w:t>
            </w:r>
          </w:p>
        </w:tc>
        <w:tc>
          <w:tcPr>
            <w:tcW w:w="1380" w:type="dxa"/>
            <w:vAlign w:val="bottom"/>
            <w:tcBorders>
              <w:right w:val="single" w:sz="8" w:color="9EACCA"/>
            </w:tcBorders>
            <w:shd w:val="clear" w:color="auto" w:fill="CCCCCC"/>
          </w:tcPr>
          <w:p>
            <w:pPr>
              <w:jc w:val="right"/>
              <w:ind w:right="293"/>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9EACCA"/>
            </w:tcBorders>
            <w:shd w:val="clear" w:color="auto" w:fill="CCCCCC"/>
          </w:tcPr>
          <w:p>
            <w:pPr>
              <w:jc w:val="right"/>
              <w:ind w:right="21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9EACCA"/>
            </w:tcBorders>
            <w:shd w:val="clear" w:color="auto" w:fill="CCCCCC"/>
          </w:tcPr>
          <w:p>
            <w:pPr>
              <w:jc w:val="right"/>
              <w:ind w:right="112"/>
              <w:spacing w:after="0"/>
              <w:rPr>
                <w:sz w:val="20"/>
                <w:szCs w:val="20"/>
                <w:color w:val="auto"/>
              </w:rPr>
            </w:pPr>
            <w:r>
              <w:rPr>
                <w:rFonts w:ascii="Arial" w:cs="Arial" w:eastAsia="Arial" w:hAnsi="Arial"/>
                <w:sz w:val="18"/>
                <w:szCs w:val="18"/>
                <w:color w:val="auto"/>
              </w:rPr>
              <w:t>7.25</w:t>
            </w:r>
          </w:p>
        </w:tc>
        <w:tc>
          <w:tcPr>
            <w:tcW w:w="106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3/13/2024</w:t>
            </w:r>
          </w:p>
        </w:tc>
      </w:tr>
      <w:tr>
        <w:trPr>
          <w:trHeight w:val="270"/>
        </w:trPr>
        <w:tc>
          <w:tcPr>
            <w:tcW w:w="2220" w:type="dxa"/>
            <w:vAlign w:val="bottom"/>
            <w:tcBorders>
              <w:left w:val="single" w:sz="8" w:color="3C5896"/>
              <w:bottom w:val="single" w:sz="8" w:color="3C5896"/>
              <w:right w:val="single" w:sz="8" w:color="9EACCA"/>
            </w:tcBorders>
          </w:tcPr>
          <w:p>
            <w:pPr>
              <w:spacing w:after="0"/>
              <w:rPr>
                <w:sz w:val="23"/>
                <w:szCs w:val="23"/>
                <w:color w:val="auto"/>
              </w:rPr>
            </w:pPr>
          </w:p>
        </w:tc>
        <w:tc>
          <w:tcPr>
            <w:tcW w:w="1300" w:type="dxa"/>
            <w:vAlign w:val="bottom"/>
            <w:tcBorders>
              <w:bottom w:val="single" w:sz="8" w:color="3C5896"/>
              <w:right w:val="single" w:sz="8" w:color="9EACCA"/>
            </w:tcBorders>
          </w:tcPr>
          <w:p>
            <w:pPr>
              <w:jc w:val="right"/>
              <w:ind w:right="111"/>
              <w:spacing w:after="0"/>
              <w:rPr>
                <w:sz w:val="20"/>
                <w:szCs w:val="20"/>
                <w:color w:val="auto"/>
              </w:rPr>
            </w:pPr>
            <w:r>
              <w:rPr>
                <w:rFonts w:ascii="Arial" w:cs="Arial" w:eastAsia="Arial" w:hAnsi="Arial"/>
                <w:sz w:val="18"/>
                <w:szCs w:val="18"/>
                <w:color w:val="auto"/>
              </w:rPr>
              <w:t>3/13/2014</w:t>
            </w:r>
          </w:p>
        </w:tc>
        <w:tc>
          <w:tcPr>
            <w:tcW w:w="1140" w:type="dxa"/>
            <w:vAlign w:val="bottom"/>
            <w:tcBorders>
              <w:bottom w:val="single" w:sz="8" w:color="3C5896"/>
              <w:right w:val="single" w:sz="8" w:color="9EACCA"/>
            </w:tcBorders>
          </w:tcPr>
          <w:p>
            <w:pPr>
              <w:jc w:val="right"/>
              <w:ind w:right="173"/>
              <w:spacing w:after="0"/>
              <w:rPr>
                <w:sz w:val="20"/>
                <w:szCs w:val="20"/>
                <w:color w:val="auto"/>
              </w:rPr>
            </w:pPr>
            <w:r>
              <w:rPr>
                <w:rFonts w:ascii="Arial" w:cs="Arial" w:eastAsia="Arial" w:hAnsi="Arial"/>
                <w:sz w:val="18"/>
                <w:szCs w:val="18"/>
                <w:color w:val="auto"/>
              </w:rPr>
              <w:t>13,426</w:t>
            </w:r>
          </w:p>
        </w:tc>
        <w:tc>
          <w:tcPr>
            <w:tcW w:w="1380" w:type="dxa"/>
            <w:vAlign w:val="bottom"/>
            <w:tcBorders>
              <w:bottom w:val="single" w:sz="8" w:color="3C5896"/>
              <w:right w:val="single" w:sz="8" w:color="9EACCA"/>
            </w:tcBorders>
          </w:tcPr>
          <w:p>
            <w:pPr>
              <w:jc w:val="right"/>
              <w:ind w:right="29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3C5896"/>
              <w:right w:val="single" w:sz="8" w:color="9EACCA"/>
            </w:tcBorders>
          </w:tcPr>
          <w:p>
            <w:pPr>
              <w:jc w:val="right"/>
              <w:ind w:right="214"/>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3C5896"/>
              <w:right w:val="single" w:sz="8" w:color="9EACCA"/>
            </w:tcBorders>
          </w:tcPr>
          <w:p>
            <w:pPr>
              <w:jc w:val="right"/>
              <w:ind w:right="112"/>
              <w:spacing w:after="0"/>
              <w:rPr>
                <w:sz w:val="20"/>
                <w:szCs w:val="20"/>
                <w:color w:val="auto"/>
              </w:rPr>
            </w:pPr>
            <w:r>
              <w:rPr>
                <w:rFonts w:ascii="Arial" w:cs="Arial" w:eastAsia="Arial" w:hAnsi="Arial"/>
                <w:sz w:val="18"/>
                <w:szCs w:val="18"/>
                <w:color w:val="auto"/>
              </w:rPr>
              <w:t>8.23</w:t>
            </w:r>
          </w:p>
        </w:tc>
        <w:tc>
          <w:tcPr>
            <w:tcW w:w="1060" w:type="dxa"/>
            <w:vAlign w:val="bottom"/>
            <w:tcBorders>
              <w:bottom w:val="single" w:sz="8" w:color="3C5896"/>
              <w:right w:val="single" w:sz="8" w:color="3C5896"/>
            </w:tcBorders>
          </w:tcPr>
          <w:p>
            <w:pPr>
              <w:jc w:val="right"/>
              <w:spacing w:after="0"/>
              <w:rPr>
                <w:sz w:val="20"/>
                <w:szCs w:val="20"/>
                <w:color w:val="auto"/>
              </w:rPr>
            </w:pPr>
            <w:r>
              <w:rPr>
                <w:rFonts w:ascii="Arial" w:cs="Arial" w:eastAsia="Arial" w:hAnsi="Arial"/>
                <w:sz w:val="18"/>
                <w:szCs w:val="18"/>
                <w:color w:val="auto"/>
              </w:rPr>
              <w:t>3/13/2024</w:t>
            </w:r>
          </w:p>
        </w:tc>
      </w:tr>
    </w:tbl>
    <w:p>
      <w:pPr>
        <w:spacing w:after="0" w:line="78" w:lineRule="exact"/>
        <w:rPr>
          <w:sz w:val="20"/>
          <w:szCs w:val="20"/>
          <w:color w:val="auto"/>
        </w:rPr>
      </w:pPr>
    </w:p>
    <w:p>
      <w:pPr>
        <w:ind w:left="1080" w:right="259" w:hanging="316"/>
        <w:spacing w:after="0" w:line="228"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options. The options granted in 2014 vest as to 20% of the shares subject to such option on each anniversary of the closing date of our acquisition by affiliates of KKR, subject to the holder continuing to provide services through such vesting date. The options granted to Mr. McAllister in 2017 vest as to 20% of the shares subject to such option on each anniversary of the grant date, subject to Mr. McAllister continuing to provide services through such vesting date, except that pursuant to the Transition Agreement, the time-based options which are scheduled to vest on August 14, 2021 will instead vest on December 31, 2021. The options granted to Mr. Moore in 2017 will vest in three substantially equal installments on each of the first, second and third anniversaries of the grant date, subject to continued employment through the applicable vesting date. See “Narrative to Summary Compensation Table and 2018 Grants of Plan-Based Awards-Equity Awards-Vesting Terms.” Vesting of the time-based options will be accelerated upon a change in control that occurs while the executive is still employed by us, as described under “Potential Payments upon Termination or Change in Control” below.</w:t>
      </w:r>
    </w:p>
    <w:p>
      <w:pPr>
        <w:spacing w:after="0" w:line="36" w:lineRule="exact"/>
        <w:rPr>
          <w:rFonts w:ascii="Arial" w:cs="Arial" w:eastAsia="Arial" w:hAnsi="Arial"/>
          <w:sz w:val="15"/>
          <w:szCs w:val="15"/>
          <w:color w:val="auto"/>
        </w:rPr>
      </w:pPr>
    </w:p>
    <w:p>
      <w:pPr>
        <w:ind w:left="1080" w:right="279" w:hanging="316"/>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performance-based options. The performance-based options granted in 2014 are eligible to vest upon a Realization Event as follows: (i) If the MOIC achieved is less than two times, no portion of the performance-based options will vest; (ii) If the MOIC achieved is equal to two times, then 25% of the performance-based options will vest; and (iii) 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 The performance-based options granted to Mr. McAllister in 2017 were initially eligible to vest as to each Option Tranche (20% of the shares subject to such option) on each of the first five concluded fiscal years following the grant date if the Company achieves certain applicable management EBITDA Targets established by the Board of Directors. Pursuant to the terms of the Transition Agreement, the vesting of the performance-based options granted to Mr. McAllister in 2017 was modified such that they are eligible to vest as follows: with respect to the two tranches of 43,478 options first scheduled to vest on December 31, 2019 and the second scheduled to vest on December 31, 2020, such options will vest on the aforementioned dates regardless of performance so long as Mr. McAllister is employed by the Company on the applicable vesting date. See “Narrative to Summary Compensation Table and 2018 Grants of Plan-Based Awards-Equity Awards-Vesting Terms.”</w:t>
      </w:r>
    </w:p>
    <w:p>
      <w:pPr>
        <w:spacing w:after="0" w:line="70" w:lineRule="exact"/>
        <w:rPr>
          <w:rFonts w:ascii="Arial" w:cs="Arial" w:eastAsia="Arial" w:hAnsi="Arial"/>
          <w:sz w:val="15"/>
          <w:szCs w:val="15"/>
          <w:color w:val="auto"/>
        </w:rPr>
      </w:pPr>
    </w:p>
    <w:p>
      <w:pPr>
        <w:ind w:left="1080" w:right="499" w:hanging="316"/>
        <w:spacing w:after="0" w:line="235"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26  </w:t>
      </w:r>
      <w:r>
        <w:rPr>
          <w:sz w:val="1"/>
          <w:szCs w:val="1"/>
          <w:color w:val="auto"/>
        </w:rPr>
        <w:drawing>
          <wp:inline distT="0" distB="0" distL="0" distR="0">
            <wp:extent cx="291465" cy="22288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FFFFFF"/>
        </w:rPr>
        <w:t>EXECUTIVE COMPENSATION</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139" w:lineRule="exact"/>
        <w:rPr>
          <w:sz w:val="20"/>
          <w:szCs w:val="20"/>
          <w:color w:val="auto"/>
        </w:rPr>
      </w:pPr>
    </w:p>
    <w:p>
      <w:pPr>
        <w:ind w:left="760" w:right="1220"/>
        <w:spacing w:after="0" w:line="262" w:lineRule="auto"/>
        <w:rPr>
          <w:sz w:val="20"/>
          <w:szCs w:val="20"/>
          <w:color w:val="auto"/>
        </w:rPr>
      </w:pPr>
      <w:r>
        <w:rPr>
          <w:rFonts w:ascii="Arial" w:cs="Arial" w:eastAsia="Arial" w:hAnsi="Arial"/>
          <w:sz w:val="18"/>
          <w:szCs w:val="18"/>
          <w:color w:val="auto"/>
        </w:rPr>
        <w:t>The following table provides information regarding options exercised by the NEOs during the fiscal year ended December 29, 2018.</w:t>
      </w:r>
    </w:p>
    <w:p>
      <w:pPr>
        <w:spacing w:after="0" w:line="116" w:lineRule="exact"/>
        <w:rPr>
          <w:sz w:val="20"/>
          <w:szCs w:val="20"/>
          <w:color w:val="auto"/>
        </w:rPr>
      </w:pPr>
    </w:p>
    <w:tbl>
      <w:tblPr>
        <w:tblLayout w:type="fixed"/>
        <w:tblInd w:w="770" w:type="dxa"/>
        <w:tblCellMar>
          <w:top w:w="0" w:type="dxa"/>
          <w:left w:w="0" w:type="dxa"/>
          <w:bottom w:w="0" w:type="dxa"/>
          <w:right w:w="0" w:type="dxa"/>
        </w:tblCellMar>
      </w:tblPr>
      <w:tr>
        <w:trPr>
          <w:trHeight w:val="270"/>
        </w:trPr>
        <w:tc>
          <w:tcPr>
            <w:tcW w:w="3540" w:type="dxa"/>
            <w:vAlign w:val="bottom"/>
            <w:tcBorders>
              <w:left w:val="single" w:sz="8" w:color="3C5896"/>
              <w:right w:val="single" w:sz="8" w:color="9EACCA"/>
            </w:tcBorders>
            <w:shd w:val="clear" w:color="auto" w:fill="3C5896"/>
          </w:tcPr>
          <w:p>
            <w:pPr>
              <w:spacing w:after="0"/>
              <w:rPr>
                <w:sz w:val="23"/>
                <w:szCs w:val="23"/>
                <w:color w:val="auto"/>
              </w:rPr>
            </w:pPr>
          </w:p>
        </w:tc>
        <w:tc>
          <w:tcPr>
            <w:tcW w:w="5660" w:type="dxa"/>
            <w:vAlign w:val="bottom"/>
            <w:tcBorders>
              <w:right w:val="single" w:sz="8" w:color="3C5896"/>
            </w:tcBorders>
            <w:gridSpan w:val="2"/>
            <w:shd w:val="clear" w:color="auto" w:fill="3C5896"/>
          </w:tcPr>
          <w:p>
            <w:pPr>
              <w:jc w:val="right"/>
              <w:ind w:right="2110"/>
              <w:spacing w:after="0"/>
              <w:rPr>
                <w:sz w:val="20"/>
                <w:szCs w:val="20"/>
                <w:color w:val="auto"/>
              </w:rPr>
            </w:pPr>
            <w:r>
              <w:rPr>
                <w:rFonts w:ascii="Arial" w:cs="Arial" w:eastAsia="Arial" w:hAnsi="Arial"/>
                <w:sz w:val="18"/>
                <w:szCs w:val="18"/>
                <w:b w:val="1"/>
                <w:bCs w:val="1"/>
                <w:color w:val="FFFFFF"/>
              </w:rPr>
              <w:t>Option Awards</w:t>
            </w:r>
          </w:p>
        </w:tc>
        <w:tc>
          <w:tcPr>
            <w:tcW w:w="0" w:type="dxa"/>
            <w:vAlign w:val="bottom"/>
          </w:tcPr>
          <w:p>
            <w:pPr>
              <w:spacing w:after="0"/>
              <w:rPr>
                <w:sz w:val="1"/>
                <w:szCs w:val="1"/>
                <w:color w:val="auto"/>
              </w:rPr>
            </w:pPr>
          </w:p>
        </w:tc>
      </w:tr>
      <w:tr>
        <w:trPr>
          <w:trHeight w:val="230"/>
        </w:trPr>
        <w:tc>
          <w:tcPr>
            <w:tcW w:w="3540" w:type="dxa"/>
            <w:vAlign w:val="bottom"/>
            <w:tcBorders>
              <w:left w:val="single" w:sz="8" w:color="3C5896"/>
              <w:right w:val="single" w:sz="8" w:color="9EACCA"/>
            </w:tcBorders>
            <w:vMerge w:val="restart"/>
            <w:shd w:val="clear" w:color="auto" w:fill="3C5896"/>
          </w:tcPr>
          <w:p>
            <w:pPr>
              <w:ind w:left="1520"/>
              <w:spacing w:after="0"/>
              <w:rPr>
                <w:sz w:val="20"/>
                <w:szCs w:val="20"/>
                <w:color w:val="auto"/>
              </w:rPr>
            </w:pPr>
            <w:r>
              <w:rPr>
                <w:rFonts w:ascii="Arial" w:cs="Arial" w:eastAsia="Arial" w:hAnsi="Arial"/>
                <w:sz w:val="18"/>
                <w:szCs w:val="18"/>
                <w:b w:val="1"/>
                <w:bCs w:val="1"/>
                <w:color w:val="FFFFFF"/>
              </w:rPr>
              <w:t>Name</w:t>
            </w:r>
          </w:p>
        </w:tc>
        <w:tc>
          <w:tcPr>
            <w:tcW w:w="2840" w:type="dxa"/>
            <w:vAlign w:val="bottom"/>
            <w:tcBorders>
              <w:right w:val="single" w:sz="8" w:color="9EACCA"/>
            </w:tcBorders>
            <w:shd w:val="clear" w:color="auto" w:fill="3C5896"/>
          </w:tcPr>
          <w:p>
            <w:pPr>
              <w:jc w:val="right"/>
              <w:ind w:right="170"/>
              <w:spacing w:after="0"/>
              <w:rPr>
                <w:sz w:val="20"/>
                <w:szCs w:val="20"/>
                <w:color w:val="auto"/>
              </w:rPr>
            </w:pPr>
            <w:r>
              <w:rPr>
                <w:rFonts w:ascii="Arial" w:cs="Arial" w:eastAsia="Arial" w:hAnsi="Arial"/>
                <w:sz w:val="18"/>
                <w:szCs w:val="18"/>
                <w:b w:val="1"/>
                <w:bCs w:val="1"/>
                <w:color w:val="FFFFFF"/>
              </w:rPr>
              <w:t>Number of Shares Acquired</w:t>
            </w:r>
          </w:p>
        </w:tc>
        <w:tc>
          <w:tcPr>
            <w:tcW w:w="2820" w:type="dxa"/>
            <w:vAlign w:val="bottom"/>
            <w:tcBorders>
              <w:right w:val="single" w:sz="8" w:color="3C5896"/>
            </w:tcBorders>
            <w:shd w:val="clear" w:color="auto" w:fill="3C5896"/>
          </w:tcPr>
          <w:p>
            <w:pPr>
              <w:jc w:val="right"/>
              <w:ind w:right="590"/>
              <w:spacing w:after="0"/>
              <w:rPr>
                <w:sz w:val="20"/>
                <w:szCs w:val="20"/>
                <w:color w:val="auto"/>
              </w:rPr>
            </w:pPr>
            <w:r>
              <w:rPr>
                <w:rFonts w:ascii="Arial" w:cs="Arial" w:eastAsia="Arial" w:hAnsi="Arial"/>
                <w:sz w:val="18"/>
                <w:szCs w:val="18"/>
                <w:b w:val="1"/>
                <w:bCs w:val="1"/>
                <w:color w:val="FFFFFF"/>
              </w:rPr>
              <w:t>Value Realized on</w:t>
            </w:r>
          </w:p>
        </w:tc>
        <w:tc>
          <w:tcPr>
            <w:tcW w:w="0" w:type="dxa"/>
            <w:vAlign w:val="bottom"/>
          </w:tcPr>
          <w:p>
            <w:pPr>
              <w:spacing w:after="0"/>
              <w:rPr>
                <w:sz w:val="1"/>
                <w:szCs w:val="1"/>
                <w:color w:val="auto"/>
              </w:rPr>
            </w:pPr>
          </w:p>
        </w:tc>
      </w:tr>
      <w:tr>
        <w:trPr>
          <w:trHeight w:val="243"/>
        </w:trPr>
        <w:tc>
          <w:tcPr>
            <w:tcW w:w="3540" w:type="dxa"/>
            <w:vAlign w:val="bottom"/>
            <w:tcBorders>
              <w:left w:val="single" w:sz="8" w:color="3C5896"/>
              <w:right w:val="single" w:sz="8" w:color="9EACCA"/>
            </w:tcBorders>
            <w:vMerge w:val="continue"/>
            <w:shd w:val="clear" w:color="auto" w:fill="3C5896"/>
          </w:tcPr>
          <w:p>
            <w:pPr>
              <w:spacing w:after="0"/>
              <w:rPr>
                <w:sz w:val="21"/>
                <w:szCs w:val="21"/>
                <w:color w:val="auto"/>
              </w:rPr>
            </w:pPr>
          </w:p>
        </w:tc>
        <w:tc>
          <w:tcPr>
            <w:tcW w:w="2840" w:type="dxa"/>
            <w:vAlign w:val="bottom"/>
            <w:tcBorders>
              <w:bottom w:val="single" w:sz="8" w:color="auto"/>
              <w:right w:val="single" w:sz="8" w:color="9EACCA"/>
            </w:tcBorders>
            <w:shd w:val="clear" w:color="auto" w:fill="3C5896"/>
          </w:tcPr>
          <w:p>
            <w:pPr>
              <w:jc w:val="right"/>
              <w:ind w:right="630"/>
              <w:spacing w:after="0"/>
              <w:rPr>
                <w:sz w:val="20"/>
                <w:szCs w:val="20"/>
                <w:color w:val="auto"/>
              </w:rPr>
            </w:pPr>
            <w:r>
              <w:rPr>
                <w:rFonts w:ascii="Arial" w:cs="Arial" w:eastAsia="Arial" w:hAnsi="Arial"/>
                <w:sz w:val="18"/>
                <w:szCs w:val="18"/>
                <w:b w:val="1"/>
                <w:bCs w:val="1"/>
                <w:color w:val="FFFFFF"/>
              </w:rPr>
              <w:t>on Exercise (#)</w:t>
            </w:r>
          </w:p>
        </w:tc>
        <w:tc>
          <w:tcPr>
            <w:tcW w:w="2820" w:type="dxa"/>
            <w:vAlign w:val="bottom"/>
            <w:tcBorders>
              <w:bottom w:val="single" w:sz="8" w:color="auto"/>
              <w:right w:val="single" w:sz="8" w:color="3C5896"/>
            </w:tcBorders>
            <w:shd w:val="clear" w:color="auto" w:fill="3C5896"/>
          </w:tcPr>
          <w:p>
            <w:pPr>
              <w:jc w:val="right"/>
              <w:ind w:right="730"/>
              <w:spacing w:after="0" w:line="242" w:lineRule="exact"/>
              <w:rPr>
                <w:sz w:val="20"/>
                <w:szCs w:val="20"/>
                <w:color w:val="auto"/>
              </w:rPr>
            </w:pPr>
            <w:r>
              <w:rPr>
                <w:rFonts w:ascii="Arial" w:cs="Arial" w:eastAsia="Arial" w:hAnsi="Arial"/>
                <w:sz w:val="18"/>
                <w:szCs w:val="18"/>
                <w:b w:val="1"/>
                <w:bCs w:val="1"/>
                <w:color w:val="FFFFFF"/>
              </w:rPr>
              <w:t>Exercise ($)</w:t>
            </w:r>
            <w:r>
              <w:rPr>
                <w:rFonts w:ascii="Arial" w:cs="Arial" w:eastAsia="Arial" w:hAnsi="Arial"/>
                <w:sz w:val="27"/>
                <w:szCs w:val="27"/>
                <w:b w:val="1"/>
                <w:bCs w:val="1"/>
                <w:color w:val="FFFFFF"/>
                <w:vertAlign w:val="superscript"/>
              </w:rPr>
              <w:t>(1)</w:t>
            </w:r>
          </w:p>
        </w:tc>
        <w:tc>
          <w:tcPr>
            <w:tcW w:w="0" w:type="dxa"/>
            <w:vAlign w:val="bottom"/>
          </w:tcPr>
          <w:p>
            <w:pPr>
              <w:spacing w:after="0"/>
              <w:rPr>
                <w:sz w:val="1"/>
                <w:szCs w:val="1"/>
                <w:color w:val="auto"/>
              </w:rPr>
            </w:pPr>
          </w:p>
        </w:tc>
      </w:tr>
      <w:tr>
        <w:trPr>
          <w:trHeight w:val="250"/>
        </w:trPr>
        <w:tc>
          <w:tcPr>
            <w:tcW w:w="3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L. Reade Fahs</w:t>
            </w:r>
          </w:p>
        </w:tc>
        <w:tc>
          <w:tcPr>
            <w:tcW w:w="2840" w:type="dxa"/>
            <w:vAlign w:val="bottom"/>
            <w:tcBorders>
              <w:right w:val="single" w:sz="8" w:color="9EACCA"/>
            </w:tcBorders>
          </w:tcPr>
          <w:p>
            <w:pPr>
              <w:jc w:val="right"/>
              <w:ind w:right="1010"/>
              <w:spacing w:after="0"/>
              <w:rPr>
                <w:sz w:val="20"/>
                <w:szCs w:val="20"/>
                <w:color w:val="auto"/>
              </w:rPr>
            </w:pPr>
            <w:r>
              <w:rPr>
                <w:rFonts w:ascii="Arial" w:cs="Arial" w:eastAsia="Arial" w:hAnsi="Arial"/>
                <w:sz w:val="18"/>
                <w:szCs w:val="18"/>
                <w:color w:val="auto"/>
              </w:rPr>
              <w:t>—</w:t>
            </w:r>
          </w:p>
        </w:tc>
        <w:tc>
          <w:tcPr>
            <w:tcW w:w="2820" w:type="dxa"/>
            <w:vAlign w:val="bottom"/>
            <w:tcBorders>
              <w:right w:val="single" w:sz="8" w:color="3C5896"/>
            </w:tcBorders>
          </w:tcPr>
          <w:p>
            <w:pPr>
              <w:jc w:val="right"/>
              <w:ind w:right="9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Patrick R. Moore</w:t>
            </w:r>
          </w:p>
        </w:tc>
        <w:tc>
          <w:tcPr>
            <w:tcW w:w="2840" w:type="dxa"/>
            <w:vAlign w:val="bottom"/>
            <w:tcBorders>
              <w:right w:val="single" w:sz="8" w:color="9EACCA"/>
            </w:tcBorders>
            <w:shd w:val="clear" w:color="auto" w:fill="CCCCCC"/>
          </w:tcPr>
          <w:p>
            <w:pPr>
              <w:jc w:val="right"/>
              <w:ind w:right="1010"/>
              <w:spacing w:after="0"/>
              <w:rPr>
                <w:sz w:val="20"/>
                <w:szCs w:val="20"/>
                <w:color w:val="auto"/>
              </w:rPr>
            </w:pPr>
            <w:r>
              <w:rPr>
                <w:rFonts w:ascii="Arial" w:cs="Arial" w:eastAsia="Arial" w:hAnsi="Arial"/>
                <w:sz w:val="18"/>
                <w:szCs w:val="18"/>
                <w:color w:val="auto"/>
              </w:rPr>
              <w:t>9,154</w:t>
            </w:r>
          </w:p>
        </w:tc>
        <w:tc>
          <w:tcPr>
            <w:tcW w:w="2820" w:type="dxa"/>
            <w:vAlign w:val="bottom"/>
            <w:tcBorders>
              <w:right w:val="single" w:sz="8" w:color="3C5896"/>
            </w:tcBorders>
            <w:shd w:val="clear" w:color="auto" w:fill="CCCCCC"/>
          </w:tcPr>
          <w:p>
            <w:pPr>
              <w:jc w:val="right"/>
              <w:ind w:right="930"/>
              <w:spacing w:after="0"/>
              <w:rPr>
                <w:sz w:val="20"/>
                <w:szCs w:val="20"/>
                <w:color w:val="auto"/>
              </w:rPr>
            </w:pPr>
            <w:r>
              <w:rPr>
                <w:rFonts w:ascii="Arial" w:cs="Arial" w:eastAsia="Arial" w:hAnsi="Arial"/>
                <w:sz w:val="18"/>
                <w:szCs w:val="18"/>
                <w:color w:val="auto"/>
              </w:rPr>
              <w:t>296,223</w:t>
            </w:r>
          </w:p>
        </w:tc>
        <w:tc>
          <w:tcPr>
            <w:tcW w:w="0" w:type="dxa"/>
            <w:vAlign w:val="bottom"/>
          </w:tcPr>
          <w:p>
            <w:pPr>
              <w:spacing w:after="0"/>
              <w:rPr>
                <w:sz w:val="1"/>
                <w:szCs w:val="1"/>
                <w:color w:val="auto"/>
              </w:rPr>
            </w:pPr>
          </w:p>
        </w:tc>
      </w:tr>
      <w:tr>
        <w:trPr>
          <w:trHeight w:val="257"/>
        </w:trPr>
        <w:tc>
          <w:tcPr>
            <w:tcW w:w="3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Jeff McAllister</w:t>
            </w:r>
          </w:p>
        </w:tc>
        <w:tc>
          <w:tcPr>
            <w:tcW w:w="2840" w:type="dxa"/>
            <w:vAlign w:val="bottom"/>
            <w:tcBorders>
              <w:right w:val="single" w:sz="8" w:color="9EACCA"/>
            </w:tcBorders>
          </w:tcPr>
          <w:p>
            <w:pPr>
              <w:jc w:val="right"/>
              <w:ind w:right="1010"/>
              <w:spacing w:after="0"/>
              <w:rPr>
                <w:sz w:val="20"/>
                <w:szCs w:val="20"/>
                <w:color w:val="auto"/>
              </w:rPr>
            </w:pPr>
            <w:r>
              <w:rPr>
                <w:rFonts w:ascii="Arial" w:cs="Arial" w:eastAsia="Arial" w:hAnsi="Arial"/>
                <w:sz w:val="18"/>
                <w:szCs w:val="18"/>
                <w:color w:val="auto"/>
              </w:rPr>
              <w:t>—</w:t>
            </w:r>
          </w:p>
        </w:tc>
        <w:tc>
          <w:tcPr>
            <w:tcW w:w="2820" w:type="dxa"/>
            <w:vAlign w:val="bottom"/>
            <w:tcBorders>
              <w:right w:val="single" w:sz="8" w:color="3C5896"/>
            </w:tcBorders>
          </w:tcPr>
          <w:p>
            <w:pPr>
              <w:jc w:val="right"/>
              <w:ind w:right="9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Mitchell Goodman</w:t>
            </w:r>
          </w:p>
        </w:tc>
        <w:tc>
          <w:tcPr>
            <w:tcW w:w="2840" w:type="dxa"/>
            <w:vAlign w:val="bottom"/>
            <w:tcBorders>
              <w:right w:val="single" w:sz="8" w:color="9EACCA"/>
            </w:tcBorders>
            <w:shd w:val="clear" w:color="auto" w:fill="CCCCCC"/>
          </w:tcPr>
          <w:p>
            <w:pPr>
              <w:jc w:val="right"/>
              <w:ind w:right="1010"/>
              <w:spacing w:after="0"/>
              <w:rPr>
                <w:sz w:val="20"/>
                <w:szCs w:val="20"/>
                <w:color w:val="auto"/>
              </w:rPr>
            </w:pPr>
            <w:r>
              <w:rPr>
                <w:rFonts w:ascii="Arial" w:cs="Arial" w:eastAsia="Arial" w:hAnsi="Arial"/>
                <w:sz w:val="18"/>
                <w:szCs w:val="18"/>
                <w:color w:val="auto"/>
              </w:rPr>
              <w:t>167,230</w:t>
            </w:r>
          </w:p>
        </w:tc>
        <w:tc>
          <w:tcPr>
            <w:tcW w:w="2820" w:type="dxa"/>
            <w:vAlign w:val="bottom"/>
            <w:tcBorders>
              <w:right w:val="single" w:sz="8" w:color="3C5896"/>
            </w:tcBorders>
            <w:shd w:val="clear" w:color="auto" w:fill="CCCCCC"/>
          </w:tcPr>
          <w:p>
            <w:pPr>
              <w:jc w:val="right"/>
              <w:ind w:right="930"/>
              <w:spacing w:after="0"/>
              <w:rPr>
                <w:sz w:val="20"/>
                <w:szCs w:val="20"/>
                <w:color w:val="auto"/>
              </w:rPr>
            </w:pPr>
            <w:r>
              <w:rPr>
                <w:rFonts w:ascii="Arial" w:cs="Arial" w:eastAsia="Arial" w:hAnsi="Arial"/>
                <w:sz w:val="18"/>
                <w:szCs w:val="18"/>
                <w:color w:val="auto"/>
              </w:rPr>
              <w:t>6,054,516</w:t>
            </w:r>
          </w:p>
        </w:tc>
        <w:tc>
          <w:tcPr>
            <w:tcW w:w="0" w:type="dxa"/>
            <w:vAlign w:val="bottom"/>
          </w:tcPr>
          <w:p>
            <w:pPr>
              <w:spacing w:after="0"/>
              <w:rPr>
                <w:sz w:val="1"/>
                <w:szCs w:val="1"/>
                <w:color w:val="auto"/>
              </w:rPr>
            </w:pPr>
          </w:p>
        </w:tc>
      </w:tr>
      <w:tr>
        <w:trPr>
          <w:trHeight w:val="257"/>
        </w:trPr>
        <w:tc>
          <w:tcPr>
            <w:tcW w:w="354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John Vaught</w:t>
            </w:r>
          </w:p>
        </w:tc>
        <w:tc>
          <w:tcPr>
            <w:tcW w:w="2840" w:type="dxa"/>
            <w:vAlign w:val="bottom"/>
            <w:tcBorders>
              <w:bottom w:val="single" w:sz="8" w:color="3C5896"/>
              <w:right w:val="single" w:sz="8" w:color="9EACCA"/>
            </w:tcBorders>
          </w:tcPr>
          <w:p>
            <w:pPr>
              <w:jc w:val="right"/>
              <w:ind w:right="1010"/>
              <w:spacing w:after="0"/>
              <w:rPr>
                <w:sz w:val="20"/>
                <w:szCs w:val="20"/>
                <w:color w:val="auto"/>
              </w:rPr>
            </w:pPr>
            <w:r>
              <w:rPr>
                <w:rFonts w:ascii="Arial" w:cs="Arial" w:eastAsia="Arial" w:hAnsi="Arial"/>
                <w:sz w:val="18"/>
                <w:szCs w:val="18"/>
                <w:color w:val="auto"/>
              </w:rPr>
              <w:t>69,825</w:t>
            </w:r>
          </w:p>
        </w:tc>
        <w:tc>
          <w:tcPr>
            <w:tcW w:w="2820" w:type="dxa"/>
            <w:vAlign w:val="bottom"/>
            <w:tcBorders>
              <w:bottom w:val="single" w:sz="8" w:color="3C5896"/>
              <w:right w:val="single" w:sz="8" w:color="3C5896"/>
            </w:tcBorders>
          </w:tcPr>
          <w:p>
            <w:pPr>
              <w:jc w:val="right"/>
              <w:ind w:right="930"/>
              <w:spacing w:after="0"/>
              <w:rPr>
                <w:sz w:val="20"/>
                <w:szCs w:val="20"/>
                <w:color w:val="auto"/>
              </w:rPr>
            </w:pPr>
            <w:r>
              <w:rPr>
                <w:rFonts w:ascii="Arial" w:cs="Arial" w:eastAsia="Arial" w:hAnsi="Arial"/>
                <w:sz w:val="18"/>
                <w:szCs w:val="18"/>
                <w:color w:val="auto"/>
              </w:rPr>
              <w:t>2,445,524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-1131570</wp:posOffset>
            </wp:positionV>
            <wp:extent cx="35934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9346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-831215</wp:posOffset>
            </wp:positionV>
            <wp:extent cx="22383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8" w:lineRule="exact"/>
        <w:rPr>
          <w:sz w:val="20"/>
          <w:szCs w:val="20"/>
          <w:color w:val="auto"/>
        </w:rPr>
      </w:pPr>
    </w:p>
    <w:p>
      <w:pPr>
        <w:ind w:left="1080" w:right="920" w:hanging="316"/>
        <w:spacing w:after="0" w:line="242"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Represents the difference between the fair market value of the shares acquired on the exercise date and the exercise price of the options, multiplied by the number of options exercised.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2018 Pension Benefits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no defined pension benefit plans for our executive officers.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2018 Non-Qualified Deferred Compensation</w:t>
      </w:r>
    </w:p>
    <w:p>
      <w:pPr>
        <w:spacing w:after="0" w:line="139" w:lineRule="exact"/>
        <w:rPr>
          <w:sz w:val="20"/>
          <w:szCs w:val="20"/>
          <w:color w:val="auto"/>
        </w:rPr>
      </w:pPr>
    </w:p>
    <w:p>
      <w:pPr>
        <w:ind w:left="760" w:right="820"/>
        <w:spacing w:after="0" w:line="262" w:lineRule="auto"/>
        <w:rPr>
          <w:sz w:val="20"/>
          <w:szCs w:val="20"/>
          <w:color w:val="auto"/>
        </w:rPr>
      </w:pPr>
      <w:r>
        <w:rPr>
          <w:rFonts w:ascii="Arial" w:cs="Arial" w:eastAsia="Arial" w:hAnsi="Arial"/>
          <w:sz w:val="18"/>
          <w:szCs w:val="18"/>
          <w:color w:val="auto"/>
        </w:rPr>
        <w:t>We have no non-qualified defined contribution or other non-qualified deferred compensation plans for our executive officers.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9" w:lineRule="exact"/>
        <w:rPr>
          <w:sz w:val="20"/>
          <w:szCs w:val="20"/>
          <w:color w:val="auto"/>
        </w:rPr>
      </w:pPr>
    </w:p>
    <w:p>
      <w:pPr>
        <w:ind w:left="760" w:right="1060"/>
        <w:spacing w:after="0" w:line="256" w:lineRule="auto"/>
        <w:rPr>
          <w:sz w:val="20"/>
          <w:szCs w:val="20"/>
          <w:color w:val="auto"/>
        </w:rPr>
      </w:pPr>
      <w:r>
        <w:rPr>
          <w:rFonts w:ascii="Arial" w:cs="Arial" w:eastAsia="Arial" w:hAnsi="Arial"/>
          <w:sz w:val="18"/>
          <w:szCs w:val="18"/>
          <w:color w:val="auto"/>
        </w:rPr>
        <w:t>The following section describes the payments and benefits that may become payable to the NEOs in connection with their termination of employment and/or a change in control. All such payments and benefits will be paid or provided by us or National Vision, Inc.</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39" w:lineRule="exact"/>
        <w:rPr>
          <w:sz w:val="20"/>
          <w:szCs w:val="20"/>
          <w:color w:val="auto"/>
        </w:rPr>
      </w:pPr>
    </w:p>
    <w:p>
      <w:pPr>
        <w:ind w:left="760" w:right="800"/>
        <w:spacing w:after="0" w:line="253" w:lineRule="auto"/>
        <w:rPr>
          <w:sz w:val="20"/>
          <w:szCs w:val="20"/>
          <w:color w:val="auto"/>
        </w:rPr>
      </w:pPr>
      <w:r>
        <w:rPr>
          <w:rFonts w:ascii="Arial" w:cs="Arial" w:eastAsia="Arial" w:hAnsi="Arial"/>
          <w:sz w:val="18"/>
          <w:szCs w:val="18"/>
          <w:color w:val="auto"/>
        </w:rPr>
        <w:t>The Executive Severance Plan provides for severance payments and benefits to eligible employees, including our NEOs, upon a termination of employment by the Company without cause or by the executive for good reason (each as defined in the Executive Severance Plan, and each of which we refer to as a qualifying termination). In the event of a qualifying termination of employment, the Executive Severance Plan provides, in addition to certain accrued obligations, for the following payments and benefits:</w:t>
      </w:r>
    </w:p>
    <w:p>
      <w:pPr>
        <w:spacing w:after="0" w:line="70" w:lineRule="exact"/>
        <w:rPr>
          <w:sz w:val="20"/>
          <w:szCs w:val="20"/>
          <w:color w:val="auto"/>
        </w:rPr>
      </w:pPr>
    </w:p>
    <w:p>
      <w:pPr>
        <w:ind w:left="1140" w:hanging="214"/>
        <w:spacing w:after="0"/>
        <w:tabs>
          <w:tab w:leader="none" w:pos="1140" w:val="left"/>
        </w:tabs>
        <w:numPr>
          <w:ilvl w:val="0"/>
          <w:numId w:val="23"/>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actual performance;</w:t>
      </w:r>
    </w:p>
    <w:p>
      <w:pPr>
        <w:spacing w:after="0" w:line="103" w:lineRule="exact"/>
        <w:rPr>
          <w:rFonts w:ascii="Arial" w:cs="Arial" w:eastAsia="Arial" w:hAnsi="Arial"/>
          <w:sz w:val="18"/>
          <w:szCs w:val="18"/>
          <w:color w:val="3C5896"/>
        </w:rPr>
      </w:pPr>
    </w:p>
    <w:p>
      <w:pPr>
        <w:ind w:left="1140" w:right="860" w:hanging="214"/>
        <w:spacing w:after="0" w:line="253" w:lineRule="auto"/>
        <w:tabs>
          <w:tab w:leader="none" w:pos="1140" w:val="left"/>
        </w:tabs>
        <w:numPr>
          <w:ilvl w:val="0"/>
          <w:numId w:val="23"/>
        </w:numPr>
        <w:rPr>
          <w:rFonts w:ascii="Arial" w:cs="Arial" w:eastAsia="Arial" w:hAnsi="Arial"/>
          <w:sz w:val="18"/>
          <w:szCs w:val="18"/>
          <w:color w:val="3C5896"/>
        </w:rPr>
      </w:pPr>
      <w:r>
        <w:rPr>
          <w:rFonts w:ascii="Arial" w:cs="Arial" w:eastAsia="Arial" w:hAnsi="Arial"/>
          <w:sz w:val="18"/>
          <w:szCs w:val="18"/>
          <w:color w:val="auto"/>
        </w:rPr>
        <w:t>An amount equal to the sum of the executive’s (x) annual base salary and (y) bonus based on target performance, which we refer to as the cash severance amount, times the multiplier applicable to such executive, which is 2.0 for Mr. Fahs, 1.5 for Messrs. Moore, McAllister and Goodman, and 1.0 for Mr. Vaught, payable over a period of 24 months for Mr. Fahs, 18 months for Messrs. Moore, McAllister and Goodman, and 12 months for Mr. Vaught; and</w:t>
      </w:r>
    </w:p>
    <w:p>
      <w:pPr>
        <w:spacing w:after="0" w:line="83" w:lineRule="exact"/>
        <w:rPr>
          <w:rFonts w:ascii="Arial" w:cs="Arial" w:eastAsia="Arial" w:hAnsi="Arial"/>
          <w:sz w:val="18"/>
          <w:szCs w:val="18"/>
          <w:color w:val="3C5896"/>
        </w:rPr>
      </w:pPr>
    </w:p>
    <w:p>
      <w:pPr>
        <w:ind w:left="1140" w:right="880" w:hanging="214"/>
        <w:spacing w:after="0" w:line="254" w:lineRule="auto"/>
        <w:tabs>
          <w:tab w:leader="none" w:pos="1140" w:val="left"/>
        </w:tabs>
        <w:numPr>
          <w:ilvl w:val="0"/>
          <w:numId w:val="23"/>
        </w:numPr>
        <w:rPr>
          <w:rFonts w:ascii="Arial" w:cs="Arial" w:eastAsia="Arial" w:hAnsi="Arial"/>
          <w:sz w:val="18"/>
          <w:szCs w:val="18"/>
          <w:color w:val="3C5896"/>
        </w:rPr>
      </w:pPr>
      <w:r>
        <w:rPr>
          <w:rFonts w:ascii="Arial" w:cs="Arial" w:eastAsia="Arial" w:hAnsi="Arial"/>
          <w:sz w:val="18"/>
          <w:szCs w:val="18"/>
          <w:color w:val="auto"/>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Messrs. Moore, McAllister and Goodman, and 12 months for Mr. Vaught.</w:t>
      </w:r>
    </w:p>
    <w:p>
      <w:pPr>
        <w:spacing w:after="0" w:line="96" w:lineRule="exact"/>
        <w:rPr>
          <w:sz w:val="20"/>
          <w:szCs w:val="20"/>
          <w:color w:val="auto"/>
        </w:rPr>
      </w:pPr>
    </w:p>
    <w:p>
      <w:pPr>
        <w:jc w:val="both"/>
        <w:ind w:left="760" w:right="1060"/>
        <w:spacing w:after="0" w:line="256" w:lineRule="auto"/>
        <w:rPr>
          <w:sz w:val="20"/>
          <w:szCs w:val="20"/>
          <w:color w:val="auto"/>
        </w:rPr>
      </w:pPr>
      <w:r>
        <w:rPr>
          <w:rFonts w:ascii="Arial" w:cs="Arial" w:eastAsia="Arial" w:hAnsi="Arial"/>
          <w:sz w:val="18"/>
          <w:szCs w:val="18"/>
          <w:color w:val="auto"/>
        </w:rPr>
        <w:t>In addition, upon a qualifying termination that occurs within the two-year period following a change in control (as defined in the Executive Severance Plan), the Executive Severance Plan provides, in addition to certain accrued obligations, for the following payments and benefits:</w:t>
      </w:r>
    </w:p>
    <w:p>
      <w:pPr>
        <w:spacing w:after="0" w:line="67" w:lineRule="exact"/>
        <w:rPr>
          <w:sz w:val="20"/>
          <w:szCs w:val="20"/>
          <w:color w:val="auto"/>
        </w:rPr>
      </w:pPr>
    </w:p>
    <w:p>
      <w:pPr>
        <w:ind w:left="1140" w:hanging="214"/>
        <w:spacing w:after="0"/>
        <w:tabs>
          <w:tab w:leader="none" w:pos="1140" w:val="left"/>
        </w:tabs>
        <w:numPr>
          <w:ilvl w:val="0"/>
          <w:numId w:val="24"/>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target performance;</w:t>
      </w:r>
    </w:p>
    <w:p>
      <w:pPr>
        <w:spacing w:after="0" w:line="103" w:lineRule="exact"/>
        <w:rPr>
          <w:rFonts w:ascii="Arial" w:cs="Arial" w:eastAsia="Arial" w:hAnsi="Arial"/>
          <w:sz w:val="18"/>
          <w:szCs w:val="18"/>
          <w:color w:val="3C5896"/>
        </w:rPr>
      </w:pPr>
    </w:p>
    <w:p>
      <w:pPr>
        <w:ind w:left="1140" w:right="1020" w:hanging="214"/>
        <w:spacing w:after="0" w:line="256" w:lineRule="auto"/>
        <w:tabs>
          <w:tab w:leader="none" w:pos="1140" w:val="left"/>
        </w:tabs>
        <w:numPr>
          <w:ilvl w:val="0"/>
          <w:numId w:val="24"/>
        </w:numPr>
        <w:rPr>
          <w:rFonts w:ascii="Arial" w:cs="Arial" w:eastAsia="Arial" w:hAnsi="Arial"/>
          <w:sz w:val="18"/>
          <w:szCs w:val="18"/>
          <w:color w:val="3C5896"/>
        </w:rPr>
      </w:pPr>
      <w:r>
        <w:rPr>
          <w:rFonts w:ascii="Arial" w:cs="Arial" w:eastAsia="Arial" w:hAnsi="Arial"/>
          <w:sz w:val="18"/>
          <w:szCs w:val="18"/>
          <w:color w:val="auto"/>
        </w:rPr>
        <w:t>The cash severance amount, times the multiplier applicable to such executive, which is 2.5 for Mr. Fahs, 2.0 for Messrs. Moore, McAllister and Goodman, and 1.5 for Mr. Vaught, payable in a lump sum within 60 days following the covered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43180</wp:posOffset>
            </wp:positionV>
            <wp:extent cx="291465" cy="2317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27</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315" w:lineRule="exact"/>
        <w:rPr>
          <w:sz w:val="20"/>
          <w:szCs w:val="20"/>
          <w:color w:val="auto"/>
        </w:rPr>
      </w:pPr>
    </w:p>
    <w:p>
      <w:pPr>
        <w:ind w:left="1140" w:right="819" w:hanging="214"/>
        <w:spacing w:after="0" w:line="262" w:lineRule="auto"/>
        <w:tabs>
          <w:tab w:leader="none" w:pos="1140" w:val="left"/>
        </w:tabs>
        <w:numPr>
          <w:ilvl w:val="0"/>
          <w:numId w:val="25"/>
        </w:numPr>
        <w:rPr>
          <w:rFonts w:ascii="Arial" w:cs="Arial" w:eastAsia="Arial" w:hAnsi="Arial"/>
          <w:sz w:val="18"/>
          <w:szCs w:val="18"/>
          <w:color w:val="3C5896"/>
        </w:rPr>
      </w:pPr>
      <w:r>
        <w:rPr>
          <w:rFonts w:ascii="Arial" w:cs="Arial" w:eastAsia="Arial" w:hAnsi="Arial"/>
          <w:sz w:val="18"/>
          <w:szCs w:val="18"/>
          <w:color w:val="auto"/>
        </w:rPr>
        <w:t>The welfare benefit for a period of 30 months for Mr. Fahs, 24 months for Messrs. Moore, McAllister and Goodman, and 18 months for Mr. Vaught; and</w:t>
      </w:r>
    </w:p>
    <w:p>
      <w:pPr>
        <w:spacing w:after="0" w:line="61" w:lineRule="exact"/>
        <w:rPr>
          <w:rFonts w:ascii="Arial" w:cs="Arial" w:eastAsia="Arial" w:hAnsi="Arial"/>
          <w:sz w:val="18"/>
          <w:szCs w:val="18"/>
          <w:color w:val="3C5896"/>
        </w:rPr>
      </w:pPr>
    </w:p>
    <w:p>
      <w:pPr>
        <w:ind w:left="1140" w:right="979" w:hanging="214"/>
        <w:spacing w:after="0" w:line="262" w:lineRule="auto"/>
        <w:tabs>
          <w:tab w:leader="none" w:pos="1140" w:val="left"/>
        </w:tabs>
        <w:numPr>
          <w:ilvl w:val="0"/>
          <w:numId w:val="25"/>
        </w:numPr>
        <w:rPr>
          <w:rFonts w:ascii="Arial" w:cs="Arial" w:eastAsia="Arial" w:hAnsi="Arial"/>
          <w:sz w:val="18"/>
          <w:szCs w:val="18"/>
          <w:color w:val="3C5896"/>
        </w:rPr>
      </w:pPr>
      <w:r>
        <w:rPr>
          <w:rFonts w:ascii="Arial" w:cs="Arial" w:eastAsia="Arial" w:hAnsi="Arial"/>
          <w:sz w:val="18"/>
          <w:szCs w:val="18"/>
          <w:color w:val="auto"/>
        </w:rPr>
        <w:t>Payment of, or reimbursement for, up to $20,000 in outplacement services within the six-month period following termination of employment.</w:t>
      </w:r>
    </w:p>
    <w:p>
      <w:pPr>
        <w:spacing w:after="0" w:line="88" w:lineRule="exact"/>
        <w:rPr>
          <w:sz w:val="20"/>
          <w:szCs w:val="20"/>
          <w:color w:val="auto"/>
        </w:rPr>
      </w:pPr>
    </w:p>
    <w:p>
      <w:pPr>
        <w:ind w:left="760" w:right="499"/>
        <w:spacing w:after="0" w:line="256" w:lineRule="auto"/>
        <w:rPr>
          <w:sz w:val="20"/>
          <w:szCs w:val="20"/>
          <w:color w:val="auto"/>
        </w:rPr>
      </w:pPr>
      <w:r>
        <w:rPr>
          <w:rFonts w:ascii="Arial" w:cs="Arial" w:eastAsia="Arial" w:hAnsi="Arial"/>
          <w:sz w:val="18"/>
          <w:szCs w:val="18"/>
          <w:color w:val="auto"/>
        </w:rPr>
        <w:t>Payments and benefits under the Executive Severance Plan are subject to (i) the executive’s execution and non-revocation of a release of claims in favor of the Company and (ii) continued compliance with the executive’s confidentiality, non-interference and invention assignment obligations to the Company.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2014 Options</w:t>
      </w:r>
    </w:p>
    <w:p>
      <w:pPr>
        <w:spacing w:after="0" w:line="121" w:lineRule="exact"/>
        <w:rPr>
          <w:sz w:val="20"/>
          <w:szCs w:val="20"/>
          <w:color w:val="auto"/>
        </w:rPr>
      </w:pPr>
    </w:p>
    <w:p>
      <w:pPr>
        <w:ind w:left="760" w:right="399"/>
        <w:spacing w:after="0" w:line="261" w:lineRule="auto"/>
        <w:rPr>
          <w:sz w:val="20"/>
          <w:szCs w:val="20"/>
          <w:color w:val="auto"/>
        </w:rPr>
      </w:pPr>
      <w:r>
        <w:rPr>
          <w:rFonts w:ascii="Arial" w:cs="Arial" w:eastAsia="Arial" w:hAnsi="Arial"/>
          <w:sz w:val="18"/>
          <w:szCs w:val="18"/>
          <w:i w:val="1"/>
          <w:iCs w:val="1"/>
          <w:color w:val="auto"/>
        </w:rPr>
        <w:t xml:space="preserve">Effect of Change in Control on Vesting of Time-Based and Performance-Based Options. </w:t>
      </w:r>
      <w:r>
        <w:rPr>
          <w:rFonts w:ascii="Arial" w:cs="Arial" w:eastAsia="Arial" w:hAnsi="Arial"/>
          <w:sz w:val="18"/>
          <w:szCs w:val="18"/>
          <w:color w:val="auto"/>
        </w:rPr>
        <w:t>Upon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2014 Stock Incentive Plan), unvested time options would become immediately vested and exercisable. Upon a change in control, performance options would become vested and exercisable up to the following percentage (to the extent not already vested up to or in excess of the following percentage):</w:t>
      </w:r>
    </w:p>
    <w:p>
      <w:pPr>
        <w:spacing w:after="0" w:line="76" w:lineRule="exact"/>
        <w:rPr>
          <w:sz w:val="20"/>
          <w:szCs w:val="20"/>
          <w:color w:val="auto"/>
        </w:rPr>
      </w:pPr>
    </w:p>
    <w:p>
      <w:pPr>
        <w:ind w:left="1140" w:hanging="214"/>
        <w:spacing w:after="0"/>
        <w:tabs>
          <w:tab w:leader="none" w:pos="1140" w:val="left"/>
        </w:tabs>
        <w:numPr>
          <w:ilvl w:val="0"/>
          <w:numId w:val="26"/>
        </w:numPr>
        <w:rPr>
          <w:rFonts w:ascii="Arial" w:cs="Arial" w:eastAsia="Arial" w:hAnsi="Arial"/>
          <w:sz w:val="18"/>
          <w:szCs w:val="18"/>
          <w:color w:val="3C5896"/>
        </w:rPr>
      </w:pPr>
      <w:r>
        <w:rPr>
          <w:rFonts w:ascii="Arial" w:cs="Arial" w:eastAsia="Arial" w:hAnsi="Arial"/>
          <w:sz w:val="18"/>
          <w:szCs w:val="18"/>
          <w:color w:val="auto"/>
        </w:rPr>
        <w:t>If the MOIC is less than two times, no portion of the performance-based options will vest;</w:t>
      </w:r>
    </w:p>
    <w:p>
      <w:pPr>
        <w:spacing w:after="0" w:line="103" w:lineRule="exact"/>
        <w:rPr>
          <w:rFonts w:ascii="Arial" w:cs="Arial" w:eastAsia="Arial" w:hAnsi="Arial"/>
          <w:sz w:val="18"/>
          <w:szCs w:val="18"/>
          <w:color w:val="3C5896"/>
        </w:rPr>
      </w:pPr>
    </w:p>
    <w:p>
      <w:pPr>
        <w:ind w:left="1140" w:hanging="214"/>
        <w:spacing w:after="0"/>
        <w:tabs>
          <w:tab w:leader="none" w:pos="1140" w:val="left"/>
        </w:tabs>
        <w:numPr>
          <w:ilvl w:val="0"/>
          <w:numId w:val="26"/>
        </w:numPr>
        <w:rPr>
          <w:rFonts w:ascii="Arial" w:cs="Arial" w:eastAsia="Arial" w:hAnsi="Arial"/>
          <w:sz w:val="18"/>
          <w:szCs w:val="18"/>
          <w:color w:val="3C5896"/>
        </w:rPr>
      </w:pPr>
      <w:r>
        <w:rPr>
          <w:rFonts w:ascii="Arial" w:cs="Arial" w:eastAsia="Arial" w:hAnsi="Arial"/>
          <w:sz w:val="18"/>
          <w:szCs w:val="18"/>
          <w:color w:val="auto"/>
        </w:rPr>
        <w:t>If the MOIC achieved is at least equal to two times, then 25% of the performance-based options will vest; and</w:t>
      </w:r>
    </w:p>
    <w:p>
      <w:pPr>
        <w:spacing w:after="0" w:line="103" w:lineRule="exact"/>
        <w:rPr>
          <w:rFonts w:ascii="Arial" w:cs="Arial" w:eastAsia="Arial" w:hAnsi="Arial"/>
          <w:sz w:val="18"/>
          <w:szCs w:val="18"/>
          <w:color w:val="3C5896"/>
        </w:rPr>
      </w:pPr>
    </w:p>
    <w:p>
      <w:pPr>
        <w:ind w:left="1140" w:right="579" w:hanging="214"/>
        <w:spacing w:after="0" w:line="254" w:lineRule="auto"/>
        <w:tabs>
          <w:tab w:leader="none" w:pos="1140" w:val="left"/>
        </w:tabs>
        <w:numPr>
          <w:ilvl w:val="0"/>
          <w:numId w:val="26"/>
        </w:numPr>
        <w:rPr>
          <w:rFonts w:ascii="Arial" w:cs="Arial" w:eastAsia="Arial" w:hAnsi="Arial"/>
          <w:sz w:val="18"/>
          <w:szCs w:val="18"/>
          <w:color w:val="3C5896"/>
        </w:rPr>
      </w:pPr>
      <w:r>
        <w:rPr>
          <w:rFonts w:ascii="Arial" w:cs="Arial" w:eastAsia="Arial" w:hAnsi="Arial"/>
          <w:sz w:val="18"/>
          <w:szCs w:val="18"/>
          <w:color w:val="auto"/>
        </w:rPr>
        <w:t>If the MOIC achieved is greater than two times, then an additional percentage of the performance-based options above 25% will vest with up to 100% of the performance-based options becoming vested upon the achievement of a MOIC equal to or greater than 4x based on the following formula: the product of (x)(i) the actual MOIC achieved on the change in control minus (ii) the MOIC equal to two, and (y) 37.5%.</w:t>
      </w:r>
    </w:p>
    <w:p>
      <w:pPr>
        <w:spacing w:after="0" w:line="96" w:lineRule="exact"/>
        <w:rPr>
          <w:sz w:val="20"/>
          <w:szCs w:val="20"/>
          <w:color w:val="auto"/>
        </w:rPr>
      </w:pPr>
    </w:p>
    <w:p>
      <w:pPr>
        <w:ind w:left="760" w:right="299"/>
        <w:spacing w:after="0" w:line="262" w:lineRule="auto"/>
        <w:rPr>
          <w:sz w:val="20"/>
          <w:szCs w:val="20"/>
          <w:color w:val="auto"/>
        </w:rPr>
      </w:pPr>
      <w:r>
        <w:rPr>
          <w:rFonts w:ascii="Arial" w:cs="Arial" w:eastAsia="Arial" w:hAnsi="Arial"/>
          <w:sz w:val="18"/>
          <w:szCs w:val="18"/>
          <w:color w:val="auto"/>
        </w:rPr>
        <w:t>Any portion of the performance-based options that do not vest on a change in control will immediately expire on the date of such change in control.</w:t>
      </w:r>
    </w:p>
    <w:p>
      <w:pPr>
        <w:spacing w:after="0" w:line="70" w:lineRule="exact"/>
        <w:rPr>
          <w:sz w:val="20"/>
          <w:szCs w:val="20"/>
          <w:color w:val="auto"/>
        </w:rPr>
      </w:pPr>
    </w:p>
    <w:p>
      <w:pPr>
        <w:ind w:left="760" w:right="399"/>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the next installment of time-based options that would have become exercisable on the next vesting date following the date of such termination of employment will become vested and exercisable.</w:t>
      </w:r>
    </w:p>
    <w:p>
      <w:pPr>
        <w:spacing w:after="0" w:line="68" w:lineRule="exact"/>
        <w:rPr>
          <w:sz w:val="20"/>
          <w:szCs w:val="20"/>
          <w:color w:val="auto"/>
        </w:rPr>
      </w:pPr>
    </w:p>
    <w:p>
      <w:pPr>
        <w:ind w:left="760" w:right="499"/>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time-based options, unvested options will not become vested and exercisable following termination of employment with us for any reason and any option that is unvested as of the date of termination of employment will immediately expire.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McAllister 2017 Options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29, 2018, the McAllister 2017 Options were subject to the following terms:</w:t>
      </w:r>
    </w:p>
    <w:p>
      <w:pPr>
        <w:spacing w:after="0" w:line="99" w:lineRule="exact"/>
        <w:rPr>
          <w:sz w:val="20"/>
          <w:szCs w:val="20"/>
          <w:color w:val="auto"/>
        </w:rPr>
      </w:pPr>
    </w:p>
    <w:p>
      <w:pPr>
        <w:ind w:left="760" w:right="399"/>
        <w:spacing w:after="0" w:line="266" w:lineRule="auto"/>
        <w:rPr>
          <w:sz w:val="20"/>
          <w:szCs w:val="20"/>
          <w:color w:val="auto"/>
        </w:rPr>
      </w:pPr>
      <w:r>
        <w:rPr>
          <w:rFonts w:ascii="Arial" w:cs="Arial" w:eastAsia="Arial" w:hAnsi="Arial"/>
          <w:sz w:val="18"/>
          <w:szCs w:val="18"/>
          <w:i w:val="1"/>
          <w:iCs w:val="1"/>
          <w:color w:val="auto"/>
        </w:rPr>
        <w:t xml:space="preserve">Effect of Change in Control on Vesting of Time-Based and Performance-Based Options. </w:t>
      </w:r>
      <w:r>
        <w:rPr>
          <w:rFonts w:ascii="Arial" w:cs="Arial" w:eastAsia="Arial" w:hAnsi="Arial"/>
          <w:sz w:val="18"/>
          <w:szCs w:val="18"/>
          <w:color w:val="auto"/>
        </w:rPr>
        <w:t>Upon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2014 Stock Incentive Plan), unvested time options and performance options would become immediately vested and exercisable.</w:t>
      </w:r>
    </w:p>
    <w:p>
      <w:pPr>
        <w:spacing w:after="0" w:line="68" w:lineRule="exact"/>
        <w:rPr>
          <w:sz w:val="20"/>
          <w:szCs w:val="20"/>
          <w:color w:val="auto"/>
        </w:rPr>
      </w:pPr>
    </w:p>
    <w:p>
      <w:pPr>
        <w:ind w:left="760" w:right="339"/>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Mr. McAllister’s employment with the Company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death or disability, the next installment of time -based options that would have become exercisable on the next vesting date following the date of such termination of employment will become vested and exercisable.</w:t>
      </w:r>
    </w:p>
    <w:p>
      <w:pPr>
        <w:spacing w:after="0" w:line="68" w:lineRule="exact"/>
        <w:rPr>
          <w:sz w:val="20"/>
          <w:szCs w:val="20"/>
          <w:color w:val="auto"/>
        </w:rPr>
      </w:pPr>
    </w:p>
    <w:p>
      <w:pPr>
        <w:ind w:left="760" w:right="499"/>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time-based options, unvested options will not become vested and exercisable following termination of employment with us for any reason and any option that is unvested as of the date of termination of employment will immediately expire.</w:t>
      </w:r>
    </w:p>
    <w:p>
      <w:pPr>
        <w:spacing w:after="0" w:line="90" w:lineRule="exact"/>
        <w:rPr>
          <w:sz w:val="20"/>
          <w:szCs w:val="20"/>
          <w:color w:val="auto"/>
        </w:rPr>
      </w:pPr>
    </w:p>
    <w:p>
      <w:pPr>
        <w:ind w:left="760" w:right="479"/>
        <w:spacing w:after="0" w:line="256" w:lineRule="auto"/>
        <w:rPr>
          <w:sz w:val="20"/>
          <w:szCs w:val="20"/>
          <w:color w:val="auto"/>
        </w:rPr>
      </w:pPr>
      <w:r>
        <w:rPr>
          <w:rFonts w:ascii="Arial" w:cs="Arial" w:eastAsia="Arial" w:hAnsi="Arial"/>
          <w:sz w:val="18"/>
          <w:szCs w:val="18"/>
          <w:color w:val="auto"/>
        </w:rPr>
        <w:t>In addition, pursuant to the terms of the Transition Agreement, in the event that Mr. McAllister terminates his employment during the Transition Period for any reason, the McAllister 2017 Options will continue to vest as if no such termination of employment had taken place.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2017 Post-IPO Options</w:t>
      </w:r>
    </w:p>
    <w:p>
      <w:pPr>
        <w:spacing w:after="0" w:line="121" w:lineRule="exact"/>
        <w:rPr>
          <w:sz w:val="20"/>
          <w:szCs w:val="20"/>
          <w:color w:val="auto"/>
        </w:rPr>
      </w:pPr>
    </w:p>
    <w:p>
      <w:pPr>
        <w:ind w:left="760" w:right="359"/>
        <w:spacing w:after="0" w:line="282"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below in the 2017 Omnibus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unvested time-based options would become immediately vested and exercisable.</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28  </w:t>
      </w:r>
      <w:r>
        <w:rPr>
          <w:sz w:val="1"/>
          <w:szCs w:val="1"/>
          <w:color w:val="auto"/>
        </w:rPr>
        <w:drawing>
          <wp:inline distT="0" distB="0" distL="0" distR="0">
            <wp:extent cx="291465" cy="22288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FFFFFF"/>
        </w:rPr>
        <w:t>EXECUTIVE COMPENSATION</w:t>
      </w:r>
    </w:p>
    <w:p>
      <w:pPr>
        <w:spacing w:after="0" w:line="243" w:lineRule="exact"/>
        <w:rPr>
          <w:sz w:val="20"/>
          <w:szCs w:val="20"/>
          <w:color w:val="auto"/>
        </w:rPr>
      </w:pPr>
    </w:p>
    <w:p>
      <w:pPr>
        <w:ind w:left="760" w:right="920"/>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an NEO’s employment with the Company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or disability, the next installment of time-based options that would have become exercisable on the next vesting date following the date of such termination of employment will become vested and exercisable.</w:t>
      </w:r>
    </w:p>
    <w:p>
      <w:pPr>
        <w:spacing w:after="0" w:line="68" w:lineRule="exact"/>
        <w:rPr>
          <w:sz w:val="20"/>
          <w:szCs w:val="20"/>
          <w:color w:val="auto"/>
        </w:rPr>
      </w:pPr>
    </w:p>
    <w:p>
      <w:pPr>
        <w:ind w:left="760" w:right="1020"/>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time-based options, unvested options will not become vested and exercisable following termination of employment with us for any reason and any option that is unvested as of the date of termination of employment will immediately expire.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Quantification of Payments upon Termination or Change in Control.</w:t>
      </w:r>
    </w:p>
    <w:p>
      <w:pPr>
        <w:spacing w:after="0" w:line="139" w:lineRule="exact"/>
        <w:rPr>
          <w:sz w:val="20"/>
          <w:szCs w:val="20"/>
          <w:color w:val="auto"/>
        </w:rPr>
      </w:pPr>
    </w:p>
    <w:p>
      <w:pPr>
        <w:ind w:left="760" w:right="780"/>
        <w:spacing w:after="0" w:line="252" w:lineRule="auto"/>
        <w:rPr>
          <w:sz w:val="20"/>
          <w:szCs w:val="20"/>
          <w:color w:val="auto"/>
        </w:rPr>
      </w:pPr>
      <w:r>
        <w:rPr>
          <w:rFonts w:ascii="Arial" w:cs="Arial" w:eastAsia="Arial" w:hAnsi="Arial"/>
          <w:sz w:val="18"/>
          <w:szCs w:val="18"/>
          <w:color w:val="auto"/>
        </w:rPr>
        <w:t>The following table lists the payments and benefits that would have been triggered for each of our NEOs under the circumstances described below assuming that the applicable triggering event occurred on December 29, 2018. Consistent with SEC requirements, these estimated amounts have been calculated as if the NEO’s employment had been terminated as of December 29, 2018, the last day of fiscal 2018, and using the closing market price of our Common Stock on December 28, 2018, the last trading day in 2018 ($28.98 per share). For purposes of this section, we have assumed that (1) we do not exercise any discretion to accelerate the vesting of outstanding options in connection with a change in control, and (2) the value of any stock options that may be accelerated is equal to the full value of such awards (i.e., the full “spread” value for stock options as of December 29, 2018).</w:t>
      </w:r>
    </w:p>
    <w:p>
      <w:pPr>
        <w:spacing w:after="0" w:line="126" w:lineRule="exact"/>
        <w:rPr>
          <w:sz w:val="20"/>
          <w:szCs w:val="20"/>
          <w:color w:val="auto"/>
        </w:rPr>
      </w:pPr>
    </w:p>
    <w:tbl>
      <w:tblPr>
        <w:tblLayout w:type="fixed"/>
        <w:tblInd w:w="770" w:type="dxa"/>
        <w:tblCellMar>
          <w:top w:w="0" w:type="dxa"/>
          <w:left w:w="0" w:type="dxa"/>
          <w:bottom w:w="0" w:type="dxa"/>
          <w:right w:w="0" w:type="dxa"/>
        </w:tblCellMar>
      </w:tblPr>
      <w:tr>
        <w:trPr>
          <w:trHeight w:val="203"/>
        </w:trPr>
        <w:tc>
          <w:tcPr>
            <w:tcW w:w="5540" w:type="dxa"/>
            <w:vAlign w:val="bottom"/>
            <w:tcBorders>
              <w:left w:val="single" w:sz="8" w:color="3C5896"/>
              <w:right w:val="single" w:sz="8" w:color="9EACCA"/>
            </w:tcBorders>
            <w:shd w:val="clear" w:color="auto" w:fill="3C5896"/>
          </w:tcPr>
          <w:p>
            <w:pPr>
              <w:spacing w:after="0"/>
              <w:rPr>
                <w:sz w:val="17"/>
                <w:szCs w:val="17"/>
                <w:color w:val="auto"/>
              </w:rPr>
            </w:pPr>
          </w:p>
        </w:tc>
        <w:tc>
          <w:tcPr>
            <w:tcW w:w="1040" w:type="dxa"/>
            <w:vAlign w:val="bottom"/>
            <w:tcBorders>
              <w:right w:val="single" w:sz="8" w:color="9EACCA"/>
            </w:tcBorders>
            <w:shd w:val="clear" w:color="auto" w:fill="3C5896"/>
          </w:tcPr>
          <w:p>
            <w:pPr>
              <w:spacing w:after="0"/>
              <w:rPr>
                <w:sz w:val="17"/>
                <w:szCs w:val="17"/>
                <w:color w:val="auto"/>
              </w:rPr>
            </w:pPr>
          </w:p>
        </w:tc>
        <w:tc>
          <w:tcPr>
            <w:tcW w:w="12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7"/>
                <w:szCs w:val="17"/>
                <w:b w:val="1"/>
                <w:bCs w:val="1"/>
                <w:color w:val="FFFFFF"/>
                <w:w w:val="99"/>
              </w:rPr>
              <w:t>Continuation</w:t>
            </w:r>
          </w:p>
        </w:tc>
        <w:tc>
          <w:tcPr>
            <w:tcW w:w="136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7"/>
                <w:szCs w:val="17"/>
                <w:b w:val="1"/>
                <w:bCs w:val="1"/>
                <w:color w:val="FFFFFF"/>
                <w:w w:val="99"/>
              </w:rPr>
              <w:t>Value of</w:t>
            </w:r>
          </w:p>
        </w:tc>
      </w:tr>
      <w:tr>
        <w:trPr>
          <w:trHeight w:val="189"/>
        </w:trPr>
        <w:tc>
          <w:tcPr>
            <w:tcW w:w="5540" w:type="dxa"/>
            <w:vAlign w:val="bottom"/>
            <w:tcBorders>
              <w:left w:val="single" w:sz="8" w:color="3C5896"/>
              <w:right w:val="single" w:sz="8" w:color="9EACCA"/>
            </w:tcBorders>
            <w:shd w:val="clear" w:color="auto" w:fill="3C5896"/>
          </w:tcPr>
          <w:p>
            <w:pPr>
              <w:spacing w:after="0"/>
              <w:rPr>
                <w:sz w:val="16"/>
                <w:szCs w:val="16"/>
                <w:color w:val="auto"/>
              </w:rPr>
            </w:pPr>
          </w:p>
        </w:tc>
        <w:tc>
          <w:tcPr>
            <w:tcW w:w="10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7"/>
                <w:szCs w:val="17"/>
                <w:b w:val="1"/>
                <w:bCs w:val="1"/>
                <w:color w:val="FFFFFF"/>
              </w:rPr>
              <w:t>Severance</w:t>
            </w:r>
          </w:p>
        </w:tc>
        <w:tc>
          <w:tcPr>
            <w:tcW w:w="12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7"/>
                <w:szCs w:val="17"/>
                <w:b w:val="1"/>
                <w:bCs w:val="1"/>
                <w:color w:val="FFFFFF"/>
                <w:w w:val="98"/>
              </w:rPr>
              <w:t>of Health</w:t>
            </w:r>
          </w:p>
        </w:tc>
        <w:tc>
          <w:tcPr>
            <w:tcW w:w="13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7"/>
                <w:szCs w:val="17"/>
                <w:b w:val="1"/>
                <w:bCs w:val="1"/>
                <w:color w:val="FFFFFF"/>
              </w:rPr>
              <w:t>Accelerated</w:t>
            </w:r>
          </w:p>
        </w:tc>
      </w:tr>
      <w:tr>
        <w:trPr>
          <w:trHeight w:val="175"/>
        </w:trPr>
        <w:tc>
          <w:tcPr>
            <w:tcW w:w="5540" w:type="dxa"/>
            <w:vAlign w:val="bottom"/>
            <w:tcBorders>
              <w:left w:val="single" w:sz="8" w:color="3C5896"/>
              <w:right w:val="single" w:sz="8" w:color="9EACCA"/>
            </w:tcBorders>
            <w:shd w:val="clear" w:color="auto" w:fill="3C5896"/>
          </w:tcPr>
          <w:p>
            <w:pPr>
              <w:spacing w:after="0"/>
              <w:rPr>
                <w:sz w:val="15"/>
                <w:szCs w:val="15"/>
                <w:color w:val="auto"/>
              </w:rPr>
            </w:pPr>
          </w:p>
        </w:tc>
        <w:tc>
          <w:tcPr>
            <w:tcW w:w="1040" w:type="dxa"/>
            <w:vAlign w:val="bottom"/>
            <w:tcBorders>
              <w:right w:val="single" w:sz="8" w:color="9EACCA"/>
            </w:tcBorders>
            <w:shd w:val="clear" w:color="auto" w:fill="3C5896"/>
          </w:tcPr>
          <w:p>
            <w:pPr>
              <w:jc w:val="center"/>
              <w:spacing w:after="0" w:line="175" w:lineRule="exact"/>
              <w:rPr>
                <w:sz w:val="20"/>
                <w:szCs w:val="20"/>
                <w:color w:val="auto"/>
              </w:rPr>
            </w:pPr>
            <w:r>
              <w:rPr>
                <w:rFonts w:ascii="Arial" w:cs="Arial" w:eastAsia="Arial" w:hAnsi="Arial"/>
                <w:sz w:val="17"/>
                <w:szCs w:val="17"/>
                <w:b w:val="1"/>
                <w:bCs w:val="1"/>
                <w:color w:val="FFFFFF"/>
              </w:rPr>
              <w:t>Benefit</w:t>
            </w:r>
          </w:p>
        </w:tc>
        <w:tc>
          <w:tcPr>
            <w:tcW w:w="1260" w:type="dxa"/>
            <w:vAlign w:val="bottom"/>
            <w:tcBorders>
              <w:right w:val="single" w:sz="8" w:color="9EACCA"/>
            </w:tcBorders>
            <w:shd w:val="clear" w:color="auto" w:fill="3C5896"/>
          </w:tcPr>
          <w:p>
            <w:pPr>
              <w:jc w:val="center"/>
              <w:spacing w:after="0" w:line="175" w:lineRule="exact"/>
              <w:rPr>
                <w:sz w:val="20"/>
                <w:szCs w:val="20"/>
                <w:color w:val="auto"/>
              </w:rPr>
            </w:pPr>
            <w:r>
              <w:rPr>
                <w:rFonts w:ascii="Arial" w:cs="Arial" w:eastAsia="Arial" w:hAnsi="Arial"/>
                <w:sz w:val="17"/>
                <w:szCs w:val="17"/>
                <w:b w:val="1"/>
                <w:bCs w:val="1"/>
                <w:color w:val="FFFFFF"/>
              </w:rPr>
              <w:t>Benefits</w:t>
            </w:r>
          </w:p>
        </w:tc>
        <w:tc>
          <w:tcPr>
            <w:tcW w:w="1360" w:type="dxa"/>
            <w:vAlign w:val="bottom"/>
            <w:tcBorders>
              <w:right w:val="single" w:sz="8" w:color="3C5896"/>
            </w:tcBorders>
            <w:shd w:val="clear" w:color="auto" w:fill="3C5896"/>
          </w:tcPr>
          <w:p>
            <w:pPr>
              <w:jc w:val="center"/>
              <w:spacing w:after="0" w:line="175" w:lineRule="exact"/>
              <w:rPr>
                <w:sz w:val="20"/>
                <w:szCs w:val="20"/>
                <w:color w:val="auto"/>
              </w:rPr>
            </w:pPr>
            <w:r>
              <w:rPr>
                <w:rFonts w:ascii="Arial" w:cs="Arial" w:eastAsia="Arial" w:hAnsi="Arial"/>
                <w:sz w:val="17"/>
                <w:szCs w:val="17"/>
                <w:b w:val="1"/>
                <w:bCs w:val="1"/>
                <w:color w:val="FFFFFF"/>
              </w:rPr>
              <w:t>Stock Options</w:t>
            </w:r>
          </w:p>
        </w:tc>
      </w:tr>
      <w:tr>
        <w:trPr>
          <w:trHeight w:val="257"/>
        </w:trPr>
        <w:tc>
          <w:tcPr>
            <w:tcW w:w="5540" w:type="dxa"/>
            <w:vAlign w:val="bottom"/>
            <w:tcBorders>
              <w:left w:val="single" w:sz="8" w:color="3C5896"/>
              <w:right w:val="single" w:sz="8" w:color="9EACCA"/>
            </w:tcBorders>
            <w:shd w:val="clear" w:color="auto" w:fill="3C5896"/>
          </w:tcPr>
          <w:p>
            <w:pPr>
              <w:ind w:left="1760"/>
              <w:spacing w:after="0"/>
              <w:rPr>
                <w:sz w:val="20"/>
                <w:szCs w:val="20"/>
                <w:color w:val="auto"/>
              </w:rPr>
            </w:pPr>
            <w:r>
              <w:rPr>
                <w:rFonts w:ascii="Arial" w:cs="Arial" w:eastAsia="Arial" w:hAnsi="Arial"/>
                <w:sz w:val="17"/>
                <w:szCs w:val="17"/>
                <w:b w:val="1"/>
                <w:bCs w:val="1"/>
                <w:color w:val="FFFFFF"/>
              </w:rPr>
              <w:t>Named Executive Officer</w:t>
            </w:r>
          </w:p>
        </w:tc>
        <w:tc>
          <w:tcPr>
            <w:tcW w:w="1040" w:type="dxa"/>
            <w:vAlign w:val="bottom"/>
            <w:tcBorders>
              <w:right w:val="single" w:sz="8" w:color="9EACCA"/>
            </w:tcBorders>
            <w:shd w:val="clear" w:color="auto" w:fill="3C5896"/>
          </w:tcPr>
          <w:p>
            <w:pPr>
              <w:jc w:val="center"/>
              <w:spacing w:after="0" w:line="257" w:lineRule="exact"/>
              <w:rPr>
                <w:sz w:val="20"/>
                <w:szCs w:val="20"/>
                <w:color w:val="auto"/>
              </w:rPr>
            </w:pPr>
            <w:r>
              <w:rPr>
                <w:rFonts w:ascii="Arial" w:cs="Arial" w:eastAsia="Arial" w:hAnsi="Arial"/>
                <w:sz w:val="17"/>
                <w:szCs w:val="17"/>
                <w:b w:val="1"/>
                <w:bCs w:val="1"/>
                <w:color w:val="FFFFFF"/>
                <w:w w:val="87"/>
              </w:rPr>
              <w:t>($)</w:t>
            </w:r>
            <w:r>
              <w:rPr>
                <w:rFonts w:ascii="Arial" w:cs="Arial" w:eastAsia="Arial" w:hAnsi="Arial"/>
                <w:sz w:val="25"/>
                <w:szCs w:val="25"/>
                <w:b w:val="1"/>
                <w:bCs w:val="1"/>
                <w:color w:val="FFFFFF"/>
                <w:w w:val="87"/>
                <w:vertAlign w:val="superscript"/>
              </w:rPr>
              <w:t>(1)</w:t>
            </w:r>
          </w:p>
        </w:tc>
        <w:tc>
          <w:tcPr>
            <w:tcW w:w="1260" w:type="dxa"/>
            <w:vAlign w:val="bottom"/>
            <w:tcBorders>
              <w:right w:val="single" w:sz="8" w:color="9EACCA"/>
            </w:tcBorders>
            <w:shd w:val="clear" w:color="auto" w:fill="3C5896"/>
          </w:tcPr>
          <w:p>
            <w:pPr>
              <w:jc w:val="center"/>
              <w:spacing w:after="0" w:line="257" w:lineRule="exact"/>
              <w:rPr>
                <w:sz w:val="20"/>
                <w:szCs w:val="20"/>
                <w:color w:val="auto"/>
              </w:rPr>
            </w:pPr>
            <w:r>
              <w:rPr>
                <w:rFonts w:ascii="Arial" w:cs="Arial" w:eastAsia="Arial" w:hAnsi="Arial"/>
                <w:sz w:val="17"/>
                <w:szCs w:val="17"/>
                <w:b w:val="1"/>
                <w:bCs w:val="1"/>
                <w:color w:val="FFFFFF"/>
                <w:w w:val="87"/>
              </w:rPr>
              <w:t>($)</w:t>
            </w:r>
            <w:r>
              <w:rPr>
                <w:rFonts w:ascii="Arial" w:cs="Arial" w:eastAsia="Arial" w:hAnsi="Arial"/>
                <w:sz w:val="25"/>
                <w:szCs w:val="25"/>
                <w:b w:val="1"/>
                <w:bCs w:val="1"/>
                <w:color w:val="FFFFFF"/>
                <w:w w:val="87"/>
                <w:vertAlign w:val="superscript"/>
              </w:rPr>
              <w:t>(2)</w:t>
            </w:r>
          </w:p>
        </w:tc>
        <w:tc>
          <w:tcPr>
            <w:tcW w:w="1360" w:type="dxa"/>
            <w:vAlign w:val="bottom"/>
            <w:tcBorders>
              <w:right w:val="single" w:sz="8" w:color="3C5896"/>
            </w:tcBorders>
            <w:shd w:val="clear" w:color="auto" w:fill="3C5896"/>
          </w:tcPr>
          <w:p>
            <w:pPr>
              <w:jc w:val="center"/>
              <w:spacing w:after="0" w:line="257" w:lineRule="exact"/>
              <w:rPr>
                <w:sz w:val="20"/>
                <w:szCs w:val="20"/>
                <w:color w:val="auto"/>
              </w:rPr>
            </w:pPr>
            <w:r>
              <w:rPr>
                <w:rFonts w:ascii="Arial" w:cs="Arial" w:eastAsia="Arial" w:hAnsi="Arial"/>
                <w:sz w:val="17"/>
                <w:szCs w:val="17"/>
                <w:b w:val="1"/>
                <w:bCs w:val="1"/>
                <w:color w:val="FFFFFF"/>
                <w:w w:val="87"/>
              </w:rPr>
              <w:t>($)</w:t>
            </w:r>
            <w:r>
              <w:rPr>
                <w:rFonts w:ascii="Arial" w:cs="Arial" w:eastAsia="Arial" w:hAnsi="Arial"/>
                <w:sz w:val="25"/>
                <w:szCs w:val="25"/>
                <w:b w:val="1"/>
                <w:bCs w:val="1"/>
                <w:color w:val="FFFFFF"/>
                <w:w w:val="87"/>
                <w:vertAlign w:val="superscript"/>
              </w:rPr>
              <w:t>(3)</w:t>
            </w:r>
          </w:p>
        </w:tc>
      </w:tr>
      <w:tr>
        <w:trPr>
          <w:trHeight w:val="257"/>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L. Reade Fahs</w:t>
            </w:r>
          </w:p>
        </w:tc>
        <w:tc>
          <w:tcPr>
            <w:tcW w:w="1040" w:type="dxa"/>
            <w:vAlign w:val="bottom"/>
            <w:tcBorders>
              <w:right w:val="single" w:sz="8" w:color="9EACCA"/>
            </w:tcBorders>
          </w:tcPr>
          <w:p>
            <w:pPr>
              <w:spacing w:after="0"/>
              <w:rPr>
                <w:sz w:val="22"/>
                <w:szCs w:val="22"/>
                <w:color w:val="auto"/>
              </w:rPr>
            </w:pPr>
          </w:p>
        </w:tc>
        <w:tc>
          <w:tcPr>
            <w:tcW w:w="1260" w:type="dxa"/>
            <w:vAlign w:val="bottom"/>
            <w:tcBorders>
              <w:right w:val="single" w:sz="8" w:color="9EACCA"/>
            </w:tcBorders>
          </w:tcPr>
          <w:p>
            <w:pPr>
              <w:spacing w:after="0"/>
              <w:rPr>
                <w:sz w:val="22"/>
                <w:szCs w:val="22"/>
                <w:color w:val="auto"/>
              </w:rPr>
            </w:pPr>
          </w:p>
        </w:tc>
        <w:tc>
          <w:tcPr>
            <w:tcW w:w="1360" w:type="dxa"/>
            <w:vAlign w:val="bottom"/>
            <w:tcBorders>
              <w:right w:val="single" w:sz="8" w:color="3C5896"/>
            </w:tcBorders>
          </w:tcPr>
          <w:p>
            <w:pPr>
              <w:spacing w:after="0"/>
              <w:rPr>
                <w:sz w:val="22"/>
                <w:szCs w:val="22"/>
                <w:color w:val="auto"/>
              </w:rPr>
            </w:pPr>
          </w:p>
        </w:tc>
      </w:tr>
      <w:tr>
        <w:trPr>
          <w:trHeight w:val="270"/>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Qualifying Termination of Employment</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3,600,000</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2,318</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Change in Control</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4,520,000</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2,898</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3,016,078</w:t>
            </w:r>
          </w:p>
        </w:tc>
      </w:tr>
      <w:tr>
        <w:trPr>
          <w:trHeight w:val="277"/>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Termination Upon Death or Disability</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3,016,078</w:t>
            </w:r>
          </w:p>
        </w:tc>
      </w:tr>
      <w:tr>
        <w:trPr>
          <w:trHeight w:val="263"/>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Patrick R. Moore</w:t>
            </w:r>
          </w:p>
        </w:tc>
        <w:tc>
          <w:tcPr>
            <w:tcW w:w="1040" w:type="dxa"/>
            <w:vAlign w:val="bottom"/>
            <w:tcBorders>
              <w:right w:val="single" w:sz="8" w:color="9EACCA"/>
            </w:tcBorders>
            <w:shd w:val="clear" w:color="auto" w:fill="CCCCCC"/>
          </w:tcPr>
          <w:p>
            <w:pPr>
              <w:spacing w:after="0"/>
              <w:rPr>
                <w:sz w:val="22"/>
                <w:szCs w:val="22"/>
                <w:color w:val="auto"/>
              </w:rPr>
            </w:pPr>
          </w:p>
        </w:tc>
        <w:tc>
          <w:tcPr>
            <w:tcW w:w="1260" w:type="dxa"/>
            <w:vAlign w:val="bottom"/>
            <w:tcBorders>
              <w:right w:val="single" w:sz="8" w:color="9EACCA"/>
            </w:tcBorders>
            <w:shd w:val="clear" w:color="auto" w:fill="CCCCCC"/>
          </w:tcPr>
          <w:p>
            <w:pPr>
              <w:spacing w:after="0"/>
              <w:rPr>
                <w:sz w:val="22"/>
                <w:szCs w:val="22"/>
                <w:color w:val="auto"/>
              </w:rPr>
            </w:pPr>
          </w:p>
        </w:tc>
        <w:tc>
          <w:tcPr>
            <w:tcW w:w="1360" w:type="dxa"/>
            <w:vAlign w:val="bottom"/>
            <w:tcBorders>
              <w:right w:val="single" w:sz="8" w:color="3C5896"/>
            </w:tcBorders>
            <w:shd w:val="clear" w:color="auto" w:fill="CCCCCC"/>
          </w:tcPr>
          <w:p>
            <w:pPr>
              <w:spacing w:after="0"/>
              <w:rPr>
                <w:sz w:val="22"/>
                <w:szCs w:val="22"/>
                <w:color w:val="auto"/>
              </w:rPr>
            </w:pPr>
          </w:p>
        </w:tc>
      </w:tr>
      <w:tr>
        <w:trPr>
          <w:trHeight w:val="270"/>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i w:val="1"/>
                <w:iCs w:val="1"/>
                <w:color w:val="auto"/>
              </w:rPr>
              <w:t>Qualifying Termination of Employment</w:t>
            </w:r>
          </w:p>
        </w:tc>
        <w:tc>
          <w:tcPr>
            <w:tcW w:w="1040" w:type="dxa"/>
            <w:vAlign w:val="bottom"/>
            <w:tcBorders>
              <w:right w:val="single" w:sz="8" w:color="9EACCA"/>
            </w:tcBorders>
            <w:shd w:val="clear" w:color="auto" w:fill="CCCCCC"/>
          </w:tcPr>
          <w:p>
            <w:pPr>
              <w:jc w:val="right"/>
              <w:ind w:right="31"/>
              <w:spacing w:after="0"/>
              <w:rPr>
                <w:sz w:val="20"/>
                <w:szCs w:val="20"/>
                <w:color w:val="auto"/>
              </w:rPr>
            </w:pPr>
            <w:r>
              <w:rPr>
                <w:rFonts w:ascii="Arial" w:cs="Arial" w:eastAsia="Arial" w:hAnsi="Arial"/>
                <w:sz w:val="18"/>
                <w:szCs w:val="18"/>
                <w:color w:val="auto"/>
              </w:rPr>
              <w:t>961,442</w:t>
            </w:r>
          </w:p>
        </w:tc>
        <w:tc>
          <w:tcPr>
            <w:tcW w:w="1260" w:type="dxa"/>
            <w:vAlign w:val="bottom"/>
            <w:tcBorders>
              <w:right w:val="single" w:sz="8" w:color="9EACCA"/>
            </w:tcBorders>
            <w:shd w:val="clear" w:color="auto" w:fill="CCCCCC"/>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3C5896"/>
            </w:tcBorders>
            <w:shd w:val="clear" w:color="auto" w:fill="CCCCCC"/>
          </w:tcPr>
          <w:p>
            <w:pPr>
              <w:jc w:val="right"/>
              <w:ind w:right="191"/>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i w:val="1"/>
                <w:iCs w:val="1"/>
                <w:color w:val="auto"/>
              </w:rPr>
              <w:t>Change in Control</w:t>
            </w:r>
          </w:p>
        </w:tc>
        <w:tc>
          <w:tcPr>
            <w:tcW w:w="1040" w:type="dxa"/>
            <w:vAlign w:val="bottom"/>
            <w:tcBorders>
              <w:right w:val="single" w:sz="8" w:color="9EACCA"/>
            </w:tcBorders>
            <w:shd w:val="clear" w:color="auto" w:fill="CCCCCC"/>
          </w:tcPr>
          <w:p>
            <w:pPr>
              <w:jc w:val="right"/>
              <w:ind w:right="31"/>
              <w:spacing w:after="0"/>
              <w:rPr>
                <w:sz w:val="20"/>
                <w:szCs w:val="20"/>
                <w:color w:val="auto"/>
              </w:rPr>
            </w:pPr>
            <w:r>
              <w:rPr>
                <w:rFonts w:ascii="Arial" w:cs="Arial" w:eastAsia="Arial" w:hAnsi="Arial"/>
                <w:sz w:val="18"/>
                <w:szCs w:val="18"/>
                <w:color w:val="auto"/>
              </w:rPr>
              <w:t>1,301,923</w:t>
            </w:r>
          </w:p>
        </w:tc>
        <w:tc>
          <w:tcPr>
            <w:tcW w:w="1260" w:type="dxa"/>
            <w:vAlign w:val="bottom"/>
            <w:tcBorders>
              <w:right w:val="single" w:sz="8" w:color="9EACCA"/>
            </w:tcBorders>
            <w:shd w:val="clear" w:color="auto" w:fill="CCCCCC"/>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3C5896"/>
            </w:tcBorders>
            <w:shd w:val="clear" w:color="auto" w:fill="CCCCCC"/>
          </w:tcPr>
          <w:p>
            <w:pPr>
              <w:jc w:val="right"/>
              <w:ind w:right="191"/>
              <w:spacing w:after="0"/>
              <w:rPr>
                <w:sz w:val="20"/>
                <w:szCs w:val="20"/>
                <w:color w:val="auto"/>
              </w:rPr>
            </w:pPr>
            <w:r>
              <w:rPr>
                <w:rFonts w:ascii="Arial" w:cs="Arial" w:eastAsia="Arial" w:hAnsi="Arial"/>
                <w:sz w:val="18"/>
                <w:szCs w:val="18"/>
                <w:color w:val="auto"/>
              </w:rPr>
              <w:t>957,976</w:t>
            </w:r>
          </w:p>
        </w:tc>
      </w:tr>
      <w:tr>
        <w:trPr>
          <w:trHeight w:val="284"/>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i w:val="1"/>
                <w:iCs w:val="1"/>
                <w:color w:val="auto"/>
              </w:rPr>
              <w:t>Termination Upon Death or Disability</w:t>
            </w:r>
          </w:p>
        </w:tc>
        <w:tc>
          <w:tcPr>
            <w:tcW w:w="1040" w:type="dxa"/>
            <w:vAlign w:val="bottom"/>
            <w:tcBorders>
              <w:right w:val="single" w:sz="8" w:color="9EACCA"/>
            </w:tcBorders>
            <w:shd w:val="clear" w:color="auto" w:fill="CCCCCC"/>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9EACCA"/>
            </w:tcBorders>
            <w:shd w:val="clear" w:color="auto" w:fill="CCCCCC"/>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3C5896"/>
            </w:tcBorders>
            <w:shd w:val="clear" w:color="auto" w:fill="CCCCCC"/>
          </w:tcPr>
          <w:p>
            <w:pPr>
              <w:jc w:val="right"/>
              <w:ind w:right="191"/>
              <w:spacing w:after="0"/>
              <w:rPr>
                <w:sz w:val="20"/>
                <w:szCs w:val="20"/>
                <w:color w:val="auto"/>
              </w:rPr>
            </w:pPr>
            <w:r>
              <w:rPr>
                <w:rFonts w:ascii="Arial" w:cs="Arial" w:eastAsia="Arial" w:hAnsi="Arial"/>
                <w:sz w:val="18"/>
                <w:szCs w:val="18"/>
                <w:color w:val="auto"/>
              </w:rPr>
              <w:t>742,891</w:t>
            </w:r>
          </w:p>
        </w:tc>
      </w:tr>
      <w:tr>
        <w:trPr>
          <w:trHeight w:val="257"/>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Jeff McAllister</w:t>
            </w:r>
          </w:p>
        </w:tc>
        <w:tc>
          <w:tcPr>
            <w:tcW w:w="1040" w:type="dxa"/>
            <w:vAlign w:val="bottom"/>
            <w:tcBorders>
              <w:right w:val="single" w:sz="8" w:color="9EACCA"/>
            </w:tcBorders>
          </w:tcPr>
          <w:p>
            <w:pPr>
              <w:spacing w:after="0"/>
              <w:rPr>
                <w:sz w:val="22"/>
                <w:szCs w:val="22"/>
                <w:color w:val="auto"/>
              </w:rPr>
            </w:pPr>
          </w:p>
        </w:tc>
        <w:tc>
          <w:tcPr>
            <w:tcW w:w="1260" w:type="dxa"/>
            <w:vAlign w:val="bottom"/>
            <w:tcBorders>
              <w:right w:val="single" w:sz="8" w:color="9EACCA"/>
            </w:tcBorders>
          </w:tcPr>
          <w:p>
            <w:pPr>
              <w:spacing w:after="0"/>
              <w:rPr>
                <w:sz w:val="22"/>
                <w:szCs w:val="22"/>
                <w:color w:val="auto"/>
              </w:rPr>
            </w:pPr>
          </w:p>
        </w:tc>
        <w:tc>
          <w:tcPr>
            <w:tcW w:w="1360" w:type="dxa"/>
            <w:vAlign w:val="bottom"/>
            <w:tcBorders>
              <w:right w:val="single" w:sz="8" w:color="3C5896"/>
            </w:tcBorders>
          </w:tcPr>
          <w:p>
            <w:pPr>
              <w:spacing w:after="0"/>
              <w:rPr>
                <w:sz w:val="22"/>
                <w:szCs w:val="22"/>
                <w:color w:val="auto"/>
              </w:rPr>
            </w:pPr>
          </w:p>
        </w:tc>
      </w:tr>
      <w:tr>
        <w:trPr>
          <w:trHeight w:val="270"/>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Qualifying Termination of Employment</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1,350,000</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13,457</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Change in Control</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1,820,000</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17,942</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1,535,072</w:t>
            </w:r>
          </w:p>
        </w:tc>
      </w:tr>
      <w:tr>
        <w:trPr>
          <w:trHeight w:val="277"/>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Termination Upon Death or Disability</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383,768</w:t>
            </w:r>
          </w:p>
        </w:tc>
      </w:tr>
      <w:tr>
        <w:trPr>
          <w:trHeight w:val="263"/>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Mitchell Goodman</w:t>
            </w:r>
          </w:p>
        </w:tc>
        <w:tc>
          <w:tcPr>
            <w:tcW w:w="1040" w:type="dxa"/>
            <w:vAlign w:val="bottom"/>
            <w:tcBorders>
              <w:right w:val="single" w:sz="8" w:color="9EACCA"/>
            </w:tcBorders>
            <w:shd w:val="clear" w:color="auto" w:fill="CCCCCC"/>
          </w:tcPr>
          <w:p>
            <w:pPr>
              <w:spacing w:after="0"/>
              <w:rPr>
                <w:sz w:val="22"/>
                <w:szCs w:val="22"/>
                <w:color w:val="auto"/>
              </w:rPr>
            </w:pPr>
          </w:p>
        </w:tc>
        <w:tc>
          <w:tcPr>
            <w:tcW w:w="1260" w:type="dxa"/>
            <w:vAlign w:val="bottom"/>
            <w:tcBorders>
              <w:right w:val="single" w:sz="8" w:color="9EACCA"/>
            </w:tcBorders>
            <w:shd w:val="clear" w:color="auto" w:fill="CCCCCC"/>
          </w:tcPr>
          <w:p>
            <w:pPr>
              <w:spacing w:after="0"/>
              <w:rPr>
                <w:sz w:val="22"/>
                <w:szCs w:val="22"/>
                <w:color w:val="auto"/>
              </w:rPr>
            </w:pPr>
          </w:p>
        </w:tc>
        <w:tc>
          <w:tcPr>
            <w:tcW w:w="1360" w:type="dxa"/>
            <w:vAlign w:val="bottom"/>
            <w:tcBorders>
              <w:right w:val="single" w:sz="8" w:color="3C5896"/>
            </w:tcBorders>
            <w:shd w:val="clear" w:color="auto" w:fill="CCCCCC"/>
          </w:tcPr>
          <w:p>
            <w:pPr>
              <w:spacing w:after="0"/>
              <w:rPr>
                <w:sz w:val="22"/>
                <w:szCs w:val="22"/>
                <w:color w:val="auto"/>
              </w:rPr>
            </w:pPr>
          </w:p>
        </w:tc>
      </w:tr>
      <w:tr>
        <w:trPr>
          <w:trHeight w:val="270"/>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i w:val="1"/>
                <w:iCs w:val="1"/>
                <w:color w:val="auto"/>
              </w:rPr>
              <w:t>Qualifying Termination of Employment</w:t>
            </w:r>
          </w:p>
        </w:tc>
        <w:tc>
          <w:tcPr>
            <w:tcW w:w="1040" w:type="dxa"/>
            <w:vAlign w:val="bottom"/>
            <w:tcBorders>
              <w:right w:val="single" w:sz="8" w:color="9EACCA"/>
            </w:tcBorders>
            <w:shd w:val="clear" w:color="auto" w:fill="CCCCCC"/>
          </w:tcPr>
          <w:p>
            <w:pPr>
              <w:jc w:val="right"/>
              <w:ind w:right="31"/>
              <w:spacing w:after="0"/>
              <w:rPr>
                <w:sz w:val="20"/>
                <w:szCs w:val="20"/>
                <w:color w:val="auto"/>
              </w:rPr>
            </w:pPr>
            <w:r>
              <w:rPr>
                <w:rFonts w:ascii="Arial" w:cs="Arial" w:eastAsia="Arial" w:hAnsi="Arial"/>
                <w:sz w:val="18"/>
                <w:szCs w:val="18"/>
                <w:color w:val="auto"/>
              </w:rPr>
              <w:t>818,222</w:t>
            </w:r>
          </w:p>
        </w:tc>
        <w:tc>
          <w:tcPr>
            <w:tcW w:w="1260" w:type="dxa"/>
            <w:vAlign w:val="bottom"/>
            <w:tcBorders>
              <w:right w:val="single" w:sz="8" w:color="9EACCA"/>
            </w:tcBorders>
            <w:shd w:val="clear" w:color="auto" w:fill="CCCCCC"/>
          </w:tcPr>
          <w:p>
            <w:pPr>
              <w:jc w:val="right"/>
              <w:ind w:right="271"/>
              <w:spacing w:after="0"/>
              <w:rPr>
                <w:sz w:val="20"/>
                <w:szCs w:val="20"/>
                <w:color w:val="auto"/>
              </w:rPr>
            </w:pPr>
            <w:r>
              <w:rPr>
                <w:rFonts w:ascii="Arial" w:cs="Arial" w:eastAsia="Arial" w:hAnsi="Arial"/>
                <w:sz w:val="18"/>
                <w:szCs w:val="18"/>
                <w:color w:val="auto"/>
              </w:rPr>
              <w:t>21,882</w:t>
            </w:r>
          </w:p>
        </w:tc>
        <w:tc>
          <w:tcPr>
            <w:tcW w:w="1360" w:type="dxa"/>
            <w:vAlign w:val="bottom"/>
            <w:tcBorders>
              <w:right w:val="single" w:sz="8" w:color="3C5896"/>
            </w:tcBorders>
            <w:shd w:val="clear" w:color="auto" w:fill="CCCCCC"/>
          </w:tcPr>
          <w:p>
            <w:pPr>
              <w:jc w:val="right"/>
              <w:ind w:right="191"/>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i w:val="1"/>
                <w:iCs w:val="1"/>
                <w:color w:val="auto"/>
              </w:rPr>
              <w:t>Change in Control</w:t>
            </w:r>
          </w:p>
        </w:tc>
        <w:tc>
          <w:tcPr>
            <w:tcW w:w="1040" w:type="dxa"/>
            <w:vAlign w:val="bottom"/>
            <w:tcBorders>
              <w:right w:val="single" w:sz="8" w:color="9EACCA"/>
            </w:tcBorders>
            <w:shd w:val="clear" w:color="auto" w:fill="CCCCCC"/>
          </w:tcPr>
          <w:p>
            <w:pPr>
              <w:jc w:val="right"/>
              <w:ind w:right="31"/>
              <w:spacing w:after="0"/>
              <w:rPr>
                <w:sz w:val="20"/>
                <w:szCs w:val="20"/>
                <w:color w:val="auto"/>
              </w:rPr>
            </w:pPr>
            <w:r>
              <w:rPr>
                <w:rFonts w:ascii="Arial" w:cs="Arial" w:eastAsia="Arial" w:hAnsi="Arial"/>
                <w:sz w:val="18"/>
                <w:szCs w:val="18"/>
                <w:color w:val="auto"/>
              </w:rPr>
              <w:t>1,110,862</w:t>
            </w:r>
          </w:p>
        </w:tc>
        <w:tc>
          <w:tcPr>
            <w:tcW w:w="1260" w:type="dxa"/>
            <w:vAlign w:val="bottom"/>
            <w:tcBorders>
              <w:right w:val="single" w:sz="8" w:color="9EACCA"/>
            </w:tcBorders>
            <w:shd w:val="clear" w:color="auto" w:fill="CCCCCC"/>
          </w:tcPr>
          <w:p>
            <w:pPr>
              <w:jc w:val="right"/>
              <w:ind w:right="271"/>
              <w:spacing w:after="0"/>
              <w:rPr>
                <w:sz w:val="20"/>
                <w:szCs w:val="20"/>
                <w:color w:val="auto"/>
              </w:rPr>
            </w:pPr>
            <w:r>
              <w:rPr>
                <w:rFonts w:ascii="Arial" w:cs="Arial" w:eastAsia="Arial" w:hAnsi="Arial"/>
                <w:sz w:val="18"/>
                <w:szCs w:val="18"/>
                <w:color w:val="auto"/>
              </w:rPr>
              <w:t>29,176</w:t>
            </w:r>
          </w:p>
        </w:tc>
        <w:tc>
          <w:tcPr>
            <w:tcW w:w="1360" w:type="dxa"/>
            <w:vAlign w:val="bottom"/>
            <w:tcBorders>
              <w:right w:val="single" w:sz="8" w:color="3C5896"/>
            </w:tcBorders>
            <w:shd w:val="clear" w:color="auto" w:fill="CCCCCC"/>
          </w:tcPr>
          <w:p>
            <w:pPr>
              <w:jc w:val="right"/>
              <w:ind w:right="191"/>
              <w:spacing w:after="0"/>
              <w:rPr>
                <w:sz w:val="20"/>
                <w:szCs w:val="20"/>
                <w:color w:val="auto"/>
              </w:rPr>
            </w:pPr>
            <w:r>
              <w:rPr>
                <w:rFonts w:ascii="Arial" w:cs="Arial" w:eastAsia="Arial" w:hAnsi="Arial"/>
                <w:sz w:val="18"/>
                <w:szCs w:val="18"/>
                <w:color w:val="auto"/>
              </w:rPr>
              <w:t>703,741</w:t>
            </w:r>
          </w:p>
        </w:tc>
      </w:tr>
      <w:tr>
        <w:trPr>
          <w:trHeight w:val="284"/>
        </w:trPr>
        <w:tc>
          <w:tcPr>
            <w:tcW w:w="554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i w:val="1"/>
                <w:iCs w:val="1"/>
                <w:color w:val="auto"/>
              </w:rPr>
              <w:t>Termination Upon Death or Disability</w:t>
            </w:r>
          </w:p>
        </w:tc>
        <w:tc>
          <w:tcPr>
            <w:tcW w:w="1040" w:type="dxa"/>
            <w:vAlign w:val="bottom"/>
            <w:tcBorders>
              <w:right w:val="single" w:sz="8" w:color="9EACCA"/>
            </w:tcBorders>
            <w:shd w:val="clear" w:color="auto" w:fill="CCCCCC"/>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9EACCA"/>
            </w:tcBorders>
            <w:shd w:val="clear" w:color="auto" w:fill="CCCCCC"/>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3C5896"/>
            </w:tcBorders>
            <w:shd w:val="clear" w:color="auto" w:fill="CCCCCC"/>
          </w:tcPr>
          <w:p>
            <w:pPr>
              <w:jc w:val="right"/>
              <w:ind w:right="191"/>
              <w:spacing w:after="0"/>
              <w:rPr>
                <w:sz w:val="20"/>
                <w:szCs w:val="20"/>
                <w:color w:val="auto"/>
              </w:rPr>
            </w:pPr>
            <w:r>
              <w:rPr>
                <w:rFonts w:ascii="Arial" w:cs="Arial" w:eastAsia="Arial" w:hAnsi="Arial"/>
                <w:sz w:val="18"/>
                <w:szCs w:val="18"/>
                <w:color w:val="auto"/>
              </w:rPr>
              <w:t>703,741</w:t>
            </w:r>
          </w:p>
        </w:tc>
      </w:tr>
      <w:tr>
        <w:trPr>
          <w:trHeight w:val="257"/>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John Vaught</w:t>
            </w:r>
          </w:p>
        </w:tc>
        <w:tc>
          <w:tcPr>
            <w:tcW w:w="1040" w:type="dxa"/>
            <w:vAlign w:val="bottom"/>
            <w:tcBorders>
              <w:right w:val="single" w:sz="8" w:color="9EACCA"/>
            </w:tcBorders>
          </w:tcPr>
          <w:p>
            <w:pPr>
              <w:spacing w:after="0"/>
              <w:rPr>
                <w:sz w:val="22"/>
                <w:szCs w:val="22"/>
                <w:color w:val="auto"/>
              </w:rPr>
            </w:pPr>
          </w:p>
        </w:tc>
        <w:tc>
          <w:tcPr>
            <w:tcW w:w="1260" w:type="dxa"/>
            <w:vAlign w:val="bottom"/>
            <w:tcBorders>
              <w:right w:val="single" w:sz="8" w:color="9EACCA"/>
            </w:tcBorders>
          </w:tcPr>
          <w:p>
            <w:pPr>
              <w:spacing w:after="0"/>
              <w:rPr>
                <w:sz w:val="22"/>
                <w:szCs w:val="22"/>
                <w:color w:val="auto"/>
              </w:rPr>
            </w:pPr>
          </w:p>
        </w:tc>
        <w:tc>
          <w:tcPr>
            <w:tcW w:w="1360" w:type="dxa"/>
            <w:vAlign w:val="bottom"/>
            <w:tcBorders>
              <w:right w:val="single" w:sz="8" w:color="3C5896"/>
            </w:tcBorders>
          </w:tcPr>
          <w:p>
            <w:pPr>
              <w:spacing w:after="0"/>
              <w:rPr>
                <w:sz w:val="22"/>
                <w:szCs w:val="22"/>
                <w:color w:val="auto"/>
              </w:rPr>
            </w:pPr>
          </w:p>
        </w:tc>
      </w:tr>
      <w:tr>
        <w:trPr>
          <w:trHeight w:val="270"/>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Qualifying Termination of Employment</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402,637</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14,588</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Change in Control</w:t>
            </w:r>
          </w:p>
        </w:tc>
        <w:tc>
          <w:tcPr>
            <w:tcW w:w="1040" w:type="dxa"/>
            <w:vAlign w:val="bottom"/>
            <w:tcBorders>
              <w:right w:val="single" w:sz="8" w:color="9EACCA"/>
            </w:tcBorders>
          </w:tcPr>
          <w:p>
            <w:pPr>
              <w:jc w:val="right"/>
              <w:ind w:right="31"/>
              <w:spacing w:after="0"/>
              <w:rPr>
                <w:sz w:val="20"/>
                <w:szCs w:val="20"/>
                <w:color w:val="auto"/>
              </w:rPr>
            </w:pPr>
            <w:r>
              <w:rPr>
                <w:rFonts w:ascii="Arial" w:cs="Arial" w:eastAsia="Arial" w:hAnsi="Arial"/>
                <w:sz w:val="18"/>
                <w:szCs w:val="18"/>
                <w:color w:val="auto"/>
              </w:rPr>
              <w:t>623,956</w:t>
            </w:r>
          </w:p>
        </w:tc>
        <w:tc>
          <w:tcPr>
            <w:tcW w:w="1260" w:type="dxa"/>
            <w:vAlign w:val="bottom"/>
            <w:tcBorders>
              <w:right w:val="single" w:sz="8" w:color="9EACCA"/>
            </w:tcBorders>
          </w:tcPr>
          <w:p>
            <w:pPr>
              <w:jc w:val="right"/>
              <w:ind w:right="271"/>
              <w:spacing w:after="0"/>
              <w:rPr>
                <w:sz w:val="20"/>
                <w:szCs w:val="20"/>
                <w:color w:val="auto"/>
              </w:rPr>
            </w:pPr>
            <w:r>
              <w:rPr>
                <w:rFonts w:ascii="Arial" w:cs="Arial" w:eastAsia="Arial" w:hAnsi="Arial"/>
                <w:sz w:val="18"/>
                <w:szCs w:val="18"/>
                <w:color w:val="auto"/>
              </w:rPr>
              <w:t>21,882</w:t>
            </w:r>
          </w:p>
        </w:tc>
        <w:tc>
          <w:tcPr>
            <w:tcW w:w="1360" w:type="dxa"/>
            <w:vAlign w:val="bottom"/>
            <w:tcBorders>
              <w:right w:val="single" w:sz="8" w:color="3C5896"/>
            </w:tcBorders>
          </w:tcPr>
          <w:p>
            <w:pPr>
              <w:jc w:val="right"/>
              <w:ind w:right="191"/>
              <w:spacing w:after="0"/>
              <w:rPr>
                <w:sz w:val="20"/>
                <w:szCs w:val="20"/>
                <w:color w:val="auto"/>
              </w:rPr>
            </w:pPr>
            <w:r>
              <w:rPr>
                <w:rFonts w:ascii="Arial" w:cs="Arial" w:eastAsia="Arial" w:hAnsi="Arial"/>
                <w:sz w:val="18"/>
                <w:szCs w:val="18"/>
                <w:color w:val="auto"/>
              </w:rPr>
              <w:t>331,756</w:t>
            </w:r>
          </w:p>
        </w:tc>
      </w:tr>
      <w:tr>
        <w:trPr>
          <w:trHeight w:val="277"/>
        </w:trPr>
        <w:tc>
          <w:tcPr>
            <w:tcW w:w="554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i w:val="1"/>
                <w:iCs w:val="1"/>
                <w:color w:val="auto"/>
              </w:rPr>
              <w:t>Termination Upon Death or Disability</w:t>
            </w:r>
          </w:p>
        </w:tc>
        <w:tc>
          <w:tcPr>
            <w:tcW w:w="1040" w:type="dxa"/>
            <w:vAlign w:val="bottom"/>
            <w:tcBorders>
              <w:bottom w:val="single" w:sz="8" w:color="3C5896"/>
              <w:right w:val="single" w:sz="8" w:color="9EACCA"/>
            </w:tcBorders>
          </w:tcPr>
          <w:p>
            <w:pPr>
              <w:jc w:val="right"/>
              <w:ind w:right="3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3C5896"/>
              <w:right w:val="single" w:sz="8" w:color="9EACCA"/>
            </w:tcBorders>
          </w:tcPr>
          <w:p>
            <w:pPr>
              <w:jc w:val="right"/>
              <w:ind w:right="27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3C5896"/>
              <w:right w:val="single" w:sz="8" w:color="3C5896"/>
            </w:tcBorders>
          </w:tcPr>
          <w:p>
            <w:pPr>
              <w:jc w:val="right"/>
              <w:ind w:right="191"/>
              <w:spacing w:after="0"/>
              <w:rPr>
                <w:sz w:val="20"/>
                <w:szCs w:val="20"/>
                <w:color w:val="auto"/>
              </w:rPr>
            </w:pPr>
            <w:r>
              <w:rPr>
                <w:rFonts w:ascii="Arial" w:cs="Arial" w:eastAsia="Arial" w:hAnsi="Arial"/>
                <w:sz w:val="18"/>
                <w:szCs w:val="18"/>
                <w:color w:val="auto"/>
              </w:rPr>
              <w:t>331,756</w:t>
            </w:r>
          </w:p>
        </w:tc>
      </w:tr>
    </w:tbl>
    <w:p>
      <w:pPr>
        <w:spacing w:after="0" w:line="64" w:lineRule="exact"/>
        <w:rPr>
          <w:sz w:val="20"/>
          <w:szCs w:val="20"/>
          <w:color w:val="auto"/>
        </w:rPr>
      </w:pPr>
    </w:p>
    <w:p>
      <w:pPr>
        <w:ind w:left="1080" w:right="820" w:hanging="316"/>
        <w:spacing w:after="0" w:line="228"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Amounts reported for Messrs. Fahs, Moore, McAllister, Goodman and Vaught represent (i) upon a qualifying termination of employment (A) a lump-sum pro-rata bonus for the year of termination, based on actual performance and (B) the cash severance amount, times the multiplier applicable to such executive (2.0 for Mr. Fahs, 1.5 for Messrs. Moore, McAllister and Goodman, and 1.0 for Mr. Vaught), payable over 24 months (Mr. Fahs), 18 months (Messrs. Moore, McAllister and Goodman) and 12 months (Mr. Vaught) and (ii) upon a qualifying termination of employment in the two-year period following a change in control (A) a lump-sum pro-rata bonus for the year of termination, based on target performance, (B) the cash severance amount, times the multiplier applicable to such executive (2.5 for Mr. Fahs, 2.0 for Messrs. Moore, McAllister and Goodman, and 1.5 for Mr. Vaught), payable over 30 months (Mr. Fahs), 24 months (Messrs. Moore, McAllister and Goodman) and 18 months (Mr. Vaught) and (C) payment of, or reimbursement for, up to $20,000 in outplacement services within the six-month period following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52070</wp:posOffset>
            </wp:positionV>
            <wp:extent cx="291465" cy="2317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29</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EXECUTIVE COMPENSATION</w:t>
      </w:r>
    </w:p>
    <w:p>
      <w:pPr>
        <w:spacing w:after="0" w:line="285" w:lineRule="exact"/>
        <w:rPr>
          <w:sz w:val="20"/>
          <w:szCs w:val="20"/>
          <w:color w:val="auto"/>
        </w:rPr>
      </w:pPr>
    </w:p>
    <w:p>
      <w:pPr>
        <w:jc w:val="both"/>
        <w:ind w:left="1080" w:right="779" w:hanging="316"/>
        <w:spacing w:after="0" w:line="233"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amounts reported represent the cost of providing each applicable NEO with the welfare benefit for (i) upon a qualifying termination of employment, for 24 months (Mr. Fahs), 18 months (Messrs. Moore, McAllister and Goodman, and 12 months (Mr. Vaught) and (ii) upon a qualifying termination of employment in the two-year period following a change in control, for 30 months (Mr. Fahs), 24 months (Messrs. Moore, McAllister and Goodman) and 18 months (Mr. Vaught).</w:t>
      </w:r>
    </w:p>
    <w:p>
      <w:pPr>
        <w:spacing w:after="0" w:line="32" w:lineRule="exact"/>
        <w:rPr>
          <w:rFonts w:ascii="Arial" w:cs="Arial" w:eastAsia="Arial" w:hAnsi="Arial"/>
          <w:sz w:val="15"/>
          <w:szCs w:val="15"/>
          <w:color w:val="auto"/>
        </w:rPr>
      </w:pPr>
    </w:p>
    <w:p>
      <w:pPr>
        <w:ind w:left="1080" w:right="299" w:hanging="316"/>
        <w:spacing w:after="0" w:line="229"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amounts reported represent accelerated vesting of unvested options upon a change in control and as a result of termination upon death or disability, as applicable, as described above under “2014 Options”, “McAllister 2017 Options” and “2017 Post-IPO Options,” and are based on the closing price of our common stock of $28.98 per share on December 28, 2018, the last trading day in 2018. The amounts reported for Messrs. Fahs, Moore, Goodman and Vaught reflect the difference between the exercise price of $4.27 for the 2014 Options and the closing price on December 29, 2018. The amount reported for Mr. Moore also reflects the difference between the exercise price of $22.00 per share for the 2017 Post-IPO Options and the closing price on December 29, 2018. The amount reported for Mr. McAllister reflects the difference between the exercise price of $15.74 for the McAllister 2017 Options and the closing price on December 29, 2018.</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9" w:lineRule="exact"/>
        <w:rPr>
          <w:sz w:val="20"/>
          <w:szCs w:val="20"/>
          <w:color w:val="auto"/>
        </w:rPr>
      </w:pPr>
    </w:p>
    <w:p>
      <w:pPr>
        <w:ind w:left="760" w:right="259"/>
        <w:spacing w:after="0" w:line="252" w:lineRule="auto"/>
        <w:rPr>
          <w:sz w:val="20"/>
          <w:szCs w:val="20"/>
          <w:color w:val="auto"/>
        </w:rPr>
      </w:pPr>
      <w:r>
        <w:rPr>
          <w:rFonts w:ascii="Arial" w:cs="Arial" w:eastAsia="Arial" w:hAnsi="Arial"/>
          <w:sz w:val="18"/>
          <w:szCs w:val="18"/>
          <w:color w:val="auto"/>
        </w:rPr>
        <w:t>During fiscal 2018, our compensation committee was composed of Messrs. N. Taylor, Gernburd and T. Taylor and Ms. Hepner, none of whom has at any time been one of our executive officers or employees. None of our executive officers served as a member of the compensation committee (or other committee serving an equivalent function) or a director of any other entity whose executive officers served on our compensation committee or Board of Directors. Messrs. Taylor and Gernburd are affiliates of KKR. We are parties to certain transactions with KKR described in “Transactions with Related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30  </w:t>
      </w:r>
      <w:r>
        <w:rPr>
          <w:sz w:val="1"/>
          <w:szCs w:val="1"/>
          <w:color w:val="auto"/>
        </w:rPr>
        <w:drawing>
          <wp:inline distT="0" distB="0" distL="0" distR="0">
            <wp:extent cx="291465" cy="22288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FFFFFF"/>
        </w:rPr>
        <w:t>EQUITY COMPENSATION PLAN INFORMATION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EQUITY COMPENSATION PLAN INFORMATION</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numbers in the following table are as of December 29, 2018.</w:t>
      </w:r>
    </w:p>
    <w:p>
      <w:pPr>
        <w:spacing w:after="0" w:line="141"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80" w:type="dxa"/>
            <w:vAlign w:val="bottom"/>
            <w:tcBorders>
              <w:left w:val="single" w:sz="8" w:color="3C5896"/>
            </w:tcBorders>
            <w:shd w:val="clear" w:color="auto" w:fill="3C5896"/>
          </w:tcPr>
          <w:p>
            <w:pPr>
              <w:spacing w:after="0"/>
              <w:rPr>
                <w:sz w:val="17"/>
                <w:szCs w:val="17"/>
                <w:color w:val="auto"/>
              </w:rPr>
            </w:pPr>
          </w:p>
        </w:tc>
        <w:tc>
          <w:tcPr>
            <w:tcW w:w="2700" w:type="dxa"/>
            <w:vAlign w:val="bottom"/>
            <w:shd w:val="clear" w:color="auto" w:fill="3C5896"/>
          </w:tcPr>
          <w:p>
            <w:pPr>
              <w:spacing w:after="0"/>
              <w:rPr>
                <w:sz w:val="17"/>
                <w:szCs w:val="17"/>
                <w:color w:val="auto"/>
              </w:rPr>
            </w:pPr>
          </w:p>
        </w:tc>
        <w:tc>
          <w:tcPr>
            <w:tcW w:w="100" w:type="dxa"/>
            <w:vAlign w:val="bottom"/>
            <w:tcBorders>
              <w:right w:val="single" w:sz="8" w:color="9EACCA"/>
            </w:tcBorders>
            <w:shd w:val="clear" w:color="auto" w:fill="3C5896"/>
          </w:tcPr>
          <w:p>
            <w:pPr>
              <w:spacing w:after="0"/>
              <w:rPr>
                <w:sz w:val="17"/>
                <w:szCs w:val="17"/>
                <w:color w:val="auto"/>
              </w:rPr>
            </w:pPr>
          </w:p>
        </w:tc>
        <w:tc>
          <w:tcPr>
            <w:tcW w:w="198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196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rPr>
              <w:t>Weighted-</w:t>
            </w:r>
          </w:p>
        </w:tc>
        <w:tc>
          <w:tcPr>
            <w:tcW w:w="238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 securities</w:t>
            </w:r>
          </w:p>
        </w:tc>
        <w:tc>
          <w:tcPr>
            <w:tcW w:w="0" w:type="dxa"/>
            <w:vAlign w:val="bottom"/>
          </w:tcPr>
          <w:p>
            <w:pPr>
              <w:spacing w:after="0"/>
              <w:rPr>
                <w:sz w:val="1"/>
                <w:szCs w:val="1"/>
                <w:color w:val="auto"/>
              </w:rPr>
            </w:pPr>
          </w:p>
        </w:tc>
      </w:tr>
      <w:tr>
        <w:trPr>
          <w:trHeight w:val="176"/>
        </w:trPr>
        <w:tc>
          <w:tcPr>
            <w:tcW w:w="80" w:type="dxa"/>
            <w:vAlign w:val="bottom"/>
            <w:tcBorders>
              <w:left w:val="single" w:sz="8" w:color="3C5896"/>
            </w:tcBorders>
            <w:shd w:val="clear" w:color="auto" w:fill="3C5896"/>
          </w:tcPr>
          <w:p>
            <w:pPr>
              <w:spacing w:after="0"/>
              <w:rPr>
                <w:sz w:val="15"/>
                <w:szCs w:val="15"/>
                <w:color w:val="auto"/>
              </w:rPr>
            </w:pPr>
          </w:p>
        </w:tc>
        <w:tc>
          <w:tcPr>
            <w:tcW w:w="2700" w:type="dxa"/>
            <w:vAlign w:val="bottom"/>
            <w:shd w:val="clear" w:color="auto" w:fill="3C5896"/>
          </w:tcPr>
          <w:p>
            <w:pPr>
              <w:spacing w:after="0"/>
              <w:rPr>
                <w:sz w:val="15"/>
                <w:szCs w:val="15"/>
                <w:color w:val="auto"/>
              </w:rPr>
            </w:pPr>
          </w:p>
        </w:tc>
        <w:tc>
          <w:tcPr>
            <w:tcW w:w="100" w:type="dxa"/>
            <w:vAlign w:val="bottom"/>
            <w:tcBorders>
              <w:right w:val="single" w:sz="8" w:color="9EACCA"/>
            </w:tcBorders>
            <w:shd w:val="clear" w:color="auto" w:fill="3C5896"/>
          </w:tcPr>
          <w:p>
            <w:pPr>
              <w:spacing w:after="0"/>
              <w:rPr>
                <w:sz w:val="15"/>
                <w:szCs w:val="15"/>
                <w:color w:val="auto"/>
              </w:rPr>
            </w:pPr>
          </w:p>
        </w:tc>
        <w:tc>
          <w:tcPr>
            <w:tcW w:w="1980" w:type="dxa"/>
            <w:vAlign w:val="bottom"/>
            <w:tcBorders>
              <w:right w:val="single" w:sz="8" w:color="9EACCA"/>
            </w:tcBorders>
            <w:vMerge w:val="continue"/>
            <w:shd w:val="clear" w:color="auto" w:fill="3C5896"/>
          </w:tcPr>
          <w:p>
            <w:pPr>
              <w:spacing w:after="0"/>
              <w:rPr>
                <w:sz w:val="15"/>
                <w:szCs w:val="15"/>
                <w:color w:val="auto"/>
              </w:rPr>
            </w:pPr>
          </w:p>
        </w:tc>
        <w:tc>
          <w:tcPr>
            <w:tcW w:w="1960" w:type="dxa"/>
            <w:vAlign w:val="bottom"/>
            <w:tcBorders>
              <w:right w:val="single" w:sz="8" w:color="9EACCA"/>
            </w:tcBorders>
            <w:vMerge w:val="continue"/>
            <w:shd w:val="clear" w:color="auto" w:fill="3C5896"/>
          </w:tcPr>
          <w:p>
            <w:pPr>
              <w:spacing w:after="0"/>
              <w:rPr>
                <w:sz w:val="15"/>
                <w:szCs w:val="15"/>
                <w:color w:val="auto"/>
              </w:rPr>
            </w:pPr>
          </w:p>
        </w:tc>
        <w:tc>
          <w:tcPr>
            <w:tcW w:w="2380" w:type="dxa"/>
            <w:vAlign w:val="bottom"/>
            <w:tcBorders>
              <w:right w:val="single" w:sz="8" w:color="3C5896"/>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remaining available for</w:t>
            </w:r>
          </w:p>
        </w:tc>
        <w:tc>
          <w:tcPr>
            <w:tcW w:w="0" w:type="dxa"/>
            <w:vAlign w:val="bottom"/>
          </w:tcPr>
          <w:p>
            <w:pPr>
              <w:spacing w:after="0"/>
              <w:rPr>
                <w:sz w:val="1"/>
                <w:szCs w:val="1"/>
                <w:color w:val="auto"/>
              </w:rPr>
            </w:pPr>
          </w:p>
        </w:tc>
      </w:tr>
      <w:tr>
        <w:trPr>
          <w:trHeight w:val="176"/>
        </w:trPr>
        <w:tc>
          <w:tcPr>
            <w:tcW w:w="80" w:type="dxa"/>
            <w:vAlign w:val="bottom"/>
            <w:tcBorders>
              <w:left w:val="single" w:sz="8" w:color="3C5896"/>
            </w:tcBorders>
            <w:shd w:val="clear" w:color="auto" w:fill="3C5896"/>
          </w:tcPr>
          <w:p>
            <w:pPr>
              <w:spacing w:after="0"/>
              <w:rPr>
                <w:sz w:val="15"/>
                <w:szCs w:val="15"/>
                <w:color w:val="auto"/>
              </w:rPr>
            </w:pPr>
          </w:p>
        </w:tc>
        <w:tc>
          <w:tcPr>
            <w:tcW w:w="2700" w:type="dxa"/>
            <w:vAlign w:val="bottom"/>
            <w:shd w:val="clear" w:color="auto" w:fill="3C5896"/>
          </w:tcPr>
          <w:p>
            <w:pPr>
              <w:spacing w:after="0"/>
              <w:rPr>
                <w:sz w:val="15"/>
                <w:szCs w:val="15"/>
                <w:color w:val="auto"/>
              </w:rPr>
            </w:pPr>
          </w:p>
        </w:tc>
        <w:tc>
          <w:tcPr>
            <w:tcW w:w="100" w:type="dxa"/>
            <w:vAlign w:val="bottom"/>
            <w:tcBorders>
              <w:right w:val="single" w:sz="8" w:color="9EACCA"/>
            </w:tcBorders>
            <w:shd w:val="clear" w:color="auto" w:fill="3C5896"/>
          </w:tcPr>
          <w:p>
            <w:pPr>
              <w:spacing w:after="0"/>
              <w:rPr>
                <w:sz w:val="15"/>
                <w:szCs w:val="15"/>
                <w:color w:val="auto"/>
              </w:rPr>
            </w:pPr>
          </w:p>
        </w:tc>
        <w:tc>
          <w:tcPr>
            <w:tcW w:w="1980" w:type="dxa"/>
            <w:vAlign w:val="bottom"/>
            <w:tcBorders>
              <w:right w:val="single" w:sz="8" w:color="9EACCA"/>
            </w:tcBorders>
            <w:shd w:val="clear" w:color="auto" w:fill="3C5896"/>
          </w:tcPr>
          <w:p>
            <w:pPr>
              <w:jc w:val="center"/>
              <w:ind w:right="10"/>
              <w:spacing w:after="0" w:line="176" w:lineRule="exact"/>
              <w:rPr>
                <w:sz w:val="20"/>
                <w:szCs w:val="20"/>
                <w:color w:val="auto"/>
              </w:rPr>
            </w:pPr>
            <w:r>
              <w:rPr>
                <w:rFonts w:ascii="Arial" w:cs="Arial" w:eastAsia="Arial" w:hAnsi="Arial"/>
                <w:sz w:val="18"/>
                <w:szCs w:val="18"/>
                <w:b w:val="1"/>
                <w:bCs w:val="1"/>
                <w:color w:val="FFFFFF"/>
                <w:w w:val="99"/>
              </w:rPr>
              <w:t>securities to be</w:t>
            </w:r>
          </w:p>
        </w:tc>
        <w:tc>
          <w:tcPr>
            <w:tcW w:w="196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average exercise</w:t>
            </w:r>
          </w:p>
        </w:tc>
        <w:tc>
          <w:tcPr>
            <w:tcW w:w="2380" w:type="dxa"/>
            <w:vAlign w:val="bottom"/>
            <w:tcBorders>
              <w:right w:val="single" w:sz="8" w:color="3C5896"/>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future issuance under</w:t>
            </w:r>
          </w:p>
        </w:tc>
        <w:tc>
          <w:tcPr>
            <w:tcW w:w="0" w:type="dxa"/>
            <w:vAlign w:val="bottom"/>
          </w:tcPr>
          <w:p>
            <w:pPr>
              <w:spacing w:after="0"/>
              <w:rPr>
                <w:sz w:val="1"/>
                <w:szCs w:val="1"/>
                <w:color w:val="auto"/>
              </w:rPr>
            </w:pPr>
          </w:p>
        </w:tc>
      </w:tr>
      <w:tr>
        <w:trPr>
          <w:trHeight w:val="176"/>
        </w:trPr>
        <w:tc>
          <w:tcPr>
            <w:tcW w:w="80" w:type="dxa"/>
            <w:vAlign w:val="bottom"/>
            <w:tcBorders>
              <w:left w:val="single" w:sz="8" w:color="3C5896"/>
            </w:tcBorders>
            <w:shd w:val="clear" w:color="auto" w:fill="3C5896"/>
          </w:tcPr>
          <w:p>
            <w:pPr>
              <w:spacing w:after="0"/>
              <w:rPr>
                <w:sz w:val="15"/>
                <w:szCs w:val="15"/>
                <w:color w:val="auto"/>
              </w:rPr>
            </w:pPr>
          </w:p>
        </w:tc>
        <w:tc>
          <w:tcPr>
            <w:tcW w:w="2700" w:type="dxa"/>
            <w:vAlign w:val="bottom"/>
            <w:shd w:val="clear" w:color="auto" w:fill="3C5896"/>
          </w:tcPr>
          <w:p>
            <w:pPr>
              <w:spacing w:after="0"/>
              <w:rPr>
                <w:sz w:val="15"/>
                <w:szCs w:val="15"/>
                <w:color w:val="auto"/>
              </w:rPr>
            </w:pPr>
          </w:p>
        </w:tc>
        <w:tc>
          <w:tcPr>
            <w:tcW w:w="100" w:type="dxa"/>
            <w:vAlign w:val="bottom"/>
            <w:tcBorders>
              <w:right w:val="single" w:sz="8" w:color="9EACCA"/>
            </w:tcBorders>
            <w:shd w:val="clear" w:color="auto" w:fill="3C5896"/>
          </w:tcPr>
          <w:p>
            <w:pPr>
              <w:spacing w:after="0"/>
              <w:rPr>
                <w:sz w:val="15"/>
                <w:szCs w:val="15"/>
                <w:color w:val="auto"/>
              </w:rPr>
            </w:pPr>
          </w:p>
        </w:tc>
        <w:tc>
          <w:tcPr>
            <w:tcW w:w="198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issued upon</w:t>
            </w:r>
          </w:p>
        </w:tc>
        <w:tc>
          <w:tcPr>
            <w:tcW w:w="196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8"/>
              </w:rPr>
              <w:t>price of</w:t>
            </w:r>
          </w:p>
        </w:tc>
        <w:tc>
          <w:tcPr>
            <w:tcW w:w="2380" w:type="dxa"/>
            <w:vAlign w:val="bottom"/>
            <w:tcBorders>
              <w:right w:val="single" w:sz="8" w:color="3C5896"/>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equity compensation</w:t>
            </w:r>
          </w:p>
        </w:tc>
        <w:tc>
          <w:tcPr>
            <w:tcW w:w="0" w:type="dxa"/>
            <w:vAlign w:val="bottom"/>
          </w:tcPr>
          <w:p>
            <w:pPr>
              <w:spacing w:after="0"/>
              <w:rPr>
                <w:sz w:val="1"/>
                <w:szCs w:val="1"/>
                <w:color w:val="auto"/>
              </w:rPr>
            </w:pPr>
          </w:p>
        </w:tc>
      </w:tr>
      <w:tr>
        <w:trPr>
          <w:trHeight w:val="176"/>
        </w:trPr>
        <w:tc>
          <w:tcPr>
            <w:tcW w:w="80" w:type="dxa"/>
            <w:vAlign w:val="bottom"/>
            <w:tcBorders>
              <w:left w:val="single" w:sz="8" w:color="3C5896"/>
            </w:tcBorders>
            <w:shd w:val="clear" w:color="auto" w:fill="3C5896"/>
          </w:tcPr>
          <w:p>
            <w:pPr>
              <w:spacing w:after="0"/>
              <w:rPr>
                <w:sz w:val="15"/>
                <w:szCs w:val="15"/>
                <w:color w:val="auto"/>
              </w:rPr>
            </w:pPr>
          </w:p>
        </w:tc>
        <w:tc>
          <w:tcPr>
            <w:tcW w:w="2700" w:type="dxa"/>
            <w:vAlign w:val="bottom"/>
            <w:shd w:val="clear" w:color="auto" w:fill="3C5896"/>
          </w:tcPr>
          <w:p>
            <w:pPr>
              <w:spacing w:after="0"/>
              <w:rPr>
                <w:sz w:val="15"/>
                <w:szCs w:val="15"/>
                <w:color w:val="auto"/>
              </w:rPr>
            </w:pPr>
          </w:p>
        </w:tc>
        <w:tc>
          <w:tcPr>
            <w:tcW w:w="100" w:type="dxa"/>
            <w:vAlign w:val="bottom"/>
            <w:tcBorders>
              <w:right w:val="single" w:sz="8" w:color="9EACCA"/>
            </w:tcBorders>
            <w:shd w:val="clear" w:color="auto" w:fill="3C5896"/>
          </w:tcPr>
          <w:p>
            <w:pPr>
              <w:spacing w:after="0"/>
              <w:rPr>
                <w:sz w:val="15"/>
                <w:szCs w:val="15"/>
                <w:color w:val="auto"/>
              </w:rPr>
            </w:pPr>
          </w:p>
        </w:tc>
        <w:tc>
          <w:tcPr>
            <w:tcW w:w="198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exercise of</w:t>
            </w:r>
          </w:p>
        </w:tc>
        <w:tc>
          <w:tcPr>
            <w:tcW w:w="196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rPr>
              <w:t>outstanding</w:t>
            </w:r>
          </w:p>
        </w:tc>
        <w:tc>
          <w:tcPr>
            <w:tcW w:w="2380" w:type="dxa"/>
            <w:vAlign w:val="bottom"/>
            <w:tcBorders>
              <w:right w:val="single" w:sz="8" w:color="3C5896"/>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7"/>
              </w:rPr>
              <w:t>plans</w:t>
            </w:r>
          </w:p>
        </w:tc>
        <w:tc>
          <w:tcPr>
            <w:tcW w:w="0" w:type="dxa"/>
            <w:vAlign w:val="bottom"/>
          </w:tcPr>
          <w:p>
            <w:pPr>
              <w:spacing w:after="0"/>
              <w:rPr>
                <w:sz w:val="1"/>
                <w:szCs w:val="1"/>
                <w:color w:val="auto"/>
              </w:rPr>
            </w:pPr>
          </w:p>
        </w:tc>
      </w:tr>
      <w:tr>
        <w:trPr>
          <w:trHeight w:val="176"/>
        </w:trPr>
        <w:tc>
          <w:tcPr>
            <w:tcW w:w="80" w:type="dxa"/>
            <w:vAlign w:val="bottom"/>
            <w:tcBorders>
              <w:left w:val="single" w:sz="8" w:color="3C5896"/>
            </w:tcBorders>
            <w:shd w:val="clear" w:color="auto" w:fill="3C5896"/>
          </w:tcPr>
          <w:p>
            <w:pPr>
              <w:spacing w:after="0"/>
              <w:rPr>
                <w:sz w:val="15"/>
                <w:szCs w:val="15"/>
                <w:color w:val="auto"/>
              </w:rPr>
            </w:pPr>
          </w:p>
        </w:tc>
        <w:tc>
          <w:tcPr>
            <w:tcW w:w="2700" w:type="dxa"/>
            <w:vAlign w:val="bottom"/>
            <w:shd w:val="clear" w:color="auto" w:fill="3C5896"/>
          </w:tcPr>
          <w:p>
            <w:pPr>
              <w:spacing w:after="0"/>
              <w:rPr>
                <w:sz w:val="15"/>
                <w:szCs w:val="15"/>
                <w:color w:val="auto"/>
              </w:rPr>
            </w:pPr>
          </w:p>
        </w:tc>
        <w:tc>
          <w:tcPr>
            <w:tcW w:w="100" w:type="dxa"/>
            <w:vAlign w:val="bottom"/>
            <w:tcBorders>
              <w:right w:val="single" w:sz="8" w:color="9EACCA"/>
            </w:tcBorders>
            <w:shd w:val="clear" w:color="auto" w:fill="3C5896"/>
          </w:tcPr>
          <w:p>
            <w:pPr>
              <w:spacing w:after="0"/>
              <w:rPr>
                <w:sz w:val="15"/>
                <w:szCs w:val="15"/>
                <w:color w:val="auto"/>
              </w:rPr>
            </w:pPr>
          </w:p>
        </w:tc>
        <w:tc>
          <w:tcPr>
            <w:tcW w:w="198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outstanding options,</w:t>
            </w:r>
          </w:p>
        </w:tc>
        <w:tc>
          <w:tcPr>
            <w:tcW w:w="196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options, warrants</w:t>
            </w:r>
          </w:p>
        </w:tc>
        <w:tc>
          <w:tcPr>
            <w:tcW w:w="2380" w:type="dxa"/>
            <w:vAlign w:val="bottom"/>
            <w:tcBorders>
              <w:right w:val="single" w:sz="8" w:color="3C5896"/>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(excluding securities</w:t>
            </w:r>
          </w:p>
        </w:tc>
        <w:tc>
          <w:tcPr>
            <w:tcW w:w="0" w:type="dxa"/>
            <w:vAlign w:val="bottom"/>
          </w:tcPr>
          <w:p>
            <w:pPr>
              <w:spacing w:after="0"/>
              <w:rPr>
                <w:sz w:val="1"/>
                <w:szCs w:val="1"/>
                <w:color w:val="auto"/>
              </w:rPr>
            </w:pPr>
          </w:p>
        </w:tc>
      </w:tr>
      <w:tr>
        <w:trPr>
          <w:trHeight w:val="176"/>
        </w:trPr>
        <w:tc>
          <w:tcPr>
            <w:tcW w:w="80" w:type="dxa"/>
            <w:vAlign w:val="bottom"/>
            <w:tcBorders>
              <w:left w:val="single" w:sz="8" w:color="3C5896"/>
            </w:tcBorders>
            <w:shd w:val="clear" w:color="auto" w:fill="3C5896"/>
          </w:tcPr>
          <w:p>
            <w:pPr>
              <w:spacing w:after="0"/>
              <w:rPr>
                <w:sz w:val="15"/>
                <w:szCs w:val="15"/>
                <w:color w:val="auto"/>
              </w:rPr>
            </w:pPr>
          </w:p>
        </w:tc>
        <w:tc>
          <w:tcPr>
            <w:tcW w:w="2700" w:type="dxa"/>
            <w:vAlign w:val="bottom"/>
            <w:vMerge w:val="restart"/>
            <w:shd w:val="clear" w:color="auto" w:fill="3C5896"/>
          </w:tcPr>
          <w:p>
            <w:pPr>
              <w:ind w:left="760"/>
              <w:spacing w:after="0"/>
              <w:rPr>
                <w:sz w:val="20"/>
                <w:szCs w:val="20"/>
                <w:color w:val="auto"/>
              </w:rPr>
            </w:pPr>
            <w:r>
              <w:rPr>
                <w:rFonts w:ascii="Arial" w:cs="Arial" w:eastAsia="Arial" w:hAnsi="Arial"/>
                <w:sz w:val="18"/>
                <w:szCs w:val="18"/>
                <w:b w:val="1"/>
                <w:bCs w:val="1"/>
                <w:color w:val="FFFFFF"/>
              </w:rPr>
              <w:t>Plan category</w:t>
            </w:r>
          </w:p>
        </w:tc>
        <w:tc>
          <w:tcPr>
            <w:tcW w:w="100" w:type="dxa"/>
            <w:vAlign w:val="bottom"/>
            <w:tcBorders>
              <w:right w:val="single" w:sz="8" w:color="9EACCA"/>
            </w:tcBorders>
            <w:vMerge w:val="restart"/>
            <w:shd w:val="clear" w:color="auto" w:fill="3C5896"/>
          </w:tcPr>
          <w:p>
            <w:pPr>
              <w:spacing w:after="0"/>
              <w:rPr>
                <w:sz w:val="15"/>
                <w:szCs w:val="15"/>
                <w:color w:val="auto"/>
              </w:rPr>
            </w:pPr>
          </w:p>
        </w:tc>
        <w:tc>
          <w:tcPr>
            <w:tcW w:w="198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warrants and rights</w:t>
            </w:r>
          </w:p>
        </w:tc>
        <w:tc>
          <w:tcPr>
            <w:tcW w:w="196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rPr>
              <w:t>and rights</w:t>
            </w:r>
          </w:p>
        </w:tc>
        <w:tc>
          <w:tcPr>
            <w:tcW w:w="2380" w:type="dxa"/>
            <w:vAlign w:val="bottom"/>
            <w:tcBorders>
              <w:right w:val="single" w:sz="8" w:color="3C5896"/>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reflected in column (a))</w:t>
            </w:r>
          </w:p>
        </w:tc>
        <w:tc>
          <w:tcPr>
            <w:tcW w:w="0" w:type="dxa"/>
            <w:vAlign w:val="bottom"/>
          </w:tcPr>
          <w:p>
            <w:pPr>
              <w:spacing w:after="0"/>
              <w:rPr>
                <w:sz w:val="1"/>
                <w:szCs w:val="1"/>
                <w:color w:val="auto"/>
              </w:rPr>
            </w:pPr>
          </w:p>
        </w:tc>
      </w:tr>
      <w:tr>
        <w:trPr>
          <w:trHeight w:val="241"/>
        </w:trPr>
        <w:tc>
          <w:tcPr>
            <w:tcW w:w="80" w:type="dxa"/>
            <w:vAlign w:val="bottom"/>
            <w:tcBorders>
              <w:left w:val="single" w:sz="8" w:color="3C5896"/>
            </w:tcBorders>
            <w:shd w:val="clear" w:color="auto" w:fill="3C5896"/>
          </w:tcPr>
          <w:p>
            <w:pPr>
              <w:spacing w:after="0"/>
              <w:rPr>
                <w:sz w:val="20"/>
                <w:szCs w:val="20"/>
                <w:color w:val="auto"/>
              </w:rPr>
            </w:pPr>
          </w:p>
        </w:tc>
        <w:tc>
          <w:tcPr>
            <w:tcW w:w="2700" w:type="dxa"/>
            <w:vAlign w:val="bottom"/>
            <w:tcBorders>
              <w:bottom w:val="single" w:sz="8" w:color="auto"/>
            </w:tcBorders>
            <w:vMerge w:val="continue"/>
            <w:shd w:val="clear" w:color="auto" w:fill="3C5896"/>
          </w:tcPr>
          <w:p>
            <w:pPr>
              <w:spacing w:after="0"/>
              <w:rPr>
                <w:sz w:val="20"/>
                <w:szCs w:val="20"/>
                <w:color w:val="auto"/>
              </w:rPr>
            </w:pPr>
          </w:p>
        </w:tc>
        <w:tc>
          <w:tcPr>
            <w:tcW w:w="100" w:type="dxa"/>
            <w:vAlign w:val="bottom"/>
            <w:tcBorders>
              <w:bottom w:val="single" w:sz="8" w:color="3C5896"/>
              <w:right w:val="single" w:sz="8" w:color="9EACCA"/>
            </w:tcBorders>
            <w:vMerge w:val="continue"/>
            <w:shd w:val="clear" w:color="auto" w:fill="3C5896"/>
          </w:tcPr>
          <w:p>
            <w:pPr>
              <w:spacing w:after="0"/>
              <w:rPr>
                <w:sz w:val="20"/>
                <w:szCs w:val="20"/>
                <w:color w:val="auto"/>
              </w:rPr>
            </w:pPr>
          </w:p>
        </w:tc>
        <w:tc>
          <w:tcPr>
            <w:tcW w:w="198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w:t>
            </w:r>
          </w:p>
        </w:tc>
        <w:tc>
          <w:tcPr>
            <w:tcW w:w="1960" w:type="dxa"/>
            <w:vAlign w:val="bottom"/>
            <w:tcBorders>
              <w:bottom w:val="single" w:sz="8" w:color="auto"/>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5"/>
              </w:rPr>
              <w:t>(b)</w:t>
            </w:r>
          </w:p>
        </w:tc>
        <w:tc>
          <w:tcPr>
            <w:tcW w:w="2380" w:type="dxa"/>
            <w:vAlign w:val="bottom"/>
            <w:tcBorders>
              <w:bottom w:val="single" w:sz="8" w:color="auto"/>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rPr>
                <w:sz w:val="1"/>
                <w:szCs w:val="1"/>
                <w:color w:val="auto"/>
              </w:rPr>
            </w:pPr>
          </w:p>
        </w:tc>
      </w:tr>
      <w:tr>
        <w:trPr>
          <w:trHeight w:val="211"/>
        </w:trPr>
        <w:tc>
          <w:tcPr>
            <w:tcW w:w="2880" w:type="dxa"/>
            <w:vAlign w:val="bottom"/>
            <w:tcBorders>
              <w:left w:val="single" w:sz="8" w:color="3C5896"/>
              <w:right w:val="single" w:sz="8" w:color="9EACCA"/>
            </w:tcBorders>
            <w:gridSpan w:val="3"/>
          </w:tcPr>
          <w:p>
            <w:pPr>
              <w:ind w:left="80"/>
              <w:spacing w:after="0"/>
              <w:rPr>
                <w:sz w:val="20"/>
                <w:szCs w:val="20"/>
                <w:color w:val="auto"/>
              </w:rPr>
            </w:pPr>
            <w:r>
              <w:rPr>
                <w:rFonts w:ascii="Arial" w:cs="Arial" w:eastAsia="Arial" w:hAnsi="Arial"/>
                <w:sz w:val="18"/>
                <w:szCs w:val="18"/>
                <w:color w:val="auto"/>
              </w:rPr>
              <w:t>Equity compensation plans</w:t>
            </w:r>
          </w:p>
        </w:tc>
        <w:tc>
          <w:tcPr>
            <w:tcW w:w="1980" w:type="dxa"/>
            <w:vAlign w:val="bottom"/>
            <w:tcBorders>
              <w:right w:val="single" w:sz="8" w:color="9EACCA"/>
            </w:tcBorders>
            <w:vMerge w:val="restart"/>
          </w:tcPr>
          <w:p>
            <w:pPr>
              <w:jc w:val="right"/>
              <w:ind w:right="350"/>
              <w:spacing w:after="0"/>
              <w:rPr>
                <w:sz w:val="20"/>
                <w:szCs w:val="20"/>
                <w:color w:val="auto"/>
              </w:rPr>
            </w:pPr>
            <w:r>
              <w:rPr>
                <w:rFonts w:ascii="Arial" w:cs="Arial" w:eastAsia="Arial" w:hAnsi="Arial"/>
                <w:sz w:val="18"/>
                <w:szCs w:val="18"/>
                <w:color w:val="auto"/>
              </w:rPr>
              <w:t>6,727,163</w:t>
            </w:r>
            <w:r>
              <w:rPr>
                <w:rFonts w:ascii="Arial" w:cs="Arial" w:eastAsia="Arial" w:hAnsi="Arial"/>
                <w:sz w:val="27"/>
                <w:szCs w:val="27"/>
                <w:color w:val="auto"/>
                <w:vertAlign w:val="superscript"/>
              </w:rPr>
              <w:t>(1)</w:t>
            </w:r>
          </w:p>
        </w:tc>
        <w:tc>
          <w:tcPr>
            <w:tcW w:w="1960" w:type="dxa"/>
            <w:vAlign w:val="bottom"/>
            <w:tcBorders>
              <w:right w:val="single" w:sz="8" w:color="9EACCA"/>
            </w:tcBorders>
          </w:tcPr>
          <w:p>
            <w:pPr>
              <w:spacing w:after="0"/>
              <w:rPr>
                <w:sz w:val="18"/>
                <w:szCs w:val="18"/>
                <w:color w:val="auto"/>
              </w:rPr>
            </w:pPr>
          </w:p>
        </w:tc>
        <w:tc>
          <w:tcPr>
            <w:tcW w:w="2380" w:type="dxa"/>
            <w:vAlign w:val="bottom"/>
            <w:tcBorders>
              <w:right w:val="single" w:sz="8" w:color="3C5896"/>
            </w:tcBorders>
            <w:vMerge w:val="restart"/>
          </w:tcPr>
          <w:p>
            <w:pPr>
              <w:jc w:val="right"/>
              <w:ind w:right="550"/>
              <w:spacing w:after="0"/>
              <w:rPr>
                <w:sz w:val="20"/>
                <w:szCs w:val="20"/>
                <w:color w:val="auto"/>
              </w:rPr>
            </w:pPr>
            <w:r>
              <w:rPr>
                <w:rFonts w:ascii="Arial" w:cs="Arial" w:eastAsia="Arial" w:hAnsi="Arial"/>
                <w:sz w:val="18"/>
                <w:szCs w:val="18"/>
                <w:color w:val="auto"/>
              </w:rPr>
              <w:t>4,206,039</w:t>
            </w:r>
            <w:r>
              <w:rPr>
                <w:rFonts w:ascii="Arial" w:cs="Arial" w:eastAsia="Arial" w:hAnsi="Arial"/>
                <w:sz w:val="27"/>
                <w:szCs w:val="27"/>
                <w:color w:val="auto"/>
                <w:vertAlign w:val="superscript"/>
              </w:rPr>
              <w:t>(2)</w:t>
            </w:r>
          </w:p>
        </w:tc>
        <w:tc>
          <w:tcPr>
            <w:tcW w:w="0" w:type="dxa"/>
            <w:vAlign w:val="bottom"/>
          </w:tcPr>
          <w:p>
            <w:pPr>
              <w:spacing w:after="0"/>
              <w:rPr>
                <w:sz w:val="1"/>
                <w:szCs w:val="1"/>
                <w:color w:val="auto"/>
              </w:rPr>
            </w:pPr>
          </w:p>
        </w:tc>
      </w:tr>
      <w:tr>
        <w:trPr>
          <w:trHeight w:val="217"/>
        </w:trPr>
        <w:tc>
          <w:tcPr>
            <w:tcW w:w="80" w:type="dxa"/>
            <w:vAlign w:val="bottom"/>
            <w:tcBorders>
              <w:left w:val="single" w:sz="8" w:color="3C5896"/>
            </w:tcBorders>
          </w:tcPr>
          <w:p>
            <w:pPr>
              <w:spacing w:after="0"/>
              <w:rPr>
                <w:sz w:val="18"/>
                <w:szCs w:val="18"/>
                <w:color w:val="auto"/>
              </w:rPr>
            </w:pPr>
          </w:p>
        </w:tc>
        <w:tc>
          <w:tcPr>
            <w:tcW w:w="2800" w:type="dxa"/>
            <w:vAlign w:val="bottom"/>
            <w:tcBorders>
              <w:right w:val="single" w:sz="8" w:color="9EACCA"/>
            </w:tcBorders>
            <w:gridSpan w:val="2"/>
          </w:tcPr>
          <w:p>
            <w:pPr>
              <w:ind w:left="280"/>
              <w:spacing w:after="0"/>
              <w:rPr>
                <w:sz w:val="20"/>
                <w:szCs w:val="20"/>
                <w:color w:val="auto"/>
              </w:rPr>
            </w:pPr>
            <w:r>
              <w:rPr>
                <w:rFonts w:ascii="Arial" w:cs="Arial" w:eastAsia="Arial" w:hAnsi="Arial"/>
                <w:sz w:val="18"/>
                <w:szCs w:val="18"/>
                <w:color w:val="auto"/>
              </w:rPr>
              <w:t>approved by security holders</w:t>
            </w:r>
          </w:p>
        </w:tc>
        <w:tc>
          <w:tcPr>
            <w:tcW w:w="1980" w:type="dxa"/>
            <w:vAlign w:val="bottom"/>
            <w:tcBorders>
              <w:right w:val="single" w:sz="8" w:color="9EACCA"/>
            </w:tcBorders>
            <w:vMerge w:val="continue"/>
          </w:tcPr>
          <w:p>
            <w:pPr>
              <w:spacing w:after="0"/>
              <w:rPr>
                <w:sz w:val="18"/>
                <w:szCs w:val="18"/>
                <w:color w:val="auto"/>
              </w:rPr>
            </w:pPr>
          </w:p>
        </w:tc>
        <w:tc>
          <w:tcPr>
            <w:tcW w:w="1960" w:type="dxa"/>
            <w:vAlign w:val="bottom"/>
            <w:tcBorders>
              <w:right w:val="single" w:sz="8" w:color="9EACCA"/>
            </w:tcBorders>
          </w:tcPr>
          <w:p>
            <w:pPr>
              <w:jc w:val="right"/>
              <w:ind w:right="670"/>
              <w:spacing w:after="0"/>
              <w:rPr>
                <w:sz w:val="20"/>
                <w:szCs w:val="20"/>
                <w:color w:val="auto"/>
              </w:rPr>
            </w:pPr>
            <w:r>
              <w:rPr>
                <w:rFonts w:ascii="Arial" w:cs="Arial" w:eastAsia="Arial" w:hAnsi="Arial"/>
                <w:sz w:val="18"/>
                <w:szCs w:val="18"/>
                <w:color w:val="auto"/>
              </w:rPr>
              <w:t>$7.09</w:t>
            </w:r>
          </w:p>
        </w:tc>
        <w:tc>
          <w:tcPr>
            <w:tcW w:w="2380" w:type="dxa"/>
            <w:vAlign w:val="bottom"/>
            <w:tcBorders>
              <w:right w:val="single" w:sz="8" w:color="3C589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80" w:type="dxa"/>
            <w:vAlign w:val="bottom"/>
            <w:tcBorders>
              <w:left w:val="single" w:sz="8" w:color="3C5896"/>
              <w:right w:val="single" w:sz="8" w:color="9EACCA"/>
            </w:tcBorders>
            <w:gridSpan w:val="3"/>
            <w:shd w:val="clear" w:color="auto" w:fill="CCCCCC"/>
          </w:tcPr>
          <w:p>
            <w:pPr>
              <w:ind w:left="80"/>
              <w:spacing w:after="0"/>
              <w:rPr>
                <w:sz w:val="20"/>
                <w:szCs w:val="20"/>
                <w:color w:val="auto"/>
              </w:rPr>
            </w:pPr>
            <w:r>
              <w:rPr>
                <w:rFonts w:ascii="Arial" w:cs="Arial" w:eastAsia="Arial" w:hAnsi="Arial"/>
                <w:sz w:val="18"/>
                <w:szCs w:val="18"/>
                <w:color w:val="auto"/>
              </w:rPr>
              <w:t>Equity compensation plans not</w:t>
            </w:r>
          </w:p>
        </w:tc>
        <w:tc>
          <w:tcPr>
            <w:tcW w:w="1980" w:type="dxa"/>
            <w:vAlign w:val="bottom"/>
            <w:tcBorders>
              <w:right w:val="single" w:sz="8" w:color="9EACCA"/>
            </w:tcBorders>
            <w:shd w:val="clear" w:color="auto" w:fill="CCCCCC"/>
          </w:tcPr>
          <w:p>
            <w:pPr>
              <w:spacing w:after="0"/>
              <w:rPr>
                <w:sz w:val="18"/>
                <w:szCs w:val="18"/>
                <w:color w:val="auto"/>
              </w:rPr>
            </w:pPr>
          </w:p>
        </w:tc>
        <w:tc>
          <w:tcPr>
            <w:tcW w:w="1960" w:type="dxa"/>
            <w:vAlign w:val="bottom"/>
            <w:tcBorders>
              <w:right w:val="single" w:sz="8" w:color="9EACCA"/>
            </w:tcBorders>
            <w:shd w:val="clear" w:color="auto" w:fill="CCCCCC"/>
          </w:tcPr>
          <w:p>
            <w:pPr>
              <w:spacing w:after="0"/>
              <w:rPr>
                <w:sz w:val="18"/>
                <w:szCs w:val="18"/>
                <w:color w:val="auto"/>
              </w:rPr>
            </w:pPr>
          </w:p>
        </w:tc>
        <w:tc>
          <w:tcPr>
            <w:tcW w:w="238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Borders>
              <w:left w:val="single" w:sz="8" w:color="3C5896"/>
            </w:tcBorders>
            <w:shd w:val="clear" w:color="auto" w:fill="CCCCCC"/>
          </w:tcPr>
          <w:p>
            <w:pPr>
              <w:spacing w:after="0"/>
              <w:rPr>
                <w:sz w:val="18"/>
                <w:szCs w:val="18"/>
                <w:color w:val="auto"/>
              </w:rPr>
            </w:pPr>
          </w:p>
        </w:tc>
        <w:tc>
          <w:tcPr>
            <w:tcW w:w="2800" w:type="dxa"/>
            <w:vAlign w:val="bottom"/>
            <w:tcBorders>
              <w:right w:val="single" w:sz="8" w:color="9EACCA"/>
            </w:tcBorders>
            <w:gridSpan w:val="2"/>
            <w:shd w:val="clear" w:color="auto" w:fill="CCCCCC"/>
          </w:tcPr>
          <w:p>
            <w:pPr>
              <w:ind w:left="280"/>
              <w:spacing w:after="0"/>
              <w:rPr>
                <w:sz w:val="20"/>
                <w:szCs w:val="20"/>
                <w:color w:val="auto"/>
              </w:rPr>
            </w:pPr>
            <w:r>
              <w:rPr>
                <w:rFonts w:ascii="Arial" w:cs="Arial" w:eastAsia="Arial" w:hAnsi="Arial"/>
                <w:sz w:val="18"/>
                <w:szCs w:val="18"/>
                <w:color w:val="auto"/>
              </w:rPr>
              <w:t>approved by security holders</w:t>
            </w:r>
          </w:p>
        </w:tc>
        <w:tc>
          <w:tcPr>
            <w:tcW w:w="1980" w:type="dxa"/>
            <w:vAlign w:val="bottom"/>
            <w:tcBorders>
              <w:right w:val="single" w:sz="8" w:color="9EACCA"/>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1960" w:type="dxa"/>
            <w:vAlign w:val="bottom"/>
            <w:tcBorders>
              <w:right w:val="single" w:sz="8" w:color="9EACCA"/>
            </w:tcBorders>
            <w:shd w:val="clear" w:color="auto" w:fill="CCCCCC"/>
          </w:tcPr>
          <w:p>
            <w:pPr>
              <w:jc w:val="right"/>
              <w:ind w:right="670"/>
              <w:spacing w:after="0"/>
              <w:rPr>
                <w:sz w:val="20"/>
                <w:szCs w:val="20"/>
                <w:color w:val="auto"/>
              </w:rPr>
            </w:pPr>
            <w:r>
              <w:rPr>
                <w:rFonts w:ascii="Arial" w:cs="Arial" w:eastAsia="Arial" w:hAnsi="Arial"/>
                <w:sz w:val="18"/>
                <w:szCs w:val="18"/>
                <w:color w:val="auto"/>
              </w:rPr>
              <w:t>—</w:t>
            </w:r>
          </w:p>
        </w:tc>
        <w:tc>
          <w:tcPr>
            <w:tcW w:w="2380" w:type="dxa"/>
            <w:vAlign w:val="bottom"/>
            <w:tcBorders>
              <w:right w:val="single" w:sz="8" w:color="3C5896"/>
            </w:tcBorders>
            <w:shd w:val="clear" w:color="auto" w:fill="CCCCCC"/>
          </w:tcPr>
          <w:p>
            <w:pPr>
              <w:jc w:val="right"/>
              <w:ind w:right="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880" w:type="dxa"/>
            <w:vAlign w:val="bottom"/>
            <w:tcBorders>
              <w:left w:val="single" w:sz="8" w:color="3C5896"/>
              <w:bottom w:val="single" w:sz="8" w:color="3C5896"/>
              <w:right w:val="single" w:sz="8" w:color="9EACCA"/>
            </w:tcBorders>
            <w:gridSpan w:val="3"/>
          </w:tcPr>
          <w:p>
            <w:pPr>
              <w:ind w:left="8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3C5896"/>
              <w:right w:val="single" w:sz="8" w:color="9EACCA"/>
            </w:tcBorders>
          </w:tcPr>
          <w:p>
            <w:pPr>
              <w:jc w:val="right"/>
              <w:ind w:right="510"/>
              <w:spacing w:after="0"/>
              <w:rPr>
                <w:sz w:val="20"/>
                <w:szCs w:val="20"/>
                <w:color w:val="auto"/>
              </w:rPr>
            </w:pPr>
            <w:r>
              <w:rPr>
                <w:rFonts w:ascii="Arial" w:cs="Arial" w:eastAsia="Arial" w:hAnsi="Arial"/>
                <w:sz w:val="18"/>
                <w:szCs w:val="18"/>
                <w:color w:val="auto"/>
              </w:rPr>
              <w:t>6,727,163</w:t>
            </w:r>
          </w:p>
        </w:tc>
        <w:tc>
          <w:tcPr>
            <w:tcW w:w="1960" w:type="dxa"/>
            <w:vAlign w:val="bottom"/>
            <w:tcBorders>
              <w:bottom w:val="single" w:sz="8" w:color="3C5896"/>
              <w:right w:val="single" w:sz="8" w:color="9EACCA"/>
            </w:tcBorders>
          </w:tcPr>
          <w:p>
            <w:pPr>
              <w:jc w:val="right"/>
              <w:ind w:right="670"/>
              <w:spacing w:after="0"/>
              <w:rPr>
                <w:sz w:val="20"/>
                <w:szCs w:val="20"/>
                <w:color w:val="auto"/>
              </w:rPr>
            </w:pPr>
            <w:r>
              <w:rPr>
                <w:rFonts w:ascii="Arial" w:cs="Arial" w:eastAsia="Arial" w:hAnsi="Arial"/>
                <w:sz w:val="18"/>
                <w:szCs w:val="18"/>
                <w:color w:val="auto"/>
              </w:rPr>
              <w:t>$7.09</w:t>
            </w:r>
          </w:p>
        </w:tc>
        <w:tc>
          <w:tcPr>
            <w:tcW w:w="2380" w:type="dxa"/>
            <w:vAlign w:val="bottom"/>
            <w:tcBorders>
              <w:bottom w:val="single" w:sz="8" w:color="3C5896"/>
              <w:right w:val="single" w:sz="8" w:color="3C5896"/>
            </w:tcBorders>
          </w:tcPr>
          <w:p>
            <w:pPr>
              <w:jc w:val="right"/>
              <w:ind w:right="710"/>
              <w:spacing w:after="0"/>
              <w:rPr>
                <w:sz w:val="20"/>
                <w:szCs w:val="20"/>
                <w:color w:val="auto"/>
              </w:rPr>
            </w:pPr>
            <w:r>
              <w:rPr>
                <w:rFonts w:ascii="Arial" w:cs="Arial" w:eastAsia="Arial" w:hAnsi="Arial"/>
                <w:sz w:val="18"/>
                <w:szCs w:val="18"/>
                <w:color w:val="auto"/>
              </w:rPr>
              <w:t>4,206,039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-728345</wp:posOffset>
            </wp:positionV>
            <wp:extent cx="34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58" w:lineRule="exact"/>
        <w:rPr>
          <w:sz w:val="20"/>
          <w:szCs w:val="20"/>
          <w:color w:val="auto"/>
        </w:rPr>
      </w:pPr>
    </w:p>
    <w:p>
      <w:pPr>
        <w:ind w:left="1080" w:right="900" w:hanging="316"/>
        <w:spacing w:after="0" w:line="233"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16,430 shares issuable pursuant to outstanding options under the 2013 Stock Incentive Plan. The weighted-average exercise price of such options is $1.66. Includes 6,618,290 shares issuable pursuant to outstanding options under the 2014 Stock Incentive Plan. The weighted-average exercise price of such options is $6.89. Includes 92,443 shares issuable pursuant to outstanding options under the 2017 Omnibus Incentive Plan. The weighted-average exercise price of such options is $22.00.</w:t>
      </w:r>
    </w:p>
    <w:p>
      <w:pPr>
        <w:spacing w:after="0" w:line="32" w:lineRule="exact"/>
        <w:rPr>
          <w:rFonts w:ascii="Arial" w:cs="Arial" w:eastAsia="Arial" w:hAnsi="Arial"/>
          <w:sz w:val="15"/>
          <w:szCs w:val="15"/>
          <w:color w:val="auto"/>
        </w:rPr>
      </w:pPr>
    </w:p>
    <w:p>
      <w:pPr>
        <w:ind w:left="1080" w:right="1440" w:hanging="316"/>
        <w:spacing w:after="0" w:line="242"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468,975 shares that can be issued pursuant to future awards under the 2014 Stock Incentive Plan. Also includes 3,737,064 shares that can be issued pursuant to future awards under the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4832350</wp:posOffset>
            </wp:positionV>
            <wp:extent cx="291465" cy="222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31</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CEO PAY RATIO</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CEO PAY RATIO</w:t>
      </w:r>
    </w:p>
    <w:p>
      <w:pPr>
        <w:spacing w:after="0" w:line="100" w:lineRule="exact"/>
        <w:rPr>
          <w:sz w:val="20"/>
          <w:szCs w:val="20"/>
          <w:color w:val="auto"/>
        </w:rPr>
      </w:pPr>
    </w:p>
    <w:p>
      <w:pPr>
        <w:ind w:left="760" w:right="299"/>
        <w:spacing w:after="0" w:line="252" w:lineRule="auto"/>
        <w:rPr>
          <w:sz w:val="20"/>
          <w:szCs w:val="20"/>
          <w:color w:val="auto"/>
        </w:rPr>
      </w:pPr>
      <w:r>
        <w:rPr>
          <w:rFonts w:ascii="Arial" w:cs="Arial" w:eastAsia="Arial" w:hAnsi="Arial"/>
          <w:sz w:val="18"/>
          <w:szCs w:val="18"/>
          <w:color w:val="auto"/>
        </w:rPr>
        <w:t>As required by Section 953(b) of the Dodd-Frank Wall Street Reform Act and Consumer Protection Act of 2010 and Item 402(u) of Regulation S-K, we are providing the following information regarding the ratio of the annual total compensation of Mr. Fahs, our CEO, to the median of the annual total compensation of all our associates (other than our CEO) (the “CEO Pay Ratio”). Our CEO Pay Ratio is a reasonable estimate calculated in a manner consistent with Item 402(u). However, due to the flexibility afforded by Item 402(u) in calculating the CEO Pay Ratio, our CEO Pay Ratio may not be comparable to the CEO pay ratios presented by other companies.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fiscal 2018:</w:t>
      </w:r>
    </w:p>
    <w:p>
      <w:pPr>
        <w:spacing w:after="0" w:line="90" w:lineRule="exact"/>
        <w:rPr>
          <w:sz w:val="20"/>
          <w:szCs w:val="20"/>
          <w:color w:val="auto"/>
        </w:rPr>
      </w:pPr>
    </w:p>
    <w:p>
      <w:pPr>
        <w:ind w:left="1140" w:right="939" w:hanging="214"/>
        <w:spacing w:after="0" w:line="262" w:lineRule="auto"/>
        <w:tabs>
          <w:tab w:leader="none" w:pos="1140" w:val="left"/>
        </w:tabs>
        <w:numPr>
          <w:ilvl w:val="0"/>
          <w:numId w:val="30"/>
        </w:numPr>
        <w:rPr>
          <w:rFonts w:ascii="Arial" w:cs="Arial" w:eastAsia="Arial" w:hAnsi="Arial"/>
          <w:sz w:val="18"/>
          <w:szCs w:val="18"/>
          <w:color w:val="3C5896"/>
        </w:rPr>
      </w:pPr>
      <w:r>
        <w:rPr>
          <w:rFonts w:ascii="Arial" w:cs="Arial" w:eastAsia="Arial" w:hAnsi="Arial"/>
          <w:sz w:val="18"/>
          <w:szCs w:val="18"/>
          <w:color w:val="auto"/>
        </w:rPr>
        <w:t>the median of the annual total compensation of all our associates (other than Mr. Fahs, our CEO), was $25,899; and</w:t>
      </w:r>
    </w:p>
    <w:p>
      <w:pPr>
        <w:spacing w:after="0" w:line="74" w:lineRule="exact"/>
        <w:rPr>
          <w:rFonts w:ascii="Arial" w:cs="Arial" w:eastAsia="Arial" w:hAnsi="Arial"/>
          <w:sz w:val="18"/>
          <w:szCs w:val="18"/>
          <w:color w:val="3C5896"/>
        </w:rPr>
      </w:pPr>
    </w:p>
    <w:p>
      <w:pPr>
        <w:ind w:left="1140" w:hanging="214"/>
        <w:spacing w:after="0"/>
        <w:tabs>
          <w:tab w:leader="none" w:pos="1140" w:val="left"/>
        </w:tabs>
        <w:numPr>
          <w:ilvl w:val="0"/>
          <w:numId w:val="30"/>
        </w:numPr>
        <w:rPr>
          <w:rFonts w:ascii="Arial" w:cs="Arial" w:eastAsia="Arial" w:hAnsi="Arial"/>
          <w:sz w:val="18"/>
          <w:szCs w:val="18"/>
          <w:color w:val="3C5896"/>
        </w:rPr>
      </w:pPr>
      <w:r>
        <w:rPr>
          <w:rFonts w:ascii="Arial" w:cs="Arial" w:eastAsia="Arial" w:hAnsi="Arial"/>
          <w:sz w:val="18"/>
          <w:szCs w:val="18"/>
          <w:color w:val="auto"/>
        </w:rPr>
        <w:t>the annual total compensation of Mr. Fahs, our CEO, was $1,602,670.</w:t>
      </w:r>
    </w:p>
    <w:p>
      <w:pPr>
        <w:spacing w:after="0" w:line="117" w:lineRule="exact"/>
        <w:rPr>
          <w:sz w:val="20"/>
          <w:szCs w:val="20"/>
          <w:color w:val="auto"/>
        </w:rPr>
      </w:pPr>
    </w:p>
    <w:p>
      <w:pPr>
        <w:ind w:left="760" w:right="439"/>
        <w:spacing w:after="0" w:line="262" w:lineRule="auto"/>
        <w:rPr>
          <w:sz w:val="20"/>
          <w:szCs w:val="20"/>
          <w:color w:val="auto"/>
        </w:rPr>
      </w:pPr>
      <w:r>
        <w:rPr>
          <w:rFonts w:ascii="Arial" w:cs="Arial" w:eastAsia="Arial" w:hAnsi="Arial"/>
          <w:sz w:val="18"/>
          <w:szCs w:val="18"/>
          <w:color w:val="auto"/>
        </w:rPr>
        <w:t>Based on this information, the ratio of the annual total compensation of our CEO to the median of the annual total compensation of all our associates is estimated to be 62 to 1.</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determine this pay ratio, we did the following:</w:t>
      </w:r>
    </w:p>
    <w:p>
      <w:pPr>
        <w:spacing w:after="0" w:line="104" w:lineRule="exact"/>
        <w:rPr>
          <w:sz w:val="20"/>
          <w:szCs w:val="20"/>
          <w:color w:val="auto"/>
        </w:rPr>
      </w:pPr>
    </w:p>
    <w:p>
      <w:pPr>
        <w:ind w:left="1140" w:right="339" w:hanging="214"/>
        <w:spacing w:after="0" w:line="256" w:lineRule="auto"/>
        <w:tabs>
          <w:tab w:leader="none" w:pos="1140" w:val="left"/>
        </w:tabs>
        <w:numPr>
          <w:ilvl w:val="0"/>
          <w:numId w:val="31"/>
        </w:numPr>
        <w:rPr>
          <w:rFonts w:ascii="Arial" w:cs="Arial" w:eastAsia="Arial" w:hAnsi="Arial"/>
          <w:sz w:val="18"/>
          <w:szCs w:val="18"/>
          <w:color w:val="3C5896"/>
        </w:rPr>
      </w:pPr>
      <w:r>
        <w:rPr>
          <w:rFonts w:ascii="Arial" w:cs="Arial" w:eastAsia="Arial" w:hAnsi="Arial"/>
          <w:sz w:val="18"/>
          <w:szCs w:val="18"/>
          <w:color w:val="auto"/>
        </w:rPr>
        <w:t>We identified our median associate using our employee population as of December 31, 2018, which consisted of approximately 10,500 full-time and part-time employees, with 100% of these individuals located in the United States.</w:t>
      </w:r>
    </w:p>
    <w:p>
      <w:pPr>
        <w:spacing w:after="0" w:line="66" w:lineRule="exact"/>
        <w:rPr>
          <w:rFonts w:ascii="Arial" w:cs="Arial" w:eastAsia="Arial" w:hAnsi="Arial"/>
          <w:sz w:val="18"/>
          <w:szCs w:val="18"/>
          <w:color w:val="3C5896"/>
        </w:rPr>
      </w:pPr>
    </w:p>
    <w:p>
      <w:pPr>
        <w:ind w:left="1140" w:right="339" w:hanging="214"/>
        <w:spacing w:after="0" w:line="254" w:lineRule="auto"/>
        <w:tabs>
          <w:tab w:leader="none" w:pos="1140" w:val="left"/>
        </w:tabs>
        <w:numPr>
          <w:ilvl w:val="0"/>
          <w:numId w:val="31"/>
        </w:numPr>
        <w:rPr>
          <w:rFonts w:ascii="Arial" w:cs="Arial" w:eastAsia="Arial" w:hAnsi="Arial"/>
          <w:sz w:val="18"/>
          <w:szCs w:val="18"/>
          <w:color w:val="3C5896"/>
        </w:rPr>
      </w:pPr>
      <w:r>
        <w:rPr>
          <w:rFonts w:ascii="Arial" w:cs="Arial" w:eastAsia="Arial" w:hAnsi="Arial"/>
          <w:sz w:val="18"/>
          <w:szCs w:val="18"/>
          <w:color w:val="auto"/>
        </w:rPr>
        <w:t>To identify our median associate, we used salary/wages and annual incentive/bonus from our payroll records in fiscal 2018 as our consistently applied compensation measure. In making this determination, we annualized the compensation of approximately 4,000 full-time and part-time employees who were hired in fiscal 2018 but did not work for us for the entire fiscal year.</w:t>
      </w:r>
    </w:p>
    <w:p>
      <w:pPr>
        <w:spacing w:after="0" w:line="82" w:lineRule="exact"/>
        <w:rPr>
          <w:rFonts w:ascii="Arial" w:cs="Arial" w:eastAsia="Arial" w:hAnsi="Arial"/>
          <w:sz w:val="18"/>
          <w:szCs w:val="18"/>
          <w:color w:val="3C5896"/>
        </w:rPr>
      </w:pPr>
    </w:p>
    <w:p>
      <w:pPr>
        <w:ind w:left="1140" w:right="479" w:hanging="214"/>
        <w:spacing w:after="0" w:line="262" w:lineRule="auto"/>
        <w:tabs>
          <w:tab w:leader="none" w:pos="1140" w:val="left"/>
        </w:tabs>
        <w:numPr>
          <w:ilvl w:val="0"/>
          <w:numId w:val="31"/>
        </w:numPr>
        <w:rPr>
          <w:rFonts w:ascii="Arial" w:cs="Arial" w:eastAsia="Arial" w:hAnsi="Arial"/>
          <w:sz w:val="18"/>
          <w:szCs w:val="18"/>
          <w:color w:val="3C5896"/>
        </w:rPr>
      </w:pPr>
      <w:r>
        <w:rPr>
          <w:rFonts w:ascii="Arial" w:cs="Arial" w:eastAsia="Arial" w:hAnsi="Arial"/>
          <w:sz w:val="18"/>
          <w:szCs w:val="18"/>
          <w:color w:val="auto"/>
        </w:rPr>
        <w:t>After identifying our median associate, we calculated the median associate’s compensation for fiscal 2018 in accordance with the requirements of Item 402(c)(2)(x)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32  </w:t>
      </w:r>
      <w:r>
        <w:rPr>
          <w:sz w:val="1"/>
          <w:szCs w:val="1"/>
          <w:color w:val="auto"/>
        </w:rPr>
        <w:drawing>
          <wp:inline distT="0" distB="0" distL="0" distR="0">
            <wp:extent cx="291465" cy="22288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FFFFFF"/>
        </w:rPr>
        <w:t>SECTION 16(A) BENEFICIAL OWNERSHIP REPORTING COMPLIANCE</w:t>
      </w:r>
    </w:p>
    <w:p>
      <w:pPr>
        <w:spacing w:after="0" w:line="252" w:lineRule="exact"/>
        <w:rPr>
          <w:sz w:val="20"/>
          <w:szCs w:val="20"/>
          <w:color w:val="auto"/>
        </w:rPr>
      </w:pPr>
    </w:p>
    <w:p>
      <w:pPr>
        <w:ind w:left="760" w:right="1580"/>
        <w:spacing w:after="0" w:line="242" w:lineRule="auto"/>
        <w:rPr>
          <w:sz w:val="20"/>
          <w:szCs w:val="20"/>
          <w:color w:val="auto"/>
        </w:rPr>
      </w:pPr>
      <w:r>
        <w:rPr>
          <w:rFonts w:ascii="Arial" w:cs="Arial" w:eastAsia="Arial" w:hAnsi="Arial"/>
          <w:sz w:val="32"/>
          <w:szCs w:val="32"/>
          <w:color w:val="auto"/>
        </w:rPr>
        <w:t>SECTION 16(A) BENEFICIAL OWNERSHIP REPORTING COMPLIANCE</w:t>
      </w:r>
    </w:p>
    <w:p>
      <w:pPr>
        <w:spacing w:after="0" w:line="77" w:lineRule="exact"/>
        <w:rPr>
          <w:sz w:val="20"/>
          <w:szCs w:val="20"/>
          <w:color w:val="auto"/>
        </w:rPr>
      </w:pPr>
    </w:p>
    <w:p>
      <w:pPr>
        <w:ind w:left="760" w:right="800"/>
        <w:spacing w:after="0" w:line="252"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2018 all reports required by Section 16(a) were timely filed, except that, due to administrative oversight, there was one late Form 4 filing for each of Messrs. McAllister and Tehle regarding the vesting of certain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6384925</wp:posOffset>
            </wp:positionV>
            <wp:extent cx="291465" cy="231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14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33</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OWNERSHIP OF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OWNERSHIP OF SECURITIES</w:t>
      </w:r>
    </w:p>
    <w:p>
      <w:pPr>
        <w:spacing w:after="0" w:line="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Beneficial Ownership of National Vision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8" w:lineRule="exact"/>
        <w:rPr>
          <w:sz w:val="20"/>
          <w:szCs w:val="20"/>
          <w:color w:val="auto"/>
        </w:rPr>
      </w:pPr>
    </w:p>
    <w:p>
      <w:pPr>
        <w:ind w:left="760" w:right="259"/>
        <w:spacing w:after="0" w:line="253"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common stock as of April 16, 2019 by (1) each individual or entity known by us to beneficially own more than 5% of our outstanding common stock, (2) each of our named executive officers, (3) each of our directors and director nominees and (4) all of our directors and our executive officers as a group. As of April 16, 2019, there were 78,296,650 shares of our common stock, par value $0.01 per share, outstanding.</w:t>
      </w:r>
    </w:p>
    <w:p>
      <w:pPr>
        <w:spacing w:after="0" w:line="97" w:lineRule="exact"/>
        <w:rPr>
          <w:sz w:val="20"/>
          <w:szCs w:val="20"/>
          <w:color w:val="auto"/>
        </w:rPr>
      </w:pPr>
    </w:p>
    <w:p>
      <w:pPr>
        <w:ind w:left="760" w:right="399"/>
        <w:spacing w:after="0" w:line="256"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94" w:lineRule="exact"/>
        <w:rPr>
          <w:sz w:val="20"/>
          <w:szCs w:val="20"/>
          <w:color w:val="auto"/>
        </w:rPr>
      </w:pPr>
    </w:p>
    <w:p>
      <w:pPr>
        <w:ind w:left="760" w:right="519"/>
        <w:spacing w:after="0" w:line="256" w:lineRule="auto"/>
        <w:rPr>
          <w:sz w:val="20"/>
          <w:szCs w:val="20"/>
          <w:color w:val="auto"/>
        </w:rPr>
      </w:pPr>
      <w:r>
        <w:rPr>
          <w:rFonts w:ascii="Arial" w:cs="Arial" w:eastAsia="Arial" w:hAnsi="Arial"/>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94" w:lineRule="exact"/>
        <w:rPr>
          <w:sz w:val="20"/>
          <w:szCs w:val="20"/>
          <w:color w:val="auto"/>
        </w:rPr>
      </w:pPr>
    </w:p>
    <w:p>
      <w:pPr>
        <w:ind w:left="760" w:right="919"/>
        <w:spacing w:after="0" w:line="256"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94" w:lineRule="exact"/>
        <w:rPr>
          <w:sz w:val="20"/>
          <w:szCs w:val="20"/>
          <w:color w:val="auto"/>
        </w:rPr>
      </w:pPr>
    </w:p>
    <w:p>
      <w:pPr>
        <w:ind w:left="760" w:right="539"/>
        <w:spacing w:after="0" w:line="262"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112"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120" w:type="dxa"/>
            <w:vAlign w:val="bottom"/>
            <w:tcBorders>
              <w:left w:val="single" w:sz="8" w:color="3C5896"/>
              <w:right w:val="single" w:sz="8" w:color="9EACCA"/>
            </w:tcBorders>
            <w:shd w:val="clear" w:color="auto" w:fill="3C5896"/>
          </w:tcPr>
          <w:p>
            <w:pPr>
              <w:spacing w:after="0"/>
              <w:rPr>
                <w:sz w:val="17"/>
                <w:szCs w:val="17"/>
                <w:color w:val="auto"/>
              </w:rPr>
            </w:pPr>
          </w:p>
        </w:tc>
        <w:tc>
          <w:tcPr>
            <w:tcW w:w="1560" w:type="dxa"/>
            <w:vAlign w:val="bottom"/>
            <w:tcBorders>
              <w:right w:val="single" w:sz="8" w:color="9EACCA"/>
            </w:tcBorders>
            <w:shd w:val="clear" w:color="auto" w:fill="3C5896"/>
          </w:tcPr>
          <w:p>
            <w:pPr>
              <w:spacing w:after="0"/>
              <w:rPr>
                <w:sz w:val="17"/>
                <w:szCs w:val="17"/>
                <w:color w:val="auto"/>
              </w:rPr>
            </w:pPr>
          </w:p>
        </w:tc>
        <w:tc>
          <w:tcPr>
            <w:tcW w:w="152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Percentage of</w:t>
            </w:r>
          </w:p>
        </w:tc>
        <w:tc>
          <w:tcPr>
            <w:tcW w:w="0" w:type="dxa"/>
            <w:vAlign w:val="bottom"/>
          </w:tcPr>
          <w:p>
            <w:pPr>
              <w:spacing w:after="0"/>
              <w:rPr>
                <w:sz w:val="1"/>
                <w:szCs w:val="1"/>
                <w:color w:val="auto"/>
              </w:rPr>
            </w:pPr>
          </w:p>
        </w:tc>
      </w:tr>
      <w:tr>
        <w:trPr>
          <w:trHeight w:val="176"/>
        </w:trPr>
        <w:tc>
          <w:tcPr>
            <w:tcW w:w="6120" w:type="dxa"/>
            <w:vAlign w:val="bottom"/>
            <w:tcBorders>
              <w:left w:val="single" w:sz="8" w:color="3C5896"/>
              <w:right w:val="single" w:sz="8" w:color="9EACCA"/>
            </w:tcBorders>
            <w:vMerge w:val="restart"/>
            <w:shd w:val="clear" w:color="auto" w:fill="3C5896"/>
          </w:tcPr>
          <w:p>
            <w:pPr>
              <w:ind w:left="1940"/>
              <w:spacing w:after="0"/>
              <w:rPr>
                <w:sz w:val="20"/>
                <w:szCs w:val="20"/>
                <w:color w:val="auto"/>
              </w:rPr>
            </w:pPr>
            <w:r>
              <w:rPr>
                <w:rFonts w:ascii="Arial" w:cs="Arial" w:eastAsia="Arial" w:hAnsi="Arial"/>
                <w:sz w:val="18"/>
                <w:szCs w:val="18"/>
                <w:b w:val="1"/>
                <w:bCs w:val="1"/>
                <w:color w:val="FFFFFF"/>
              </w:rPr>
              <w:t>Name of Beneficial Owner</w:t>
            </w:r>
          </w:p>
        </w:tc>
        <w:tc>
          <w:tcPr>
            <w:tcW w:w="1560" w:type="dxa"/>
            <w:vAlign w:val="bottom"/>
            <w:tcBorders>
              <w:right w:val="single" w:sz="8" w:color="9EACCA"/>
            </w:tcBorders>
            <w:vMerge w:val="restart"/>
            <w:shd w:val="clear" w:color="auto" w:fill="3C5896"/>
          </w:tcPr>
          <w:p>
            <w:pPr>
              <w:jc w:val="right"/>
              <w:ind w:right="350"/>
              <w:spacing w:after="0"/>
              <w:rPr>
                <w:sz w:val="20"/>
                <w:szCs w:val="20"/>
                <w:color w:val="auto"/>
              </w:rPr>
            </w:pPr>
            <w:r>
              <w:rPr>
                <w:rFonts w:ascii="Arial" w:cs="Arial" w:eastAsia="Arial" w:hAnsi="Arial"/>
                <w:sz w:val="18"/>
                <w:szCs w:val="18"/>
                <w:b w:val="1"/>
                <w:bCs w:val="1"/>
                <w:color w:val="FFFFFF"/>
              </w:rPr>
              <w:t>Number</w:t>
            </w:r>
          </w:p>
        </w:tc>
        <w:tc>
          <w:tcPr>
            <w:tcW w:w="1520" w:type="dxa"/>
            <w:vAlign w:val="bottom"/>
            <w:tcBorders>
              <w:right w:val="single" w:sz="8" w:color="3C5896"/>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Total Common</w:t>
            </w:r>
          </w:p>
        </w:tc>
        <w:tc>
          <w:tcPr>
            <w:tcW w:w="0" w:type="dxa"/>
            <w:vAlign w:val="bottom"/>
          </w:tcPr>
          <w:p>
            <w:pPr>
              <w:spacing w:after="0"/>
              <w:rPr>
                <w:sz w:val="1"/>
                <w:szCs w:val="1"/>
                <w:color w:val="auto"/>
              </w:rPr>
            </w:pPr>
          </w:p>
        </w:tc>
      </w:tr>
      <w:tr>
        <w:trPr>
          <w:trHeight w:val="257"/>
        </w:trPr>
        <w:tc>
          <w:tcPr>
            <w:tcW w:w="6120" w:type="dxa"/>
            <w:vAlign w:val="bottom"/>
            <w:tcBorders>
              <w:left w:val="single" w:sz="8" w:color="3C5896"/>
              <w:bottom w:val="single" w:sz="8" w:color="auto"/>
              <w:right w:val="single" w:sz="8" w:color="9EACCA"/>
            </w:tcBorders>
            <w:vMerge w:val="continue"/>
            <w:shd w:val="clear" w:color="auto" w:fill="3C5896"/>
          </w:tcPr>
          <w:p>
            <w:pPr>
              <w:spacing w:after="0"/>
              <w:rPr>
                <w:sz w:val="22"/>
                <w:szCs w:val="22"/>
                <w:color w:val="auto"/>
              </w:rPr>
            </w:pPr>
          </w:p>
        </w:tc>
        <w:tc>
          <w:tcPr>
            <w:tcW w:w="1560" w:type="dxa"/>
            <w:vAlign w:val="bottom"/>
            <w:tcBorders>
              <w:bottom w:val="single" w:sz="8" w:color="auto"/>
              <w:right w:val="single" w:sz="8" w:color="9EACCA"/>
            </w:tcBorders>
            <w:vMerge w:val="continue"/>
            <w:shd w:val="clear" w:color="auto" w:fill="3C5896"/>
          </w:tcPr>
          <w:p>
            <w:pPr>
              <w:spacing w:after="0"/>
              <w:rPr>
                <w:sz w:val="22"/>
                <w:szCs w:val="22"/>
                <w:color w:val="auto"/>
              </w:rPr>
            </w:pPr>
          </w:p>
        </w:tc>
        <w:tc>
          <w:tcPr>
            <w:tcW w:w="1520" w:type="dxa"/>
            <w:vAlign w:val="bottom"/>
            <w:tcBorders>
              <w:bottom w:val="single" w:sz="8" w:color="auto"/>
              <w:right w:val="single" w:sz="8" w:color="3C5896"/>
            </w:tcBorders>
            <w:shd w:val="clear" w:color="auto" w:fill="3C5896"/>
          </w:tcPr>
          <w:p>
            <w:pPr>
              <w:jc w:val="center"/>
              <w:spacing w:after="0" w:line="257" w:lineRule="exact"/>
              <w:rPr>
                <w:sz w:val="20"/>
                <w:szCs w:val="20"/>
                <w:color w:val="auto"/>
              </w:rPr>
            </w:pPr>
            <w:r>
              <w:rPr>
                <w:rFonts w:ascii="Arial" w:cs="Arial" w:eastAsia="Arial" w:hAnsi="Arial"/>
                <w:sz w:val="18"/>
                <w:szCs w:val="18"/>
                <w:b w:val="1"/>
                <w:bCs w:val="1"/>
                <w:color w:val="FFFFFF"/>
                <w:w w:val="92"/>
              </w:rPr>
              <w:t>Stock</w:t>
            </w:r>
            <w:r>
              <w:rPr>
                <w:rFonts w:ascii="Arial" w:cs="Arial" w:eastAsia="Arial" w:hAnsi="Arial"/>
                <w:sz w:val="27"/>
                <w:szCs w:val="27"/>
                <w:b w:val="1"/>
                <w:bCs w:val="1"/>
                <w:color w:val="FFFFFF"/>
                <w:w w:val="92"/>
                <w:vertAlign w:val="superscript"/>
              </w:rPr>
              <w:t>(1)</w:t>
            </w:r>
          </w:p>
        </w:tc>
        <w:tc>
          <w:tcPr>
            <w:tcW w:w="0" w:type="dxa"/>
            <w:vAlign w:val="bottom"/>
          </w:tcPr>
          <w:p>
            <w:pPr>
              <w:spacing w:after="0"/>
              <w:rPr>
                <w:sz w:val="1"/>
                <w:szCs w:val="1"/>
                <w:color w:val="auto"/>
              </w:rPr>
            </w:pPr>
          </w:p>
        </w:tc>
      </w:tr>
      <w:tr>
        <w:trPr>
          <w:trHeight w:val="250"/>
        </w:trPr>
        <w:tc>
          <w:tcPr>
            <w:tcW w:w="61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b w:val="1"/>
                <w:bCs w:val="1"/>
                <w:color w:val="auto"/>
              </w:rPr>
              <w:t>Greater than 5% Stockholders:</w:t>
            </w:r>
          </w:p>
        </w:tc>
        <w:tc>
          <w:tcPr>
            <w:tcW w:w="1560" w:type="dxa"/>
            <w:vAlign w:val="bottom"/>
            <w:tcBorders>
              <w:right w:val="single" w:sz="8" w:color="9EACCA"/>
            </w:tcBorders>
          </w:tcPr>
          <w:p>
            <w:pPr>
              <w:spacing w:after="0"/>
              <w:rPr>
                <w:sz w:val="21"/>
                <w:szCs w:val="21"/>
                <w:color w:val="auto"/>
              </w:rPr>
            </w:pPr>
          </w:p>
        </w:tc>
        <w:tc>
          <w:tcPr>
            <w:tcW w:w="152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shd w:val="clear" w:color="auto" w:fill="CCCCCC"/>
          </w:tcPr>
          <w:p>
            <w:pPr>
              <w:ind w:left="80"/>
              <w:spacing w:after="0" w:line="270" w:lineRule="exact"/>
              <w:rPr>
                <w:sz w:val="20"/>
                <w:szCs w:val="20"/>
                <w:color w:val="auto"/>
              </w:rPr>
            </w:pPr>
            <w:r>
              <w:rPr>
                <w:rFonts w:ascii="Arial" w:cs="Arial" w:eastAsia="Arial" w:hAnsi="Arial"/>
                <w:sz w:val="18"/>
                <w:szCs w:val="18"/>
                <w:color w:val="auto"/>
              </w:rPr>
              <w:t>FMR LLC and affiliates</w:t>
            </w:r>
            <w:r>
              <w:rPr>
                <w:rFonts w:ascii="Arial" w:cs="Arial" w:eastAsia="Arial" w:hAnsi="Arial"/>
                <w:sz w:val="27"/>
                <w:szCs w:val="27"/>
                <w:color w:val="auto"/>
                <w:vertAlign w:val="superscript"/>
              </w:rPr>
              <w:t>(2)</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9,821,158</w:t>
            </w:r>
          </w:p>
        </w:tc>
        <w:tc>
          <w:tcPr>
            <w:tcW w:w="1520" w:type="dxa"/>
            <w:vAlign w:val="bottom"/>
            <w:tcBorders>
              <w:right w:val="single" w:sz="8" w:color="3C5896"/>
            </w:tcBorders>
            <w:shd w:val="clear" w:color="auto" w:fill="CCCCCC"/>
          </w:tcPr>
          <w:p>
            <w:pPr>
              <w:jc w:val="right"/>
              <w:ind w:right="35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tcPr>
          <w:p>
            <w:pPr>
              <w:ind w:left="80"/>
              <w:spacing w:after="0" w:line="270" w:lineRule="exact"/>
              <w:rPr>
                <w:sz w:val="20"/>
                <w:szCs w:val="20"/>
                <w:color w:val="auto"/>
              </w:rPr>
            </w:pPr>
            <w:r>
              <w:rPr>
                <w:rFonts w:ascii="Arial" w:cs="Arial" w:eastAsia="Arial" w:hAnsi="Arial"/>
                <w:sz w:val="18"/>
                <w:szCs w:val="18"/>
                <w:color w:val="auto"/>
              </w:rPr>
              <w:t>KKR Vision Aggregator L.P.</w:t>
            </w:r>
            <w:r>
              <w:rPr>
                <w:rFonts w:ascii="Arial" w:cs="Arial" w:eastAsia="Arial" w:hAnsi="Arial"/>
                <w:sz w:val="27"/>
                <w:szCs w:val="27"/>
                <w:color w:val="auto"/>
                <w:vertAlign w:val="superscript"/>
              </w:rPr>
              <w:t>(3)</w:t>
            </w:r>
          </w:p>
        </w:tc>
        <w:tc>
          <w:tcPr>
            <w:tcW w:w="156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9,149,908</w:t>
            </w:r>
          </w:p>
        </w:tc>
        <w:tc>
          <w:tcPr>
            <w:tcW w:w="1520" w:type="dxa"/>
            <w:vAlign w:val="bottom"/>
            <w:tcBorders>
              <w:right w:val="single" w:sz="8" w:color="3C5896"/>
            </w:tcBorders>
          </w:tcPr>
          <w:p>
            <w:pPr>
              <w:jc w:val="right"/>
              <w:ind w:right="35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shd w:val="clear" w:color="auto" w:fill="CCCCCC"/>
          </w:tcPr>
          <w:p>
            <w:pPr>
              <w:ind w:left="80"/>
              <w:spacing w:after="0" w:line="270" w:lineRule="exact"/>
              <w:rPr>
                <w:sz w:val="20"/>
                <w:szCs w:val="20"/>
                <w:color w:val="auto"/>
              </w:rPr>
            </w:pPr>
            <w:r>
              <w:rPr>
                <w:rFonts w:ascii="Arial" w:cs="Arial" w:eastAsia="Arial" w:hAnsi="Arial"/>
                <w:sz w:val="18"/>
                <w:szCs w:val="18"/>
                <w:color w:val="auto"/>
              </w:rPr>
              <w:t>Vanguard Group, Inc.</w:t>
            </w:r>
            <w:r>
              <w:rPr>
                <w:rFonts w:ascii="Arial" w:cs="Arial" w:eastAsia="Arial" w:hAnsi="Arial"/>
                <w:sz w:val="27"/>
                <w:szCs w:val="27"/>
                <w:color w:val="auto"/>
                <w:vertAlign w:val="superscript"/>
              </w:rPr>
              <w:t>(4)</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5,806,700</w:t>
            </w:r>
          </w:p>
        </w:tc>
        <w:tc>
          <w:tcPr>
            <w:tcW w:w="1520" w:type="dxa"/>
            <w:vAlign w:val="bottom"/>
            <w:tcBorders>
              <w:right w:val="single" w:sz="8" w:color="3C5896"/>
            </w:tcBorders>
            <w:shd w:val="clear" w:color="auto" w:fill="CCCCCC"/>
          </w:tcPr>
          <w:p>
            <w:pPr>
              <w:jc w:val="right"/>
              <w:ind w:right="35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tcPr>
          <w:p>
            <w:pPr>
              <w:ind w:left="80"/>
              <w:spacing w:after="0" w:line="270" w:lineRule="exact"/>
              <w:rPr>
                <w:sz w:val="20"/>
                <w:szCs w:val="20"/>
                <w:color w:val="auto"/>
              </w:rPr>
            </w:pPr>
            <w:r>
              <w:rPr>
                <w:rFonts w:ascii="Arial" w:cs="Arial" w:eastAsia="Arial" w:hAnsi="Arial"/>
                <w:sz w:val="18"/>
                <w:szCs w:val="18"/>
                <w:color w:val="auto"/>
              </w:rPr>
              <w:t>Adage Capital Partners, L.P.</w:t>
            </w:r>
            <w:r>
              <w:rPr>
                <w:rFonts w:ascii="Arial" w:cs="Arial" w:eastAsia="Arial" w:hAnsi="Arial"/>
                <w:sz w:val="27"/>
                <w:szCs w:val="27"/>
                <w:color w:val="auto"/>
                <w:vertAlign w:val="superscript"/>
              </w:rPr>
              <w:t>(5)</w:t>
            </w:r>
          </w:p>
        </w:tc>
        <w:tc>
          <w:tcPr>
            <w:tcW w:w="156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5,710,358</w:t>
            </w:r>
          </w:p>
        </w:tc>
        <w:tc>
          <w:tcPr>
            <w:tcW w:w="1520" w:type="dxa"/>
            <w:vAlign w:val="bottom"/>
            <w:tcBorders>
              <w:right w:val="single" w:sz="8" w:color="3C5896"/>
            </w:tcBorders>
          </w:tcPr>
          <w:p>
            <w:pPr>
              <w:jc w:val="right"/>
              <w:ind w:right="3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shd w:val="clear" w:color="auto" w:fill="CCCCCC"/>
          </w:tcPr>
          <w:p>
            <w:pPr>
              <w:ind w:left="80"/>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7"/>
                <w:szCs w:val="27"/>
                <w:color w:val="auto"/>
                <w:vertAlign w:val="superscript"/>
              </w:rPr>
              <w:t>(6)</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4,087,635</w:t>
            </w:r>
          </w:p>
        </w:tc>
        <w:tc>
          <w:tcPr>
            <w:tcW w:w="1520" w:type="dxa"/>
            <w:vAlign w:val="bottom"/>
            <w:tcBorders>
              <w:right w:val="single" w:sz="8" w:color="3C5896"/>
            </w:tcBorders>
            <w:shd w:val="clear" w:color="auto" w:fill="CCCCCC"/>
          </w:tcPr>
          <w:p>
            <w:pPr>
              <w:jc w:val="right"/>
              <w:ind w:right="3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61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b w:val="1"/>
                <w:bCs w:val="1"/>
                <w:color w:val="auto"/>
              </w:rPr>
              <w:t>Named Executive Officers and Directors:</w:t>
            </w:r>
          </w:p>
        </w:tc>
        <w:tc>
          <w:tcPr>
            <w:tcW w:w="1560" w:type="dxa"/>
            <w:vAlign w:val="bottom"/>
            <w:tcBorders>
              <w:right w:val="single" w:sz="8" w:color="9EACCA"/>
            </w:tcBorders>
          </w:tcPr>
          <w:p>
            <w:pPr>
              <w:spacing w:after="0"/>
              <w:rPr>
                <w:sz w:val="22"/>
                <w:szCs w:val="22"/>
                <w:color w:val="auto"/>
              </w:rPr>
            </w:pPr>
          </w:p>
        </w:tc>
        <w:tc>
          <w:tcPr>
            <w:tcW w:w="1520" w:type="dxa"/>
            <w:vAlign w:val="bottom"/>
            <w:tcBorders>
              <w:right w:val="single" w:sz="8" w:color="3C5896"/>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120" w:type="dxa"/>
            <w:vAlign w:val="bottom"/>
            <w:tcBorders>
              <w:left w:val="single" w:sz="8" w:color="3C5896"/>
              <w:right w:val="single" w:sz="8" w:color="9EACCA"/>
            </w:tcBorders>
            <w:shd w:val="clear" w:color="auto" w:fill="CCCCCC"/>
          </w:tcPr>
          <w:p>
            <w:pPr>
              <w:ind w:left="80"/>
              <w:spacing w:after="0" w:line="284" w:lineRule="exact"/>
              <w:rPr>
                <w:sz w:val="20"/>
                <w:szCs w:val="20"/>
                <w:color w:val="auto"/>
              </w:rPr>
            </w:pPr>
            <w:r>
              <w:rPr>
                <w:rFonts w:ascii="Arial" w:cs="Arial" w:eastAsia="Arial" w:hAnsi="Arial"/>
                <w:sz w:val="18"/>
                <w:szCs w:val="18"/>
                <w:color w:val="auto"/>
              </w:rPr>
              <w:t>L. Reade Fahs</w:t>
            </w:r>
            <w:r>
              <w:rPr>
                <w:rFonts w:ascii="Arial" w:cs="Arial" w:eastAsia="Arial" w:hAnsi="Arial"/>
                <w:sz w:val="27"/>
                <w:szCs w:val="27"/>
                <w:color w:val="auto"/>
                <w:vertAlign w:val="superscript"/>
              </w:rPr>
              <w:t>(7)</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1,412,735</w:t>
            </w:r>
          </w:p>
        </w:tc>
        <w:tc>
          <w:tcPr>
            <w:tcW w:w="1520" w:type="dxa"/>
            <w:vAlign w:val="bottom"/>
            <w:tcBorders>
              <w:right w:val="single" w:sz="8" w:color="3C5896"/>
            </w:tcBorders>
            <w:shd w:val="clear" w:color="auto" w:fill="CCCCCC"/>
          </w:tcPr>
          <w:p>
            <w:pPr>
              <w:jc w:val="right"/>
              <w:ind w:right="3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Patrick R. Moore</w:t>
            </w:r>
          </w:p>
        </w:tc>
        <w:tc>
          <w:tcPr>
            <w:tcW w:w="156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220,879</w:t>
            </w:r>
          </w:p>
        </w:tc>
        <w:tc>
          <w:tcPr>
            <w:tcW w:w="1520" w:type="dxa"/>
            <w:vAlign w:val="bottom"/>
            <w:tcBorders>
              <w:right w:val="single" w:sz="8" w:color="3C5896"/>
            </w:tcBorders>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Jeff McAllister</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171,043</w:t>
            </w:r>
          </w:p>
        </w:tc>
        <w:tc>
          <w:tcPr>
            <w:tcW w:w="1520" w:type="dxa"/>
            <w:vAlign w:val="bottom"/>
            <w:tcBorders>
              <w:right w:val="single" w:sz="8" w:color="3C5896"/>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Mitchell Goodman</w:t>
            </w:r>
          </w:p>
        </w:tc>
        <w:tc>
          <w:tcPr>
            <w:tcW w:w="156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162,610</w:t>
            </w:r>
          </w:p>
        </w:tc>
        <w:tc>
          <w:tcPr>
            <w:tcW w:w="1520" w:type="dxa"/>
            <w:vAlign w:val="bottom"/>
            <w:tcBorders>
              <w:right w:val="single" w:sz="8" w:color="3C5896"/>
            </w:tcBorders>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John Vaught</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30,989</w:t>
            </w:r>
          </w:p>
        </w:tc>
        <w:tc>
          <w:tcPr>
            <w:tcW w:w="1520" w:type="dxa"/>
            <w:vAlign w:val="bottom"/>
            <w:tcBorders>
              <w:right w:val="single" w:sz="8" w:color="3C5896"/>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120" w:type="dxa"/>
            <w:vAlign w:val="bottom"/>
            <w:tcBorders>
              <w:left w:val="single" w:sz="8" w:color="3C5896"/>
              <w:right w:val="single" w:sz="8" w:color="9EACCA"/>
            </w:tcBorders>
          </w:tcPr>
          <w:p>
            <w:pPr>
              <w:ind w:left="80"/>
              <w:spacing w:after="0" w:line="284" w:lineRule="exact"/>
              <w:rPr>
                <w:sz w:val="20"/>
                <w:szCs w:val="20"/>
                <w:color w:val="auto"/>
              </w:rPr>
            </w:pPr>
            <w:r>
              <w:rPr>
                <w:rFonts w:ascii="Arial" w:cs="Arial" w:eastAsia="Arial" w:hAnsi="Arial"/>
                <w:sz w:val="18"/>
                <w:szCs w:val="18"/>
                <w:color w:val="auto"/>
              </w:rPr>
              <w:t>Nathaniel H. Taylor</w:t>
            </w:r>
            <w:r>
              <w:rPr>
                <w:rFonts w:ascii="Arial" w:cs="Arial" w:eastAsia="Arial" w:hAnsi="Arial"/>
                <w:sz w:val="27"/>
                <w:szCs w:val="27"/>
                <w:color w:val="auto"/>
                <w:vertAlign w:val="superscript"/>
              </w:rPr>
              <w:t>(3)</w:t>
            </w:r>
          </w:p>
        </w:tc>
        <w:tc>
          <w:tcPr>
            <w:tcW w:w="156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3C5896"/>
            </w:tcBorders>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120" w:type="dxa"/>
            <w:vAlign w:val="bottom"/>
            <w:tcBorders>
              <w:left w:val="single" w:sz="8" w:color="3C5896"/>
              <w:right w:val="single" w:sz="8" w:color="9EACCA"/>
            </w:tcBorders>
            <w:shd w:val="clear" w:color="auto" w:fill="CCCCCC"/>
          </w:tcPr>
          <w:p>
            <w:pPr>
              <w:ind w:left="80"/>
              <w:spacing w:after="0" w:line="284" w:lineRule="exact"/>
              <w:rPr>
                <w:sz w:val="20"/>
                <w:szCs w:val="20"/>
                <w:color w:val="auto"/>
              </w:rPr>
            </w:pPr>
            <w:r>
              <w:rPr>
                <w:rFonts w:ascii="Arial" w:cs="Arial" w:eastAsia="Arial" w:hAnsi="Arial"/>
                <w:sz w:val="18"/>
                <w:szCs w:val="18"/>
                <w:color w:val="auto"/>
              </w:rPr>
              <w:t>Felix Gernburd</w:t>
            </w:r>
            <w:r>
              <w:rPr>
                <w:rFonts w:ascii="Arial" w:cs="Arial" w:eastAsia="Arial" w:hAnsi="Arial"/>
                <w:sz w:val="27"/>
                <w:szCs w:val="27"/>
                <w:color w:val="auto"/>
                <w:vertAlign w:val="superscript"/>
              </w:rPr>
              <w:t>(3)</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3C5896"/>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D. Randolph Peeler</w:t>
            </w:r>
          </w:p>
        </w:tc>
        <w:tc>
          <w:tcPr>
            <w:tcW w:w="156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171,026</w:t>
            </w:r>
          </w:p>
        </w:tc>
        <w:tc>
          <w:tcPr>
            <w:tcW w:w="1520" w:type="dxa"/>
            <w:vAlign w:val="bottom"/>
            <w:tcBorders>
              <w:right w:val="single" w:sz="8" w:color="3C5896"/>
            </w:tcBorders>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David M. Tehle</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7,989</w:t>
            </w:r>
          </w:p>
        </w:tc>
        <w:tc>
          <w:tcPr>
            <w:tcW w:w="1520" w:type="dxa"/>
            <w:vAlign w:val="bottom"/>
            <w:tcBorders>
              <w:right w:val="single" w:sz="8" w:color="3C5896"/>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Virginia A. Hepner</w:t>
            </w:r>
          </w:p>
        </w:tc>
        <w:tc>
          <w:tcPr>
            <w:tcW w:w="1560" w:type="dxa"/>
            <w:vAlign w:val="bottom"/>
            <w:tcBorders>
              <w:right w:val="single" w:sz="8" w:color="9EACCA"/>
            </w:tcBorders>
          </w:tcPr>
          <w:p>
            <w:pPr>
              <w:jc w:val="right"/>
              <w:ind w:right="290"/>
              <w:spacing w:after="0"/>
              <w:rPr>
                <w:sz w:val="20"/>
                <w:szCs w:val="20"/>
                <w:color w:val="auto"/>
              </w:rPr>
            </w:pPr>
            <w:r>
              <w:rPr>
                <w:rFonts w:ascii="Arial" w:cs="Arial" w:eastAsia="Arial" w:hAnsi="Arial"/>
                <w:sz w:val="18"/>
                <w:szCs w:val="18"/>
                <w:color w:val="auto"/>
              </w:rPr>
              <w:t>2,363</w:t>
            </w:r>
          </w:p>
        </w:tc>
        <w:tc>
          <w:tcPr>
            <w:tcW w:w="1520" w:type="dxa"/>
            <w:vAlign w:val="bottom"/>
            <w:tcBorders>
              <w:right w:val="single" w:sz="8" w:color="3C5896"/>
            </w:tcBorders>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right w:val="single" w:sz="8" w:color="9EACCA"/>
            </w:tcBorders>
            <w:shd w:val="clear" w:color="auto" w:fill="CCCCCC"/>
          </w:tcPr>
          <w:p>
            <w:pPr>
              <w:ind w:left="80"/>
              <w:spacing w:after="0"/>
              <w:rPr>
                <w:sz w:val="20"/>
                <w:szCs w:val="20"/>
                <w:color w:val="auto"/>
              </w:rPr>
            </w:pPr>
            <w:r>
              <w:rPr>
                <w:rFonts w:ascii="Arial" w:cs="Arial" w:eastAsia="Arial" w:hAnsi="Arial"/>
                <w:sz w:val="18"/>
                <w:szCs w:val="18"/>
                <w:color w:val="auto"/>
              </w:rPr>
              <w:t>Thomas V. Taylor, Jr.</w:t>
            </w:r>
          </w:p>
        </w:tc>
        <w:tc>
          <w:tcPr>
            <w:tcW w:w="1560" w:type="dxa"/>
            <w:vAlign w:val="bottom"/>
            <w:tcBorders>
              <w:right w:val="single" w:sz="8" w:color="9EACCA"/>
            </w:tcBorders>
            <w:shd w:val="clear" w:color="auto" w:fill="CCCCCC"/>
          </w:tcPr>
          <w:p>
            <w:pPr>
              <w:jc w:val="right"/>
              <w:ind w:right="290"/>
              <w:spacing w:after="0"/>
              <w:rPr>
                <w:sz w:val="20"/>
                <w:szCs w:val="20"/>
                <w:color w:val="auto"/>
              </w:rPr>
            </w:pPr>
            <w:r>
              <w:rPr>
                <w:rFonts w:ascii="Arial" w:cs="Arial" w:eastAsia="Arial" w:hAnsi="Arial"/>
                <w:sz w:val="18"/>
                <w:szCs w:val="18"/>
                <w:color w:val="auto"/>
              </w:rPr>
              <w:t>2,197</w:t>
            </w:r>
          </w:p>
        </w:tc>
        <w:tc>
          <w:tcPr>
            <w:tcW w:w="1520" w:type="dxa"/>
            <w:vAlign w:val="bottom"/>
            <w:tcBorders>
              <w:right w:val="single" w:sz="8" w:color="3C5896"/>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20" w:type="dxa"/>
            <w:vAlign w:val="bottom"/>
            <w:tcBorders>
              <w:left w:val="single" w:sz="8" w:color="3C5896"/>
              <w:bottom w:val="single" w:sz="8" w:color="3C5896"/>
              <w:right w:val="single" w:sz="8" w:color="9EACCA"/>
            </w:tcBorders>
          </w:tcPr>
          <w:p>
            <w:pPr>
              <w:ind w:left="80"/>
              <w:spacing w:after="0"/>
              <w:rPr>
                <w:sz w:val="20"/>
                <w:szCs w:val="20"/>
                <w:color w:val="auto"/>
              </w:rPr>
            </w:pPr>
            <w:r>
              <w:rPr>
                <w:rFonts w:ascii="Arial" w:cs="Arial" w:eastAsia="Arial" w:hAnsi="Arial"/>
                <w:sz w:val="18"/>
                <w:szCs w:val="18"/>
                <w:color w:val="auto"/>
              </w:rPr>
              <w:t>All directors and executive officers as a group (12 persons)</w:t>
            </w:r>
          </w:p>
        </w:tc>
        <w:tc>
          <w:tcPr>
            <w:tcW w:w="1560" w:type="dxa"/>
            <w:vAlign w:val="bottom"/>
            <w:tcBorders>
              <w:bottom w:val="single" w:sz="8" w:color="3C5896"/>
              <w:right w:val="single" w:sz="8" w:color="9EACCA"/>
            </w:tcBorders>
          </w:tcPr>
          <w:p>
            <w:pPr>
              <w:jc w:val="right"/>
              <w:ind w:right="290"/>
              <w:spacing w:after="0"/>
              <w:rPr>
                <w:sz w:val="20"/>
                <w:szCs w:val="20"/>
                <w:color w:val="auto"/>
              </w:rPr>
            </w:pPr>
            <w:r>
              <w:rPr>
                <w:rFonts w:ascii="Arial" w:cs="Arial" w:eastAsia="Arial" w:hAnsi="Arial"/>
                <w:sz w:val="18"/>
                <w:szCs w:val="18"/>
                <w:color w:val="auto"/>
              </w:rPr>
              <w:t>2,104,444</w:t>
            </w:r>
          </w:p>
        </w:tc>
        <w:tc>
          <w:tcPr>
            <w:tcW w:w="1520" w:type="dxa"/>
            <w:vAlign w:val="bottom"/>
            <w:tcBorders>
              <w:bottom w:val="single" w:sz="8" w:color="3C5896"/>
              <w:right w:val="single" w:sz="8" w:color="3C5896"/>
            </w:tcBorders>
          </w:tcPr>
          <w:p>
            <w:pPr>
              <w:jc w:val="right"/>
              <w:ind w:right="3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080" w:hanging="316"/>
        <w:spacing w:after="0"/>
        <w:tabs>
          <w:tab w:leader="none" w:pos="10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71" w:lineRule="exact"/>
        <w:rPr>
          <w:sz w:val="20"/>
          <w:szCs w:val="20"/>
          <w:color w:val="auto"/>
        </w:rPr>
      </w:pPr>
    </w:p>
    <w:p>
      <w:pPr>
        <w:ind w:left="1080" w:right="659" w:hanging="316"/>
        <w:spacing w:after="0" w:line="235"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number of shares reported includes shares covered by options that are exercisable within 60 days as follows: Mr. Fahs, 816,268; Mr. Moore, 216,379; Mr. Goodman, 108,670; Mr. Vaught, 30,989; and all directors and executive officers as a group, 1,253,359.</w:t>
      </w:r>
    </w:p>
    <w:p>
      <w:pPr>
        <w:spacing w:after="0" w:line="47" w:lineRule="exact"/>
        <w:rPr>
          <w:rFonts w:ascii="Arial" w:cs="Arial" w:eastAsia="Arial" w:hAnsi="Arial"/>
          <w:sz w:val="15"/>
          <w:szCs w:val="15"/>
          <w:color w:val="auto"/>
        </w:rPr>
      </w:pPr>
    </w:p>
    <w:p>
      <w:pPr>
        <w:jc w:val="both"/>
        <w:ind w:left="1080" w:right="719" w:hanging="316"/>
        <w:spacing w:after="0" w:line="235"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FMR LLC and affiliates with the SEC on February 13, 2019, reporting beneficial ownership as of December 31, 2018. FMR LLC and affiliates reported that it has sole voting power with respect to 1,099,190 shares of common stock and sole dispositive power with respect to 9,821,158 shares of common stock.</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34  </w:t>
      </w:r>
      <w:r>
        <w:rPr>
          <w:sz w:val="1"/>
          <w:szCs w:val="1"/>
          <w:color w:val="auto"/>
        </w:rPr>
        <w:drawing>
          <wp:inline distT="0" distB="0" distL="0" distR="0">
            <wp:extent cx="291465" cy="22288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FFFFFF"/>
        </w:rPr>
        <w:t>OWNERSHIP OF SECURITIES</w:t>
      </w:r>
    </w:p>
    <w:p>
      <w:pPr>
        <w:spacing w:after="0" w:line="285" w:lineRule="exact"/>
        <w:rPr>
          <w:sz w:val="20"/>
          <w:szCs w:val="20"/>
          <w:color w:val="auto"/>
        </w:rPr>
      </w:pPr>
    </w:p>
    <w:p>
      <w:pPr>
        <w:ind w:left="1080" w:right="780" w:hanging="316"/>
        <w:spacing w:after="0" w:line="218"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Includes 9,149,908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Street, New York, New York 10019.</w:t>
      </w:r>
    </w:p>
    <w:p>
      <w:pPr>
        <w:ind w:left="1080" w:right="820" w:hanging="316"/>
        <w:spacing w:after="0" w:line="233"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The Vanguard Group with the SEC on February 11, 2019, reporting beneficial ownership as of December 31, 2018. The Vanguard Group reported that it has sole voting power with respect to 130,613 shares of common stock, sole dispositive power with respect to 5,675,376 shares of common stock, shared voting power with respect to 7,267 shares of common stock and shared dispositive power with respect to 131,324 shares of common stock.</w:t>
      </w:r>
    </w:p>
    <w:p>
      <w:pPr>
        <w:spacing w:after="0" w:line="32" w:lineRule="exact"/>
        <w:rPr>
          <w:rFonts w:ascii="Arial" w:cs="Arial" w:eastAsia="Arial" w:hAnsi="Arial"/>
          <w:sz w:val="15"/>
          <w:szCs w:val="15"/>
          <w:color w:val="auto"/>
        </w:rPr>
      </w:pPr>
    </w:p>
    <w:p>
      <w:pPr>
        <w:ind w:left="1080" w:right="860" w:hanging="316"/>
        <w:spacing w:after="0" w:line="235"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Adage Capital Partners, L.P. with the SEC on February 13, 2019, reporting beneficial ownership as of December 31, 2018. Adage Capital Partners, L.P. reported that it has shared voting power and shared dispositive power with respect to 5,710,358 shares of common stock.</w:t>
      </w:r>
    </w:p>
    <w:p>
      <w:pPr>
        <w:spacing w:after="0" w:line="33" w:lineRule="exact"/>
        <w:rPr>
          <w:rFonts w:ascii="Arial" w:cs="Arial" w:eastAsia="Arial" w:hAnsi="Arial"/>
          <w:sz w:val="15"/>
          <w:szCs w:val="15"/>
          <w:color w:val="auto"/>
        </w:rPr>
      </w:pPr>
    </w:p>
    <w:p>
      <w:pPr>
        <w:ind w:left="1080" w:right="1080" w:hanging="316"/>
        <w:spacing w:after="0" w:line="235" w:lineRule="auto"/>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BlackRock, Inc. with the SEC on February 8, 2019, reporting beneficial ownership as of December 31, 2018. BlackRock, Inc. reported that it has sole voting power with respect to 4,087,635 shares of common stock and sole dispositive power with respect to 4,219,873 shares of common stock.</w:t>
      </w:r>
    </w:p>
    <w:p>
      <w:pPr>
        <w:spacing w:after="0" w:line="33" w:lineRule="exact"/>
        <w:rPr>
          <w:rFonts w:ascii="Arial" w:cs="Arial" w:eastAsia="Arial" w:hAnsi="Arial"/>
          <w:sz w:val="15"/>
          <w:szCs w:val="15"/>
          <w:color w:val="auto"/>
        </w:rPr>
      </w:pPr>
    </w:p>
    <w:p>
      <w:pPr>
        <w:ind w:left="1080" w:hanging="316"/>
        <w:spacing w:after="0"/>
        <w:tabs>
          <w:tab w:leader="none" w:pos="10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Includes shares held by the Fahs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4789170</wp:posOffset>
            </wp:positionV>
            <wp:extent cx="291465" cy="2228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35</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TRANSACTIONS WITH RELATED PERSONS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TRANSACTIONS WITH RELATED PERSONS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Related Persons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8" w:lineRule="exact"/>
        <w:rPr>
          <w:sz w:val="20"/>
          <w:szCs w:val="20"/>
          <w:color w:val="auto"/>
        </w:rPr>
      </w:pPr>
    </w:p>
    <w:p>
      <w:pPr>
        <w:ind w:left="760" w:right="259"/>
        <w:spacing w:after="0" w:line="251" w:lineRule="auto"/>
        <w:rPr>
          <w:sz w:val="20"/>
          <w:szCs w:val="20"/>
          <w:color w:val="auto"/>
        </w:rPr>
      </w:pPr>
      <w:r>
        <w:rPr>
          <w:rFonts w:ascii="Arial" w:cs="Arial" w:eastAsia="Arial" w:hAnsi="Arial"/>
          <w:sz w:val="18"/>
          <w:szCs w:val="18"/>
          <w:color w:val="auto"/>
        </w:rPr>
        <w:t>The Board has adopted a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Certain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40005</wp:posOffset>
            </wp:positionV>
            <wp:extent cx="58400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96" w:lineRule="exact"/>
        <w:rPr>
          <w:sz w:val="20"/>
          <w:szCs w:val="20"/>
          <w:color w:val="auto"/>
        </w:rPr>
      </w:pPr>
    </w:p>
    <w:p>
      <w:pPr>
        <w:ind w:left="760" w:right="339"/>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In connection with our IPO, we entered into a stockholders agreement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Sponsors. This agreement grants affiliates of KKR, and granted private equity funds managed by Berkshire the right to nominate to our board of directors a number of designees based on their level of ownership in us. In particular, since affiliates of KKR beneficially own at least 5% but less than 20% of the outstanding shares of our common stock, such affiliates are entitled to nominate a number of designees equal to at least 10% of the total number of directors compromising our board of directors. Private equity funds managed by Berkshire are no longer entitled to nominate a designee pursuant to the stockholders agreement.</w:t>
      </w:r>
    </w:p>
    <w:p>
      <w:pPr>
        <w:spacing w:after="0" w:line="97" w:lineRule="exact"/>
        <w:rPr>
          <w:sz w:val="20"/>
          <w:szCs w:val="20"/>
          <w:color w:val="auto"/>
        </w:rPr>
      </w:pPr>
    </w:p>
    <w:p>
      <w:pPr>
        <w:ind w:left="760" w:right="279"/>
        <w:spacing w:after="0" w:line="252" w:lineRule="auto"/>
        <w:rPr>
          <w:sz w:val="20"/>
          <w:szCs w:val="20"/>
          <w:color w:val="auto"/>
        </w:rPr>
      </w:pPr>
      <w:r>
        <w:rPr>
          <w:rFonts w:ascii="Arial" w:cs="Arial" w:eastAsia="Arial" w:hAnsi="Arial"/>
          <w:sz w:val="18"/>
          <w:szCs w:val="18"/>
          <w:color w:val="auto"/>
        </w:rPr>
        <w:t>For purposes of calculating the number of directors that affiliates of KKR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(1¼) directors shall equate to two directors). In addition, in the event a vacancy on the board of directors is created by the death, disability, retirement or resignation of a KKR director designee, affiliates of KKR who designated such director shall, to the fullest extent permitted by law, have the right to have the vacancy filled by a new KKR director-designee.</w:t>
      </w:r>
    </w:p>
    <w:p>
      <w:pPr>
        <w:spacing w:after="0" w:line="77" w:lineRule="exact"/>
        <w:rPr>
          <w:sz w:val="20"/>
          <w:szCs w:val="20"/>
          <w:color w:val="auto"/>
        </w:rPr>
      </w:pPr>
    </w:p>
    <w:p>
      <w:pPr>
        <w:ind w:left="760" w:right="299"/>
        <w:spacing w:after="0" w:line="255" w:lineRule="auto"/>
        <w:rPr>
          <w:sz w:val="20"/>
          <w:szCs w:val="20"/>
          <w:color w:val="auto"/>
        </w:rPr>
      </w:pPr>
      <w:r>
        <w:rPr>
          <w:rFonts w:ascii="Arial" w:cs="Arial" w:eastAsia="Arial" w:hAnsi="Arial"/>
          <w:sz w:val="18"/>
          <w:szCs w:val="18"/>
          <w:b w:val="1"/>
          <w:bCs w:val="1"/>
          <w:i w:val="1"/>
          <w:iCs w:val="1"/>
          <w:color w:val="auto"/>
        </w:rPr>
        <w:t xml:space="preserve">Registration Rights Agreement. </w:t>
      </w:r>
      <w:r>
        <w:rPr>
          <w:rFonts w:ascii="Arial" w:cs="Arial" w:eastAsia="Arial" w:hAnsi="Arial"/>
          <w:sz w:val="18"/>
          <w:szCs w:val="18"/>
          <w:color w:val="auto"/>
        </w:rPr>
        <w:t>In connection with the acquisition of NVI in March 2014 by affiliates of KKR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“KKR Acquisition”), we entered into a registration rights agreement with the Sponsors and with other persons who may become party thereto. Subject to certain conditions, the registration rights agreement provides certain affiliates of KKR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74" w:lineRule="exact"/>
        <w:rPr>
          <w:sz w:val="20"/>
          <w:szCs w:val="20"/>
          <w:color w:val="auto"/>
        </w:rPr>
      </w:pPr>
    </w:p>
    <w:p>
      <w:pPr>
        <w:ind w:left="760" w:right="279"/>
        <w:spacing w:after="0" w:line="259" w:lineRule="auto"/>
        <w:rPr>
          <w:sz w:val="20"/>
          <w:szCs w:val="20"/>
          <w:color w:val="auto"/>
        </w:rPr>
      </w:pPr>
      <w:r>
        <w:rPr>
          <w:rFonts w:ascii="Arial" w:cs="Arial" w:eastAsia="Arial" w:hAnsi="Arial"/>
          <w:sz w:val="18"/>
          <w:szCs w:val="18"/>
          <w:b w:val="1"/>
          <w:bCs w:val="1"/>
          <w:i w:val="1"/>
          <w:iCs w:val="1"/>
          <w:color w:val="auto"/>
        </w:rPr>
        <w:t xml:space="preserve">Indemnification Agreement with KKR and Berkshire. </w:t>
      </w:r>
      <w:r>
        <w:rPr>
          <w:rFonts w:ascii="Arial" w:cs="Arial" w:eastAsia="Arial" w:hAnsi="Arial"/>
          <w:sz w:val="18"/>
          <w:szCs w:val="18"/>
          <w:color w:val="auto"/>
        </w:rPr>
        <w:t>In connection with the KKR Acquisition, we and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entered into an indemnification agreement (the “Indemnification Agreement”) with each of KKR and Berkshire, whereby the parties agreed to customary exculpation and indemnification provisions in favor of KKR and Berkshire in connection with certain transactions, including in connection with the services provided under the Monitoring Agreement.</w:t>
      </w:r>
    </w:p>
    <w:p>
      <w:pPr>
        <w:spacing w:after="0" w:line="72" w:lineRule="exact"/>
        <w:rPr>
          <w:sz w:val="20"/>
          <w:szCs w:val="20"/>
          <w:color w:val="auto"/>
        </w:rPr>
      </w:pPr>
    </w:p>
    <w:p>
      <w:pPr>
        <w:jc w:val="both"/>
        <w:ind w:left="760" w:right="439"/>
        <w:spacing w:after="0" w:line="269" w:lineRule="auto"/>
        <w:rPr>
          <w:sz w:val="20"/>
          <w:szCs w:val="20"/>
          <w:color w:val="auto"/>
        </w:rPr>
      </w:pPr>
      <w:r>
        <w:rPr>
          <w:rFonts w:ascii="Arial" w:cs="Arial" w:eastAsia="Arial" w:hAnsi="Arial"/>
          <w:sz w:val="18"/>
          <w:szCs w:val="18"/>
          <w:b w:val="1"/>
          <w:bCs w:val="1"/>
          <w:i w:val="1"/>
          <w:iCs w:val="1"/>
          <w:color w:val="auto"/>
        </w:rPr>
        <w:t xml:space="preserve">Relationship with KKR Capital Markets. </w:t>
      </w:r>
      <w:r>
        <w:rPr>
          <w:rFonts w:ascii="Arial" w:cs="Arial" w:eastAsia="Arial" w:hAnsi="Arial"/>
          <w:sz w:val="18"/>
          <w:szCs w:val="18"/>
          <w:color w:val="auto"/>
        </w:rPr>
        <w:t>KKR Capital Markets LLC (“KCM”), an affiliate of KKR, acted as a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arranger with respect to the joinder and amendment agreement, dated as of October 9, 2018, relating to our first lien credit agreement, and received $1.2 million in fees in connection therewith.</w:t>
      </w:r>
    </w:p>
    <w:p>
      <w:pPr>
        <w:spacing w:after="0" w:line="82" w:lineRule="exact"/>
        <w:rPr>
          <w:sz w:val="20"/>
          <w:szCs w:val="20"/>
          <w:color w:val="auto"/>
        </w:rPr>
      </w:pPr>
    </w:p>
    <w:p>
      <w:pPr>
        <w:jc w:val="both"/>
        <w:ind w:left="760" w:right="519"/>
        <w:spacing w:after="0" w:line="256" w:lineRule="auto"/>
        <w:rPr>
          <w:sz w:val="20"/>
          <w:szCs w:val="20"/>
          <w:color w:val="auto"/>
        </w:rPr>
      </w:pPr>
      <w:r>
        <w:rPr>
          <w:rFonts w:ascii="Arial" w:cs="Arial" w:eastAsia="Arial" w:hAnsi="Arial"/>
          <w:sz w:val="18"/>
          <w:szCs w:val="18"/>
          <w:color w:val="auto"/>
        </w:rPr>
        <w:t>KCM also acted as an underwriter in connection with the secondary offering of our common stock in March 2018 and the secondary offering of our common stock in July 2018 (for which the overallotment option closed in early August), and received fees of approximately $3.0 million and $4.0 million, respectively.</w:t>
      </w:r>
    </w:p>
    <w:p>
      <w:pPr>
        <w:spacing w:after="0" w:line="72" w:lineRule="exact"/>
        <w:rPr>
          <w:sz w:val="20"/>
          <w:szCs w:val="20"/>
          <w:color w:val="auto"/>
        </w:rPr>
      </w:pPr>
    </w:p>
    <w:p>
      <w:pPr>
        <w:jc w:val="both"/>
        <w:ind w:left="760" w:right="459"/>
        <w:spacing w:after="0" w:line="269"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As of December 29, 2018, investment funds or accounts managed or advised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global credit business of KKR (collectively “KKR Credit”) no longer held our term loans under our first lien and second lien credit agreements.</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36  </w:t>
      </w:r>
      <w:r>
        <w:rPr>
          <w:sz w:val="1"/>
          <w:szCs w:val="1"/>
          <w:color w:val="auto"/>
        </w:rPr>
        <w:drawing>
          <wp:inline distT="0" distB="0" distL="0" distR="0">
            <wp:extent cx="291465" cy="22288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FFFFFF"/>
        </w:rPr>
        <w:t>TRANSACTIONS WITH RELATED PERSONS</w:t>
      </w:r>
    </w:p>
    <w:p>
      <w:pPr>
        <w:spacing w:after="0" w:line="239" w:lineRule="exact"/>
        <w:rPr>
          <w:sz w:val="20"/>
          <w:szCs w:val="20"/>
          <w:color w:val="auto"/>
        </w:rPr>
      </w:pPr>
    </w:p>
    <w:p>
      <w:pPr>
        <w:ind w:left="760" w:right="800"/>
        <w:spacing w:after="0" w:line="259"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its affiliates, or KKR Capstone, a consulting company that works exclusively with portfolio companies of KKR and its affiliated funds for consulting services, and have paid to KKR Capstone related fees and expenses. KKR Capstone is not a subsidiary or affiliate of KKR. KKR Capstone operates under several consulting agreements with KKR and uses the “KKR” name under license from KKR.</w:t>
      </w:r>
    </w:p>
    <w:p>
      <w:pPr>
        <w:spacing w:after="0" w:line="72" w:lineRule="exact"/>
        <w:rPr>
          <w:sz w:val="20"/>
          <w:szCs w:val="20"/>
          <w:color w:val="auto"/>
        </w:rPr>
      </w:pPr>
    </w:p>
    <w:p>
      <w:pPr>
        <w:ind w:left="760" w:right="780"/>
        <w:spacing w:after="0" w:line="269"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stockholder’s agreements, or Management Stockholder’s Agreements, with certain of our senior executive officers and other employees who made an equity investment in us or were granted equity based awards.</w:t>
      </w:r>
    </w:p>
    <w:p>
      <w:pPr>
        <w:spacing w:after="0" w:line="82" w:lineRule="exact"/>
        <w:rPr>
          <w:sz w:val="20"/>
          <w:szCs w:val="20"/>
          <w:color w:val="auto"/>
        </w:rPr>
      </w:pPr>
    </w:p>
    <w:p>
      <w:pPr>
        <w:ind w:left="760" w:right="820"/>
        <w:spacing w:after="0" w:line="251" w:lineRule="auto"/>
        <w:rPr>
          <w:sz w:val="20"/>
          <w:szCs w:val="20"/>
          <w:color w:val="auto"/>
        </w:rPr>
      </w:pPr>
      <w:r>
        <w:rPr>
          <w:rFonts w:ascii="Arial" w:cs="Arial" w:eastAsia="Arial" w:hAnsi="Arial"/>
          <w:sz w:val="18"/>
          <w:szCs w:val="18"/>
          <w:color w:val="auto"/>
        </w:rPr>
        <w:t>The Management Stockholder’s Agreements impose significant restrictions on transfers of shares of our common stock held by management stockholders. Generally, shares will be nontransferable by any means at any time prior to a “Change in Control” (as defined in the applicable Management Stockholder’s Agreement)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105" w:lineRule="exact"/>
        <w:rPr>
          <w:sz w:val="20"/>
          <w:szCs w:val="20"/>
          <w:color w:val="auto"/>
        </w:rPr>
      </w:pPr>
    </w:p>
    <w:p>
      <w:pPr>
        <w:ind w:left="760" w:right="860"/>
        <w:spacing w:after="0" w:line="278" w:lineRule="auto"/>
        <w:rPr>
          <w:sz w:val="20"/>
          <w:szCs w:val="20"/>
          <w:color w:val="auto"/>
        </w:rPr>
      </w:pPr>
      <w:r>
        <w:rPr>
          <w:rFonts w:ascii="Arial" w:cs="Arial" w:eastAsia="Arial" w:hAnsi="Arial"/>
          <w:sz w:val="17"/>
          <w:szCs w:val="17"/>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7" w:lineRule="exact"/>
        <w:rPr>
          <w:sz w:val="20"/>
          <w:szCs w:val="20"/>
          <w:color w:val="auto"/>
        </w:rPr>
      </w:pPr>
    </w:p>
    <w:p>
      <w:pPr>
        <w:ind w:left="760" w:right="1040"/>
        <w:spacing w:after="0" w:line="262"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6" w:lineRule="exact"/>
        <w:rPr>
          <w:sz w:val="20"/>
          <w:szCs w:val="20"/>
          <w:color w:val="auto"/>
        </w:rPr>
      </w:pPr>
    </w:p>
    <w:p>
      <w:pPr>
        <w:ind w:left="760" w:right="900"/>
        <w:spacing w:after="0" w:line="287" w:lineRule="auto"/>
        <w:rPr>
          <w:sz w:val="20"/>
          <w:szCs w:val="20"/>
          <w:color w:val="auto"/>
        </w:rPr>
      </w:pPr>
      <w:r>
        <w:rPr>
          <w:rFonts w:ascii="Arial" w:cs="Arial" w:eastAsia="Arial" w:hAnsi="Arial"/>
          <w:sz w:val="18"/>
          <w:szCs w:val="18"/>
          <w:b w:val="1"/>
          <w:bCs w:val="1"/>
          <w:i w:val="1"/>
          <w:iCs w:val="1"/>
          <w:color w:val="auto"/>
        </w:rPr>
        <w:t xml:space="preserve">Agreements with Directors and Officers. </w:t>
      </w:r>
      <w:r>
        <w:rPr>
          <w:rFonts w:ascii="Arial" w:cs="Arial" w:eastAsia="Arial" w:hAnsi="Arial"/>
          <w:sz w:val="18"/>
          <w:szCs w:val="18"/>
          <w:color w:val="auto"/>
        </w:rPr>
        <w:t>In addition, we have certain agreements with our directors and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described in “Executive Compensation”.</w:t>
      </w:r>
    </w:p>
    <w:p>
      <w:pPr>
        <w:spacing w:after="0" w:line="67" w:lineRule="exact"/>
        <w:rPr>
          <w:sz w:val="20"/>
          <w:szCs w:val="20"/>
          <w:color w:val="auto"/>
        </w:rPr>
      </w:pPr>
    </w:p>
    <w:p>
      <w:pPr>
        <w:ind w:left="760" w:right="920"/>
        <w:spacing w:after="0" w:line="252" w:lineRule="auto"/>
        <w:rPr>
          <w:sz w:val="20"/>
          <w:szCs w:val="20"/>
          <w:color w:val="auto"/>
        </w:rPr>
      </w:pPr>
      <w:r>
        <w:rPr>
          <w:rFonts w:ascii="Arial" w:cs="Arial" w:eastAsia="Arial" w:hAnsi="Arial"/>
          <w:sz w:val="18"/>
          <w:szCs w:val="18"/>
          <w:color w:val="auto"/>
        </w:rPr>
        <w:t>In connection with our IPO, we entered into indemnification agreements with our directors. These agreements and our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2935605</wp:posOffset>
            </wp:positionV>
            <wp:extent cx="291465" cy="2228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37</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STOCKHOLDER PROPOSALS FOR THE 2020 ANNUAL MEETING</w:t>
      </w:r>
    </w:p>
    <w:p>
      <w:pPr>
        <w:spacing w:after="0" w:line="252" w:lineRule="exact"/>
        <w:rPr>
          <w:sz w:val="20"/>
          <w:szCs w:val="20"/>
          <w:color w:val="auto"/>
        </w:rPr>
      </w:pPr>
    </w:p>
    <w:p>
      <w:pPr>
        <w:ind w:left="760" w:right="2579"/>
        <w:spacing w:after="0" w:line="242" w:lineRule="auto"/>
        <w:rPr>
          <w:sz w:val="20"/>
          <w:szCs w:val="20"/>
          <w:color w:val="auto"/>
        </w:rPr>
      </w:pPr>
      <w:r>
        <w:rPr>
          <w:rFonts w:ascii="Arial" w:cs="Arial" w:eastAsia="Arial" w:hAnsi="Arial"/>
          <w:sz w:val="32"/>
          <w:szCs w:val="32"/>
          <w:color w:val="auto"/>
        </w:rPr>
        <w:t>STOCKHOLDER PROPOSALS FOR THE 2020 ANNUAL MEETING</w:t>
      </w:r>
    </w:p>
    <w:p>
      <w:pPr>
        <w:spacing w:after="0" w:line="77" w:lineRule="exact"/>
        <w:rPr>
          <w:sz w:val="20"/>
          <w:szCs w:val="20"/>
          <w:color w:val="auto"/>
        </w:rPr>
      </w:pPr>
    </w:p>
    <w:p>
      <w:pPr>
        <w:ind w:left="760" w:right="279"/>
        <w:spacing w:after="0" w:line="252" w:lineRule="auto"/>
        <w:rPr>
          <w:sz w:val="20"/>
          <w:szCs w:val="20"/>
          <w:color w:val="auto"/>
        </w:rPr>
      </w:pPr>
      <w:r>
        <w:rPr>
          <w:rFonts w:ascii="Arial" w:cs="Arial" w:eastAsia="Arial" w:hAnsi="Arial"/>
          <w:sz w:val="18"/>
          <w:szCs w:val="18"/>
          <w:color w:val="auto"/>
        </w:rPr>
        <w:t>If any stockholder wishes to propose a matter for consideration at our 2020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2020 Annual Meeting, a proposal must be received by our Secretary on or before December 27, 2019. Failure to deliver a proposal in accordance with this procedure may result in it not being deemed timely received.</w:t>
      </w:r>
    </w:p>
    <w:p>
      <w:pPr>
        <w:spacing w:after="0" w:line="101" w:lineRule="exact"/>
        <w:rPr>
          <w:sz w:val="20"/>
          <w:szCs w:val="20"/>
          <w:color w:val="auto"/>
        </w:rPr>
      </w:pPr>
    </w:p>
    <w:p>
      <w:pPr>
        <w:ind w:left="760" w:right="279"/>
        <w:spacing w:after="0" w:line="235"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2020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2020 Annual Meeting, such a proposal must be received on or after February 12, 2020, but not later than March 13, 2020. In the event that the date of the 2020 Annual Meeting is advanced by more than 30 days, or delayed by more than 70 days, from the anniversary date of this year’s Annual Meeting of Stockholders, notice by the stockholder to be timely must be so delivered not earlier than the 120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prior to the 2020 Annual Meeting and not later than the close of business on the later of the</w:t>
      </w:r>
    </w:p>
    <w:p>
      <w:pPr>
        <w:spacing w:after="0" w:line="6" w:lineRule="exact"/>
        <w:rPr>
          <w:sz w:val="20"/>
          <w:szCs w:val="20"/>
          <w:color w:val="auto"/>
        </w:rPr>
      </w:pPr>
    </w:p>
    <w:p>
      <w:pPr>
        <w:ind w:left="760" w:right="259"/>
        <w:spacing w:after="0" w:line="234" w:lineRule="auto"/>
        <w:rPr>
          <w:sz w:val="20"/>
          <w:szCs w:val="20"/>
          <w:color w:val="auto"/>
        </w:rPr>
      </w:pPr>
      <w:r>
        <w:rPr>
          <w:rFonts w:ascii="Arial" w:cs="Arial" w:eastAsia="Arial" w:hAnsi="Arial"/>
          <w:sz w:val="18"/>
          <w:szCs w:val="18"/>
          <w:color w:val="auto"/>
        </w:rPr>
        <w:t>90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prior to the 2020 Annual Meeting or the tenth day following the day on which public announcement of the date of the 2020 Annual Meeting is first made. Any such proposal will be considered timely only if it is otherwise in compliance with the requirements set forth in our Bylaws. Notwithstanding the foregoing, if the number of directors to be elected to the Board of Directors at the 2020 Annual Meeting is increased and there is no public announcement by the Company naming all of the nominees for director or specifying the size of the increased Board of Directors at least 100 calendar days prior to the first anniversary of the 2019 Annual Meeting (i.e. prior to March 3, 2020), then notice by a stockholder shall be considered timely, but only with respect to nominees for any new positions created by such increase, if it is received by the Secretary not later than the close of business on 10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calendar day following the day on which such public announcement is first made by the Company. Any such proposal will be considered timely only if it is otherwise in compliance with the requirements set forth in our Bylaws.</w:t>
      </w:r>
    </w:p>
    <w:p>
      <w:pPr>
        <w:spacing w:after="0" w:line="283" w:lineRule="exact"/>
        <w:rPr>
          <w:sz w:val="20"/>
          <w:szCs w:val="20"/>
          <w:color w:val="auto"/>
        </w:rPr>
      </w:pPr>
    </w:p>
    <w:p>
      <w:pPr>
        <w:ind w:left="760"/>
        <w:spacing w:after="0"/>
        <w:rPr>
          <w:sz w:val="20"/>
          <w:szCs w:val="20"/>
          <w:color w:val="auto"/>
        </w:rPr>
      </w:pPr>
      <w:r>
        <w:rPr>
          <w:rFonts w:ascii="Arial" w:cs="Arial" w:eastAsia="Arial" w:hAnsi="Arial"/>
          <w:sz w:val="32"/>
          <w:szCs w:val="32"/>
          <w:color w:val="auto"/>
        </w:rPr>
        <w:t>HOUSEHOLDING OF PROXY MATERIALS</w:t>
      </w:r>
    </w:p>
    <w:p>
      <w:pPr>
        <w:spacing w:after="0" w:line="100" w:lineRule="exact"/>
        <w:rPr>
          <w:sz w:val="20"/>
          <w:szCs w:val="20"/>
          <w:color w:val="auto"/>
        </w:rPr>
      </w:pPr>
    </w:p>
    <w:p>
      <w:pPr>
        <w:ind w:left="760" w:right="259"/>
        <w:spacing w:after="0" w:line="251"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our Annual Report on Form 10-K for the fiscal year ended December 29, 2018 by contacting the Secretary, National Vision Holdings, Inc., 2435 Commerce Avenue, Building 2200, Duluth, Georgia 30096 or by telephone at (770) 822-3600.</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OTHER BUSINESS</w:t>
      </w:r>
    </w:p>
    <w:p>
      <w:pPr>
        <w:spacing w:after="0" w:line="100" w:lineRule="exact"/>
        <w:rPr>
          <w:sz w:val="20"/>
          <w:szCs w:val="20"/>
          <w:color w:val="auto"/>
        </w:rPr>
      </w:pPr>
    </w:p>
    <w:p>
      <w:pPr>
        <w:ind w:left="760" w:right="299"/>
        <w:spacing w:after="0" w:line="262" w:lineRule="auto"/>
        <w:rPr>
          <w:sz w:val="20"/>
          <w:szCs w:val="20"/>
          <w:color w:val="auto"/>
        </w:rPr>
      </w:pPr>
      <w:r>
        <w:rPr>
          <w:rFonts w:ascii="Arial" w:cs="Arial" w:eastAsia="Arial" w:hAnsi="Arial"/>
          <w:sz w:val="18"/>
          <w:szCs w:val="18"/>
          <w:color w:val="auto"/>
        </w:rPr>
        <w:t>The Board of Directors does not know of any other matters to be brought before the meeting. If other matters are presented, the proxy holders have discretionary authority to vote all proxies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38  </w:t>
      </w:r>
      <w:r>
        <w:rPr>
          <w:sz w:val="1"/>
          <w:szCs w:val="1"/>
          <w:color w:val="auto"/>
        </w:rPr>
        <w:drawing>
          <wp:inline distT="0" distB="0" distL="0" distR="0">
            <wp:extent cx="291465" cy="22288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FFFFFF"/>
        </w:rPr>
        <w:t>ABOUT THE MEETING AND VOTING</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ABOUT THE MEETING AND VOTING</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Why am I being provided with these materials?</w:t>
      </w:r>
    </w:p>
    <w:p>
      <w:pPr>
        <w:spacing w:after="0" w:line="130" w:lineRule="exact"/>
        <w:rPr>
          <w:sz w:val="20"/>
          <w:szCs w:val="20"/>
          <w:color w:val="auto"/>
        </w:rPr>
      </w:pPr>
    </w:p>
    <w:p>
      <w:pPr>
        <w:ind w:left="760" w:right="940"/>
        <w:spacing w:after="0" w:line="256" w:lineRule="auto"/>
        <w:rPr>
          <w:sz w:val="20"/>
          <w:szCs w:val="20"/>
          <w:color w:val="auto"/>
        </w:rPr>
      </w:pPr>
      <w:r>
        <w:rPr>
          <w:rFonts w:ascii="Arial" w:cs="Arial" w:eastAsia="Arial" w:hAnsi="Arial"/>
          <w:sz w:val="18"/>
          <w:szCs w:val="18"/>
          <w:color w:val="auto"/>
        </w:rPr>
        <w:t>We have delivered these proxy materials to you in connection with the solicitation by the Board of Directors of National Vision Holdings, Inc. of proxies to be voted at our Annual Meeting of Stockholders to be held on June 11, 2019, and at any postponements or adjournments of the Annual Meeting.</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am I voting on?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68" w:lineRule="exact"/>
        <w:rPr>
          <w:sz w:val="20"/>
          <w:szCs w:val="20"/>
          <w:color w:val="auto"/>
        </w:rPr>
      </w:pPr>
    </w:p>
    <w:p>
      <w:pPr>
        <w:ind w:left="1140" w:hanging="214"/>
        <w:spacing w:after="0"/>
        <w:tabs>
          <w:tab w:leader="none" w:pos="1140" w:val="left"/>
        </w:tabs>
        <w:numPr>
          <w:ilvl w:val="0"/>
          <w:numId w:val="35"/>
        </w:numPr>
        <w:rPr>
          <w:rFonts w:ascii="Arial" w:cs="Arial" w:eastAsia="Arial" w:hAnsi="Arial"/>
          <w:sz w:val="18"/>
          <w:szCs w:val="18"/>
          <w:color w:val="3C5896"/>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the Class II director nominee listed in this Proxy Statement.</w:t>
      </w:r>
    </w:p>
    <w:p>
      <w:pPr>
        <w:spacing w:after="0" w:line="103" w:lineRule="exact"/>
        <w:rPr>
          <w:rFonts w:ascii="Arial" w:cs="Arial" w:eastAsia="Arial" w:hAnsi="Arial"/>
          <w:sz w:val="18"/>
          <w:szCs w:val="18"/>
          <w:color w:val="3C5896"/>
        </w:rPr>
      </w:pPr>
    </w:p>
    <w:p>
      <w:pPr>
        <w:ind w:left="1140" w:right="820" w:hanging="214"/>
        <w:spacing w:after="0" w:line="287" w:lineRule="auto"/>
        <w:tabs>
          <w:tab w:leader="none" w:pos="1140" w:val="left"/>
        </w:tabs>
        <w:numPr>
          <w:ilvl w:val="0"/>
          <w:numId w:val="35"/>
        </w:numPr>
        <w:rPr>
          <w:rFonts w:ascii="Arial" w:cs="Arial" w:eastAsia="Arial" w:hAnsi="Arial"/>
          <w:sz w:val="18"/>
          <w:szCs w:val="18"/>
          <w:color w:val="3C5896"/>
        </w:rPr>
      </w:pPr>
      <w:r>
        <w:rPr>
          <w:rFonts w:ascii="Arial" w:cs="Arial" w:eastAsia="Arial" w:hAnsi="Arial"/>
          <w:sz w:val="18"/>
          <w:szCs w:val="18"/>
          <w:b w:val="1"/>
          <w:bCs w:val="1"/>
          <w:color w:val="auto"/>
        </w:rPr>
        <w:t>Proposal No. 2</w:t>
      </w:r>
      <w:r>
        <w:rPr>
          <w:rFonts w:ascii="Arial" w:cs="Arial" w:eastAsia="Arial" w:hAnsi="Arial"/>
          <w:sz w:val="18"/>
          <w:szCs w:val="18"/>
          <w:color w:val="auto"/>
        </w:rPr>
        <w:t>: Ratification of the appointment of Deloitte &amp; Touche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fiscal 2019.</w:t>
      </w:r>
    </w:p>
    <w:p>
      <w:pPr>
        <w:spacing w:after="0" w:line="31" w:lineRule="exact"/>
        <w:rPr>
          <w:rFonts w:ascii="Arial" w:cs="Arial" w:eastAsia="Arial" w:hAnsi="Arial"/>
          <w:sz w:val="18"/>
          <w:szCs w:val="18"/>
          <w:color w:val="3C5896"/>
        </w:rPr>
      </w:pPr>
    </w:p>
    <w:p>
      <w:pPr>
        <w:ind w:left="1140" w:right="1000" w:hanging="214"/>
        <w:spacing w:after="0" w:line="287" w:lineRule="auto"/>
        <w:tabs>
          <w:tab w:leader="none" w:pos="1140" w:val="left"/>
        </w:tabs>
        <w:numPr>
          <w:ilvl w:val="0"/>
          <w:numId w:val="35"/>
        </w:numPr>
        <w:rPr>
          <w:rFonts w:ascii="Arial" w:cs="Arial" w:eastAsia="Arial" w:hAnsi="Arial"/>
          <w:sz w:val="18"/>
          <w:szCs w:val="18"/>
          <w:color w:val="3C5896"/>
        </w:rPr>
      </w:pPr>
      <w:r>
        <w:rPr>
          <w:rFonts w:ascii="Arial" w:cs="Arial" w:eastAsia="Arial" w:hAnsi="Arial"/>
          <w:sz w:val="18"/>
          <w:szCs w:val="18"/>
          <w:b w:val="1"/>
          <w:bCs w:val="1"/>
          <w:color w:val="auto"/>
        </w:rPr>
        <w:t>Proposal No. 3</w:t>
      </w:r>
      <w:r>
        <w:rPr>
          <w:rFonts w:ascii="Arial" w:cs="Arial" w:eastAsia="Arial" w:hAnsi="Arial"/>
          <w:sz w:val="18"/>
          <w:szCs w:val="18"/>
          <w:color w:val="auto"/>
        </w:rPr>
        <w:t>: Approval, in a non-binding advisory vote, of the compensation paid to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is entitled to vote?</w:t>
      </w:r>
    </w:p>
    <w:p>
      <w:pPr>
        <w:spacing w:after="0" w:line="130" w:lineRule="exact"/>
        <w:rPr>
          <w:sz w:val="20"/>
          <w:szCs w:val="20"/>
          <w:color w:val="auto"/>
        </w:rPr>
      </w:pPr>
    </w:p>
    <w:p>
      <w:pPr>
        <w:jc w:val="both"/>
        <w:ind w:left="760" w:right="960"/>
        <w:spacing w:after="0" w:line="256" w:lineRule="auto"/>
        <w:rPr>
          <w:sz w:val="20"/>
          <w:szCs w:val="20"/>
          <w:color w:val="auto"/>
        </w:rPr>
      </w:pPr>
      <w:r>
        <w:rPr>
          <w:rFonts w:ascii="Arial" w:cs="Arial" w:eastAsia="Arial" w:hAnsi="Arial"/>
          <w:sz w:val="18"/>
          <w:szCs w:val="18"/>
          <w:color w:val="auto"/>
        </w:rPr>
        <w:t>Stockholders as of the close of business on April 16, 2019, which we refer to as the Record Date, may vote at the Annual Meeting. As of that date, there were 78,296,650 shares of common stock outstanding. You have one vote for each share of common stock held by you as of the Record Date, including shares:</w:t>
      </w:r>
    </w:p>
    <w:p>
      <w:pPr>
        <w:spacing w:after="0" w:line="80" w:lineRule="exact"/>
        <w:rPr>
          <w:sz w:val="20"/>
          <w:szCs w:val="20"/>
          <w:color w:val="auto"/>
        </w:rPr>
      </w:pPr>
    </w:p>
    <w:p>
      <w:pPr>
        <w:ind w:left="1140" w:hanging="214"/>
        <w:spacing w:after="0"/>
        <w:tabs>
          <w:tab w:leader="none" w:pos="1140" w:val="left"/>
        </w:tabs>
        <w:numPr>
          <w:ilvl w:val="0"/>
          <w:numId w:val="36"/>
        </w:numPr>
        <w:rPr>
          <w:rFonts w:ascii="Arial" w:cs="Arial" w:eastAsia="Arial" w:hAnsi="Arial"/>
          <w:sz w:val="18"/>
          <w:szCs w:val="18"/>
          <w:color w:val="3C5896"/>
        </w:rPr>
      </w:pPr>
      <w:r>
        <w:rPr>
          <w:rFonts w:ascii="Arial" w:cs="Arial" w:eastAsia="Arial" w:hAnsi="Arial"/>
          <w:sz w:val="18"/>
          <w:szCs w:val="18"/>
          <w:color w:val="auto"/>
        </w:rPr>
        <w:t>Held directly in your name as “stockholder of record” (also referred to as “registered stockholder”);</w:t>
      </w:r>
    </w:p>
    <w:p>
      <w:pPr>
        <w:spacing w:after="0" w:line="103" w:lineRule="exact"/>
        <w:rPr>
          <w:rFonts w:ascii="Arial" w:cs="Arial" w:eastAsia="Arial" w:hAnsi="Arial"/>
          <w:sz w:val="18"/>
          <w:szCs w:val="18"/>
          <w:color w:val="3C5896"/>
        </w:rPr>
      </w:pPr>
    </w:p>
    <w:p>
      <w:pPr>
        <w:ind w:left="1140" w:right="960" w:hanging="214"/>
        <w:spacing w:after="0" w:line="256" w:lineRule="auto"/>
        <w:tabs>
          <w:tab w:leader="none" w:pos="1140" w:val="left"/>
        </w:tabs>
        <w:numPr>
          <w:ilvl w:val="0"/>
          <w:numId w:val="36"/>
        </w:numPr>
        <w:rPr>
          <w:rFonts w:ascii="Arial" w:cs="Arial" w:eastAsia="Arial" w:hAnsi="Arial"/>
          <w:sz w:val="18"/>
          <w:szCs w:val="18"/>
          <w:color w:val="3C5896"/>
        </w:rPr>
      </w:pPr>
      <w:r>
        <w:rPr>
          <w:rFonts w:ascii="Arial" w:cs="Arial" w:eastAsia="Arial" w:hAnsi="Arial"/>
          <w:sz w:val="18"/>
          <w:szCs w:val="18"/>
          <w:color w:val="auto"/>
        </w:rPr>
        <w:t>Held for you in an account with a broker, bank or other nominee (shares held in “street name”)—Street name holders generally cannot vote their shares directly and instead must instruct the brokerage firm, bank or nominee how to vote their shares; and</w:t>
      </w:r>
    </w:p>
    <w:p>
      <w:pPr>
        <w:spacing w:after="0" w:line="66" w:lineRule="exact"/>
        <w:rPr>
          <w:rFonts w:ascii="Arial" w:cs="Arial" w:eastAsia="Arial" w:hAnsi="Arial"/>
          <w:sz w:val="18"/>
          <w:szCs w:val="18"/>
          <w:color w:val="3C5896"/>
        </w:rPr>
      </w:pPr>
    </w:p>
    <w:p>
      <w:pPr>
        <w:ind w:left="1140" w:right="1120" w:hanging="214"/>
        <w:spacing w:after="0" w:line="262" w:lineRule="auto"/>
        <w:tabs>
          <w:tab w:leader="none" w:pos="1140" w:val="left"/>
        </w:tabs>
        <w:numPr>
          <w:ilvl w:val="0"/>
          <w:numId w:val="36"/>
        </w:numPr>
        <w:rPr>
          <w:rFonts w:ascii="Arial" w:cs="Arial" w:eastAsia="Arial" w:hAnsi="Arial"/>
          <w:sz w:val="18"/>
          <w:szCs w:val="18"/>
          <w:color w:val="3C5896"/>
        </w:rPr>
      </w:pPr>
      <w:r>
        <w:rPr>
          <w:rFonts w:ascii="Arial" w:cs="Arial" w:eastAsia="Arial" w:hAnsi="Arial"/>
          <w:sz w:val="18"/>
          <w:szCs w:val="18"/>
          <w:color w:val="auto"/>
        </w:rPr>
        <w:t>Held for you by us as restricted securities under either our 2014 Stock Incentive Plan or our 2017 Omnibus Incentive Plan.</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constitutes a quorum?</w:t>
      </w:r>
    </w:p>
    <w:p>
      <w:pPr>
        <w:spacing w:after="0" w:line="130" w:lineRule="exact"/>
        <w:rPr>
          <w:sz w:val="20"/>
          <w:szCs w:val="20"/>
          <w:color w:val="auto"/>
        </w:rPr>
      </w:pPr>
    </w:p>
    <w:p>
      <w:pPr>
        <w:ind w:left="760" w:right="800"/>
        <w:spacing w:after="0" w:line="256" w:lineRule="auto"/>
        <w:rPr>
          <w:sz w:val="20"/>
          <w:szCs w:val="20"/>
          <w:color w:val="auto"/>
        </w:rPr>
      </w:pPr>
      <w:r>
        <w:rPr>
          <w:rFonts w:ascii="Arial" w:cs="Arial" w:eastAsia="Arial" w:hAnsi="Arial"/>
          <w:sz w:val="18"/>
          <w:szCs w:val="18"/>
          <w:color w:val="auto"/>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is a “broker non-vote”?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broker non-vote occurs when shares held through a broker are not voted with respect to a proposal because</w:t>
      </w:r>
    </w:p>
    <w:p>
      <w:pPr>
        <w:spacing w:after="0" w:line="9" w:lineRule="exact"/>
        <w:rPr>
          <w:sz w:val="20"/>
          <w:szCs w:val="20"/>
          <w:color w:val="auto"/>
        </w:rPr>
      </w:pPr>
    </w:p>
    <w:p>
      <w:pPr>
        <w:ind w:left="760" w:right="860" w:firstLine="4"/>
        <w:spacing w:after="0" w:line="253" w:lineRule="auto"/>
        <w:tabs>
          <w:tab w:leader="none" w:pos="10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broker has not received voting instructions from the stockholder who beneficially owns the shares and (2) the broker lacks the authority to vote the shares at its discretion. Proposal Nos. 1 and 3 are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many votes are required to approve each proposal?</w:t>
      </w:r>
    </w:p>
    <w:p>
      <w:pPr>
        <w:spacing w:after="0" w:line="130" w:lineRule="exact"/>
        <w:rPr>
          <w:sz w:val="20"/>
          <w:szCs w:val="20"/>
          <w:color w:val="auto"/>
        </w:rPr>
      </w:pPr>
    </w:p>
    <w:p>
      <w:pPr>
        <w:ind w:left="760" w:right="860"/>
        <w:spacing w:after="0" w:line="262" w:lineRule="auto"/>
        <w:rPr>
          <w:sz w:val="20"/>
          <w:szCs w:val="20"/>
          <w:color w:val="auto"/>
        </w:rPr>
      </w:pPr>
      <w:r>
        <w:rPr>
          <w:rFonts w:ascii="Arial" w:cs="Arial" w:eastAsia="Arial" w:hAnsi="Arial"/>
          <w:sz w:val="18"/>
          <w:szCs w:val="18"/>
          <w:color w:val="auto"/>
        </w:rPr>
        <w:t>Under our Bylaws, directors are elected by a plurality vote, which means that the Class II director nominee with the greatest number of votes cast, even if less than a majority, will be elected. There is no cumulative voting.</w:t>
      </w:r>
    </w:p>
    <w:p>
      <w:pPr>
        <w:spacing w:after="0" w:line="88" w:lineRule="exact"/>
        <w:rPr>
          <w:sz w:val="20"/>
          <w:szCs w:val="20"/>
          <w:color w:val="auto"/>
        </w:rPr>
      </w:pPr>
    </w:p>
    <w:p>
      <w:pPr>
        <w:ind w:left="760" w:right="1040"/>
        <w:spacing w:after="0" w:line="253" w:lineRule="auto"/>
        <w:rPr>
          <w:sz w:val="20"/>
          <w:szCs w:val="20"/>
          <w:color w:val="auto"/>
        </w:rPr>
      </w:pPr>
      <w:r>
        <w:rPr>
          <w:rFonts w:ascii="Arial" w:cs="Arial" w:eastAsia="Arial" w:hAnsi="Arial"/>
          <w:sz w:val="18"/>
          <w:szCs w:val="18"/>
          <w:color w:val="auto"/>
        </w:rPr>
        <w:t>For any other proposal being considered at the Annual Meeting, under our Bylaws, approval of the proposal requires the vote of the holders of a majority of the voting power of the shares of stock present in person or represented by proxy and entitled to vote at the Annual Meeting. While Proposal No. 3, the vote on executive compensation, is advisory in nature and non-binding, the Board will review the voting results and expects to take them into consideration when making future decisions regarding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53975</wp:posOffset>
            </wp:positionV>
            <wp:extent cx="291465"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39</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FFFFF"/>
        </w:rPr>
        <w:t>ABOUT THE MEETING AND VOTING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are votes counted?</w:t>
      </w:r>
    </w:p>
    <w:p>
      <w:pPr>
        <w:spacing w:after="0" w:line="130" w:lineRule="exact"/>
        <w:rPr>
          <w:sz w:val="20"/>
          <w:szCs w:val="20"/>
          <w:color w:val="auto"/>
        </w:rPr>
      </w:pPr>
    </w:p>
    <w:p>
      <w:pPr>
        <w:jc w:val="both"/>
        <w:ind w:left="760" w:right="359"/>
        <w:spacing w:after="0" w:line="254"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the nominee. Votes that are “withheld” will have the same effect as an abstention and will not count as a vote “FOR” or “AGAINST” a director because directors are elected by plurality voting. Broker non-votes will have no effect on the outcome of Proposal No. 1.</w:t>
      </w:r>
    </w:p>
    <w:p>
      <w:pPr>
        <w:spacing w:after="0" w:line="96" w:lineRule="exact"/>
        <w:rPr>
          <w:sz w:val="20"/>
          <w:szCs w:val="20"/>
          <w:color w:val="auto"/>
        </w:rPr>
      </w:pPr>
    </w:p>
    <w:p>
      <w:pPr>
        <w:ind w:left="760" w:right="339"/>
        <w:spacing w:after="0" w:line="254" w:lineRule="auto"/>
        <w:rPr>
          <w:sz w:val="20"/>
          <w:szCs w:val="20"/>
          <w:color w:val="auto"/>
        </w:rPr>
      </w:pPr>
      <w:r>
        <w:rPr>
          <w:rFonts w:ascii="Arial" w:cs="Arial" w:eastAsia="Arial" w:hAnsi="Arial"/>
          <w:sz w:val="18"/>
          <w:szCs w:val="18"/>
          <w:color w:val="auto"/>
        </w:rPr>
        <w:t>With respect to the ratification of our independent registered public accounting firm (Proposal No. 2) and the advisory vote to approve the compensation of our named executive officers (Proposal No. 3), you may vote “FOR,” “AGAINST” or “ABSTAIN.” For each of Proposal Nos. 2 and 3, abstentions will have the effect of a vote “against” the proposal. For Proposal No. 3, broker non-votes will have no effect on the outcome of the proposal.</w:t>
      </w:r>
    </w:p>
    <w:p>
      <w:pPr>
        <w:spacing w:after="0" w:line="96" w:lineRule="exact"/>
        <w:rPr>
          <w:sz w:val="20"/>
          <w:szCs w:val="20"/>
          <w:color w:val="auto"/>
        </w:rPr>
      </w:pPr>
    </w:p>
    <w:p>
      <w:pPr>
        <w:jc w:val="both"/>
        <w:ind w:left="760" w:right="299"/>
        <w:spacing w:after="0" w:line="256" w:lineRule="auto"/>
        <w:rPr>
          <w:sz w:val="20"/>
          <w:szCs w:val="20"/>
          <w:color w:val="auto"/>
        </w:rPr>
      </w:pPr>
      <w:r>
        <w:rPr>
          <w:rFonts w:ascii="Arial" w:cs="Arial" w:eastAsia="Arial" w:hAnsi="Arial"/>
          <w:sz w:val="18"/>
          <w:szCs w:val="18"/>
          <w:color w:val="auto"/>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does the Board recommend that I vote?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you vote your shares:</w:t>
      </w:r>
    </w:p>
    <w:p>
      <w:pPr>
        <w:spacing w:after="0" w:line="63" w:lineRule="exact"/>
        <w:rPr>
          <w:sz w:val="20"/>
          <w:szCs w:val="20"/>
          <w:color w:val="auto"/>
        </w:rPr>
      </w:pPr>
    </w:p>
    <w:p>
      <w:pPr>
        <w:ind w:left="1140" w:hanging="214"/>
        <w:spacing w:after="0"/>
        <w:tabs>
          <w:tab w:leader="none" w:pos="1140" w:val="left"/>
        </w:tabs>
        <w:numPr>
          <w:ilvl w:val="0"/>
          <w:numId w:val="38"/>
        </w:numPr>
        <w:rPr>
          <w:rFonts w:ascii="Arial" w:cs="Arial" w:eastAsia="Arial" w:hAnsi="Arial"/>
          <w:sz w:val="18"/>
          <w:szCs w:val="18"/>
          <w:color w:val="3C5896"/>
        </w:rPr>
      </w:pPr>
      <w:r>
        <w:rPr>
          <w:rFonts w:ascii="Arial" w:cs="Arial" w:eastAsia="Arial" w:hAnsi="Arial"/>
          <w:sz w:val="18"/>
          <w:szCs w:val="18"/>
          <w:color w:val="auto"/>
        </w:rPr>
        <w:t>“FOR” the director nominee set forth in this Proxy Statement.</w:t>
      </w:r>
    </w:p>
    <w:p>
      <w:pPr>
        <w:spacing w:after="0" w:line="63" w:lineRule="exact"/>
        <w:rPr>
          <w:rFonts w:ascii="Arial" w:cs="Arial" w:eastAsia="Arial" w:hAnsi="Arial"/>
          <w:sz w:val="18"/>
          <w:szCs w:val="18"/>
          <w:color w:val="3C5896"/>
        </w:rPr>
      </w:pPr>
    </w:p>
    <w:p>
      <w:pPr>
        <w:ind w:left="1140" w:right="879" w:hanging="214"/>
        <w:spacing w:after="0" w:line="262" w:lineRule="auto"/>
        <w:tabs>
          <w:tab w:leader="none" w:pos="1140" w:val="left"/>
        </w:tabs>
        <w:numPr>
          <w:ilvl w:val="0"/>
          <w:numId w:val="38"/>
        </w:numPr>
        <w:rPr>
          <w:rFonts w:ascii="Arial" w:cs="Arial" w:eastAsia="Arial" w:hAnsi="Arial"/>
          <w:sz w:val="18"/>
          <w:szCs w:val="18"/>
          <w:color w:val="3C5896"/>
        </w:rPr>
      </w:pPr>
      <w:r>
        <w:rPr>
          <w:rFonts w:ascii="Arial" w:cs="Arial" w:eastAsia="Arial" w:hAnsi="Arial"/>
          <w:sz w:val="18"/>
          <w:szCs w:val="18"/>
          <w:color w:val="auto"/>
        </w:rPr>
        <w:t>“FOR” the ratification of the appointment of Deloitte &amp; Touche LLP as our independent registered public accounting firm for fiscal 2019.</w:t>
      </w:r>
    </w:p>
    <w:p>
      <w:pPr>
        <w:spacing w:after="0" w:line="34" w:lineRule="exact"/>
        <w:rPr>
          <w:rFonts w:ascii="Arial" w:cs="Arial" w:eastAsia="Arial" w:hAnsi="Arial"/>
          <w:sz w:val="18"/>
          <w:szCs w:val="18"/>
          <w:color w:val="3C5896"/>
        </w:rPr>
      </w:pPr>
    </w:p>
    <w:p>
      <w:pPr>
        <w:ind w:left="1140" w:right="819" w:hanging="214"/>
        <w:spacing w:after="0" w:line="262" w:lineRule="auto"/>
        <w:tabs>
          <w:tab w:leader="none" w:pos="1140" w:val="left"/>
        </w:tabs>
        <w:numPr>
          <w:ilvl w:val="0"/>
          <w:numId w:val="38"/>
        </w:numPr>
        <w:rPr>
          <w:rFonts w:ascii="Arial" w:cs="Arial" w:eastAsia="Arial" w:hAnsi="Arial"/>
          <w:sz w:val="18"/>
          <w:szCs w:val="18"/>
          <w:color w:val="3C5896"/>
        </w:rPr>
      </w:pPr>
      <w:r>
        <w:rPr>
          <w:rFonts w:ascii="Arial" w:cs="Arial" w:eastAsia="Arial" w:hAnsi="Arial"/>
          <w:sz w:val="18"/>
          <w:szCs w:val="18"/>
          <w:color w:val="auto"/>
        </w:rPr>
        <w:t>“FOR” the approval, on a non-binding, advisory basis, of the compensation paid to our named executive officers.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count the vote?</w:t>
      </w:r>
    </w:p>
    <w:p>
      <w:pPr>
        <w:spacing w:after="0" w:line="130" w:lineRule="exact"/>
        <w:rPr>
          <w:sz w:val="20"/>
          <w:szCs w:val="20"/>
          <w:color w:val="auto"/>
        </w:rPr>
      </w:pPr>
    </w:p>
    <w:p>
      <w:pPr>
        <w:ind w:left="760" w:right="739"/>
        <w:spacing w:after="0" w:line="262" w:lineRule="auto"/>
        <w:rPr>
          <w:sz w:val="20"/>
          <w:szCs w:val="20"/>
          <w:color w:val="auto"/>
        </w:rPr>
      </w:pPr>
      <w:r>
        <w:rPr>
          <w:rFonts w:ascii="Arial" w:cs="Arial" w:eastAsia="Arial" w:hAnsi="Arial"/>
          <w:sz w:val="18"/>
          <w:szCs w:val="18"/>
          <w:color w:val="auto"/>
        </w:rPr>
        <w:t>Representatives of Computershare Trust Company, N.A., our transfer agent, will tabulate the votes and act as inspectors of election.</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 I vote my shares without attending the Annual Meeting?</w:t>
      </w:r>
    </w:p>
    <w:p>
      <w:pPr>
        <w:spacing w:after="0" w:line="130" w:lineRule="exact"/>
        <w:rPr>
          <w:sz w:val="20"/>
          <w:szCs w:val="20"/>
          <w:color w:val="auto"/>
        </w:rPr>
      </w:pPr>
    </w:p>
    <w:p>
      <w:pPr>
        <w:ind w:left="760" w:right="959"/>
        <w:spacing w:after="0" w:line="262" w:lineRule="auto"/>
        <w:rPr>
          <w:sz w:val="20"/>
          <w:szCs w:val="20"/>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16" w:lineRule="exact"/>
        <w:rPr>
          <w:sz w:val="20"/>
          <w:szCs w:val="20"/>
          <w:color w:val="auto"/>
        </w:rPr>
      </w:pPr>
    </w:p>
    <w:p>
      <w:pPr>
        <w:ind w:left="1140" w:right="439" w:hanging="214"/>
        <w:spacing w:after="0" w:line="266" w:lineRule="auto"/>
        <w:tabs>
          <w:tab w:leader="none" w:pos="1140" w:val="left"/>
        </w:tabs>
        <w:numPr>
          <w:ilvl w:val="0"/>
          <w:numId w:val="39"/>
        </w:numPr>
        <w:rPr>
          <w:rFonts w:ascii="Arial" w:cs="Arial" w:eastAsia="Arial" w:hAnsi="Arial"/>
          <w:sz w:val="18"/>
          <w:szCs w:val="18"/>
          <w:color w:val="3C5896"/>
        </w:rPr>
      </w:pPr>
      <w:r>
        <w:rPr>
          <w:rFonts w:ascii="Arial" w:cs="Arial" w:eastAsia="Arial" w:hAnsi="Arial"/>
          <w:sz w:val="18"/>
          <w:szCs w:val="18"/>
          <w:i w:val="1"/>
          <w:iCs w:val="1"/>
          <w:color w:val="auto"/>
        </w:rPr>
        <w:t>By Internet</w:t>
      </w:r>
      <w:r>
        <w:rPr>
          <w:rFonts w:ascii="Arial" w:cs="Arial" w:eastAsia="Arial" w:hAnsi="Arial"/>
          <w:sz w:val="18"/>
          <w:szCs w:val="18"/>
          <w:color w:val="auto"/>
        </w:rPr>
        <w:t>—If you have Internet access, you may submit your proxy by going to www.investorvote.com/EYE</w:t>
      </w:r>
      <w:r>
        <w:rPr>
          <w:rFonts w:ascii="Arial" w:cs="Arial" w:eastAsia="Arial" w:hAnsi="Arial"/>
          <w:sz w:val="18"/>
          <w:szCs w:val="18"/>
          <w:i w:val="1"/>
          <w:iCs w:val="1"/>
          <w:color w:val="auto"/>
        </w:rPr>
        <w:t xml:space="preserve"> </w:t>
      </w:r>
      <w:r>
        <w:rPr>
          <w:rFonts w:ascii="Arial" w:cs="Arial" w:eastAsia="Arial" w:hAnsi="Arial"/>
          <w:sz w:val="18"/>
          <w:szCs w:val="18"/>
          <w:color w:val="auto"/>
        </w:rPr>
        <w:t>and by following the instructions on how to complete an electronic proxy card. You will need the 16-digit number included on your proxy card in order to vote by Internet.</w:t>
      </w:r>
    </w:p>
    <w:p>
      <w:pPr>
        <w:spacing w:after="0" w:line="14" w:lineRule="exact"/>
        <w:rPr>
          <w:rFonts w:ascii="Arial" w:cs="Arial" w:eastAsia="Arial" w:hAnsi="Arial"/>
          <w:sz w:val="18"/>
          <w:szCs w:val="18"/>
          <w:color w:val="3C5896"/>
        </w:rPr>
      </w:pPr>
    </w:p>
    <w:p>
      <w:pPr>
        <w:jc w:val="both"/>
        <w:ind w:left="1140" w:right="559" w:hanging="214"/>
        <w:spacing w:after="0" w:line="266" w:lineRule="auto"/>
        <w:tabs>
          <w:tab w:leader="none" w:pos="1140" w:val="left"/>
        </w:tabs>
        <w:numPr>
          <w:ilvl w:val="0"/>
          <w:numId w:val="39"/>
        </w:numPr>
        <w:rPr>
          <w:rFonts w:ascii="Arial" w:cs="Arial" w:eastAsia="Arial" w:hAnsi="Arial"/>
          <w:sz w:val="18"/>
          <w:szCs w:val="18"/>
          <w:color w:val="3C5896"/>
        </w:rPr>
      </w:pPr>
      <w:r>
        <w:rPr>
          <w:rFonts w:ascii="Arial" w:cs="Arial" w:eastAsia="Arial" w:hAnsi="Arial"/>
          <w:sz w:val="18"/>
          <w:szCs w:val="18"/>
          <w:i w:val="1"/>
          <w:iCs w:val="1"/>
          <w:color w:val="auto"/>
        </w:rPr>
        <w:t>By Telephone</w:t>
      </w:r>
      <w:r>
        <w:rPr>
          <w:rFonts w:ascii="Arial" w:cs="Arial" w:eastAsia="Arial" w:hAnsi="Arial"/>
          <w:sz w:val="18"/>
          <w:szCs w:val="18"/>
          <w:color w:val="auto"/>
        </w:rPr>
        <w:t>—If you have access to a touch-tone telephone, you may submit your proxy by dialing 1-800-652-VOTE (8683) and by following the recorded instructions. You will need the 16-digit number included on your proxy card in order to vote by telephone.</w:t>
      </w:r>
    </w:p>
    <w:p>
      <w:pPr>
        <w:spacing w:after="0" w:line="14" w:lineRule="exact"/>
        <w:rPr>
          <w:rFonts w:ascii="Arial" w:cs="Arial" w:eastAsia="Arial" w:hAnsi="Arial"/>
          <w:sz w:val="18"/>
          <w:szCs w:val="18"/>
          <w:color w:val="3C5896"/>
        </w:rPr>
      </w:pPr>
    </w:p>
    <w:p>
      <w:pPr>
        <w:ind w:left="1140" w:right="359" w:hanging="214"/>
        <w:spacing w:after="0" w:line="258" w:lineRule="auto"/>
        <w:tabs>
          <w:tab w:leader="none" w:pos="1140" w:val="left"/>
        </w:tabs>
        <w:numPr>
          <w:ilvl w:val="0"/>
          <w:numId w:val="39"/>
        </w:numPr>
        <w:rPr>
          <w:rFonts w:ascii="Arial" w:cs="Arial" w:eastAsia="Arial" w:hAnsi="Arial"/>
          <w:sz w:val="18"/>
          <w:szCs w:val="18"/>
          <w:color w:val="3C5896"/>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 mailing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80" w:lineRule="exact"/>
        <w:rPr>
          <w:sz w:val="20"/>
          <w:szCs w:val="20"/>
          <w:color w:val="auto"/>
        </w:rPr>
      </w:pPr>
    </w:p>
    <w:p>
      <w:pPr>
        <w:ind w:left="760" w:right="639"/>
        <w:spacing w:after="0" w:line="287" w:lineRule="auto"/>
        <w:rPr>
          <w:sz w:val="20"/>
          <w:szCs w:val="20"/>
          <w:color w:val="auto"/>
        </w:rPr>
      </w:pPr>
      <w:r>
        <w:rPr>
          <w:rFonts w:ascii="Arial" w:cs="Arial" w:eastAsia="Arial" w:hAnsi="Arial"/>
          <w:sz w:val="18"/>
          <w:szCs w:val="18"/>
          <w:b w:val="1"/>
          <w:bCs w:val="1"/>
          <w:i w:val="1"/>
          <w:iCs w:val="1"/>
          <w:color w:val="auto"/>
        </w:rPr>
        <w:t>Internet and telephone voting will close at 11:59 p.m., Eastern Time, on June 10, 2019. Proxy cards with respect to shares held of record must be received no later than June 10, 2019.</w:t>
      </w:r>
    </w:p>
    <w:p>
      <w:pPr>
        <w:spacing w:after="0" w:line="67" w:lineRule="exact"/>
        <w:rPr>
          <w:sz w:val="20"/>
          <w:szCs w:val="20"/>
          <w:color w:val="auto"/>
        </w:rPr>
      </w:pPr>
    </w:p>
    <w:p>
      <w:pPr>
        <w:ind w:left="760" w:right="299"/>
        <w:spacing w:after="0" w:line="256" w:lineRule="auto"/>
        <w:rPr>
          <w:sz w:val="20"/>
          <w:szCs w:val="20"/>
          <w:color w:val="auto"/>
        </w:rPr>
      </w:pPr>
      <w:r>
        <w:rPr>
          <w:rFonts w:ascii="Arial" w:cs="Arial" w:eastAsia="Arial" w:hAnsi="Arial"/>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 I vote my shares in person at the Annual Meeting?</w:t>
      </w:r>
    </w:p>
    <w:p>
      <w:pPr>
        <w:spacing w:after="0" w:line="130" w:lineRule="exact"/>
        <w:rPr>
          <w:sz w:val="20"/>
          <w:szCs w:val="20"/>
          <w:color w:val="auto"/>
        </w:rPr>
      </w:pPr>
    </w:p>
    <w:p>
      <w:pPr>
        <w:ind w:left="760" w:right="299"/>
        <w:spacing w:after="0" w:line="252" w:lineRule="auto"/>
        <w:rPr>
          <w:sz w:val="20"/>
          <w:szCs w:val="20"/>
          <w:color w:val="auto"/>
        </w:rPr>
      </w:pPr>
      <w:r>
        <w:rPr>
          <w:rFonts w:ascii="Arial" w:cs="Arial" w:eastAsia="Arial" w:hAnsi="Arial"/>
          <w:sz w:val="18"/>
          <w:szCs w:val="18"/>
          <w:color w:val="auto"/>
        </w:rPr>
        <w:t>If you are a stockholder of record and prefer to vote your shares at the Annual Meeting, you must bring proof of identification along with your proof of ownership. If you hold your shares in street name, you may only vote shares at the Annual Meeting if you bring a signed proxy from the record holder (broker, bank or other nominee) giving you the right to vote the shares, as well as proof of identification and proof of ownership. Even if you plan to attend the Annual Meeting, we encourage you to vote in advance by Internet, telephone or mail so that your vote will be counted even if you later decide not to attend the Annual Meeting.</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40  </w:t>
      </w:r>
      <w:r>
        <w:rPr>
          <w:sz w:val="1"/>
          <w:szCs w:val="1"/>
          <w:color w:val="auto"/>
        </w:rPr>
        <w:drawing>
          <wp:inline distT="0" distB="0" distL="0" distR="0">
            <wp:extent cx="291465" cy="22288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1465" cy="222885"/>
                    </a:xfrm>
                    <a:prstGeom prst="rect">
                      <a:avLst/>
                    </a:prstGeom>
                    <a:noFill/>
                    <a:ln>
                      <a:noFill/>
                    </a:ln>
                  </pic:spPr>
                </pic:pic>
              </a:graphicData>
            </a:graphic>
          </wp:inline>
        </w:drawing>
      </w:r>
      <w:r>
        <w:rPr>
          <w:rFonts w:ascii="Arial" w:cs="Arial" w:eastAsia="Arial" w:hAnsi="Arial"/>
          <w:sz w:val="16"/>
          <w:szCs w:val="16"/>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8345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168910</wp:posOffset>
            </wp:positionV>
            <wp:extent cx="5840095"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40095" cy="205740"/>
                    </a:xfrm>
                    <a:prstGeom prst="rect">
                      <a:avLst/>
                    </a:prstGeom>
                    <a:noFill/>
                  </pic:spPr>
                </pic:pic>
              </a:graphicData>
            </a:graphic>
          </wp:anchor>
        </w:drawing>
      </w:r>
    </w:p>
    <w:p>
      <w:pPr>
        <w:spacing w:after="0" w:line="317" w:lineRule="exact"/>
        <w:rPr>
          <w:sz w:val="20"/>
          <w:szCs w:val="20"/>
          <w:color w:val="auto"/>
        </w:rPr>
      </w:pPr>
    </w:p>
    <w:p>
      <w:pPr>
        <w:jc w:val="right"/>
        <w:ind w:right="820"/>
        <w:spacing w:after="0"/>
        <w:rPr>
          <w:sz w:val="20"/>
          <w:szCs w:val="20"/>
          <w:color w:val="auto"/>
        </w:rPr>
      </w:pPr>
      <w:r>
        <w:rPr>
          <w:rFonts w:ascii="Arial" w:cs="Arial" w:eastAsia="Arial" w:hAnsi="Arial"/>
          <w:sz w:val="18"/>
          <w:szCs w:val="18"/>
          <w:b w:val="1"/>
          <w:bCs w:val="1"/>
          <w:color w:val="FFFFFF"/>
        </w:rPr>
        <w:t>ABOUT THE MEETING AND VOTING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Do I need a ticket to be admitted to the Annual Meeting?</w:t>
      </w:r>
    </w:p>
    <w:p>
      <w:pPr>
        <w:spacing w:after="0" w:line="130" w:lineRule="exact"/>
        <w:rPr>
          <w:sz w:val="20"/>
          <w:szCs w:val="20"/>
          <w:color w:val="auto"/>
        </w:rPr>
      </w:pPr>
    </w:p>
    <w:p>
      <w:pPr>
        <w:ind w:left="760" w:right="860"/>
        <w:spacing w:after="0" w:line="252" w:lineRule="auto"/>
        <w:rPr>
          <w:sz w:val="20"/>
          <w:szCs w:val="20"/>
          <w:color w:val="auto"/>
        </w:rPr>
      </w:pPr>
      <w:r>
        <w:rPr>
          <w:rFonts w:ascii="Arial" w:cs="Arial" w:eastAsia="Arial" w:hAnsi="Arial"/>
          <w:sz w:val="18"/>
          <w:szCs w:val="18"/>
          <w:color w:val="auto"/>
        </w:rPr>
        <w:t>In order to be admitted to the meeting, you will need to present (1) a form of personal identification, and either your Proxy Card or proof of your stock ownership of National Vision stock on the Record Date. If your shares are held beneficially in the name of a bank, broker or other holder of record and you wish to be admitted to attend the Annual Meeting, you must present proof of your ownership of National Vision stock, such as a bank or brokerage account statement. No cameras, recording equipment, electronic devices, large bags, briefcases or packages will be permitted in the Annual Meeting.</w:t>
      </w:r>
    </w:p>
    <w:p>
      <w:pPr>
        <w:spacing w:after="0" w:line="101" w:lineRule="exact"/>
        <w:rPr>
          <w:sz w:val="20"/>
          <w:szCs w:val="20"/>
          <w:color w:val="auto"/>
        </w:rPr>
      </w:pPr>
    </w:p>
    <w:p>
      <w:pPr>
        <w:ind w:left="760" w:right="3500"/>
        <w:spacing w:after="0" w:line="262" w:lineRule="auto"/>
        <w:rPr>
          <w:sz w:val="20"/>
          <w:szCs w:val="20"/>
          <w:color w:val="auto"/>
        </w:rPr>
      </w:pPr>
      <w:r>
        <w:rPr>
          <w:rFonts w:ascii="Arial" w:cs="Arial" w:eastAsia="Arial" w:hAnsi="Arial"/>
          <w:sz w:val="18"/>
          <w:szCs w:val="18"/>
          <w:color w:val="auto"/>
        </w:rPr>
        <w:t xml:space="preserve">For directions to the meeting, you may contact Beth Dobson at (470) 448-2173 or </w:t>
      </w:r>
      <w:r>
        <w:rPr>
          <w:rFonts w:ascii="Arial" w:cs="Arial" w:eastAsia="Arial" w:hAnsi="Arial"/>
          <w:sz w:val="18"/>
          <w:szCs w:val="18"/>
          <w:u w:val="single" w:color="auto"/>
          <w:color w:val="auto"/>
        </w:rPr>
        <w:t>Beth.Dobson@nationalvision.com</w:t>
      </w:r>
      <w:r>
        <w:rPr>
          <w:rFonts w:ascii="Arial" w:cs="Arial" w:eastAsia="Arial" w:hAnsi="Arial"/>
          <w:sz w:val="18"/>
          <w:szCs w:val="18"/>
          <w:color w:val="auto"/>
        </w:rPr>
        <w: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does it mean if I receive more than one proxy card on or about the same time?</w:t>
      </w:r>
    </w:p>
    <w:p>
      <w:pPr>
        <w:spacing w:after="0" w:line="130" w:lineRule="exact"/>
        <w:rPr>
          <w:sz w:val="20"/>
          <w:szCs w:val="20"/>
          <w:color w:val="auto"/>
        </w:rPr>
      </w:pPr>
    </w:p>
    <w:p>
      <w:pPr>
        <w:jc w:val="both"/>
        <w:ind w:left="760" w:right="940"/>
        <w:spacing w:after="0" w:line="256"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May I change my vote or revoke my proxy?</w:t>
      </w:r>
    </w:p>
    <w:p>
      <w:pPr>
        <w:spacing w:after="0" w:line="130" w:lineRule="exact"/>
        <w:rPr>
          <w:sz w:val="20"/>
          <w:szCs w:val="20"/>
          <w:color w:val="auto"/>
        </w:rPr>
      </w:pPr>
    </w:p>
    <w:p>
      <w:pPr>
        <w:ind w:left="760" w:right="1100"/>
        <w:spacing w:after="0" w:line="262" w:lineRule="auto"/>
        <w:rPr>
          <w:sz w:val="20"/>
          <w:szCs w:val="20"/>
          <w:color w:val="auto"/>
        </w:rPr>
      </w:pPr>
      <w:r>
        <w:rPr>
          <w:rFonts w:ascii="Arial" w:cs="Arial" w:eastAsia="Arial" w:hAnsi="Arial"/>
          <w:sz w:val="18"/>
          <w:szCs w:val="18"/>
          <w:color w:val="auto"/>
        </w:rPr>
        <w:t>Yes. Whether you have voted by Internet, telephone or mail, if you are a stockholder of record, you may change your vote and revoke your proxy by:</w:t>
      </w:r>
    </w:p>
    <w:p>
      <w:pPr>
        <w:spacing w:after="0" w:line="61" w:lineRule="exact"/>
        <w:rPr>
          <w:sz w:val="20"/>
          <w:szCs w:val="20"/>
          <w:color w:val="auto"/>
        </w:rPr>
      </w:pPr>
    </w:p>
    <w:p>
      <w:pPr>
        <w:ind w:left="1140" w:right="1020" w:hanging="214"/>
        <w:spacing w:after="0" w:line="262" w:lineRule="auto"/>
        <w:tabs>
          <w:tab w:leader="none" w:pos="114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sending a written statement to that effect to our Secretary, provided such statement is received no later than June 10, 2019;</w:t>
      </w:r>
    </w:p>
    <w:p>
      <w:pPr>
        <w:spacing w:after="0" w:line="74" w:lineRule="exact"/>
        <w:rPr>
          <w:rFonts w:ascii="Arial" w:cs="Arial" w:eastAsia="Arial" w:hAnsi="Arial"/>
          <w:sz w:val="18"/>
          <w:szCs w:val="18"/>
          <w:color w:val="3C5896"/>
        </w:rPr>
      </w:pPr>
    </w:p>
    <w:p>
      <w:pPr>
        <w:ind w:left="1140" w:right="1060" w:hanging="214"/>
        <w:spacing w:after="0" w:line="262" w:lineRule="auto"/>
        <w:tabs>
          <w:tab w:leader="none" w:pos="114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voting by Internet or telephone at a later time than your previous vote and before the closing of those voting facilities at 11:59 p.m., Eastern Time, on June 10, 2019;</w:t>
      </w:r>
    </w:p>
    <w:p>
      <w:pPr>
        <w:spacing w:after="0" w:line="74" w:lineRule="exact"/>
        <w:rPr>
          <w:rFonts w:ascii="Arial" w:cs="Arial" w:eastAsia="Arial" w:hAnsi="Arial"/>
          <w:sz w:val="18"/>
          <w:szCs w:val="18"/>
          <w:color w:val="3C5896"/>
        </w:rPr>
      </w:pPr>
    </w:p>
    <w:p>
      <w:pPr>
        <w:ind w:left="1140" w:right="1020" w:hanging="214"/>
        <w:spacing w:after="0" w:line="262" w:lineRule="auto"/>
        <w:tabs>
          <w:tab w:leader="none" w:pos="114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submitting a properly signed proxy card, which has a later date than your previous vote, and that is received no later than June 10, 2019; or</w:t>
      </w:r>
    </w:p>
    <w:p>
      <w:pPr>
        <w:spacing w:after="0" w:line="61" w:lineRule="exact"/>
        <w:rPr>
          <w:rFonts w:ascii="Arial" w:cs="Arial" w:eastAsia="Arial" w:hAnsi="Arial"/>
          <w:sz w:val="18"/>
          <w:szCs w:val="18"/>
          <w:color w:val="3C5896"/>
        </w:rPr>
      </w:pPr>
    </w:p>
    <w:p>
      <w:pPr>
        <w:ind w:left="1140" w:hanging="214"/>
        <w:spacing w:after="0"/>
        <w:tabs>
          <w:tab w:leader="none" w:pos="1140" w:val="left"/>
        </w:tabs>
        <w:numPr>
          <w:ilvl w:val="0"/>
          <w:numId w:val="40"/>
        </w:numPr>
        <w:rPr>
          <w:rFonts w:ascii="Arial" w:cs="Arial" w:eastAsia="Arial" w:hAnsi="Arial"/>
          <w:sz w:val="18"/>
          <w:szCs w:val="18"/>
          <w:color w:val="3C5896"/>
        </w:rPr>
      </w:pPr>
      <w:r>
        <w:rPr>
          <w:rFonts w:ascii="Arial" w:cs="Arial" w:eastAsia="Arial" w:hAnsi="Arial"/>
          <w:sz w:val="18"/>
          <w:szCs w:val="18"/>
          <w:color w:val="auto"/>
        </w:rPr>
        <w:t>attending the Annual Meeting and voting in person.</w:t>
      </w:r>
    </w:p>
    <w:p>
      <w:pPr>
        <w:spacing w:after="0" w:line="117" w:lineRule="exact"/>
        <w:rPr>
          <w:sz w:val="20"/>
          <w:szCs w:val="20"/>
          <w:color w:val="auto"/>
        </w:rPr>
      </w:pPr>
    </w:p>
    <w:p>
      <w:pPr>
        <w:ind w:left="760" w:right="1080"/>
        <w:spacing w:after="0" w:line="262" w:lineRule="auto"/>
        <w:rPr>
          <w:sz w:val="20"/>
          <w:szCs w:val="20"/>
          <w:color w:val="auto"/>
        </w:rPr>
      </w:pPr>
      <w:r>
        <w:rPr>
          <w:rFonts w:ascii="Arial" w:cs="Arial" w:eastAsia="Arial" w:hAnsi="Arial"/>
          <w:sz w:val="18"/>
          <w:szCs w:val="18"/>
          <w:color w:val="auto"/>
        </w:rPr>
        <w:t>If you hold shares in street name, please refer to information from your bank, broker or other nominee on how to revoke or submit new voting instructions.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Could other matters be decided at the Annual Meeting?</w:t>
      </w:r>
    </w:p>
    <w:p>
      <w:pPr>
        <w:spacing w:after="0" w:line="130" w:lineRule="exact"/>
        <w:rPr>
          <w:sz w:val="20"/>
          <w:szCs w:val="20"/>
          <w:color w:val="auto"/>
        </w:rPr>
      </w:pPr>
    </w:p>
    <w:p>
      <w:pPr>
        <w:jc w:val="both"/>
        <w:ind w:left="760" w:right="1120"/>
        <w:spacing w:after="0" w:line="254"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pay for the cost of this proxy solicitation?</w:t>
      </w:r>
    </w:p>
    <w:p>
      <w:pPr>
        <w:spacing w:after="0" w:line="130" w:lineRule="exact"/>
        <w:rPr>
          <w:sz w:val="20"/>
          <w:szCs w:val="20"/>
          <w:color w:val="auto"/>
        </w:rPr>
      </w:pPr>
    </w:p>
    <w:p>
      <w:pPr>
        <w:ind w:left="760" w:right="880"/>
        <w:spacing w:after="0" w:line="254"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173" w:lineRule="exact"/>
        <w:rPr>
          <w:sz w:val="20"/>
          <w:szCs w:val="20"/>
          <w:color w:val="auto"/>
        </w:rPr>
      </w:pPr>
    </w:p>
    <w:p>
      <w:pPr>
        <w:ind w:left="760" w:right="840"/>
        <w:spacing w:after="0" w:line="261" w:lineRule="auto"/>
        <w:rPr>
          <w:sz w:val="20"/>
          <w:szCs w:val="20"/>
          <w:color w:val="auto"/>
        </w:rPr>
      </w:pPr>
      <w:r>
        <w:rPr>
          <w:rFonts w:ascii="Arial" w:cs="Arial" w:eastAsia="Arial" w:hAnsi="Arial"/>
          <w:sz w:val="22"/>
          <w:szCs w:val="22"/>
          <w:b w:val="1"/>
          <w:bCs w:val="1"/>
          <w:color w:val="3C5896"/>
        </w:rPr>
        <w:t>How can I view copies of the Company’s corporate documents and SEC filings, including the Proxy Statement and Annual Report?</w:t>
      </w:r>
    </w:p>
    <w:p>
      <w:pPr>
        <w:spacing w:after="0" w:line="76" w:lineRule="exact"/>
        <w:rPr>
          <w:sz w:val="20"/>
          <w:szCs w:val="20"/>
          <w:color w:val="auto"/>
        </w:rPr>
      </w:pPr>
    </w:p>
    <w:p>
      <w:pPr>
        <w:ind w:left="760" w:right="1140"/>
        <w:spacing w:after="0" w:line="274" w:lineRule="auto"/>
        <w:rPr>
          <w:sz w:val="20"/>
          <w:szCs w:val="20"/>
          <w:color w:val="auto"/>
        </w:rPr>
      </w:pPr>
      <w:r>
        <w:rPr>
          <w:rFonts w:ascii="Arial" w:cs="Arial" w:eastAsia="Arial" w:hAnsi="Arial"/>
          <w:sz w:val="17"/>
          <w:szCs w:val="17"/>
          <w:color w:val="auto"/>
        </w:rPr>
        <w:t xml:space="preserve">Our website contains the Company’s Certificate of Incorporation, Bylaws, Corporate Governance Guidelines, Committee Charters, Code of Conduct and the Company’s SEC filings. To view these documents, go to </w:t>
      </w:r>
      <w:r>
        <w:rPr>
          <w:rFonts w:ascii="Arial" w:cs="Arial" w:eastAsia="Arial" w:hAnsi="Arial"/>
          <w:sz w:val="17"/>
          <w:szCs w:val="17"/>
          <w:u w:val="single" w:color="auto"/>
          <w:color w:val="auto"/>
        </w:rPr>
        <w:t>www.nationalvision.com</w:t>
      </w:r>
      <w:r>
        <w:rPr>
          <w:rFonts w:ascii="Arial" w:cs="Arial" w:eastAsia="Arial" w:hAnsi="Arial"/>
          <w:sz w:val="17"/>
          <w:szCs w:val="17"/>
          <w:color w:val="auto"/>
        </w:rPr>
        <w:t xml:space="preserve"> and click on “Investors.” Copies of our Annual Report on Form 10-K for the year ended December 29, 2018 are also available without charge to stockholders upon written request addressed to:</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Duluth, Georgia 30096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66675</wp:posOffset>
            </wp:positionV>
            <wp:extent cx="291465" cy="2228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1465" cy="22288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7400"/>
              <w:spacing w:after="0"/>
              <w:rPr>
                <w:sz w:val="20"/>
                <w:szCs w:val="20"/>
                <w:color w:val="auto"/>
              </w:rPr>
            </w:pPr>
            <w:r>
              <w:rPr>
                <w:rFonts w:ascii="Arial" w:cs="Arial" w:eastAsia="Arial" w:hAnsi="Arial"/>
                <w:sz w:val="16"/>
                <w:szCs w:val="16"/>
                <w:color w:val="auto"/>
              </w:rPr>
              <w:t>2019 Proxy Statement</w:t>
            </w:r>
          </w:p>
        </w:tc>
        <w:tc>
          <w:tcPr>
            <w:tcW w:w="1360" w:type="dxa"/>
            <w:vAlign w:val="bottom"/>
          </w:tcPr>
          <w:p>
            <w:pPr>
              <w:jc w:val="right"/>
              <w:ind w:right="699"/>
              <w:spacing w:after="0"/>
              <w:rPr>
                <w:sz w:val="20"/>
                <w:szCs w:val="20"/>
                <w:color w:val="auto"/>
              </w:rPr>
            </w:pPr>
            <w:r>
              <w:rPr>
                <w:rFonts w:ascii="Arial" w:cs="Arial" w:eastAsia="Arial" w:hAnsi="Arial"/>
                <w:sz w:val="16"/>
                <w:szCs w:val="16"/>
                <w:b w:val="1"/>
                <w:bCs w:val="1"/>
                <w:color w:val="auto"/>
              </w:rPr>
              <w:t>41</w:t>
            </w:r>
          </w:p>
        </w:tc>
      </w:tr>
      <w:tr>
        <w:trPr>
          <w:trHeight w:val="310"/>
        </w:trPr>
        <w:tc>
          <w:tcPr>
            <w:tcW w:w="9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60"/>
        <w:spacing w:after="0"/>
        <w:rPr>
          <w:sz w:val="20"/>
          <w:szCs w:val="20"/>
          <w:color w:val="auto"/>
        </w:rPr>
      </w:pPr>
      <w:r>
        <w:rPr>
          <w:rFonts w:ascii="Arial" w:cs="Arial" w:eastAsia="Arial" w:hAnsi="Arial"/>
          <w:sz w:val="54"/>
          <w:szCs w:val="54"/>
          <w:b w:val="1"/>
          <w:bCs w:val="1"/>
          <w:color w:val="3C5896"/>
        </w:rPr>
        <w:t>Thank You</w:t>
      </w:r>
    </w:p>
    <w:p>
      <w:pPr>
        <w:spacing w:after="0" w:line="10" w:lineRule="exact"/>
        <w:rPr>
          <w:sz w:val="20"/>
          <w:szCs w:val="20"/>
          <w:color w:val="auto"/>
        </w:rPr>
      </w:pPr>
    </w:p>
    <w:p>
      <w:pPr>
        <w:jc w:val="right"/>
        <w:ind w:right="2659"/>
        <w:spacing w:after="0"/>
        <w:rPr>
          <w:sz w:val="20"/>
          <w:szCs w:val="20"/>
          <w:color w:val="auto"/>
        </w:rPr>
      </w:pPr>
      <w:r>
        <w:rPr>
          <w:rFonts w:ascii="Arial" w:cs="Arial" w:eastAsia="Arial" w:hAnsi="Arial"/>
          <w:sz w:val="40"/>
          <w:szCs w:val="40"/>
          <w:b w:val="1"/>
          <w:bCs w:val="1"/>
          <w:color w:val="3C5896"/>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990600</wp:posOffset>
            </wp:positionV>
            <wp:extent cx="2864485" cy="2195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64485" cy="219519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3871595</wp:posOffset>
            </wp:positionV>
            <wp:extent cx="5582920" cy="16205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829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xml:space="preserve">Learn more at </w:t>
      </w:r>
      <w:r>
        <w:rPr>
          <w:rFonts w:ascii="Arial" w:cs="Arial" w:eastAsia="Arial" w:hAnsi="Arial"/>
          <w:sz w:val="18"/>
          <w:szCs w:val="18"/>
          <w:u w:val="single" w:color="auto"/>
          <w:color w:val="3C5896"/>
        </w:rPr>
        <w:t>www.nationalvision.com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683450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6834505" cy="85712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4505" cy="857123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6834505" cy="85629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4505" cy="8562975"/>
                    </a:xfrm>
                    <a:prstGeom prst="rect">
                      <a:avLst/>
                    </a:prstGeom>
                    <a:noFill/>
                  </pic:spPr>
                </pic:pic>
              </a:graphicData>
            </a:graphic>
          </wp:anchor>
        </w:drawing>
      </w:r>
    </w:p>
    <w:sectPr>
      <w:pgSz w:w="11900" w:h="16838" w:orient="portrait"/>
      <w:cols w:equalWidth="0" w:num="1">
        <w:col w:w="10219"/>
      </w:cols>
      <w:pgMar w:left="24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4"/>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3"/>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2019-12-03T04:14:53Z</dcterms:created>
  <dcterms:modified xsi:type="dcterms:W3CDTF">2019-12-03T04:14:53Z</dcterms:modified>
</cp:coreProperties>
</file>