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Clark Bill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00"/>
        <w:spacing w:after="0" w:line="384"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National Vision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SVP, Chief People Officer</w:t>
            </w:r>
          </w:p>
        </w:tc>
        <w:tc>
          <w:tcPr>
            <w:tcW w:w="0" w:type="dxa"/>
            <w:vAlign w:val="bottom"/>
          </w:tcPr>
          <w:p>
            <w:pPr>
              <w:spacing w:after="0"/>
              <w:rPr>
                <w:sz w:val="1"/>
                <w:szCs w:val="1"/>
                <w:color w:val="auto"/>
              </w:rPr>
            </w:pPr>
          </w:p>
        </w:tc>
      </w:tr>
      <w:tr>
        <w:trPr>
          <w:trHeight w:val="219"/>
        </w:trPr>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11/18/2022</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11/18/2022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2,744</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17,437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11/18/2022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16,611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11/18/2022</w:t>
            </w:r>
          </w:p>
        </w:tc>
        <w:tc>
          <w:tcPr>
            <w:tcW w:w="1100" w:type="dxa"/>
            <w:vAlign w:val="bottom"/>
          </w:tcPr>
          <w:p>
            <w:pPr>
              <w:spacing w:after="0"/>
              <w:rPr>
                <w:sz w:val="11"/>
                <w:szCs w:val="11"/>
                <w:color w:val="auto"/>
              </w:rPr>
            </w:pPr>
          </w:p>
        </w:tc>
        <w:tc>
          <w:tcPr>
            <w:tcW w:w="7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2,744</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w w:val="94"/>
              </w:rPr>
              <w:t>11,023</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2022, 2,744 restricted stock units vested and 826 shares of the Company's common stock were withheld to satisfy tax withholding obligations. The closing price on November 18, 2022 of the Company's common stock on NASDAQ was $40.02 per share.</w:t>
      </w:r>
    </w:p>
    <w:p>
      <w:pPr>
        <w:spacing w:after="0" w:line="1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2019, the reporting person was granted 10,977 restricted stock units, which will vest in three installments, with 5,488 shares vesting on the second anniversary of the grant date, 2,744 sharesvesting on the third anniversary of the grant date and 2,745 shares vesting on the fourth anniversary of the grant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Jared Brandman,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11/22/2022</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811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2022-11-22T16:51:37Z</dcterms:created>
  <dcterms:modified xsi:type="dcterms:W3CDTF">2022-11-22T16:51:37Z</dcterms:modified>
</cp:coreProperties>
</file>