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Brandman Jared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2"/>
          </w:tcPr>
          <w:p>
            <w:pPr>
              <w:ind w:left="8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National Vision Holdings,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15"/>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02/28/2021</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211455</wp:posOffset>
            </wp:positionV>
            <wp:extent cx="6967220" cy="131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5720"/>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598</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center"/>
              <w:ind w:right="281"/>
              <w:spacing w:after="0"/>
              <w:rPr>
                <w:sz w:val="20"/>
                <w:szCs w:val="20"/>
                <w:color w:val="auto"/>
              </w:rPr>
            </w:pPr>
            <w:r>
              <w:rPr>
                <w:rFonts w:ascii="Arial" w:cs="Arial" w:eastAsia="Arial" w:hAnsi="Arial"/>
                <w:sz w:val="17"/>
                <w:szCs w:val="17"/>
                <w:color w:val="0000FF"/>
              </w:rPr>
              <w:t>6,826</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02/28/2021</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212</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2"/>
                <w:szCs w:val="22"/>
                <w:color w:val="auto"/>
              </w:rPr>
            </w:pPr>
          </w:p>
        </w:tc>
        <w:tc>
          <w:tcPr>
            <w:tcW w:w="1320" w:type="dxa"/>
            <w:vAlign w:val="bottom"/>
            <w:gridSpan w:val="3"/>
          </w:tcPr>
          <w:p>
            <w:pPr>
              <w:jc w:val="right"/>
              <w:ind w:right="361"/>
              <w:spacing w:after="0"/>
              <w:rPr>
                <w:sz w:val="20"/>
                <w:szCs w:val="20"/>
                <w:color w:val="auto"/>
              </w:rPr>
            </w:pPr>
            <w:r>
              <w:rPr>
                <w:rFonts w:ascii="Arial" w:cs="Arial" w:eastAsia="Arial" w:hAnsi="Arial"/>
                <w:sz w:val="17"/>
                <w:szCs w:val="17"/>
                <w:color w:val="0000FF"/>
              </w:rPr>
              <w:t>6,614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598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02/28/2021</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598</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12,174</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-2066925</wp:posOffset>
            </wp:positionV>
            <wp:extent cx="7033260" cy="211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1010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include 1,728 shares that were acquired pursuant to the employee stock purchase plan, which acquisitions are exempt from Section 16.</w:t>
      </w:r>
    </w:p>
    <w:p>
      <w:pPr>
        <w:spacing w:after="0" w:line="45" w:lineRule="exact"/>
        <w:rPr>
          <w:rFonts w:ascii="Arial" w:cs="Arial" w:eastAsia="Arial" w:hAnsi="Arial"/>
          <w:sz w:val="13"/>
          <w:szCs w:val="13"/>
          <w:color w:val="008000"/>
        </w:rPr>
      </w:pPr>
    </w:p>
    <w:p>
      <w:pPr>
        <w:ind w:left="40" w:right="4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2021, 598 restricted stock units vested and 212 shares of the Company's common stock were withheld to satisfy tax withholding obligations. The closing price on February 26, 2021 (as February 28, 2021 fell on a weekend) of the Company's common stock on NASDAQ was $47.49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1,795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Jared Brandman</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03/02/2021</w:t>
            </w:r>
          </w:p>
        </w:tc>
      </w:tr>
      <w:tr>
        <w:trPr>
          <w:trHeight w:val="20"/>
        </w:trPr>
        <w:tc>
          <w:tcPr>
            <w:tcW w:w="1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67639" TargetMode="External"/><Relationship Id="rId14"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2021-03-02T15:37:57Z</dcterms:created>
  <dcterms:modified xsi:type="dcterms:W3CDTF">2021-03-02T15:37:57Z</dcterms:modified>
</cp:coreProperties>
</file>