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KKR Vision Aggregator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80"/>
        <w:spacing w:after="0" w:line="331" w:lineRule="auto"/>
        <w:rPr>
          <w:sz w:val="20"/>
          <w:szCs w:val="20"/>
          <w:color w:val="auto"/>
        </w:rPr>
      </w:pPr>
      <w:r>
        <w:rPr>
          <w:rFonts w:ascii="Arial" w:cs="Arial" w:eastAsia="Arial" w:hAnsi="Arial"/>
          <w:sz w:val="18"/>
          <w:szCs w:val="18"/>
          <w:color w:val="0000FF"/>
        </w:rPr>
        <w:t>C/O KOHLBERG KRAVIS ROBERTS &amp; CO. L.P. 9 WEST 57TH STREET, SUITE 4200</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3"/>
                <w:szCs w:val="13"/>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5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720" w:type="dxa"/>
            <w:vAlign w:val="bottom"/>
            <w:gridSpan w:val="3"/>
          </w:tcPr>
          <w:p>
            <w:pPr>
              <w:ind w:left="80"/>
              <w:spacing w:after="0"/>
              <w:rPr>
                <w:sz w:val="20"/>
                <w:szCs w:val="20"/>
                <w:color w:val="auto"/>
              </w:rPr>
            </w:pPr>
            <w:r>
              <w:rPr>
                <w:rFonts w:ascii="Arial" w:cs="Arial" w:eastAsia="Arial" w:hAnsi="Arial"/>
                <w:sz w:val="18"/>
                <w:szCs w:val="18"/>
                <w:color w:val="0000FF"/>
              </w:rPr>
              <w:t>03/26/2018</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4"/>
          <w:szCs w:val="24"/>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8" w:lineRule="exact"/>
        <w:rPr>
          <w:sz w:val="24"/>
          <w:szCs w:val="24"/>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4"/>
          </w:tcPr>
          <w:p>
            <w:pPr>
              <w:ind w:left="220"/>
              <w:spacing w:after="0"/>
              <w:rPr>
                <w:sz w:val="20"/>
                <w:szCs w:val="20"/>
                <w:color w:val="auto"/>
              </w:rPr>
            </w:pPr>
            <w:r>
              <w:rPr>
                <w:rFonts w:ascii="Arial" w:cs="Arial" w:eastAsia="Arial" w:hAnsi="Arial"/>
                <w:sz w:val="12"/>
                <w:szCs w:val="12"/>
                <w:b w:val="1"/>
                <w:bCs w:val="1"/>
                <w:color w:val="auto"/>
                <w:w w:val="98"/>
              </w:rPr>
              <w:t>2A. Deemed</w:t>
            </w:r>
          </w:p>
        </w:tc>
        <w:tc>
          <w:tcPr>
            <w:tcW w:w="38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22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7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32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6"/>
          </w:tcPr>
          <w:p>
            <w:pPr>
              <w:ind w:left="220"/>
              <w:spacing w:after="0" w:line="135" w:lineRule="exact"/>
              <w:rPr>
                <w:sz w:val="20"/>
                <w:szCs w:val="20"/>
                <w:color w:val="auto"/>
              </w:rPr>
            </w:pPr>
            <w:r>
              <w:rPr>
                <w:rFonts w:ascii="Arial" w:cs="Arial" w:eastAsia="Arial" w:hAnsi="Arial"/>
                <w:sz w:val="12"/>
                <w:szCs w:val="12"/>
                <w:b w:val="1"/>
                <w:bCs w:val="1"/>
                <w:color w:val="auto"/>
              </w:rPr>
              <w:t>(Month/Day/Year)  if any</w:t>
            </w:r>
          </w:p>
        </w:tc>
        <w:tc>
          <w:tcPr>
            <w:tcW w:w="3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rPr>
                <w:sz w:val="11"/>
                <w:szCs w:val="11"/>
                <w:color w:val="auto"/>
              </w:rPr>
            </w:pPr>
          </w:p>
        </w:tc>
        <w:tc>
          <w:tcPr>
            <w:tcW w:w="9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gridSpan w:val="5"/>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0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8"/>
                <w:szCs w:val="18"/>
                <w:color w:val="0000FF"/>
                <w:w w:val="86"/>
              </w:rPr>
              <w:t>03/26/2018</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420" w:type="dxa"/>
            <w:vAlign w:val="bottom"/>
          </w:tcPr>
          <w:p>
            <w:pPr>
              <w:spacing w:after="0"/>
              <w:rPr>
                <w:sz w:val="22"/>
                <w:szCs w:val="22"/>
                <w:color w:val="auto"/>
              </w:rPr>
            </w:pPr>
          </w:p>
        </w:tc>
        <w:tc>
          <w:tcPr>
            <w:tcW w:w="960" w:type="dxa"/>
            <w:vAlign w:val="bottom"/>
            <w:vMerge w:val="restart"/>
          </w:tcPr>
          <w:p>
            <w:pPr>
              <w:ind w:left="100"/>
              <w:spacing w:after="0"/>
              <w:rPr>
                <w:sz w:val="20"/>
                <w:szCs w:val="20"/>
                <w:color w:val="auto"/>
              </w:rPr>
            </w:pPr>
            <w:r>
              <w:rPr>
                <w:rFonts w:ascii="Arial" w:cs="Arial" w:eastAsia="Arial" w:hAnsi="Arial"/>
                <w:sz w:val="18"/>
                <w:szCs w:val="18"/>
                <w:color w:val="0000FF"/>
              </w:rPr>
              <w:t>1,444,822</w:t>
            </w:r>
          </w:p>
        </w:tc>
        <w:tc>
          <w:tcPr>
            <w:tcW w:w="8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31.68</w:t>
            </w:r>
            <w:r>
              <w:rPr>
                <w:rFonts w:ascii="Arial" w:cs="Arial" w:eastAsia="Arial" w:hAnsi="Arial"/>
                <w:sz w:val="22"/>
                <w:szCs w:val="22"/>
                <w:color w:val="008000"/>
                <w:w w:val="93"/>
                <w:vertAlign w:val="superscript"/>
              </w:rPr>
              <w:t>(1)</w:t>
            </w:r>
          </w:p>
        </w:tc>
        <w:tc>
          <w:tcPr>
            <w:tcW w:w="60" w:type="dxa"/>
            <w:vAlign w:val="bottom"/>
          </w:tcPr>
          <w:p>
            <w:pPr>
              <w:spacing w:after="0"/>
              <w:rPr>
                <w:sz w:val="22"/>
                <w:szCs w:val="2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8"/>
                <w:szCs w:val="18"/>
                <w:color w:val="0000FF"/>
              </w:rPr>
              <w:t>32,398,495</w:t>
            </w:r>
          </w:p>
        </w:tc>
        <w:tc>
          <w:tcPr>
            <w:tcW w:w="62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320" w:type="dxa"/>
            <w:vAlign w:val="bottom"/>
          </w:tcPr>
          <w:p>
            <w:pPr>
              <w:spacing w:after="0"/>
              <w:rPr>
                <w:sz w:val="22"/>
                <w:szCs w:val="22"/>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0000FF"/>
              </w:rPr>
              <w:t>See</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(2)(3)(4)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7"/>
          </w:tcPr>
          <w:p>
            <w:pPr>
              <w:jc w:val="center"/>
              <w:ind w:left="8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20" w:type="dxa"/>
            <w:vAlign w:val="bottom"/>
            <w:gridSpan w:val="13"/>
          </w:tcPr>
          <w:p>
            <w:pPr>
              <w:jc w:val="center"/>
              <w:ind w:left="16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tcPr>
          <w:p>
            <w:pPr>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w w:val="95"/>
              </w:rPr>
            </w:pPr>
            <w:hyperlink r:id="rId12">
              <w:r>
                <w:rPr>
                  <w:rFonts w:ascii="Arial" w:cs="Arial" w:eastAsia="Arial" w:hAnsi="Arial"/>
                  <w:sz w:val="22"/>
                  <w:szCs w:val="22"/>
                  <w:color w:val="0000EE"/>
                  <w:w w:val="95"/>
                </w:rPr>
                <w:t>KKR Vision Aggregator L.P.</w:t>
              </w:r>
            </w:hyperlink>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w w:val="95"/>
              </w:rPr>
              <w:t>C/O KOHLBERG KRAVIS ROBERTS &amp; CO. L.P.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9 WEST 57TH STREET, SUITE 4200</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10019</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KKR Vision Aggregator GP LLC</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w w:val="95"/>
              </w:rPr>
              <w:t>C/O KOHLBERG KRAVIS ROBERTS &amp; CO. L.P.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9 WEST 57TH STREET, SUITE 4200</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10019</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KKR North America Fund XI L.P.</w:t>
        </w:r>
      </w:hyperlink>
    </w:p>
    <w:p>
      <w:pPr>
        <w:sectPr>
          <w:pgSz w:w="11900" w:h="16838"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34"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4754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475488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10019</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KKR Associates North America XI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KKR North America XI Ltd</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10019</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6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amount represents the secondary public offering price per share of common stock of National Vision Holdings, Inc., less the underwriting discount of $1.32 per share, in connection with the exercise of the underwriters' option to purchase additional shares.</w:t>
      </w:r>
    </w:p>
    <w:p>
      <w:pPr>
        <w:spacing w:after="0" w:line="30" w:lineRule="exact"/>
        <w:rPr>
          <w:rFonts w:ascii="Arial" w:cs="Arial" w:eastAsia="Arial" w:hAnsi="Arial"/>
          <w:sz w:val="14"/>
          <w:szCs w:val="14"/>
          <w:color w:val="008000"/>
        </w:rPr>
      </w:pPr>
    </w:p>
    <w:p>
      <w:pPr>
        <w:ind w:left="20" w:right="26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of National Vision Holdings, Inc. are held by KKR Vision Aggregator L.P. The general partner of KKR Vision Aggregator L.P. is KKR Vision Aggregator GP LLC. The sole member of KKR Vision Aggregator GP LLC is KKR North America Fund XI L.P. The general partner of KKR North America Fund XI L.P. is KKR Associates North America XI L.P. The general partner of KKR Associates North America XI L.P. is KKR North America XI Limited. The sole shareholder of KKR North America XI Limited is KKR Fund Holdings L.P.</w:t>
      </w:r>
    </w:p>
    <w:p>
      <w:pPr>
        <w:spacing w:after="0" w:line="2" w:lineRule="exact"/>
        <w:rPr>
          <w:rFonts w:ascii="Arial" w:cs="Arial" w:eastAsia="Arial" w:hAnsi="Arial"/>
          <w:sz w:val="12"/>
          <w:szCs w:val="12"/>
          <w:color w:val="008000"/>
        </w:rPr>
      </w:pPr>
    </w:p>
    <w:p>
      <w:pPr>
        <w:jc w:val="both"/>
        <w:ind w:left="20" w:righ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KKR Fund Holdings GP Limited is a general partner of KKR Fund Holdings L.P. KKR Group Holdings L.P. is a general partner of KKR Fund Holdings L.P. and the sole shareholder of KKR Fund Holdings GP Limited. KKR Group Limited is the general partner of KKR Group Holdings L.P. KKR &amp; Co. L.P. is the sole shareholder of KKR Group Limited. KKR Management LLC is the general partner of KKR &amp; Co. L.P. Henry R. Kravis and George R. Roberts are the designated members of KKR Management LLC.</w:t>
      </w:r>
    </w:p>
    <w:p>
      <w:pPr>
        <w:spacing w:after="0" w:line="30" w:lineRule="exact"/>
        <w:rPr>
          <w:rFonts w:ascii="Arial" w:cs="Arial" w:eastAsia="Arial" w:hAnsi="Arial"/>
          <w:sz w:val="14"/>
          <w:szCs w:val="14"/>
          <w:color w:val="008000"/>
        </w:rPr>
      </w:pPr>
    </w:p>
    <w:p>
      <w:pPr>
        <w:ind w:left="20" w:right="20" w:firstLine="9"/>
        <w:spacing w:after="0" w:line="29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Because no more than 10 reporting persons can file any one Form 4 through the Securities and Exchange Commission's EDGAR system, certain affiliates of the Reporting Persons have filed a separate Form 4.</w:t>
      </w:r>
    </w:p>
    <w:p>
      <w:pPr>
        <w:sectPr>
          <w:pgSz w:w="11900" w:h="16873" w:orient="portrait"/>
          <w:cols w:equalWidth="0" w:num="1">
            <w:col w:w="11320"/>
          </w:cols>
          <w:pgMar w:left="260" w:top="131" w:right="319" w:bottom="0" w:gutter="0" w:footer="0" w:header="0"/>
        </w:sectPr>
      </w:pPr>
    </w:p>
    <w:p>
      <w:pPr>
        <w:spacing w:after="0" w:line="9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KKR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641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6413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AGGREGATOR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4071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Vision Aggregator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95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9573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general partner By: /s/ Terence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2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728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P. 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44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89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12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6464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64643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KKR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6413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6413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AGGREGATOR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12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/s/ 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81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81760"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893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Attorney-in-fact for William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96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Janetschek,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849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8491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KKR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823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823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FUND XI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023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Associates North America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20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230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KKR North America XI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909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9095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27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1271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Terence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436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14363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Terence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39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8394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Attorney-in-fact for William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96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Janetschek,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099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90995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KKR ASSOCIATES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09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AMERICA XI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3131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3131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North America XI Limited,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89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general partner By: /s/ Terence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28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3728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P. 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44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896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0000FF"/>
        </w:rPr>
        <w:t>03/28/2018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03/28/2018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0000FF"/>
        </w:rPr>
        <w:t>03/28/2018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0000FF"/>
        </w:rPr>
        <w:t>03/28/2018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73" w:orient="portrait"/>
          <w:cols w:equalWidth="0" w:num="2">
            <w:col w:w="9060" w:space="80"/>
            <w:col w:w="2180"/>
          </w:cols>
          <w:pgMar w:left="260" w:top="131" w:right="319" w:bottom="0" w:gutter="0" w:footer="0" w:header="0"/>
          <w:type w:val="continuous"/>
        </w:sectPr>
      </w:pPr>
    </w:p>
    <w:bookmarkStart w:id="2" w:name="page3"/>
    <w:bookmarkEnd w:id="2"/>
    <w:p>
      <w:pPr>
        <w:ind w:left="682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512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KKR NORTH AMERICA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277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13277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LIMITED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49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12649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96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12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000FF"/>
        </w:rPr>
        <w:t>03/28/2018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60" w:space="16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12" Type="http://schemas.openxmlformats.org/officeDocument/2006/relationships/hyperlink" Target="http://www.sec.gov/cgi-bin/browse-edgar?action=getcompany&amp;CIK=0001719992" TargetMode="External"/><Relationship Id="rId13" Type="http://schemas.openxmlformats.org/officeDocument/2006/relationships/hyperlink" Target="http://www.sec.gov/cgi-bin/browse-edgar?action=getcompany&amp;CIK=0001710155" TargetMode="External"/><Relationship Id="rId14" Type="http://schemas.openxmlformats.org/officeDocument/2006/relationships/hyperlink" Target="http://www.sec.gov/cgi-bin/browse-edgar?action=getcompany&amp;CIK=0001719991" TargetMode="External"/><Relationship Id="rId15" Type="http://schemas.openxmlformats.org/officeDocument/2006/relationships/hyperlink" Target="http://www.sec.gov/cgi-bin/browse-edgar?action=getcompany&amp;CIK=0001541293" TargetMode="External"/><Relationship Id="rId17" Type="http://schemas.openxmlformats.org/officeDocument/2006/relationships/hyperlink" Target="http://www.sec.gov/cgi-bin/browse-edgar?action=getcompany&amp;CIK=0001619837" TargetMode="External"/><Relationship Id="rId18" Type="http://schemas.openxmlformats.org/officeDocument/2006/relationships/hyperlink" Target="http://www.sec.gov/cgi-bin/browse-edgar?action=getcompany&amp;CIK=00015524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2019-12-23T21:47:59Z</dcterms:created>
  <dcterms:modified xsi:type="dcterms:W3CDTF">2019-12-23T21:47:59Z</dcterms:modified>
</cp:coreProperties>
</file>