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62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6219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Vaught John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1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10/25/2017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National Vision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EYE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494"/>
        <w:spacing w:after="0" w:line="268" w:lineRule="auto"/>
        <w:rPr>
          <w:sz w:val="20"/>
          <w:szCs w:val="20"/>
          <w:color w:val="auto"/>
        </w:rPr>
      </w:pPr>
      <w:r>
        <w:rPr>
          <w:rFonts w:ascii="Arial" w:cs="Arial" w:eastAsia="Arial" w:hAnsi="Arial"/>
          <w:sz w:val="18"/>
          <w:szCs w:val="18"/>
          <w:color w:val="0000FF"/>
        </w:rPr>
        <w:t>C/O NATIONAL VISION HOLDINGS,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2435 COMMERCE AVENUE, BLDG. 2200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w w:val="92"/>
              </w:rPr>
              <w:t>DULUTHGA</w:t>
            </w:r>
          </w:p>
        </w:tc>
        <w:tc>
          <w:tcPr>
            <w:tcW w:w="1260" w:type="dxa"/>
            <w:vAlign w:val="bottom"/>
          </w:tcPr>
          <w:p>
            <w:pPr>
              <w:jc w:val="right"/>
              <w:spacing w:after="0"/>
              <w:rPr>
                <w:sz w:val="20"/>
                <w:szCs w:val="20"/>
                <w:color w:val="auto"/>
              </w:rPr>
            </w:pPr>
            <w:r>
              <w:rPr>
                <w:rFonts w:ascii="Arial" w:cs="Arial" w:eastAsia="Arial" w:hAnsi="Arial"/>
                <w:sz w:val="18"/>
                <w:szCs w:val="18"/>
                <w:color w:val="0000FF"/>
              </w:rPr>
              <w:t>30096-4980</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6"/>
        <w:spacing w:after="0"/>
        <w:rPr>
          <w:sz w:val="20"/>
          <w:szCs w:val="20"/>
          <w:color w:val="auto"/>
        </w:rPr>
      </w:pPr>
      <w:r>
        <w:rPr>
          <w:rFonts w:ascii="Arial" w:cs="Arial" w:eastAsia="Arial" w:hAnsi="Arial"/>
          <w:sz w:val="18"/>
          <w:szCs w:val="18"/>
          <w:color w:val="0000FF"/>
        </w:rPr>
        <w:t>SVP, Chief Information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04/11/2023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13,490</w:t>
            </w:r>
          </w:p>
        </w:tc>
        <w:tc>
          <w:tcPr>
            <w:tcW w:w="880" w:type="dxa"/>
            <w:vAlign w:val="bottom"/>
          </w:tcPr>
          <w:p>
            <w:pPr>
              <w:ind w:left="280"/>
              <w:spacing w:after="0"/>
              <w:rPr>
                <w:sz w:val="20"/>
                <w:szCs w:val="20"/>
                <w:color w:val="auto"/>
              </w:rPr>
            </w:pPr>
            <w:r>
              <w:rPr>
                <w:rFonts w:ascii="Arial" w:cs="Arial" w:eastAsia="Arial" w:hAnsi="Arial"/>
                <w:sz w:val="18"/>
                <w:szCs w:val="18"/>
                <w:color w:val="0000FF"/>
              </w:rPr>
              <w:t>1.66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03/13/2024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40,279</w:t>
            </w:r>
          </w:p>
        </w:tc>
        <w:tc>
          <w:tcPr>
            <w:tcW w:w="880" w:type="dxa"/>
            <w:vAlign w:val="bottom"/>
          </w:tcPr>
          <w:p>
            <w:pPr>
              <w:ind w:left="280"/>
              <w:spacing w:after="0"/>
              <w:rPr>
                <w:sz w:val="20"/>
                <w:szCs w:val="20"/>
                <w:color w:val="auto"/>
              </w:rPr>
            </w:pPr>
            <w:r>
              <w:rPr>
                <w:rFonts w:ascii="Arial" w:cs="Arial" w:eastAsia="Arial" w:hAnsi="Arial"/>
                <w:sz w:val="18"/>
                <w:szCs w:val="18"/>
                <w:color w:val="0000FF"/>
              </w:rPr>
              <w:t>4.27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03/13/2024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13,426</w:t>
            </w:r>
          </w:p>
        </w:tc>
        <w:tc>
          <w:tcPr>
            <w:tcW w:w="880" w:type="dxa"/>
            <w:vAlign w:val="bottom"/>
          </w:tcPr>
          <w:p>
            <w:pPr>
              <w:ind w:left="280"/>
              <w:spacing w:after="0"/>
              <w:rPr>
                <w:sz w:val="20"/>
                <w:szCs w:val="20"/>
                <w:color w:val="auto"/>
              </w:rPr>
            </w:pPr>
            <w:r>
              <w:rPr>
                <w:rFonts w:ascii="Arial" w:cs="Arial" w:eastAsia="Arial" w:hAnsi="Arial"/>
                <w:sz w:val="18"/>
                <w:szCs w:val="18"/>
                <w:color w:val="0000FF"/>
              </w:rPr>
              <w:t>7.25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03/13/2024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13,426</w:t>
            </w:r>
          </w:p>
        </w:tc>
        <w:tc>
          <w:tcPr>
            <w:tcW w:w="880" w:type="dxa"/>
            <w:vAlign w:val="bottom"/>
          </w:tcPr>
          <w:p>
            <w:pPr>
              <w:ind w:left="280"/>
              <w:spacing w:after="0"/>
              <w:rPr>
                <w:sz w:val="20"/>
                <w:szCs w:val="20"/>
                <w:color w:val="auto"/>
              </w:rPr>
            </w:pPr>
            <w:r>
              <w:rPr>
                <w:rFonts w:ascii="Arial" w:cs="Arial" w:eastAsia="Arial" w:hAnsi="Arial"/>
                <w:sz w:val="18"/>
                <w:szCs w:val="18"/>
                <w:color w:val="0000FF"/>
              </w:rPr>
              <w:t>8.23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stock options are fully vested.</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Of these 40,279 stock options, 13,426 are vested and the remaining 26,853 stock options will vest in two equal annual installments on March 13, 2018 and 2019. An additional 100,698 stock options which remain subject to liquidity-event performance-based vesting conditions are not included in the table above.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stock options are fully vested.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stock options are fully vested.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4"/>
              </w:rPr>
              <w:t>/s/ Jared Brandman, as</w:t>
            </w:r>
          </w:p>
        </w:tc>
        <w:tc>
          <w:tcPr>
            <w:tcW w:w="5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10/25/2017</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Know all by these presents that the undersigned does hereby make, constitute and appoint each of Mitchell Goodman, Jared Brandman and Ronnie Brown, or any one of them, as a true and lawful attorney-in-fact and agent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National Vision Holdings, Inc. (i) 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This Power of Attorney shall remain in full force and effect until the undersigned is no longer required to file Forms 3, 4 and 5 with regard to the undersigned's ownership of or transactions in securities of National Vision Holdings, Inc., unless earlier revoked in writing. The undersigned acknowledges that Mitchell Goodman, Jared Brandman and Ronnie Brown are not assuming any of the undersigned's responsibilities to comply with Section 16 of the Securities Exchange Act of 1934.</w:t>
      </w:r>
    </w:p>
    <w:p>
      <w:pPr>
        <w:spacing w:after="0" w:line="210"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Vaught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33959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39598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Vaught</w:t>
      </w:r>
    </w:p>
    <w:p>
      <w:pPr>
        <w:spacing w:after="0" w:line="200" w:lineRule="exact"/>
        <w:rPr>
          <w:sz w:val="20"/>
          <w:szCs w:val="20"/>
          <w:color w:val="auto"/>
        </w:rPr>
      </w:pPr>
    </w:p>
    <w:p>
      <w:pPr>
        <w:spacing w:after="0" w:line="24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23495</wp:posOffset>
            </wp:positionV>
            <wp:extent cx="12947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47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719842" TargetMode="External"/><Relationship Id="rId12"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2019-12-04T02:39:26Z</dcterms:created>
  <dcterms:modified xsi:type="dcterms:W3CDTF">2019-12-04T02:39:26Z</dcterms:modified>
</cp:coreProperties>
</file>