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673435.xml.htm"/>
      <w:bookmarkStart w:id="1" w:name="kswkform4_17096734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VanDette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8,278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6,166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60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10,090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21,257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6,350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14,907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One-third of these restricted stock units will vest on each anniversary of the grant date, March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Total holdings have been adjusted to reflect an inadvertent error in prior Form 4s.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March 3, 2023, the reporting person was granted 19,050 restricted stock units, which vest in three equal installments on each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22081" TargetMode="External"/><Relationship Id="rId4" Type="http://schemas.openxmlformats.org/officeDocument/2006/relationships/hyperlink" Target="http://www.sec.gov/cgi-bin/browse-edgar?action=getcompany&amp;CIK=000171015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692</Words>
  <Characters>3737</Characters>
  <CharactersWithSpaces>4338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