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0034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00341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6035"/>
                    </a:xfrm>
                    <a:prstGeom prst="rect">
                      <a:avLst/>
                    </a:prstGeom>
                    <a:noFill/>
                  </pic:spPr>
                </pic:pic>
              </a:graphicData>
            </a:graphic>
          </wp:anchor>
        </w:drawing>
        <w:t>UNITED STATES</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33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8-K</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CURRENT REPORT</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8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November 10, 2021</w:t>
      </w:r>
    </w:p>
    <w:p>
      <w:pPr>
        <w:spacing w:after="0" w:line="100"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8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9"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5520" w:type="dxa"/>
            <w:vAlign w:val="bottom"/>
          </w:tcPr>
          <w:p>
            <w:pPr>
              <w:jc w:val="center"/>
              <w:ind w:left="1879"/>
              <w:spacing w:after="0"/>
              <w:rPr>
                <w:sz w:val="20"/>
                <w:szCs w:val="20"/>
                <w:color w:val="auto"/>
              </w:rPr>
            </w:pPr>
            <w:r>
              <w:rPr>
                <w:rFonts w:ascii="Arial" w:cs="Arial" w:eastAsia="Arial" w:hAnsi="Arial"/>
                <w:sz w:val="16"/>
                <w:szCs w:val="16"/>
                <w:b w:val="1"/>
                <w:bCs w:val="1"/>
                <w:color w:val="auto"/>
                <w:w w:val="91"/>
              </w:rPr>
              <w:t>Commission file number 001-38257</w:t>
            </w:r>
          </w:p>
        </w:tc>
        <w:tc>
          <w:tcPr>
            <w:tcW w:w="1260" w:type="dxa"/>
            <w:vAlign w:val="bottom"/>
          </w:tcPr>
          <w:p>
            <w:pPr>
              <w:spacing w:after="0"/>
              <w:rPr>
                <w:sz w:val="18"/>
                <w:szCs w:val="18"/>
                <w:color w:val="auto"/>
              </w:rPr>
            </w:pPr>
          </w:p>
        </w:tc>
      </w:tr>
      <w:tr>
        <w:trPr>
          <w:trHeight w:val="324"/>
        </w:trPr>
        <w:tc>
          <w:tcPr>
            <w:tcW w:w="5520" w:type="dxa"/>
            <w:vAlign w:val="bottom"/>
          </w:tcPr>
          <w:p>
            <w:pPr>
              <w:jc w:val="center"/>
              <w:ind w:right="2859"/>
              <w:spacing w:after="0"/>
              <w:rPr>
                <w:sz w:val="20"/>
                <w:szCs w:val="20"/>
                <w:color w:val="auto"/>
              </w:rPr>
            </w:pPr>
            <w:r>
              <w:rPr>
                <w:rFonts w:ascii="Arial" w:cs="Arial" w:eastAsia="Arial" w:hAnsi="Arial"/>
                <w:sz w:val="16"/>
                <w:szCs w:val="16"/>
                <w:b w:val="1"/>
                <w:bCs w:val="1"/>
                <w:color w:val="auto"/>
                <w:w w:val="93"/>
              </w:rPr>
              <w:t>Delaware</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12"/>
        </w:trPr>
        <w:tc>
          <w:tcPr>
            <w:tcW w:w="5520" w:type="dxa"/>
            <w:vAlign w:val="bottom"/>
          </w:tcPr>
          <w:p>
            <w:pPr>
              <w:jc w:val="center"/>
              <w:ind w:right="2839"/>
              <w:spacing w:after="0"/>
              <w:rPr>
                <w:sz w:val="20"/>
                <w:szCs w:val="20"/>
                <w:color w:val="auto"/>
              </w:rPr>
            </w:pPr>
            <w:r>
              <w:rPr>
                <w:rFonts w:ascii="Arial" w:cs="Arial" w:eastAsia="Arial" w:hAnsi="Arial"/>
                <w:sz w:val="16"/>
                <w:szCs w:val="16"/>
                <w:color w:val="auto"/>
                <w:w w:val="93"/>
              </w:rPr>
              <w:t>(State or other jurisdiction of</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5520" w:type="dxa"/>
            <w:vAlign w:val="bottom"/>
          </w:tcPr>
          <w:p>
            <w:pPr>
              <w:jc w:val="center"/>
              <w:ind w:right="2859"/>
              <w:spacing w:after="0"/>
              <w:rPr>
                <w:sz w:val="20"/>
                <w:szCs w:val="20"/>
                <w:color w:val="auto"/>
              </w:rPr>
            </w:pPr>
            <w:r>
              <w:rPr>
                <w:rFonts w:ascii="Arial" w:cs="Arial" w:eastAsia="Arial" w:hAnsi="Arial"/>
                <w:sz w:val="16"/>
                <w:szCs w:val="16"/>
                <w:color w:val="auto"/>
                <w:w w:val="93"/>
              </w:rPr>
              <w:t>incorporation or organization)</w:t>
            </w:r>
          </w:p>
        </w:tc>
        <w:tc>
          <w:tcPr>
            <w:tcW w:w="12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270"/>
        </w:trPr>
        <w:tc>
          <w:tcPr>
            <w:tcW w:w="5520" w:type="dxa"/>
            <w:vAlign w:val="bottom"/>
          </w:tcPr>
          <w:p>
            <w:pPr>
              <w:jc w:val="center"/>
              <w:ind w:right="2859"/>
              <w:spacing w:after="0"/>
              <w:rPr>
                <w:sz w:val="20"/>
                <w:szCs w:val="20"/>
                <w:color w:val="auto"/>
              </w:rPr>
            </w:pPr>
            <w:r>
              <w:rPr>
                <w:rFonts w:ascii="Arial" w:cs="Arial" w:eastAsia="Arial" w:hAnsi="Arial"/>
                <w:sz w:val="16"/>
                <w:szCs w:val="16"/>
                <w:b w:val="1"/>
                <w:bCs w:val="1"/>
                <w:color w:val="auto"/>
                <w:w w:val="90"/>
              </w:rPr>
              <w:t>2435 Commerce Ave.</w:t>
            </w:r>
          </w:p>
        </w:tc>
        <w:tc>
          <w:tcPr>
            <w:tcW w:w="1260" w:type="dxa"/>
            <w:vAlign w:val="bottom"/>
          </w:tcPr>
          <w:p>
            <w:pPr>
              <w:spacing w:after="0"/>
              <w:rPr>
                <w:sz w:val="23"/>
                <w:szCs w:val="23"/>
                <w:color w:val="auto"/>
              </w:rPr>
            </w:pPr>
          </w:p>
        </w:tc>
      </w:tr>
      <w:tr>
        <w:trPr>
          <w:trHeight w:val="216"/>
        </w:trPr>
        <w:tc>
          <w:tcPr>
            <w:tcW w:w="5520" w:type="dxa"/>
            <w:vAlign w:val="bottom"/>
          </w:tcPr>
          <w:p>
            <w:pPr>
              <w:jc w:val="center"/>
              <w:ind w:right="2839"/>
              <w:spacing w:after="0"/>
              <w:rPr>
                <w:sz w:val="20"/>
                <w:szCs w:val="20"/>
                <w:color w:val="auto"/>
              </w:rPr>
            </w:pPr>
            <w:r>
              <w:rPr>
                <w:rFonts w:ascii="Arial" w:cs="Arial" w:eastAsia="Arial" w:hAnsi="Arial"/>
                <w:sz w:val="16"/>
                <w:szCs w:val="16"/>
                <w:b w:val="1"/>
                <w:bCs w:val="1"/>
                <w:color w:val="auto"/>
                <w:w w:val="92"/>
              </w:rPr>
              <w:t>Building 2200</w:t>
            </w: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16"/>
        </w:trPr>
        <w:tc>
          <w:tcPr>
            <w:tcW w:w="5520" w:type="dxa"/>
            <w:vAlign w:val="bottom"/>
          </w:tcPr>
          <w:p>
            <w:pPr>
              <w:jc w:val="center"/>
              <w:ind w:right="2839"/>
              <w:spacing w:after="0"/>
              <w:rPr>
                <w:sz w:val="20"/>
                <w:szCs w:val="20"/>
                <w:color w:val="auto"/>
              </w:rPr>
            </w:pPr>
            <w:r>
              <w:rPr>
                <w:rFonts w:ascii="Arial" w:cs="Arial" w:eastAsia="Arial" w:hAnsi="Arial"/>
                <w:sz w:val="16"/>
                <w:szCs w:val="16"/>
                <w:b w:val="1"/>
                <w:bCs w:val="1"/>
                <w:color w:val="auto"/>
                <w:w w:val="93"/>
              </w:rPr>
              <w:t>Duluth, Georgia</w:t>
            </w: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16"/>
        </w:trPr>
        <w:tc>
          <w:tcPr>
            <w:tcW w:w="5520" w:type="dxa"/>
            <w:vAlign w:val="bottom"/>
          </w:tcPr>
          <w:p>
            <w:pPr>
              <w:jc w:val="center"/>
              <w:ind w:right="2859"/>
              <w:spacing w:after="0"/>
              <w:rPr>
                <w:sz w:val="20"/>
                <w:szCs w:val="20"/>
                <w:color w:val="auto"/>
              </w:rPr>
            </w:pPr>
            <w:r>
              <w:rPr>
                <w:rFonts w:ascii="Arial" w:cs="Arial" w:eastAsia="Arial" w:hAnsi="Arial"/>
                <w:sz w:val="16"/>
                <w:szCs w:val="16"/>
                <w:color w:val="auto"/>
                <w:w w:val="94"/>
              </w:rPr>
              <w:t>(Address of principal executive offices)</w:t>
            </w:r>
          </w:p>
        </w:tc>
        <w:tc>
          <w:tcPr>
            <w:tcW w:w="1260" w:type="dxa"/>
            <w:vAlign w:val="bottom"/>
          </w:tcPr>
          <w:p>
            <w:pPr>
              <w:spacing w:after="0"/>
              <w:rPr>
                <w:sz w:val="18"/>
                <w:szCs w:val="18"/>
                <w:color w:val="auto"/>
              </w:rPr>
            </w:pPr>
          </w:p>
        </w:tc>
      </w:tr>
      <w:tr>
        <w:trPr>
          <w:trHeight w:val="266"/>
        </w:trPr>
        <w:tc>
          <w:tcPr>
            <w:tcW w:w="5520" w:type="dxa"/>
            <w:vAlign w:val="bottom"/>
          </w:tcPr>
          <w:p>
            <w:pPr>
              <w:jc w:val="center"/>
              <w:ind w:left="1899"/>
              <w:spacing w:after="0" w:line="184" w:lineRule="exact"/>
              <w:rPr>
                <w:sz w:val="20"/>
                <w:szCs w:val="20"/>
                <w:color w:val="auto"/>
              </w:rPr>
            </w:pPr>
            <w:r>
              <w:rPr>
                <w:rFonts w:ascii="Arial" w:cs="Arial" w:eastAsia="Arial" w:hAnsi="Arial"/>
                <w:sz w:val="16"/>
                <w:szCs w:val="16"/>
                <w:b w:val="1"/>
                <w:bCs w:val="1"/>
                <w:color w:val="auto"/>
                <w:w w:val="93"/>
              </w:rPr>
              <w:t>(770) 822</w:t>
            </w:r>
            <w:r>
              <w:rPr>
                <w:rFonts w:ascii="MS PGothic" w:cs="MS PGothic" w:eastAsia="MS PGothic" w:hAnsi="MS PGothic"/>
                <w:sz w:val="16"/>
                <w:szCs w:val="16"/>
                <w:b w:val="1"/>
                <w:bCs w:val="1"/>
                <w:color w:val="auto"/>
                <w:w w:val="93"/>
              </w:rPr>
              <w:t>‑</w:t>
            </w:r>
            <w:r>
              <w:rPr>
                <w:rFonts w:ascii="Arial" w:cs="Arial" w:eastAsia="Arial" w:hAnsi="Arial"/>
                <w:sz w:val="16"/>
                <w:szCs w:val="16"/>
                <w:b w:val="1"/>
                <w:bCs w:val="1"/>
                <w:color w:val="auto"/>
                <w:w w:val="93"/>
              </w:rPr>
              <w:t>3600</w:t>
            </w:r>
          </w:p>
        </w:tc>
        <w:tc>
          <w:tcPr>
            <w:tcW w:w="1260" w:type="dxa"/>
            <w:vAlign w:val="bottom"/>
          </w:tcPr>
          <w:p>
            <w:pPr>
              <w:spacing w:after="0"/>
              <w:rPr>
                <w:sz w:val="23"/>
                <w:szCs w:val="23"/>
                <w:color w:val="auto"/>
              </w:rPr>
            </w:pPr>
          </w:p>
        </w:tc>
      </w:tr>
      <w:tr>
        <w:trPr>
          <w:trHeight w:val="206"/>
        </w:trPr>
        <w:tc>
          <w:tcPr>
            <w:tcW w:w="5520" w:type="dxa"/>
            <w:vAlign w:val="bottom"/>
          </w:tcPr>
          <w:p>
            <w:pPr>
              <w:jc w:val="center"/>
              <w:ind w:left="1879"/>
              <w:spacing w:after="0"/>
              <w:rPr>
                <w:sz w:val="20"/>
                <w:szCs w:val="20"/>
                <w:color w:val="auto"/>
              </w:rPr>
            </w:pPr>
            <w:r>
              <w:rPr>
                <w:rFonts w:ascii="Arial" w:cs="Arial" w:eastAsia="Arial" w:hAnsi="Arial"/>
                <w:sz w:val="16"/>
                <w:szCs w:val="16"/>
                <w:color w:val="auto"/>
                <w:w w:val="91"/>
              </w:rPr>
              <w:t>(Registrant’s telephone number, including area code)</w:t>
            </w:r>
          </w:p>
        </w:tc>
        <w:tc>
          <w:tcPr>
            <w:tcW w:w="1260" w:type="dxa"/>
            <w:vAlign w:val="bottom"/>
          </w:tcPr>
          <w:p>
            <w:pPr>
              <w:spacing w:after="0"/>
              <w:rPr>
                <w:sz w:val="17"/>
                <w:szCs w:val="17"/>
                <w:color w:val="auto"/>
              </w:rPr>
            </w:pPr>
          </w:p>
        </w:tc>
      </w:tr>
    </w:tbl>
    <w:p>
      <w:pPr>
        <w:spacing w:after="0" w:line="87"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0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4"/>
        </w:trPr>
        <w:tc>
          <w:tcPr>
            <w:tcW w:w="4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Title of each class</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8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18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w:t>
      </w:r>
    </w:p>
    <w:p>
      <w:pPr>
        <w:spacing w:after="0" w:line="41" w:lineRule="exact"/>
        <w:rPr>
          <w:sz w:val="24"/>
          <w:szCs w:val="24"/>
          <w:color w:val="auto"/>
        </w:rPr>
      </w:pPr>
    </w:p>
    <w:p>
      <w:pPr>
        <w:spacing w:after="0" w:line="207" w:lineRule="exact"/>
        <w:tabs>
          <w:tab w:leader="none" w:pos="8020" w:val="left"/>
        </w:tabs>
        <w:rPr>
          <w:sz w:val="20"/>
          <w:szCs w:val="20"/>
          <w:color w:val="auto"/>
        </w:rPr>
      </w:pPr>
      <w:r>
        <w:rPr>
          <w:rFonts w:ascii="Arial" w:cs="Arial" w:eastAsia="Arial" w:hAnsi="Arial"/>
          <w:sz w:val="18"/>
          <w:szCs w:val="18"/>
          <w:color w:val="auto"/>
        </w:rPr>
        <w:t>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196"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10, 2021, National Vision Holdings, Inc. (“National Vision”) issued a press release announcing financial results for the quarter ended October 2, 2021. A copy of the release is furnished herewith as Exhibit 99.1 and incorporated by reference herein.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Arial" w:cs="Arial" w:eastAsia="Arial" w:hAnsi="Arial"/>
                <w:sz w:val="18"/>
                <w:szCs w:val="18"/>
                <w:b w:val="1"/>
                <w:bCs w:val="1"/>
                <w:color w:val="auto"/>
              </w:rPr>
              <w:t>EXHIBIT INDEX</w:t>
            </w:r>
          </w:p>
        </w:tc>
      </w:tr>
      <w:tr>
        <w:trPr>
          <w:trHeight w:val="311"/>
        </w:trPr>
        <w:tc>
          <w:tcPr>
            <w:tcW w:w="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480" w:type="dxa"/>
            <w:vAlign w:val="bottom"/>
          </w:tcPr>
          <w:p>
            <w:pPr>
              <w:spacing w:after="0"/>
              <w:rPr>
                <w:sz w:val="24"/>
                <w:szCs w:val="24"/>
                <w:color w:val="auto"/>
              </w:rPr>
            </w:pPr>
          </w:p>
        </w:tc>
      </w:tr>
      <w:tr>
        <w:trPr>
          <w:trHeight w:val="209"/>
        </w:trPr>
        <w:tc>
          <w:tcPr>
            <w:tcW w:w="880" w:type="dxa"/>
            <w:vAlign w:val="bottom"/>
            <w:gridSpan w:val="3"/>
          </w:tcPr>
          <w:p>
            <w:pPr>
              <w:ind w:left="40"/>
              <w:spacing w:after="0"/>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4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November 10, 2021.</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0"/>
        </w:trPr>
        <w:tc>
          <w:tcPr>
            <w:tcW w:w="360" w:type="dxa"/>
            <w:vAlign w:val="bottom"/>
            <w:gridSpan w:val="2"/>
          </w:tcPr>
          <w:p>
            <w:pPr>
              <w:ind w:left="40"/>
              <w:spacing w:after="0"/>
              <w:rPr>
                <w:sz w:val="20"/>
                <w:szCs w:val="20"/>
                <w:color w:val="auto"/>
              </w:rPr>
            </w:pPr>
            <w:r>
              <w:rPr>
                <w:rFonts w:ascii="Arial" w:cs="Arial" w:eastAsia="Arial" w:hAnsi="Arial"/>
                <w:sz w:val="18"/>
                <w:szCs w:val="18"/>
                <w:color w:val="auto"/>
                <w:w w:val="99"/>
              </w:rPr>
              <w:t>104</w:t>
            </w: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08"/>
        </w:trPr>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91"/>
        </w:trPr>
        <w:tc>
          <w:tcPr>
            <w:tcW w:w="3000" w:type="dxa"/>
            <w:vAlign w:val="bottom"/>
          </w:tcPr>
          <w:p>
            <w:pPr>
              <w:spacing w:after="0"/>
              <w:rPr>
                <w:sz w:val="20"/>
                <w:szCs w:val="20"/>
                <w:color w:val="auto"/>
              </w:rPr>
            </w:pPr>
            <w:r>
              <w:rPr>
                <w:rFonts w:ascii="Arial" w:cs="Arial" w:eastAsia="Arial" w:hAnsi="Arial"/>
                <w:sz w:val="18"/>
                <w:szCs w:val="18"/>
                <w:color w:val="auto"/>
              </w:rPr>
              <w:t>Date: November 10, 2021</w:t>
            </w:r>
          </w:p>
        </w:tc>
        <w:tc>
          <w:tcPr>
            <w:tcW w:w="2460" w:type="dxa"/>
            <w:vAlign w:val="bottom"/>
          </w:tcPr>
          <w:p>
            <w:pPr>
              <w:ind w:left="11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22"/>
        </w:trPr>
        <w:tc>
          <w:tcPr>
            <w:tcW w:w="3000" w:type="dxa"/>
            <w:vAlign w:val="bottom"/>
          </w:tcPr>
          <w:p>
            <w:pPr>
              <w:spacing w:after="0"/>
              <w:rPr>
                <w:sz w:val="19"/>
                <w:szCs w:val="19"/>
                <w:color w:val="auto"/>
              </w:rPr>
            </w:pPr>
          </w:p>
        </w:tc>
        <w:tc>
          <w:tcPr>
            <w:tcW w:w="2460" w:type="dxa"/>
            <w:vAlign w:val="bottom"/>
          </w:tcPr>
          <w:p>
            <w:pPr>
              <w:ind w:left="112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0"/>
        </w:trPr>
        <w:tc>
          <w:tcPr>
            <w:tcW w:w="3000" w:type="dxa"/>
            <w:vAlign w:val="bottom"/>
          </w:tcPr>
          <w:p>
            <w:pPr>
              <w:spacing w:after="0"/>
              <w:rPr>
                <w:sz w:val="20"/>
                <w:szCs w:val="20"/>
                <w:color w:val="auto"/>
              </w:rPr>
            </w:pPr>
          </w:p>
        </w:tc>
        <w:tc>
          <w:tcPr>
            <w:tcW w:w="2460" w:type="dxa"/>
            <w:vAlign w:val="bottom"/>
          </w:tcPr>
          <w:p>
            <w:pPr>
              <w:ind w:left="112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0960"/>
          </w:cols>
          <w:pgMar w:left="320" w:top="891"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891540" cy="891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154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Third Quarter 2021 Financial Results;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Updates Fiscal 2021 Outlook</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highlights compared to third quarter 2019:</w:t>
      </w:r>
    </w:p>
    <w:p>
      <w:pPr>
        <w:spacing w:after="0" w:line="2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19.9% to $518.0 million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of 15.7%; Adjusted Comparable Store Sales Growth of 13.3%</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income of $41.0 million; Diluted EPS of $0.45</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of $54.7 million</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of $0.38</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Board authorizes $50 million share repurchase program</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Company makes $50 million Term Loan A prepayment</w:t>
      </w:r>
    </w:p>
    <w:p>
      <w:pPr>
        <w:spacing w:after="0" w:line="3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November 10, 2021 </w:t>
      </w:r>
      <w:r>
        <w:rPr>
          <w:rFonts w:ascii="Arial" w:cs="Arial" w:eastAsia="Arial" w:hAnsi="Arial"/>
          <w:sz w:val="18"/>
          <w:szCs w:val="18"/>
          <w:color w:val="auto"/>
        </w:rPr>
        <w:t>--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third quarter ended October 2, 2021.</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impact of COVID-related store closures last year, consistent with our second quarter earnings release, this release includes a comparison of fiscal 2021 results to fiscal 2019 pre-COVID results, in addition to a condensed comparison to fiscal 2020. For a complete discussion of fiscal 2021 results as compared to fiscal 2020, please see our Quarterly Report on Form 10-Q for the quarter ended October 2, 2021 filed with the Securities and Exchange Commission.</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pleased with our third quarter results, as sales remained healthy with total sales up nearly 20% and comparable store sales up over 13% on a 2-year basis against 2019,” stated Reade Fahs, chief executive officer. “Additionally, despite Delta variant concerns and a decline from an elevated average ticket last year, we delivered a slight comp increase against 2020 on continued growth in customer transactions. All credit goes to the dedicated patient and customer care of the 2,000-plus optometrists and over 13,000 associates at National Vision who continue to successfully navigate the many challenges this environment throws our way.”</w:t>
      </w:r>
    </w:p>
    <w:p>
      <w:pPr>
        <w:spacing w:after="0" w:line="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Mr. Fahs continued, “During the quarter, we opened 14 stores and continue to be excited about our long-term opportunities for expansion and market share growth. Additionally, given our strong cash flows, we made a voluntary $50 million prepayment under our credit agreement earlier this week and today announced our board approved a $50 million stock repurchase program. Looking ahead, as sales trends and customer demand continue to normalize from record levels during the COVID-19 pandemic, we believe we remain in a position of strength to continue to deliver sustainable growth.”</w:t>
      </w:r>
    </w:p>
    <w:p>
      <w:pPr>
        <w:spacing w:after="0" w:line="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Comparable Store Sales Growth, Adjusted Operating Income, Adjusted EBITDA, Adjusted Diluted EPS, Adjusted Operating Margin, Adjusted EBITDA Margin, and EBITDA are not measures recognized under generally accepted accounting principles (“GAAP”). Please see “Non-GAAP Financial Measures” and “Reconciliation of Non-GAAP to GAAP Financial Measures” below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Summary compared to Third Quarter 2019</w:t>
      </w:r>
    </w:p>
    <w:p>
      <w:pPr>
        <w:spacing w:after="0" w:line="12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19.9% to $518.0 million compared to the third quarter of 2019.</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was positively impacted by 1.5% due to the timing of unearned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was 15.7% and Adjusted Comparable Store Sales Growth was 13.3%.</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third quarter of 2021, the Company opened 14 new stores, closed one store, and ended the quarter with 1,262 stores. Overall, store count grew 10.2% from September 28, 2019 to October 2, 2021.</w:t>
      </w:r>
    </w:p>
    <w:p>
      <w:pPr>
        <w:jc w:val="both"/>
        <w:ind w:left="340" w:hanging="332"/>
        <w:spacing w:after="0" w:line="255"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applicable to revenue increased 10.7% to $226.5 million compared to the third quarter of 2019. As a percentage of net revenue, costs applicable to revenue decreased 360 basis points to 43.7% compared to the third quarter of 2019. This decrease as a percentage of net revenue was primarily driven by lower growth in optometrist-related costs, increased eyeglass mix and higher eyeglass margin.</w:t>
      </w:r>
    </w:p>
    <w:p>
      <w:pPr>
        <w:sectPr>
          <w:pgSz w:w="11900" w:h="16838" w:orient="portrait"/>
          <w:cols w:equalWidth="0" w:num="1">
            <w:col w:w="11240"/>
          </w:cols>
          <w:pgMar w:left="320" w:top="121" w:right="339" w:bottom="1440" w:gutter="0" w:footer="0" w:header="0"/>
        </w:sectPr>
      </w:pPr>
    </w:p>
    <w:bookmarkStart w:id="5" w:name="page6"/>
    <w:bookmarkEnd w:id="5"/>
    <w:p>
      <w:pPr>
        <w:jc w:val="both"/>
        <w:ind w:left="340" w:hanging="332"/>
        <w:spacing w:after="0" w:line="254"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increased 14.7% to $218.2 million compared to the third quarter of 2019. As a percentage of net revenue, SG&amp;A decreased 200 basis points to 42.1% compared to the third quarter of 2019. This decrease as a percentage of net revenue was primarily driven by the leverage of corporate overhead and payroll expenses, lower stock compensation expense, and lower performance-based incentive compensation, partially offset by higher advertising investment.</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Net income increased 3,339% to $41.0 million compared to the third quarter of 2019. The net change in margin on unearned revenue benefited Adjusted Diluted EPS by $0.04.</w:t>
      </w:r>
    </w:p>
    <w:p>
      <w:pPr>
        <w:ind w:left="340" w:hanging="332"/>
        <w:spacing w:after="0" w:line="250" w:lineRule="auto"/>
        <w:tabs>
          <w:tab w:leader="none" w:pos="33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Diluted earnings per share increased 2,976% to $0.45 compared to the third quarter of 2019. Adjusted Diluted EPS increased 134% to $0.38 compared to the third quarter of 2019.</w:t>
      </w:r>
    </w:p>
    <w:p>
      <w:pPr>
        <w:jc w:val="both"/>
        <w:ind w:left="340" w:hanging="332"/>
        <w:spacing w:after="0" w:line="25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Income increased 110% to $54.7 million compared to the third quarter of 2019. Adjusted Operating Margin increased 460 basis points to 10.6% compared to the third quarter of 2019. The net change in margin on unearned revenue benefited Adjusted Operating Income by $5.1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Summary compared to Third Quarter 2020 (condensed)</w:t>
      </w:r>
    </w:p>
    <w:p>
      <w:pPr>
        <w:spacing w:after="0" w:line="12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increased 6.7% to $518.0 million compared to the third quarter of 2020.</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revenue was positively impacted by 1.3% due to the timing of unearned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growth was 3.4% and Adjusted Comparable Store Sales Growth was 0.2%.</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opened 14 new stores, closed one store, and ended the quarter with 1,262 stores. Overall, store count grew 5.1% from September 26, 2020 to October 2, 2021.</w:t>
      </w: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increased 16.2% to $41.0 million compared to the third quarter of 2020.</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Diluted earnings per share increased 6.7% to $0.45 compared to the third quarter of 2020. Adjusted Diluted EPS decreased 28.5% to $0.38 compared to the third quarter of 2020. The net change in margin on unearned revenue benefited Adjusted Diluted EPS by $0.04.</w:t>
      </w:r>
    </w:p>
    <w:p>
      <w:pPr>
        <w:jc w:val="both"/>
        <w:ind w:left="340" w:hanging="332"/>
        <w:spacing w:after="0" w:line="255"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Operating Income decreased 19.2% to $54.7 million compared to the third quarter of 2020. Adjusted Operating Margin decreased 340 basis points to 10.6% compared to the third quarter of 2020. The net change in margin on unearned revenue benefited Adjusted Operating Income by $4.9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Period 2021 Summary compared to Nine-Month Period 2019</w:t>
      </w:r>
    </w:p>
    <w:p>
      <w:pPr>
        <w:spacing w:after="0" w:line="12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 increased 21.1% to $1.6 billion compared to the same period of 2019.</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impact from the timing of unearned revenue on net revenue and profitability was immaterial.</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Comparable store sales growth was 15.5% and Adjusted Comparable Store Sales Growth was 15.6%.</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opened 59 new stores, closed two stores, and ended the period with 1,262 stores.</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35"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Costs applicable to revenue increased 11.0% to $687.1 million compared to the same period of 2019. As a percentage of net revenue, costs applicable to revenue decreased 390 basis points to 42.9% compared to the same period of 2019. This decrease as a percentage of net revenue was primarily driven by higher eyeglass margin, a higher mix of exam sales, and a lower growth in optometrist-related costs.</w:t>
      </w:r>
    </w:p>
    <w:p>
      <w:pPr>
        <w:jc w:val="both"/>
        <w:ind w:left="340" w:hanging="332"/>
        <w:spacing w:after="0" w:line="25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increased 19.3% to $676.0 million compared to the same period of 2019. As a percentage of net revenue, SG&amp;A decreased 60 basis points at 42.2% compared to the same period of 2019. The decrease as a percentage of net revenue was primarily driven by the leverage of corporate overhead and occupancy expenses, partially offset by higher performance-based incentive compensation.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increased 323% to $122.0 million compared to the same period of 2019.</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Diluted earnings per share increased 279% to $1.34 compared to the same period of 2019. Adjusted Diluted EPS increased 106% to $1.35 compared to the same period of 2019.</w:t>
      </w:r>
    </w:p>
    <w:p>
      <w:pPr>
        <w:ind w:left="340" w:right="20" w:hanging="332"/>
        <w:spacing w:after="0" w:line="260"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Operating Income increased 92.2% to $188.0 million compared to the same period of 2019. Adjusted Operating Margin increased 430 basis points to 11.7% compared to the same period of 2019.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Period 2021 Summary compared to Nine-Month Period 2020 (condensed)</w:t>
      </w:r>
    </w:p>
    <w:p>
      <w:pPr>
        <w:spacing w:after="0" w:line="12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 increased 31.8% to $1.6 billion compared to the same period of 2020.</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 was positively impacted by 1.2% due to the timing of unearned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Comparable store sales growth was 30.3% and Adjusted Comparable Store Sales Growth was 31.1%.</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increased 10,086% to $122.0 million compared to the same period of 2020.</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Diluted earnings per share increased 9,168% to $1.34 compared to the same period of 2020. Adjusted Diluted EPS increased 221% to $1.35 compared to the same period of 2020. The net change in margin on unearned revenue benefited Adjusted Diluted EPS by $0.10.</w:t>
      </w:r>
    </w:p>
    <w:p>
      <w:pPr>
        <w:jc w:val="both"/>
        <w:ind w:left="340" w:hanging="332"/>
        <w:spacing w:after="0" w:line="255"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Income increased 163% to $188.0 million compared to the same period of 2020. Adjusted Operating Margin increased 580 basis points to 11.7% compared to the same period of 2020. The net change in margin on unearned revenue benefited Adjusted Operating Income by $11.0 million.</w:t>
      </w:r>
    </w:p>
    <w:p>
      <w:pPr>
        <w:sectPr>
          <w:pgSz w:w="11900" w:h="16838" w:orient="portrait"/>
          <w:cols w:equalWidth="0" w:num="1">
            <w:col w:w="11240"/>
          </w:cols>
          <w:pgMar w:left="320" w:top="89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 and Cash Flow Highlights as of October 2, 2021</w:t>
      </w:r>
    </w:p>
    <w:p>
      <w:pPr>
        <w:spacing w:after="0" w:line="121" w:lineRule="exact"/>
        <w:rPr>
          <w:sz w:val="20"/>
          <w:szCs w:val="20"/>
          <w:color w:val="auto"/>
        </w:rPr>
      </w:pPr>
    </w:p>
    <w:p>
      <w:pPr>
        <w:ind w:left="340" w:hanging="332"/>
        <w:spacing w:after="0" w:line="258"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cash balance was $439.1 million as of October 2, 2021. The Company had no borrowings under its $300 million first lien revolving credit facility, exclusive of letters of credit of $6.4 million.</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was $620.0 million as of October 2, 2021, consisting of outstanding first lien term loans, convertible senior notes (“2025 Notes”) and finance lease obligations, net of unamortized discounts.</w:t>
      </w:r>
    </w:p>
    <w:p>
      <w:pPr>
        <w:ind w:left="340" w:right="20" w:hanging="332"/>
        <w:spacing w:after="0" w:line="25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flows from operating activities for the first nine months of 2021 were $233.8 million compared to $203.7 million for the same period of 2020 and $170.9 million for the same period of 2019.</w:t>
      </w:r>
    </w:p>
    <w:p>
      <w:pPr>
        <w:ind w:left="340" w:hanging="332"/>
        <w:spacing w:after="0" w:line="260"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for the first nine months of 2021 totaled $58.9 million compared to $40.8 million for the same period of 2020 and $76.5 million for the same period of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340" w:hanging="332"/>
        <w:spacing w:after="0" w:line="255"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November 8, 2021, the Company's board of directors authorized the Company to repurchase up to $50 million aggregate amount of shares of the Company's Common Stock. Under the share repurchase program, shares may be repurchased from time to time in the Company's discretion through December 30, 2023 using a variety of methods.</w:t>
      </w:r>
    </w:p>
    <w:p>
      <w:pPr>
        <w:spacing w:after="0" w:line="2"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9, 2021, the Company voluntarily prepaid $50 million in existing Term A loans under its credit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Outlook</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updated fiscal 2021 outlook reflects the currently expected impacts related to COVID-19, however, the ultimate impacts of COVID-19 on the Company’s financial outlook remain uncertain. The outlook shown below assumes no material deterioration to the Company’s current business operations as a result of COVID-19 and its variants, governmental actions and regulations, including risks stemming from vaccination and testing programs and mandates. Given the uncertainties, dynamic nature, variants, and unknown duration of the pandemic, the Company is continuing to evaluate the potential impacts of COVID-19 on its business and additional measures that may be taken in response thereto.</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updated outlook for the 52 weeks ending January 1, 2022:</w:t>
      </w:r>
    </w:p>
    <w:p>
      <w:pPr>
        <w:spacing w:after="0" w:line="154"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68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Updated Fiscal 2021 Outlook</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1"/>
              </w:rPr>
              <w:t>Prior Fiscal 2021 Outlook</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1"/>
              </w:rPr>
              <w:t>~75</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~75</w:t>
            </w:r>
          </w:p>
        </w:tc>
      </w:tr>
      <w:tr>
        <w:trPr>
          <w:trHeight w:val="229"/>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3"/>
                <w:szCs w:val="23"/>
                <w:color w:val="auto"/>
                <w:vertAlign w:val="superscript"/>
              </w:rPr>
              <w:t>1</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0"/>
              </w:rPr>
              <w:t>21% - 22%</w:t>
            </w:r>
          </w:p>
        </w:tc>
        <w:tc>
          <w:tcPr>
            <w:tcW w:w="2940" w:type="dxa"/>
            <w:vAlign w:val="bottom"/>
          </w:tcPr>
          <w:p>
            <w:pPr>
              <w:jc w:val="center"/>
              <w:spacing w:after="0"/>
              <w:rPr>
                <w:sz w:val="20"/>
                <w:szCs w:val="20"/>
                <w:color w:val="auto"/>
              </w:rPr>
            </w:pPr>
            <w:r>
              <w:rPr>
                <w:rFonts w:ascii="Arial" w:cs="Arial" w:eastAsia="Arial" w:hAnsi="Arial"/>
                <w:sz w:val="18"/>
                <w:szCs w:val="18"/>
                <w:color w:val="auto"/>
                <w:w w:val="93"/>
              </w:rPr>
              <w:t>19% - 22%</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4"/>
              </w:rPr>
              <w:t>$2.04 - $2.06 billion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$2.01 - $2.06 billion</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4"/>
              </w:rPr>
              <w:t>$180 - $187 million</w:t>
            </w:r>
          </w:p>
        </w:tc>
        <w:tc>
          <w:tcPr>
            <w:tcW w:w="2940" w:type="dxa"/>
            <w:vAlign w:val="bottom"/>
          </w:tcPr>
          <w:p>
            <w:pPr>
              <w:jc w:val="center"/>
              <w:spacing w:after="0"/>
              <w:rPr>
                <w:sz w:val="20"/>
                <w:szCs w:val="20"/>
                <w:color w:val="auto"/>
              </w:rPr>
            </w:pPr>
            <w:r>
              <w:rPr>
                <w:rFonts w:ascii="Arial" w:cs="Arial" w:eastAsia="Arial" w:hAnsi="Arial"/>
                <w:sz w:val="18"/>
                <w:szCs w:val="18"/>
                <w:color w:val="auto"/>
                <w:w w:val="94"/>
              </w:rPr>
              <w:t>$180 - $187 million</w:t>
            </w:r>
          </w:p>
        </w:tc>
      </w:tr>
      <w:tr>
        <w:trPr>
          <w:trHeight w:val="230"/>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2</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0"/>
              </w:rPr>
              <w:t>$1.28 - $1.33</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$1.28 - $1.33</w:t>
            </w: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3</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5"/>
              </w:rPr>
              <w:t>~$98 million</w:t>
            </w:r>
          </w:p>
        </w:tc>
        <w:tc>
          <w:tcPr>
            <w:tcW w:w="2940" w:type="dxa"/>
            <w:vAlign w:val="bottom"/>
          </w:tcPr>
          <w:p>
            <w:pPr>
              <w:jc w:val="center"/>
              <w:spacing w:after="0"/>
              <w:rPr>
                <w:sz w:val="20"/>
                <w:szCs w:val="20"/>
                <w:color w:val="auto"/>
              </w:rPr>
            </w:pPr>
            <w:r>
              <w:rPr>
                <w:rFonts w:ascii="Arial" w:cs="Arial" w:eastAsia="Arial" w:hAnsi="Arial"/>
                <w:sz w:val="18"/>
                <w:szCs w:val="18"/>
                <w:color w:val="auto"/>
                <w:w w:val="97"/>
              </w:rPr>
              <w:t>~$98 million</w:t>
            </w:r>
          </w:p>
        </w:tc>
      </w:tr>
      <w:tr>
        <w:trPr>
          <w:trHeight w:val="229"/>
        </w:trPr>
        <w:tc>
          <w:tcPr>
            <w:tcW w:w="4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4</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5"/>
              </w:rPr>
              <w:t>~$25 million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~$25 million</w:t>
            </w:r>
          </w:p>
        </w:tc>
      </w:tr>
      <w:tr>
        <w:trPr>
          <w:trHeight w:val="230"/>
        </w:trPr>
        <w:tc>
          <w:tcPr>
            <w:tcW w:w="4100" w:type="dxa"/>
            <w:vAlign w:val="bottom"/>
          </w:tcPr>
          <w:p>
            <w:pPr>
              <w:ind w:left="20"/>
              <w:spacing w:after="0" w:line="230"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5</w:t>
            </w:r>
          </w:p>
        </w:tc>
        <w:tc>
          <w:tcPr>
            <w:tcW w:w="3680" w:type="dxa"/>
            <w:vAlign w:val="bottom"/>
          </w:tcPr>
          <w:p>
            <w:pPr>
              <w:jc w:val="center"/>
              <w:ind w:left="430"/>
              <w:spacing w:after="0"/>
              <w:rPr>
                <w:sz w:val="20"/>
                <w:szCs w:val="20"/>
                <w:color w:val="auto"/>
              </w:rPr>
            </w:pPr>
            <w:r>
              <w:rPr>
                <w:rFonts w:ascii="Arial" w:cs="Arial" w:eastAsia="Arial" w:hAnsi="Arial"/>
                <w:sz w:val="18"/>
                <w:szCs w:val="18"/>
                <w:color w:val="auto"/>
                <w:w w:val="94"/>
              </w:rPr>
              <w:t>~26%</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~26%</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6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4"/>
              </w:rPr>
              <w:t>$100 - $105 million</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$100 - $105 million</w:t>
            </w:r>
          </w:p>
        </w:tc>
      </w:tr>
    </w:tbl>
    <w:p>
      <w:pPr>
        <w:spacing w:after="0" w:line="25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1 - For the 52 weeks ending January 1, 2022 compared to the 52 weeks ended January 2, 2021</w:t>
      </w:r>
    </w:p>
    <w:p>
      <w:pPr>
        <w:ind w:left="280"/>
        <w:spacing w:after="0" w:line="201" w:lineRule="auto"/>
        <w:rPr>
          <w:sz w:val="20"/>
          <w:szCs w:val="20"/>
          <w:color w:val="auto"/>
        </w:rPr>
      </w:pPr>
      <w:r>
        <w:rPr>
          <w:rFonts w:ascii="Arial" w:cs="Arial" w:eastAsia="Arial" w:hAnsi="Arial"/>
          <w:sz w:val="14"/>
          <w:szCs w:val="14"/>
          <w:i w:val="1"/>
          <w:iCs w:val="1"/>
          <w:color w:val="auto"/>
        </w:rPr>
        <w:t>2 - Assumes 96.3 million shares, including 12.9 million shares for the convertible notes calculated using the if-converted method</w:t>
      </w:r>
    </w:p>
    <w:p>
      <w:pPr>
        <w:ind w:left="280"/>
        <w:spacing w:after="0" w:line="201" w:lineRule="auto"/>
        <w:rPr>
          <w:sz w:val="20"/>
          <w:szCs w:val="20"/>
          <w:color w:val="auto"/>
        </w:rPr>
      </w:pPr>
      <w:r>
        <w:rPr>
          <w:rFonts w:ascii="Arial" w:cs="Arial" w:eastAsia="Arial" w:hAnsi="Arial"/>
          <w:sz w:val="14"/>
          <w:szCs w:val="14"/>
          <w:i w:val="1"/>
          <w:iCs w:val="1"/>
          <w:color w:val="auto"/>
        </w:rPr>
        <w:t>3 - Includes amortization of acquisition intangibles of approximately $7.5 million for the 52 weeks ending January 1, 2022</w:t>
      </w:r>
    </w:p>
    <w:p>
      <w:pPr>
        <w:ind w:left="280"/>
        <w:spacing w:after="0" w:line="201" w:lineRule="auto"/>
        <w:rPr>
          <w:sz w:val="20"/>
          <w:szCs w:val="20"/>
          <w:color w:val="auto"/>
        </w:rPr>
      </w:pPr>
      <w:r>
        <w:rPr>
          <w:rFonts w:ascii="Arial" w:cs="Arial" w:eastAsia="Arial" w:hAnsi="Arial"/>
          <w:sz w:val="14"/>
          <w:szCs w:val="14"/>
          <w:i w:val="1"/>
          <w:iCs w:val="1"/>
          <w:color w:val="auto"/>
        </w:rPr>
        <w:t>4 - Before the impact of gains or losses related to hedge ineffectiveness and charges related to amortization of debt discounts and deferred financing costs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5 - Excluding the impact of stock option exercises</w:t>
      </w:r>
    </w:p>
    <w:p>
      <w:pPr>
        <w:spacing w:after="0" w:line="200" w:lineRule="exact"/>
        <w:rPr>
          <w:sz w:val="20"/>
          <w:szCs w:val="20"/>
          <w:color w:val="auto"/>
        </w:rPr>
      </w:pP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2021 outlook information provided above includes Adjusted Operating Income and Adjusted Diluted EPS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ectPr>
          <w:pgSz w:w="11900" w:h="16838" w:orient="portrait"/>
          <w:cols w:equalWidth="0" w:num="1">
            <w:col w:w="11240"/>
          </w:cols>
          <w:pgMar w:left="320" w:top="891" w:right="339" w:bottom="1440" w:gutter="0" w:footer="0" w:header="0"/>
        </w:sectPr>
      </w:pPr>
    </w:p>
    <w:bookmarkStart w:id="7" w:name="page8"/>
    <w:bookmarkEnd w:id="7"/>
    <w:p>
      <w:pPr>
        <w:jc w:val="both"/>
        <w:spacing w:after="0" w:line="301" w:lineRule="auto"/>
        <w:rPr>
          <w:sz w:val="20"/>
          <w:szCs w:val="20"/>
          <w:color w:val="auto"/>
        </w:rPr>
      </w:pPr>
      <w:r>
        <w:rPr>
          <w:rFonts w:ascii="Arial" w:cs="Arial" w:eastAsia="Arial" w:hAnsi="Arial"/>
          <w:sz w:val="16"/>
          <w:szCs w:val="16"/>
          <w:i w:val="1"/>
          <w:iCs w:val="1"/>
          <w:color w:val="auto"/>
        </w:rPr>
        <w:t>The fiscal 2021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2021 outlook. The Company uses these forward looking measures internally to assess and benchmark its results and strategic plans.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conference call to discuss the third quarter 2021 financial results is scheduled for today, November 10, 2021, at 10:00 a.m. Eastern Time. The U.S. toll free dial-in for the conference call is 866-754-6931 and the international dial-in is 636-812-6625. The conference passcode is 8189528. A live audio webcast of the conference call will be available on the “Investors” section of the Company’s website </w:t>
      </w:r>
      <w:r>
        <w:rPr>
          <w:rFonts w:ascii="Arial" w:cs="Arial" w:eastAsia="Arial" w:hAnsi="Arial"/>
          <w:sz w:val="18"/>
          <w:szCs w:val="18"/>
          <w:u w:val="single" w:color="auto"/>
          <w:color w:val="0E32E1"/>
        </w:rPr>
        <w:t>www.nationalvision.com/investors</w:t>
      </w:r>
      <w:r>
        <w:rPr>
          <w:rFonts w:ascii="Arial" w:cs="Arial" w:eastAsia="Arial" w:hAnsi="Arial"/>
          <w:sz w:val="18"/>
          <w:szCs w:val="18"/>
          <w:color w:val="auto"/>
        </w:rPr>
        <w:t>, where presentation materials will be posted prior to the conference call.</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telephone replay will be available shortly after the broadcast through Wednesday, November 17, 2021, by dialing 855-859-2056 from the U.S. or 404-537-3406 from international locations, and entering conference passcode 8189528. A replay of the audio webcast will also be archived on the “Investors” section of the Company’s website.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National Vision Holdings, Inc. is the second largest optical retail company in the United States (by sales) with more than 1,200 retail stores in 44 states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2021 Outlook” as well as other statements related to our current beliefs and expectations regarding the performance of our industry, the Company’s strategic direction, market position, prospects and future results. You can identify these forward-looking statements by the use of words such as “outlook,” “guidance,” “believes,” “expects,” “potential,” “continues,” “may,” “will,” “should,” “could,” “seeks,” “projects,” “predicts,” “intends,” “plans,” “estimates,” “anticipates” or the negative version of these words or other comparable words. Caution should be taken 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the COVID-19 pandemic and its resurgence and variants, and the impact of evolving federal, state, and local governmental actions in response thereto, including risks stemming from vaccination and testing programs and mandates; customer behavior in response to the continuing pandemic and its more recent outbreaks of variants; our ability to keep our reopened stores open in a safe and cost-effective manner, or at all, in light of the continuing COVID-19 pandemic and its resurgence and variants; our ability to recruit and retain vision care professionals for our stores in general and in light of the pandemic; our ability to develop, maintain and extend relationships with managed vision care companies, vision insurance providers and other third-party payors; our ability to maintain the performance of our host and legacy brands and our current operating relationships with our host and legacy partners; our ability to adhere to extensive state, local and federal vision care and healthcare laws and regulations; our compliance with managed vision care laws and regulations; our ability to maintain sufficient levels of cash flow from our operations to execute or sustain our growth strategy or obtain additional financing at satisfactory terms or at all; the loss of, or disruption in the operations of, one or more of our distribution centers and/or optical laboratories, resulting in the inability to fulfill customer orders and deliver our products in a timely manner; risks associated with vendors from whom our products are sourced, including our dependence on a limited number of suppliers; our ability to compete successfully; our ability to effectively operate our information technology systems and prevent interruption or security breach; our growth strategy straining our existing resources and causing the performance of our existing stores to suffer; the impact of wage rate increases, inflation, cost increases and increases in raw material prices and energy prices; our ability to successfully implement our marketing, advertising and promotional efforts; risks associated with leasing substantial amounts of space, including future increases in occupancy costs; the impact of certain technological advances, and the greater availability of, or increased consumer preferences for, vision correction alternatives to</w:t>
      </w:r>
    </w:p>
    <w:p>
      <w:pPr>
        <w:sectPr>
          <w:pgSz w:w="11900" w:h="16838" w:orient="portrait"/>
          <w:cols w:equalWidth="0" w:num="1">
            <w:col w:w="11240"/>
          </w:cols>
          <w:pgMar w:left="320" w:top="895" w:right="339" w:bottom="1440" w:gutter="0" w:footer="0" w:header="0"/>
        </w:sectPr>
      </w:pPr>
    </w:p>
    <w:bookmarkStart w:id="8" w:name="page9"/>
    <w:bookmarkEnd w:id="8"/>
    <w:p>
      <w:pPr>
        <w:jc w:val="both"/>
        <w:spacing w:after="0" w:line="268" w:lineRule="auto"/>
        <w:rPr>
          <w:sz w:val="20"/>
          <w:szCs w:val="20"/>
          <w:color w:val="auto"/>
        </w:rPr>
      </w:pPr>
      <w:r>
        <w:rPr>
          <w:rFonts w:ascii="Arial" w:cs="Arial" w:eastAsia="Arial" w:hAnsi="Arial"/>
          <w:sz w:val="17"/>
          <w:szCs w:val="17"/>
          <w:color w:val="auto"/>
        </w:rPr>
        <w:t>prescription eyeglasses or contact lenses, and future drug development for the correction of vision-related problems; our ability to retain our existing senior management team and attract qualified new personnel; overall decline in the health of the economy and other factors impacting consumer spending; our ability to manage our inventory; seasonal fluctuations in our operating results and inventory levels; our reliance on third-party coverage and reimbursement, including government programs, for an increasing portion of our revenues; risks associated with our e-commerce and omni-channel business; product liability, product recall or personal injury issues; our failure to comply with, or changes in, laws, regulations, enforcement activities and other requirements; the impact of any adverse litigation judgments or settlements resulting from legal proceedings relating to our business operations; risk of losses arising from our investments in technological innovators in the optical retail industry; our ability to adequately protect our intellectual property; our significant amount of indebtedness and our ability to generate sufficient cash flow to satisfy our debt obligations; a change in interest rates as well as changes in benchmark rates and uncertainty related to the foregoing; restrictions in our credit agreement that limits our flexibility in operating our business; potential dilution to existing stockholders upon the conversion of our convertible notes; and risks related to owning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latest Annual Report on Form 10-K, our Quarterly Report on Form 10-Q filed on November 10, 2021, and subsequently filed reports, which are accessible on the SEC’s website at www.sec.gov. These factors should not be construed as exhaustive and should be read in conjunction with the other cautionary statements that are included in this release and in our filings with the SEC.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(benefit) and depreciation and amortization.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Adjusted Operating Income: </w:t>
      </w:r>
      <w:r>
        <w:rPr>
          <w:rFonts w:ascii="Arial" w:cs="Arial" w:eastAsia="Arial" w:hAnsi="Arial"/>
          <w:sz w:val="17"/>
          <w:szCs w:val="17"/>
          <w:color w:val="auto"/>
        </w:rPr>
        <w:t>We define Adjusted Operating Income as net income, plus interest expense and income tax provision (benefit),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to exclude stock compensation expense, loss on extinguishment of debt, asset impairment, litigation settlement, secondary offering expenses, management realignment expenses, long-term incentive plan expense, amortization of acquisition intangibles, and other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net income, plus interest expense, income tax provision (benefit) and depreciation and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adjusted to exclude stock compensation expense, loss on extinguishment of</w:t>
      </w:r>
    </w:p>
    <w:p>
      <w:pPr>
        <w:sectPr>
          <w:pgSz w:w="11900" w:h="16838" w:orient="portrait"/>
          <w:cols w:equalWidth="0" w:num="1">
            <w:col w:w="11240"/>
          </w:cols>
          <w:pgMar w:left="320" w:top="895" w:right="3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debt, asset impairment, litigation settlement, secondary offering expenses, management realignment expenses, long-term incentive plan expense, and other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diluted earnings per share, adjusted for the per share impact of stock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on extinguishment of debt, asset impairment, litigation settlement, secondary offering expenses, management realignment expenses, long-term incentive plan expense, amortization of acquisition intangibles, amortization of debt discount and deferred financing costs of our term loan borrowings, amortization of costs related to our 2025 Notes, losses (gains) on change in fair value of derivatives, other expenses, and tax benefit of stock option exercises, less the tax effect of these adjustments. We adjust for amortization of costs related to the 2025 Notes only when adjustment for these costs is not required in the calculation of diluted earnings per share according to U.S. GAAP.</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Adjusted SG&amp;A: </w:t>
      </w:r>
      <w:r>
        <w:rPr>
          <w:rFonts w:ascii="Arial" w:cs="Arial" w:eastAsia="Arial" w:hAnsi="Arial"/>
          <w:sz w:val="18"/>
          <w:szCs w:val="18"/>
          <w:color w:val="auto"/>
        </w:rPr>
        <w:t>We define Adjusted SG&amp;A as SG&amp;A, adjusted to exclude stock compensation expense, secondary offering expenses,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realignment expenses, long-term incentive plan expense, and other expenses.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SG&amp;A Percent of Net Revenue: </w:t>
      </w:r>
      <w:r>
        <w:rPr>
          <w:rFonts w:ascii="Arial" w:cs="Arial" w:eastAsia="Arial" w:hAnsi="Arial"/>
          <w:sz w:val="17"/>
          <w:szCs w:val="17"/>
          <w:color w:val="auto"/>
        </w:rPr>
        <w:t>We define Adjusted SG&amp;A Percent of Net Revenue as Adjusted SG&amp;A as a percentage of net revenue.</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Adjusted Comparable Store Sales Growth: </w:t>
      </w:r>
      <w:r>
        <w:rPr>
          <w:rFonts w:ascii="Arial" w:cs="Arial" w:eastAsia="Arial" w:hAnsi="Arial"/>
          <w:sz w:val="17"/>
          <w:szCs w:val="17"/>
          <w:color w:val="auto"/>
        </w:rPr>
        <w:t>We measure Adjusted Comparable Store Sales Growth as the increase or decrease in sales recorded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in 2020 as a result of the COVID-19 pandemic.</w:t>
      </w:r>
    </w:p>
    <w:p>
      <w:pPr>
        <w:spacing w:after="0" w:line="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EBITDA, Adjusted Operating Income, Adjusted Operating Margin, Adjusted EBITDA, Adjusted EBITDA Margin, Adjusted Diluted EPS, Adjusted SG&amp;A, Adjusted SG&amp;A Percent of Net Revenue, and Adjusted Comparable Store Sales Growth are not recognized terms under GAAP and should not be considered as an alternative to net income or the ratio of net income to net revenue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ectPr>
          <w:pgSz w:w="11900" w:h="16838" w:orient="portrait"/>
          <w:cols w:equalWidth="0" w:num="1">
            <w:col w:w="11240"/>
          </w:cols>
          <w:pgMar w:left="320" w:top="89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October 2, 2021 and January 2,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As of</w:t>
            </w:r>
          </w:p>
        </w:tc>
        <w:tc>
          <w:tcPr>
            <w:tcW w:w="260" w:type="dxa"/>
            <w:vAlign w:val="bottom"/>
          </w:tcPr>
          <w:p>
            <w:pPr>
              <w:spacing w:after="0"/>
              <w:rPr>
                <w:sz w:val="17"/>
                <w:szCs w:val="17"/>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October 2, 2021</w:t>
            </w:r>
          </w:p>
        </w:tc>
        <w:tc>
          <w:tcPr>
            <w:tcW w:w="260" w:type="dxa"/>
            <w:vAlign w:val="bottom"/>
          </w:tcPr>
          <w:p>
            <w:pPr>
              <w:spacing w:after="0"/>
              <w:rPr>
                <w:sz w:val="19"/>
                <w:szCs w:val="19"/>
                <w:color w:val="auto"/>
              </w:rPr>
            </w:pPr>
          </w:p>
        </w:tc>
        <w:tc>
          <w:tcPr>
            <w:tcW w:w="1720" w:type="dxa"/>
            <w:vAlign w:val="bottom"/>
          </w:tcPr>
          <w:p>
            <w:pPr>
              <w:jc w:val="right"/>
              <w:ind w:right="330"/>
              <w:spacing w:after="0"/>
              <w:rPr>
                <w:sz w:val="20"/>
                <w:szCs w:val="20"/>
                <w:color w:val="auto"/>
              </w:rPr>
            </w:pPr>
            <w:r>
              <w:rPr>
                <w:rFonts w:ascii="Arial" w:cs="Arial" w:eastAsia="Arial" w:hAnsi="Arial"/>
                <w:sz w:val="18"/>
                <w:szCs w:val="18"/>
                <w:color w:val="auto"/>
                <w:w w:val="99"/>
              </w:rPr>
              <w:t>January 2, 2021</w:t>
            </w:r>
          </w:p>
        </w:tc>
        <w:tc>
          <w:tcPr>
            <w:tcW w:w="0" w:type="dxa"/>
            <w:vAlign w:val="bottom"/>
          </w:tcPr>
          <w:p>
            <w:pPr>
              <w:spacing w:after="0"/>
              <w:rPr>
                <w:sz w:val="1"/>
                <w:szCs w:val="1"/>
                <w:color w:val="auto"/>
              </w:rPr>
            </w:pPr>
          </w:p>
        </w:tc>
      </w:tr>
      <w:tr>
        <w:trPr>
          <w:trHeight w:val="20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439,117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373,903</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124,637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111,274</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23,484</w:t>
            </w:r>
          </w:p>
        </w:tc>
        <w:tc>
          <w:tcPr>
            <w:tcW w:w="0" w:type="dxa"/>
            <w:vAlign w:val="bottom"/>
          </w:tcPr>
          <w:p>
            <w:pPr>
              <w:spacing w:after="0"/>
              <w:rPr>
                <w:sz w:val="1"/>
                <w:szCs w:val="1"/>
                <w:color w:val="auto"/>
              </w:rPr>
            </w:pPr>
          </w:p>
        </w:tc>
      </w:tr>
      <w:tr>
        <w:trPr>
          <w:trHeight w:val="223"/>
        </w:trPr>
        <w:tc>
          <w:tcPr>
            <w:tcW w:w="71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646,387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566,650</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333,820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341,293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43,893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49,511</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340,141</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1,759,084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1,766,848</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64,861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98,749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110,309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w:t>
            </w: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68,763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58,899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operating lease obligations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58,356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328,680</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Long-term debt and finance lease obligations, less current portion and debt discount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651,763</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Non-current operating lease obligations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325,786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327,371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23,992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20,828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17,415</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80,939</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non-current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119,182</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89"/>
              </w:rPr>
              <w:t>Common stock, $0.01 par value; 200,000 shares authorized; 83,667 and 82,183 shares issued as</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0"/>
              </w:rPr>
              <w:t>of October 2, 2021 and January 2, 2021, respectively; 82,693 and 81,239 shares outstanding as</w:t>
            </w: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of October 2, 2021 and January 2, 2021, respectively</w:t>
            </w:r>
          </w:p>
        </w:tc>
        <w:tc>
          <w:tcPr>
            <w:tcW w:w="2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795,697</w:t>
            </w:r>
          </w:p>
        </w:tc>
        <w:tc>
          <w:tcPr>
            <w:tcW w:w="0" w:type="dxa"/>
            <w:vAlign w:val="bottom"/>
          </w:tcPr>
          <w:p>
            <w:pPr>
              <w:spacing w:after="0"/>
              <w:rPr>
                <w:sz w:val="1"/>
                <w:szCs w:val="1"/>
                <w:color w:val="auto"/>
              </w:rPr>
            </w:pPr>
          </w:p>
        </w:tc>
      </w:tr>
      <w:tr>
        <w:trPr>
          <w:trHeight w:val="230"/>
        </w:trPr>
        <w:tc>
          <w:tcPr>
            <w:tcW w:w="718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142,880</w:t>
            </w:r>
          </w:p>
        </w:tc>
        <w:tc>
          <w:tcPr>
            <w:tcW w:w="0" w:type="dxa"/>
            <w:vAlign w:val="bottom"/>
          </w:tcPr>
          <w:p>
            <w:pPr>
              <w:spacing w:after="0"/>
              <w:rPr>
                <w:sz w:val="1"/>
                <w:szCs w:val="1"/>
                <w:color w:val="auto"/>
              </w:rPr>
            </w:pPr>
          </w:p>
        </w:tc>
      </w:tr>
      <w:tr>
        <w:trPr>
          <w:trHeight w:val="175"/>
        </w:trPr>
        <w:tc>
          <w:tcPr>
            <w:tcW w:w="7180" w:type="dxa"/>
            <w:vAlign w:val="bottom"/>
          </w:tcPr>
          <w:p>
            <w:pPr>
              <w:ind w:left="220"/>
              <w:spacing w:after="0" w:line="176" w:lineRule="exact"/>
              <w:rPr>
                <w:sz w:val="20"/>
                <w:szCs w:val="20"/>
                <w:color w:val="auto"/>
              </w:rPr>
            </w:pPr>
            <w:r>
              <w:rPr>
                <w:rFonts w:ascii="Arial" w:cs="Arial" w:eastAsia="Arial" w:hAnsi="Arial"/>
                <w:sz w:val="18"/>
                <w:szCs w:val="18"/>
                <w:color w:val="auto"/>
                <w:w w:val="98"/>
              </w:rPr>
              <w:t>Treasury stock, at cost; 974 and 944 shares as of October 2, 2021 and January 2, 2021,</w:t>
            </w: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(30,037)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(28,496)</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906,502</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2,405,471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2,333,498</w:t>
            </w:r>
          </w:p>
        </w:tc>
        <w:tc>
          <w:tcPr>
            <w:tcW w:w="0" w:type="dxa"/>
            <w:vAlign w:val="bottom"/>
          </w:tcPr>
          <w:p>
            <w:pPr>
              <w:spacing w:after="0"/>
              <w:rPr>
                <w:sz w:val="1"/>
                <w:szCs w:val="1"/>
                <w:color w:val="auto"/>
              </w:rPr>
            </w:pPr>
          </w:p>
        </w:tc>
      </w:tr>
      <w:tr>
        <w:trPr>
          <w:trHeight w:val="21"/>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October 2, 2021, September 26, 2020 and September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w w:val="89"/>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w w:val="95"/>
              </w:rPr>
              <w:t>Nine Months Ended</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6"/>
                <w:szCs w:val="16"/>
                <w:color w:val="auto"/>
              </w:rPr>
              <w:t>October 2, 2021</w:t>
            </w:r>
          </w:p>
        </w:tc>
        <w:tc>
          <w:tcPr>
            <w:tcW w:w="140" w:type="dxa"/>
            <w:vAlign w:val="bottom"/>
          </w:tcPr>
          <w:p>
            <w:pPr>
              <w:spacing w:after="0"/>
              <w:rPr>
                <w:sz w:val="14"/>
                <w:szCs w:val="14"/>
                <w:color w:val="auto"/>
              </w:rPr>
            </w:pPr>
          </w:p>
        </w:tc>
        <w:tc>
          <w:tcPr>
            <w:tcW w:w="124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September 26,</w:t>
            </w:r>
          </w:p>
        </w:tc>
        <w:tc>
          <w:tcPr>
            <w:tcW w:w="140" w:type="dxa"/>
            <w:vAlign w:val="bottom"/>
          </w:tcPr>
          <w:p>
            <w:pPr>
              <w:spacing w:after="0"/>
              <w:rPr>
                <w:sz w:val="14"/>
                <w:szCs w:val="14"/>
                <w:color w:val="auto"/>
              </w:rPr>
            </w:pPr>
          </w:p>
        </w:tc>
        <w:tc>
          <w:tcPr>
            <w:tcW w:w="12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September 28,</w:t>
            </w: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auto"/>
              </w:rPr>
              <w:t>October 2, 2021</w:t>
            </w:r>
          </w:p>
        </w:tc>
        <w:tc>
          <w:tcPr>
            <w:tcW w:w="140" w:type="dxa"/>
            <w:vAlign w:val="bottom"/>
          </w:tcPr>
          <w:p>
            <w:pPr>
              <w:spacing w:after="0"/>
              <w:rPr>
                <w:sz w:val="14"/>
                <w:szCs w:val="14"/>
                <w:color w:val="auto"/>
              </w:rPr>
            </w:pPr>
          </w:p>
        </w:tc>
        <w:tc>
          <w:tcPr>
            <w:tcW w:w="1240" w:type="dxa"/>
            <w:vAlign w:val="bottom"/>
            <w:gridSpan w:val="2"/>
          </w:tcPr>
          <w:p>
            <w:pPr>
              <w:ind w:left="40"/>
              <w:spacing w:after="0" w:line="162" w:lineRule="exact"/>
              <w:rPr>
                <w:sz w:val="20"/>
                <w:szCs w:val="20"/>
                <w:color w:val="auto"/>
              </w:rPr>
            </w:pPr>
            <w:r>
              <w:rPr>
                <w:rFonts w:ascii="Arial" w:cs="Arial" w:eastAsia="Arial" w:hAnsi="Arial"/>
                <w:sz w:val="16"/>
                <w:szCs w:val="16"/>
                <w:color w:val="auto"/>
              </w:rPr>
              <w:t>September 26,</w:t>
            </w:r>
          </w:p>
        </w:tc>
        <w:tc>
          <w:tcPr>
            <w:tcW w:w="120" w:type="dxa"/>
            <w:vAlign w:val="bottom"/>
          </w:tcPr>
          <w:p>
            <w:pPr>
              <w:spacing w:after="0"/>
              <w:rPr>
                <w:sz w:val="14"/>
                <w:szCs w:val="14"/>
                <w:color w:val="auto"/>
              </w:rPr>
            </w:pPr>
          </w:p>
        </w:tc>
        <w:tc>
          <w:tcPr>
            <w:tcW w:w="1140" w:type="dxa"/>
            <w:vAlign w:val="bottom"/>
          </w:tcPr>
          <w:p>
            <w:pPr>
              <w:jc w:val="right"/>
              <w:ind w:right="79"/>
              <w:spacing w:after="0" w:line="162" w:lineRule="exact"/>
              <w:rPr>
                <w:sz w:val="20"/>
                <w:szCs w:val="20"/>
                <w:color w:val="auto"/>
              </w:rPr>
            </w:pPr>
            <w:r>
              <w:rPr>
                <w:rFonts w:ascii="Arial" w:cs="Arial" w:eastAsia="Arial" w:hAnsi="Arial"/>
                <w:sz w:val="16"/>
                <w:szCs w:val="16"/>
                <w:color w:val="auto"/>
                <w:w w:val="91"/>
              </w:rPr>
              <w:t>September 28,</w:t>
            </w:r>
          </w:p>
        </w:tc>
        <w:tc>
          <w:tcPr>
            <w:tcW w:w="0" w:type="dxa"/>
            <w:vAlign w:val="bottom"/>
          </w:tcPr>
          <w:p>
            <w:pPr>
              <w:spacing w:after="0"/>
              <w:rPr>
                <w:sz w:val="1"/>
                <w:szCs w:val="1"/>
                <w:color w:val="auto"/>
              </w:rPr>
            </w:pPr>
          </w:p>
        </w:tc>
      </w:tr>
      <w:tr>
        <w:trPr>
          <w:trHeight w:val="209"/>
        </w:trPr>
        <w:tc>
          <w:tcPr>
            <w:tcW w:w="32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99"/>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20"/>
              <w:spacing w:after="0"/>
              <w:rPr>
                <w:sz w:val="20"/>
                <w:szCs w:val="20"/>
                <w:color w:val="auto"/>
              </w:rPr>
            </w:pPr>
            <w:r>
              <w:rPr>
                <w:rFonts w:ascii="Arial" w:cs="Arial" w:eastAsia="Arial" w:hAnsi="Arial"/>
                <w:sz w:val="16"/>
                <w:szCs w:val="16"/>
                <w:color w:val="auto"/>
              </w:rPr>
              <w:t>Net product sales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425,594</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403,336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355,789</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1,326,867</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1,005,884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1,096,482</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 of services and plans</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76,113</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274,807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226,086</w:t>
            </w:r>
          </w:p>
        </w:tc>
        <w:tc>
          <w:tcPr>
            <w:tcW w:w="0" w:type="dxa"/>
            <w:vAlign w:val="bottom"/>
          </w:tcPr>
          <w:p>
            <w:pPr>
              <w:spacing w:after="0"/>
              <w:rPr>
                <w:sz w:val="1"/>
                <w:szCs w:val="1"/>
                <w:color w:val="auto"/>
              </w:rPr>
            </w:pPr>
          </w:p>
        </w:tc>
      </w:tr>
      <w:tr>
        <w:trPr>
          <w:trHeight w:val="207"/>
        </w:trPr>
        <w:tc>
          <w:tcPr>
            <w:tcW w:w="3260" w:type="dxa"/>
            <w:vAlign w:val="bottom"/>
          </w:tcPr>
          <w:p>
            <w:pPr>
              <w:ind w:left="360"/>
              <w:spacing w:after="0"/>
              <w:rPr>
                <w:sz w:val="20"/>
                <w:szCs w:val="20"/>
                <w:color w:val="auto"/>
              </w:rPr>
            </w:pPr>
            <w:r>
              <w:rPr>
                <w:rFonts w:ascii="Arial" w:cs="Arial" w:eastAsia="Arial" w:hAnsi="Arial"/>
                <w:sz w:val="16"/>
                <w:szCs w:val="16"/>
                <w:color w:val="auto"/>
              </w:rPr>
              <w:t>Total net revenue</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518,005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485,353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431,902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1,601,674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1,215,064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1,322,568</w:t>
            </w:r>
          </w:p>
        </w:tc>
        <w:tc>
          <w:tcPr>
            <w:tcW w:w="0" w:type="dxa"/>
            <w:vAlign w:val="bottom"/>
          </w:tcPr>
          <w:p>
            <w:pPr>
              <w:spacing w:after="0"/>
              <w:rPr>
                <w:sz w:val="1"/>
                <w:szCs w:val="1"/>
                <w:color w:val="auto"/>
              </w:rPr>
            </w:pPr>
          </w:p>
        </w:tc>
      </w:tr>
      <w:tr>
        <w:trPr>
          <w:trHeight w:val="165"/>
        </w:trPr>
        <w:tc>
          <w:tcPr>
            <w:tcW w:w="32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Costs applicable to revenue (exclusive of</w:t>
            </w: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20"/>
              <w:spacing w:after="0"/>
              <w:rPr>
                <w:sz w:val="20"/>
                <w:szCs w:val="20"/>
                <w:color w:val="auto"/>
              </w:rPr>
            </w:pPr>
            <w:r>
              <w:rPr>
                <w:rFonts w:ascii="Arial" w:cs="Arial" w:eastAsia="Arial" w:hAnsi="Arial"/>
                <w:sz w:val="16"/>
                <w:szCs w:val="16"/>
                <w:color w:val="auto"/>
              </w:rPr>
              <w:t>Products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148,274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144,518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485,090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402,279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444,177</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 and plans</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59,984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202,004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174,801</w:t>
            </w:r>
          </w:p>
        </w:tc>
        <w:tc>
          <w:tcPr>
            <w:tcW w:w="0" w:type="dxa"/>
            <w:vAlign w:val="bottom"/>
          </w:tcPr>
          <w:p>
            <w:pPr>
              <w:spacing w:after="0"/>
              <w:rPr>
                <w:sz w:val="1"/>
                <w:szCs w:val="1"/>
                <w:color w:val="auto"/>
              </w:rPr>
            </w:pPr>
          </w:p>
        </w:tc>
      </w:tr>
      <w:tr>
        <w:trPr>
          <w:trHeight w:val="207"/>
        </w:trPr>
        <w:tc>
          <w:tcPr>
            <w:tcW w:w="3260" w:type="dxa"/>
            <w:vAlign w:val="bottom"/>
          </w:tcPr>
          <w:p>
            <w:pPr>
              <w:ind w:left="360"/>
              <w:spacing w:after="0"/>
              <w:rPr>
                <w:sz w:val="20"/>
                <w:szCs w:val="20"/>
                <w:color w:val="auto"/>
              </w:rPr>
            </w:pPr>
            <w:r>
              <w:rPr>
                <w:rFonts w:ascii="Arial" w:cs="Arial" w:eastAsia="Arial" w:hAnsi="Arial"/>
                <w:sz w:val="16"/>
                <w:szCs w:val="16"/>
                <w:color w:val="auto"/>
              </w:rPr>
              <w:t>Total costs applicable to revenue</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226,458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210,809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204,502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687,094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570,143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618,978</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20"/>
              <w:spacing w:after="0"/>
              <w:rPr>
                <w:sz w:val="20"/>
                <w:szCs w:val="20"/>
                <w:color w:val="auto"/>
              </w:rPr>
            </w:pPr>
            <w:r>
              <w:rPr>
                <w:rFonts w:ascii="Arial" w:cs="Arial" w:eastAsia="Arial" w:hAnsi="Arial"/>
                <w:sz w:val="16"/>
                <w:szCs w:val="16"/>
                <w:color w:val="auto"/>
                <w:w w:val="95"/>
              </w:rPr>
              <w:t>Selling, general and administrative expenses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218,214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190,518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190,290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676,042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520,841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566,444</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63,570</w:t>
            </w:r>
          </w:p>
        </w:tc>
        <w:tc>
          <w:tcPr>
            <w:tcW w:w="0" w:type="dxa"/>
            <w:vAlign w:val="bottom"/>
          </w:tcPr>
          <w:p>
            <w:pPr>
              <w:spacing w:after="0"/>
              <w:rPr>
                <w:sz w:val="1"/>
                <w:szCs w:val="1"/>
                <w:color w:val="auto"/>
              </w:rPr>
            </w:pPr>
          </w:p>
        </w:tc>
      </w:tr>
      <w:tr>
        <w:trPr>
          <w:trHeight w:val="213"/>
        </w:trPr>
        <w:tc>
          <w:tcPr>
            <w:tcW w:w="32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7,387</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Litigation settlement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 (income), net</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2"/>
        </w:trPr>
        <w:tc>
          <w:tcPr>
            <w:tcW w:w="3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216,288</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747,592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614,810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638,376</w:t>
            </w:r>
          </w:p>
        </w:tc>
        <w:tc>
          <w:tcPr>
            <w:tcW w:w="0" w:type="dxa"/>
            <w:vAlign w:val="bottom"/>
          </w:tcPr>
          <w:p>
            <w:pPr>
              <w:spacing w:after="0"/>
              <w:rPr>
                <w:sz w:val="1"/>
                <w:szCs w:val="1"/>
                <w:color w:val="auto"/>
              </w:rPr>
            </w:pPr>
          </w:p>
        </w:tc>
      </w:tr>
      <w:tr>
        <w:trPr>
          <w:trHeight w:val="207"/>
        </w:trPr>
        <w:tc>
          <w:tcPr>
            <w:tcW w:w="326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50,711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54,794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11,112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166,988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65,214</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25,902</w:t>
            </w:r>
          </w:p>
        </w:tc>
        <w:tc>
          <w:tcPr>
            <w:tcW w:w="0" w:type="dxa"/>
            <w:vAlign w:val="bottom"/>
          </w:tcPr>
          <w:p>
            <w:pPr>
              <w:spacing w:after="0"/>
              <w:rPr>
                <w:sz w:val="1"/>
                <w:szCs w:val="1"/>
                <w:color w:val="auto"/>
              </w:rPr>
            </w:pPr>
          </w:p>
        </w:tc>
      </w:tr>
      <w:tr>
        <w:trPr>
          <w:trHeight w:val="213"/>
        </w:trPr>
        <w:tc>
          <w:tcPr>
            <w:tcW w:w="3260" w:type="dxa"/>
            <w:vAlign w:val="bottom"/>
          </w:tcPr>
          <w:p>
            <w:pPr>
              <w:ind w:left="220"/>
              <w:spacing w:after="0"/>
              <w:rPr>
                <w:sz w:val="20"/>
                <w:szCs w:val="20"/>
                <w:color w:val="auto"/>
              </w:rPr>
            </w:pPr>
            <w:r>
              <w:rPr>
                <w:rFonts w:ascii="Arial" w:cs="Arial" w:eastAsia="Arial" w:hAnsi="Arial"/>
                <w:sz w:val="16"/>
                <w:szCs w:val="16"/>
                <w:color w:val="auto"/>
              </w:rPr>
              <w:t>Debt issuance costs</w:t>
            </w:r>
          </w:p>
        </w:tc>
        <w:tc>
          <w:tcPr>
            <w:tcW w:w="3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9,786</w:t>
            </w:r>
          </w:p>
        </w:tc>
        <w:tc>
          <w:tcPr>
            <w:tcW w:w="0" w:type="dxa"/>
            <w:vAlign w:val="bottom"/>
          </w:tcPr>
          <w:p>
            <w:pPr>
              <w:spacing w:after="0"/>
              <w:rPr>
                <w:sz w:val="1"/>
                <w:szCs w:val="1"/>
                <w:color w:val="auto"/>
              </w:rPr>
            </w:pPr>
          </w:p>
        </w:tc>
      </w:tr>
      <w:tr>
        <w:trPr>
          <w:trHeight w:val="207"/>
        </w:trPr>
        <w:tc>
          <w:tcPr>
            <w:tcW w:w="3260" w:type="dxa"/>
            <w:vAlign w:val="bottom"/>
          </w:tcPr>
          <w:p>
            <w:pPr>
              <w:ind w:left="20"/>
              <w:spacing w:after="0"/>
              <w:rPr>
                <w:sz w:val="20"/>
                <w:szCs w:val="20"/>
                <w:color w:val="auto"/>
              </w:rPr>
            </w:pPr>
            <w:r>
              <w:rPr>
                <w:rFonts w:ascii="Arial" w:cs="Arial" w:eastAsia="Arial" w:hAnsi="Arial"/>
                <w:sz w:val="16"/>
                <w:szCs w:val="16"/>
                <w:color w:val="auto"/>
              </w:rPr>
              <w:t>Earnings (loss) before income taxes</w:t>
            </w: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44,968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42,319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(6,547)</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144,727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29,526</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(7,739)</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22,702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40,992</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122,025</w:t>
            </w:r>
          </w:p>
        </w:tc>
        <w:tc>
          <w:tcPr>
            <w:tcW w:w="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28,879</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13"/>
        </w:trPr>
        <w:tc>
          <w:tcPr>
            <w:tcW w:w="3260" w:type="dxa"/>
            <w:vAlign w:val="bottom"/>
          </w:tcPr>
          <w:p>
            <w:pPr>
              <w:ind w:left="22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80,676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78,474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81,729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80,376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78,387</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81,510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6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40,992</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35,289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1,192</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122,025</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28,879</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Unrealized gain (loss) on hedge instruments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166"/>
        </w:trPr>
        <w:tc>
          <w:tcPr>
            <w:tcW w:w="3260" w:type="dxa"/>
            <w:vAlign w:val="bottom"/>
          </w:tcPr>
          <w:p>
            <w:pPr>
              <w:ind w:left="220"/>
              <w:spacing w:after="0" w:line="166" w:lineRule="exact"/>
              <w:rPr>
                <w:sz w:val="20"/>
                <w:szCs w:val="20"/>
                <w:color w:val="auto"/>
              </w:rPr>
            </w:pPr>
            <w:r>
              <w:rPr>
                <w:rFonts w:ascii="Arial" w:cs="Arial" w:eastAsia="Arial" w:hAnsi="Arial"/>
                <w:sz w:val="16"/>
                <w:szCs w:val="16"/>
                <w:color w:val="auto"/>
              </w:rPr>
              <w:t>Tax provision (benefit) of unrealized gain</w:t>
            </w:r>
          </w:p>
        </w:tc>
        <w:tc>
          <w:tcPr>
            <w:tcW w:w="3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175</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3,389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09"/>
        </w:trPr>
        <w:tc>
          <w:tcPr>
            <w:tcW w:w="3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(loss) on hedge instruments</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123,585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26,769</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Note: The three and nine-months ended October 2, 2021 diluted EPS is calculated using the if-converted method for the 2025 Notes adding back $2.4 million and $7.1 million of interest expense (after tax) related to the 2025 Notes, respectively, and assuming conversion of the 2025 Notes at the beginning of 2021.</w:t>
      </w:r>
    </w:p>
    <w:p>
      <w:pPr>
        <w:sectPr>
          <w:pgSz w:w="11900" w:h="16838" w:orient="portrait"/>
          <w:cols w:equalWidth="0" w:num="1">
            <w:col w:w="11240"/>
          </w:cols>
          <w:pgMar w:left="320" w:top="76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October 2, 2021, September 26, 2020 and September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Nine Months Ended</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color w:val="auto"/>
              </w:rPr>
              <w:t>October 2, 2021</w:t>
            </w:r>
          </w:p>
        </w:tc>
        <w:tc>
          <w:tcPr>
            <w:tcW w:w="1480" w:type="dxa"/>
            <w:vAlign w:val="bottom"/>
            <w:gridSpan w:val="3"/>
          </w:tcPr>
          <w:p>
            <w:pPr>
              <w:ind w:left="40"/>
              <w:spacing w:after="0"/>
              <w:rPr>
                <w:sz w:val="20"/>
                <w:szCs w:val="20"/>
                <w:color w:val="auto"/>
              </w:rPr>
            </w:pPr>
            <w:r>
              <w:rPr>
                <w:rFonts w:ascii="Arial" w:cs="Arial" w:eastAsia="Arial" w:hAnsi="Arial"/>
                <w:sz w:val="16"/>
                <w:szCs w:val="16"/>
                <w:color w:val="auto"/>
                <w:w w:val="97"/>
              </w:rPr>
              <w:t>September 26, 2020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w w:val="92"/>
              </w:rPr>
              <w:t>September 28, 2019</w:t>
            </w:r>
          </w:p>
        </w:tc>
      </w:tr>
      <w:tr>
        <w:trPr>
          <w:trHeight w:val="199"/>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122,025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28,879</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72,639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68,970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63,570</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7,387</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13,866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10,840</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3,065</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9,786</w:t>
            </w: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9,966</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(4,988)</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Operating lease right of use assets and lease liabilities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9,748</w:t>
            </w: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27,847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1,694</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and unearned revenue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8,997</w:t>
            </w:r>
          </w:p>
        </w:tc>
      </w:tr>
      <w:tr>
        <w:trPr>
          <w:trHeight w:val="213"/>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liabilities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20,355</w:t>
            </w:r>
          </w:p>
        </w:tc>
      </w:tr>
      <w:tr>
        <w:trPr>
          <w:trHeight w:val="213"/>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233,807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203,716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170,938</w:t>
            </w:r>
          </w:p>
        </w:tc>
      </w:tr>
      <w:tr>
        <w:trPr>
          <w:trHeight w:val="193"/>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(76,472)</w:t>
            </w:r>
          </w:p>
        </w:tc>
      </w:tr>
      <w:tr>
        <w:trPr>
          <w:trHeight w:val="213"/>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r>
      <w:tr>
        <w:trPr>
          <w:trHeight w:val="212"/>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for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(56,445)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(40,514)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(75,908)</w:t>
            </w:r>
          </w:p>
        </w:tc>
      </w:tr>
      <w:tr>
        <w:trPr>
          <w:trHeight w:val="193"/>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566,550</w:t>
            </w: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Repayments on long-term debt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(117,375)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(369,269)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(564,300)</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w:t>
            </w:r>
          </w:p>
        </w:tc>
      </w:tr>
      <w:tr>
        <w:trPr>
          <w:trHeight w:val="213"/>
        </w:trPr>
        <w:tc>
          <w:tcPr>
            <w:tcW w:w="686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19"/>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(2,930)</w:t>
            </w:r>
          </w:p>
        </w:tc>
      </w:tr>
      <w:tr>
        <w:trPr>
          <w:trHeight w:val="213"/>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on finance lease obligations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w:t>
            </w:r>
          </w:p>
        </w:tc>
      </w:tr>
      <w:tr>
        <w:trPr>
          <w:trHeight w:val="213"/>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(112,065)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174,906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(17,742)</w:t>
            </w:r>
          </w:p>
        </w:tc>
      </w:tr>
      <w:tr>
        <w:trPr>
          <w:trHeight w:val="206"/>
        </w:trPr>
        <w:tc>
          <w:tcPr>
            <w:tcW w:w="686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65,297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338,108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77,288</w:t>
            </w:r>
          </w:p>
        </w:tc>
      </w:tr>
      <w:tr>
        <w:trPr>
          <w:trHeight w:val="216"/>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375,159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40,307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17,998</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440,456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378,415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95,286</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9"/>
        </w:trPr>
        <w:tc>
          <w:tcPr>
            <w:tcW w:w="6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25,182</w:t>
            </w:r>
          </w:p>
        </w:tc>
      </w:tr>
      <w:tr>
        <w:trPr>
          <w:trHeight w:val="213"/>
        </w:trPr>
        <w:tc>
          <w:tcPr>
            <w:tcW w:w="6860" w:type="dxa"/>
            <w:vAlign w:val="bottom"/>
          </w:tcPr>
          <w:p>
            <w:pPr>
              <w:ind w:left="20"/>
              <w:spacing w:after="0"/>
              <w:rPr>
                <w:sz w:val="20"/>
                <w:szCs w:val="20"/>
                <w:color w:val="auto"/>
              </w:rPr>
            </w:pPr>
            <w:r>
              <w:rPr>
                <w:rFonts w:ascii="Arial" w:cs="Arial" w:eastAsia="Arial" w:hAnsi="Arial"/>
                <w:sz w:val="16"/>
                <w:szCs w:val="16"/>
                <w:color w:val="auto"/>
              </w:rPr>
              <w:t>Cash paid (received) for taxes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9,293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9"/>
        </w:trPr>
        <w:tc>
          <w:tcPr>
            <w:tcW w:w="6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13,808</w:t>
            </w:r>
          </w:p>
        </w:tc>
      </w:tr>
    </w:tbl>
    <w:p>
      <w:pPr>
        <w:sectPr>
          <w:pgSz w:w="11900" w:h="16838" w:orient="portrait"/>
          <w:cols w:equalWidth="0" w:num="1">
            <w:col w:w="11240"/>
          </w:cols>
          <w:pgMar w:left="320" w:top="8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October 2, 2021, September 26, 2020 and September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gridSpan w:val="5"/>
          </w:tcPr>
          <w:p>
            <w:pPr>
              <w:ind w:left="20"/>
              <w:spacing w:after="0"/>
              <w:rPr>
                <w:sz w:val="20"/>
                <w:szCs w:val="20"/>
                <w:color w:val="auto"/>
              </w:rPr>
            </w:pPr>
            <w:r>
              <w:rPr>
                <w:rFonts w:ascii="Arial" w:cs="Arial" w:eastAsia="Arial" w:hAnsi="Arial"/>
                <w:sz w:val="16"/>
                <w:szCs w:val="16"/>
                <w:b w:val="1"/>
                <w:bCs w:val="1"/>
                <w:color w:val="auto"/>
                <w:w w:val="93"/>
              </w:rPr>
              <w:t>Reconciliation of Adjusted Operating Income to Net Income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color w:val="auto"/>
                <w:w w:val="99"/>
              </w:rPr>
              <w:t>Three Months Ended</w:t>
            </w: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color w:val="auto"/>
                <w:w w:val="96"/>
              </w:rPr>
              <w:t>Nine Months Ended</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90"/>
              </w:rPr>
              <w:t>October 2, 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w w:val="93"/>
              </w:rPr>
              <w:t>September 26,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w w:val="95"/>
              </w:rPr>
              <w:t>September 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spacing w:after="0"/>
              <w:rPr>
                <w:sz w:val="20"/>
                <w:szCs w:val="20"/>
                <w:color w:val="auto"/>
              </w:rPr>
            </w:pPr>
            <w:r>
              <w:rPr>
                <w:rFonts w:ascii="Arial" w:cs="Arial" w:eastAsia="Arial" w:hAnsi="Arial"/>
                <w:sz w:val="16"/>
                <w:szCs w:val="16"/>
                <w:color w:val="auto"/>
                <w:w w:val="99"/>
              </w:rPr>
              <w:t>October 2, 2021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jc w:val="center"/>
              <w:ind w:right="240"/>
              <w:spacing w:after="0" w:line="162" w:lineRule="exact"/>
              <w:rPr>
                <w:sz w:val="20"/>
                <w:szCs w:val="20"/>
                <w:color w:val="auto"/>
              </w:rPr>
            </w:pPr>
            <w:r>
              <w:rPr>
                <w:rFonts w:ascii="Arial" w:cs="Arial" w:eastAsia="Arial" w:hAnsi="Arial"/>
                <w:sz w:val="16"/>
                <w:szCs w:val="16"/>
                <w:color w:val="auto"/>
                <w:w w:val="87"/>
              </w:rPr>
              <w:t>September 26,</w:t>
            </w:r>
          </w:p>
        </w:tc>
        <w:tc>
          <w:tcPr>
            <w:tcW w:w="140" w:type="dxa"/>
            <w:vAlign w:val="bottom"/>
          </w:tcPr>
          <w:p>
            <w:pPr>
              <w:spacing w:after="0"/>
              <w:rPr>
                <w:sz w:val="14"/>
                <w:szCs w:val="14"/>
                <w:color w:val="auto"/>
              </w:rPr>
            </w:pPr>
          </w:p>
        </w:tc>
        <w:tc>
          <w:tcPr>
            <w:tcW w:w="116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89"/>
              </w:rPr>
              <w:t>September 28,</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2019</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9"/>
              </w:rPr>
              <w:t>2020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2019</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40,992</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35,289</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1,192</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122,025</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28,879</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5,743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12,475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7,873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22,169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35,432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25,902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3,976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3,665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2,890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6,123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13,866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8,335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10,840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1"/>
                <w:szCs w:val="21"/>
                <w:color w:val="auto"/>
                <w:vertAlign w:val="superscript"/>
              </w:rPr>
              <w:t>(b)</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9,786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9,786</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7,150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3,516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1,478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20,916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7,387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Secondary offering expenses </w:t>
            </w:r>
            <w:r>
              <w:rPr>
                <w:rFonts w:ascii="Arial" w:cs="Arial" w:eastAsia="Arial" w:hAnsi="Arial"/>
                <w:sz w:val="21"/>
                <w:szCs w:val="21"/>
                <w:color w:val="auto"/>
                <w:vertAlign w:val="superscript"/>
              </w:rPr>
              <w: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1,108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acquisition intangibles </w:t>
            </w:r>
            <w:r>
              <w:rPr>
                <w:rFonts w:ascii="Arial" w:cs="Arial" w:eastAsia="Arial" w:hAnsi="Arial"/>
                <w:sz w:val="21"/>
                <w:szCs w:val="21"/>
                <w:color w:val="auto"/>
                <w:vertAlign w:val="superscript"/>
              </w:rPr>
              <w:t>(h)</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1,872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1,851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1,851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5,553</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(k)</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(1,512)</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1,057</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1,956</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2,206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Adjusted Operating Income</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54,736</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67,742</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26,067</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187,985</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71,381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97,808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 margin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0"/>
        </w:trPr>
        <w:tc>
          <w:tcPr>
            <w:tcW w:w="2960" w:type="dxa"/>
            <w:vAlign w:val="bottom"/>
          </w:tcPr>
          <w:p>
            <w:pPr>
              <w:ind w:left="140"/>
              <w:spacing w:after="0"/>
              <w:rPr>
                <w:sz w:val="20"/>
                <w:szCs w:val="20"/>
                <w:color w:val="auto"/>
              </w:rPr>
            </w:pPr>
            <w:r>
              <w:rPr>
                <w:rFonts w:ascii="Arial" w:cs="Arial" w:eastAsia="Arial" w:hAnsi="Arial"/>
                <w:sz w:val="16"/>
                <w:szCs w:val="16"/>
                <w:b w:val="1"/>
                <w:bCs w:val="1"/>
                <w:color w:val="auto"/>
              </w:rPr>
              <w:t>Adjusted Operating Margin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10.6 %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14.0 %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183"/>
        </w:trPr>
        <w:tc>
          <w:tcPr>
            <w:tcW w:w="5680" w:type="dxa"/>
            <w:vAlign w:val="bottom"/>
            <w:gridSpan w:val="10"/>
          </w:tcPr>
          <w:p>
            <w:pPr>
              <w:ind w:left="180"/>
              <w:spacing w:after="0"/>
              <w:rPr>
                <w:sz w:val="20"/>
                <w:szCs w:val="20"/>
                <w:color w:val="auto"/>
              </w:rPr>
            </w:pPr>
            <w:r>
              <w:rPr>
                <w:rFonts w:ascii="Arial" w:cs="Arial" w:eastAsia="Arial" w:hAnsi="Arial"/>
                <w:sz w:val="14"/>
                <w:szCs w:val="14"/>
                <w:color w:val="auto"/>
                <w:w w:val="99"/>
              </w:rPr>
              <w:t>Note: Percentages reflect line item as a percentage of net revenue, adjusted for rounding</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4500" w:type="dxa"/>
            <w:vAlign w:val="bottom"/>
            <w:gridSpan w:val="8"/>
          </w:tcPr>
          <w:p>
            <w:pPr>
              <w:ind w:left="20"/>
              <w:spacing w:after="0"/>
              <w:rPr>
                <w:sz w:val="20"/>
                <w:szCs w:val="20"/>
                <w:color w:val="auto"/>
              </w:rPr>
            </w:pPr>
            <w:r>
              <w:rPr>
                <w:rFonts w:ascii="Arial" w:cs="Arial" w:eastAsia="Arial" w:hAnsi="Arial"/>
                <w:sz w:val="16"/>
                <w:szCs w:val="16"/>
                <w:b w:val="1"/>
                <w:bCs w:val="1"/>
                <w:color w:val="auto"/>
                <w:w w:val="94"/>
              </w:rPr>
              <w:t>Reconciliation of EBITDA and Adjusted EBITDA to Net Income</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color w:val="auto"/>
                <w:w w:val="90"/>
              </w:rPr>
              <w:t>Three Months Ended</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6"/>
                <w:szCs w:val="16"/>
                <w:color w:val="auto"/>
                <w:w w:val="92"/>
              </w:rPr>
              <w:t>Nine Months Ended</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8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auto"/>
              </w:rPr>
              <w:t>October 2, 2021</w:t>
            </w:r>
          </w:p>
        </w:tc>
        <w:tc>
          <w:tcPr>
            <w:tcW w:w="4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89"/>
              </w:rPr>
              <w:t>September 26,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40"/>
              <w:spacing w:after="0" w:line="162" w:lineRule="exact"/>
              <w:rPr>
                <w:sz w:val="20"/>
                <w:szCs w:val="20"/>
                <w:color w:val="auto"/>
              </w:rPr>
            </w:pPr>
            <w:r>
              <w:rPr>
                <w:rFonts w:ascii="Arial" w:cs="Arial" w:eastAsia="Arial" w:hAnsi="Arial"/>
                <w:sz w:val="16"/>
                <w:szCs w:val="16"/>
                <w:color w:val="auto"/>
                <w:w w:val="89"/>
              </w:rPr>
              <w:t>September 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w w:val="94"/>
              </w:rPr>
              <w:t>October 2, 2021</w:t>
            </w:r>
          </w:p>
        </w:tc>
        <w:tc>
          <w:tcPr>
            <w:tcW w:w="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tcPr>
          <w:p>
            <w:pPr>
              <w:jc w:val="center"/>
              <w:ind w:right="260"/>
              <w:spacing w:after="0" w:line="162" w:lineRule="exact"/>
              <w:rPr>
                <w:sz w:val="20"/>
                <w:szCs w:val="20"/>
                <w:color w:val="auto"/>
              </w:rPr>
            </w:pPr>
            <w:r>
              <w:rPr>
                <w:rFonts w:ascii="Arial" w:cs="Arial" w:eastAsia="Arial" w:hAnsi="Arial"/>
                <w:sz w:val="16"/>
                <w:szCs w:val="16"/>
                <w:color w:val="auto"/>
                <w:w w:val="89"/>
              </w:rPr>
              <w:t>September 26,</w:t>
            </w:r>
          </w:p>
        </w:tc>
        <w:tc>
          <w:tcPr>
            <w:tcW w:w="140" w:type="dxa"/>
            <w:vAlign w:val="bottom"/>
          </w:tcPr>
          <w:p>
            <w:pPr>
              <w:spacing w:after="0"/>
              <w:rPr>
                <w:sz w:val="14"/>
                <w:szCs w:val="14"/>
                <w:color w:val="auto"/>
              </w:rPr>
            </w:pPr>
          </w:p>
        </w:tc>
        <w:tc>
          <w:tcPr>
            <w:tcW w:w="1160" w:type="dxa"/>
            <w:vAlign w:val="bottom"/>
          </w:tcPr>
          <w:p>
            <w:pPr>
              <w:jc w:val="center"/>
              <w:ind w:right="79"/>
              <w:spacing w:after="0" w:line="162" w:lineRule="exact"/>
              <w:rPr>
                <w:sz w:val="20"/>
                <w:szCs w:val="20"/>
                <w:color w:val="auto"/>
              </w:rPr>
            </w:pPr>
            <w:r>
              <w:rPr>
                <w:rFonts w:ascii="Arial" w:cs="Arial" w:eastAsia="Arial" w:hAnsi="Arial"/>
                <w:sz w:val="16"/>
                <w:szCs w:val="16"/>
                <w:color w:val="auto"/>
                <w:w w:val="87"/>
              </w:rPr>
              <w:t>September 28,</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2020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2019</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40,992</w:t>
            </w:r>
          </w:p>
        </w:tc>
        <w:tc>
          <w:tcPr>
            <w:tcW w:w="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35,289</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1,192</w:t>
            </w: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122,025</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28,879</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5,743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12,475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7,873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22,169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35,432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25,902</w:t>
            </w: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3,976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7,030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(7,739)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25,059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22,236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22,336</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72,639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68,970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63,570</w:t>
            </w:r>
          </w:p>
        </w:tc>
        <w:tc>
          <w:tcPr>
            <w:tcW w:w="0" w:type="dxa"/>
            <w:vAlign w:val="bottom"/>
          </w:tcPr>
          <w:p>
            <w:pPr>
              <w:spacing w:after="0"/>
              <w:rPr>
                <w:sz w:val="1"/>
                <w:szCs w:val="1"/>
                <w:color w:val="auto"/>
              </w:rPr>
            </w:pPr>
          </w:p>
        </w:tc>
      </w:tr>
      <w:tr>
        <w:trPr>
          <w:trHeight w:val="213"/>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EBITDA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75,770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77,030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23,662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239,535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98,945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118,998</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3,665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2,890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6,123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10,840</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Loss of extinguishment of debt </w:t>
            </w:r>
            <w:r>
              <w:rPr>
                <w:rFonts w:ascii="Arial" w:cs="Arial" w:eastAsia="Arial" w:hAnsi="Arial"/>
                <w:sz w:val="21"/>
                <w:szCs w:val="21"/>
                <w:color w:val="auto"/>
                <w:vertAlign w:val="superscript"/>
              </w:rPr>
              <w:t>(b)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9,786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9,786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(c)</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7,150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3,516</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20,916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7,387</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4,395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Secondary offering expenses </w:t>
            </w:r>
            <w:r>
              <w:rPr>
                <w:rFonts w:ascii="Arial" w:cs="Arial" w:eastAsia="Arial" w:hAnsi="Arial"/>
                <w:sz w:val="21"/>
                <w:szCs w:val="21"/>
                <w:color w:val="auto"/>
                <w:vertAlign w:val="superscript"/>
              </w:rPr>
              <w:t>(e)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6"/>
        </w:trPr>
        <w:tc>
          <w:tcPr>
            <w:tcW w:w="2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(g)</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(k)</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(1,512)</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1,057</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1,956</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4,423</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77,923</w:t>
            </w:r>
          </w:p>
        </w:tc>
        <w:tc>
          <w:tcPr>
            <w:tcW w:w="4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88,127</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46,552</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255,008</w:t>
            </w:r>
          </w:p>
        </w:tc>
        <w:tc>
          <w:tcPr>
            <w:tcW w:w="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134,797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155,825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 margin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0"/>
        </w:trPr>
        <w:tc>
          <w:tcPr>
            <w:tcW w:w="2960" w:type="dxa"/>
            <w:vAlign w:val="bottom"/>
          </w:tcPr>
          <w:p>
            <w:pPr>
              <w:ind w:left="140"/>
              <w:spacing w:after="0"/>
              <w:rPr>
                <w:sz w:val="20"/>
                <w:szCs w:val="20"/>
                <w:color w:val="auto"/>
              </w:rPr>
            </w:pPr>
            <w:r>
              <w:rPr>
                <w:rFonts w:ascii="Arial" w:cs="Arial" w:eastAsia="Arial" w:hAnsi="Arial"/>
                <w:sz w:val="16"/>
                <w:szCs w:val="16"/>
                <w:b w:val="1"/>
                <w:bCs w:val="1"/>
                <w:color w:val="auto"/>
              </w:rPr>
              <w:t>Adjusted EBITDA Margin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18.2 %</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4"/>
          <w:szCs w:val="14"/>
          <w:color w:val="auto"/>
        </w:rPr>
        <w:t>Note: Percentages reflect line item as a percentage of net revenue, adjusted for rounding</w:t>
      </w:r>
    </w:p>
    <w:p>
      <w:pPr>
        <w:sectPr>
          <w:pgSz w:w="11900" w:h="16838" w:orient="portrait"/>
          <w:cols w:equalWidth="0" w:num="1">
            <w:col w:w="11240"/>
          </w:cols>
          <w:pgMar w:left="320" w:top="76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406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Reconciliation of Adjusted Diluted EPS to Diluted EPS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7"/>
          </w:tcPr>
          <w:p>
            <w:pPr>
              <w:jc w:val="right"/>
              <w:ind w:right="799"/>
              <w:spacing w:after="0"/>
              <w:rPr>
                <w:sz w:val="20"/>
                <w:szCs w:val="20"/>
                <w:color w:val="auto"/>
              </w:rPr>
            </w:pPr>
            <w:r>
              <w:rPr>
                <w:rFonts w:ascii="Arial" w:cs="Arial" w:eastAsia="Arial" w:hAnsi="Arial"/>
                <w:sz w:val="16"/>
                <w:szCs w:val="16"/>
                <w:color w:val="auto"/>
                <w:w w:val="96"/>
              </w:rPr>
              <w:t>Three Months Ended</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1"/>
              </w:rPr>
              <w:t>Nine Months Ended</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 per share amounts</w:t>
            </w:r>
          </w:p>
        </w:tc>
        <w:tc>
          <w:tcPr>
            <w:tcW w:w="400" w:type="dxa"/>
            <w:vAlign w:val="bottom"/>
          </w:tcPr>
          <w:p>
            <w:pPr>
              <w:spacing w:after="0"/>
              <w:rPr>
                <w:sz w:val="14"/>
                <w:szCs w:val="14"/>
                <w:color w:val="auto"/>
              </w:rPr>
            </w:pPr>
          </w:p>
        </w:tc>
        <w:tc>
          <w:tcPr>
            <w:tcW w:w="1160" w:type="dxa"/>
            <w:vAlign w:val="bottom"/>
            <w:gridSpan w:val="5"/>
          </w:tcPr>
          <w:p>
            <w:pPr>
              <w:jc w:val="right"/>
              <w:ind w:right="40"/>
              <w:spacing w:after="0" w:line="162" w:lineRule="exact"/>
              <w:rPr>
                <w:sz w:val="20"/>
                <w:szCs w:val="20"/>
                <w:color w:val="auto"/>
              </w:rPr>
            </w:pPr>
            <w:r>
              <w:rPr>
                <w:rFonts w:ascii="Arial" w:cs="Arial" w:eastAsia="Arial" w:hAnsi="Arial"/>
                <w:sz w:val="16"/>
                <w:szCs w:val="16"/>
                <w:color w:val="auto"/>
                <w:w w:val="95"/>
              </w:rPr>
              <w:t>October 2,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160"/>
              <w:spacing w:after="0" w:line="162" w:lineRule="exact"/>
              <w:rPr>
                <w:sz w:val="20"/>
                <w:szCs w:val="20"/>
                <w:color w:val="auto"/>
              </w:rPr>
            </w:pPr>
            <w:r>
              <w:rPr>
                <w:rFonts w:ascii="Arial" w:cs="Arial" w:eastAsia="Arial" w:hAnsi="Arial"/>
                <w:sz w:val="16"/>
                <w:szCs w:val="16"/>
                <w:color w:val="auto"/>
              </w:rPr>
              <w:t>September 26,</w:t>
            </w:r>
          </w:p>
        </w:tc>
        <w:tc>
          <w:tcPr>
            <w:tcW w:w="100" w:type="dxa"/>
            <w:vAlign w:val="bottom"/>
          </w:tcPr>
          <w:p>
            <w:pPr>
              <w:spacing w:after="0"/>
              <w:rPr>
                <w:sz w:val="14"/>
                <w:szCs w:val="14"/>
                <w:color w:val="auto"/>
              </w:rPr>
            </w:pPr>
          </w:p>
        </w:tc>
        <w:tc>
          <w:tcPr>
            <w:tcW w:w="1260" w:type="dxa"/>
            <w:vAlign w:val="bottom"/>
            <w:gridSpan w:val="4"/>
          </w:tcPr>
          <w:p>
            <w:pPr>
              <w:jc w:val="right"/>
              <w:ind w:right="160"/>
              <w:spacing w:after="0" w:line="162" w:lineRule="exact"/>
              <w:rPr>
                <w:sz w:val="20"/>
                <w:szCs w:val="20"/>
                <w:color w:val="auto"/>
              </w:rPr>
            </w:pPr>
            <w:r>
              <w:rPr>
                <w:rFonts w:ascii="Arial" w:cs="Arial" w:eastAsia="Arial" w:hAnsi="Arial"/>
                <w:sz w:val="16"/>
                <w:szCs w:val="16"/>
                <w:color w:val="auto"/>
              </w:rPr>
              <w:t>September 28,</w:t>
            </w:r>
          </w:p>
        </w:tc>
        <w:tc>
          <w:tcPr>
            <w:tcW w:w="100" w:type="dxa"/>
            <w:vAlign w:val="bottom"/>
          </w:tcPr>
          <w:p>
            <w:pPr>
              <w:spacing w:after="0"/>
              <w:rPr>
                <w:sz w:val="14"/>
                <w:szCs w:val="14"/>
                <w:color w:val="auto"/>
              </w:rPr>
            </w:pPr>
          </w:p>
        </w:tc>
        <w:tc>
          <w:tcPr>
            <w:tcW w:w="1180" w:type="dxa"/>
            <w:vAlign w:val="bottom"/>
            <w:gridSpan w:val="3"/>
          </w:tcPr>
          <w:p>
            <w:pPr>
              <w:jc w:val="right"/>
              <w:ind w:right="60"/>
              <w:spacing w:after="0" w:line="162" w:lineRule="exact"/>
              <w:rPr>
                <w:sz w:val="20"/>
                <w:szCs w:val="20"/>
                <w:color w:val="auto"/>
              </w:rPr>
            </w:pPr>
            <w:r>
              <w:rPr>
                <w:rFonts w:ascii="Arial" w:cs="Arial" w:eastAsia="Arial" w:hAnsi="Arial"/>
                <w:sz w:val="16"/>
                <w:szCs w:val="16"/>
                <w:color w:val="auto"/>
                <w:w w:val="95"/>
              </w:rPr>
              <w:t>October 2, 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ind w:left="40"/>
              <w:spacing w:after="0" w:line="162" w:lineRule="exact"/>
              <w:rPr>
                <w:sz w:val="20"/>
                <w:szCs w:val="20"/>
                <w:color w:val="auto"/>
              </w:rPr>
            </w:pPr>
            <w:r>
              <w:rPr>
                <w:rFonts w:ascii="Arial" w:cs="Arial" w:eastAsia="Arial" w:hAnsi="Arial"/>
                <w:sz w:val="16"/>
                <w:szCs w:val="16"/>
                <w:color w:val="auto"/>
              </w:rPr>
              <w:t>September 26,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79"/>
              <w:spacing w:after="0" w:line="162" w:lineRule="exact"/>
              <w:rPr>
                <w:sz w:val="20"/>
                <w:szCs w:val="20"/>
                <w:color w:val="auto"/>
              </w:rPr>
            </w:pPr>
            <w:r>
              <w:rPr>
                <w:rFonts w:ascii="Arial" w:cs="Arial" w:eastAsia="Arial" w:hAnsi="Arial"/>
                <w:sz w:val="16"/>
                <w:szCs w:val="16"/>
                <w:color w:val="auto"/>
                <w:w w:val="91"/>
              </w:rPr>
              <w:t>September 28,</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3"/>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0.45</w:t>
            </w:r>
          </w:p>
        </w:tc>
        <w:tc>
          <w:tcPr>
            <w:tcW w:w="940" w:type="dxa"/>
            <w:vAlign w:val="bottom"/>
            <w:gridSpan w:val="3"/>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0.42</w:t>
            </w:r>
          </w:p>
        </w:tc>
        <w:tc>
          <w:tcPr>
            <w:tcW w:w="98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0.01</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0.04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w w:val="89"/>
              </w:rPr>
              <w:t>0.08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1"/>
                <w:szCs w:val="21"/>
                <w:color w:val="auto"/>
                <w:vertAlign w:val="superscript"/>
              </w:rPr>
              <w:t>(b)</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0.12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Asset impairment </w:t>
            </w:r>
            <w:r>
              <w:rPr>
                <w:rFonts w:ascii="Arial" w:cs="Arial" w:eastAsia="Arial" w:hAnsi="Arial"/>
                <w:sz w:val="21"/>
                <w:szCs w:val="21"/>
                <w:color w:val="auto"/>
                <w:vertAlign w:val="superscript"/>
              </w:rPr>
              <w:t>(c)</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w w:val="89"/>
              </w:rPr>
              <w:t>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Litigation settlement </w:t>
            </w:r>
            <w:r>
              <w:rPr>
                <w:rFonts w:ascii="Arial" w:cs="Arial" w:eastAsia="Arial" w:hAnsi="Arial"/>
                <w:sz w:val="21"/>
                <w:szCs w:val="21"/>
                <w:color w:val="auto"/>
                <w:vertAlign w:val="superscript"/>
              </w:rPr>
              <w:t>(d)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Secondary offering expenses </w:t>
            </w:r>
            <w:r>
              <w:rPr>
                <w:rFonts w:ascii="Arial" w:cs="Arial" w:eastAsia="Arial" w:hAnsi="Arial"/>
                <w:sz w:val="21"/>
                <w:szCs w:val="21"/>
                <w:color w:val="auto"/>
                <w:vertAlign w:val="superscript"/>
              </w:rPr>
              <w:t>(e)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w w:val="89"/>
              </w:rPr>
              <w:t>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(f)</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w w:val="89"/>
              </w:rPr>
              <w:t>0.01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of acquisition intangibles </w:t>
            </w:r>
            <w:r>
              <w:rPr>
                <w:rFonts w:ascii="Arial" w:cs="Arial" w:eastAsia="Arial" w:hAnsi="Arial"/>
                <w:sz w:val="21"/>
                <w:szCs w:val="21"/>
                <w:color w:val="auto"/>
                <w:vertAlign w:val="superscript"/>
              </w:rPr>
              <w:t>(h)</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0.02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line="166" w:lineRule="exact"/>
              <w:rPr>
                <w:sz w:val="20"/>
                <w:szCs w:val="20"/>
                <w:color w:val="auto"/>
              </w:rPr>
            </w:pPr>
            <w:r>
              <w:rPr>
                <w:rFonts w:ascii="Arial" w:cs="Arial" w:eastAsia="Arial" w:hAnsi="Arial"/>
                <w:sz w:val="16"/>
                <w:szCs w:val="16"/>
                <w:color w:val="auto"/>
                <w:w w:val="96"/>
              </w:rPr>
              <w:t>Amortization of debt discount and deferred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0.00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w w:val="89"/>
              </w:rPr>
              <w:t>0.00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0.09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2"/>
        </w:trPr>
        <w:tc>
          <w:tcPr>
            <w:tcW w:w="294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financing costs </w:t>
            </w:r>
            <w:r>
              <w:rPr>
                <w:rFonts w:ascii="Arial" w:cs="Arial" w:eastAsia="Arial" w:hAnsi="Arial"/>
                <w:sz w:val="21"/>
                <w:szCs w:val="21"/>
                <w:color w:val="auto"/>
                <w:vertAlign w:val="superscript"/>
              </w:rPr>
              <w:t>(i)</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Losses (gains) on change in fair value of</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derivatives </w:t>
            </w:r>
            <w:r>
              <w:rPr>
                <w:rFonts w:ascii="Arial" w:cs="Arial" w:eastAsia="Arial" w:hAnsi="Arial"/>
                <w:sz w:val="21"/>
                <w:szCs w:val="21"/>
                <w:color w:val="auto"/>
                <w:vertAlign w:val="superscript"/>
              </w:rPr>
              <w:t>(j)</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(o)</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rPr>
              <w:t>(0.02)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w w:val="89"/>
              </w:rPr>
              <w:t>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benefit of stock option exercises </w:t>
            </w:r>
            <w:r>
              <w:rPr>
                <w:rFonts w:ascii="Arial" w:cs="Arial" w:eastAsia="Arial" w:hAnsi="Arial"/>
                <w:sz w:val="21"/>
                <w:szCs w:val="21"/>
                <w:color w:val="auto"/>
                <w:vertAlign w:val="superscript"/>
              </w:rPr>
              <w:t>(l)</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5"/>
              </w:rPr>
              <w:t>(0.04)</w:t>
            </w:r>
          </w:p>
        </w:tc>
        <w:tc>
          <w:tcPr>
            <w:tcW w:w="136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total adjustments </w:t>
            </w:r>
            <w:r>
              <w:rPr>
                <w:rFonts w:ascii="Arial" w:cs="Arial" w:eastAsia="Arial" w:hAnsi="Arial"/>
                <w:sz w:val="21"/>
                <w:szCs w:val="21"/>
                <w:color w:val="auto"/>
                <w:vertAlign w:val="superscript"/>
              </w:rPr>
              <w:t>(m)</w:t>
            </w:r>
          </w:p>
        </w:tc>
        <w:tc>
          <w:tcPr>
            <w:tcW w:w="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(0.01)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w w:val="95"/>
              </w:rPr>
              <w:t>(0.05)</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(0.16)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Adjusted Diluted EPS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0.38</w:t>
            </w:r>
          </w:p>
        </w:tc>
        <w:tc>
          <w:tcPr>
            <w:tcW w:w="940" w:type="dxa"/>
            <w:vAlign w:val="bottom"/>
            <w:gridSpan w:val="3"/>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0.54</w:t>
            </w:r>
          </w:p>
        </w:tc>
        <w:tc>
          <w:tcPr>
            <w:tcW w:w="980" w:type="dxa"/>
            <w:vAlign w:val="bottom"/>
            <w:gridSpan w:val="2"/>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0.16</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3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Weighted average diluted shares outstanding</w:t>
            </w:r>
          </w:p>
        </w:tc>
        <w:tc>
          <w:tcPr>
            <w:tcW w:w="1040" w:type="dxa"/>
            <w:vAlign w:val="bottom"/>
            <w:gridSpan w:val="4"/>
          </w:tcPr>
          <w:p>
            <w:pPr>
              <w:jc w:val="right"/>
              <w:ind w:right="60"/>
              <w:spacing w:after="0"/>
              <w:rPr>
                <w:sz w:val="20"/>
                <w:szCs w:val="20"/>
                <w:color w:val="auto"/>
              </w:rPr>
            </w:pPr>
            <w:r>
              <w:rPr>
                <w:rFonts w:ascii="Arial" w:cs="Arial" w:eastAsia="Arial" w:hAnsi="Arial"/>
                <w:sz w:val="16"/>
                <w:szCs w:val="16"/>
                <w:color w:val="auto"/>
              </w:rPr>
              <w:t>96,508</w:t>
            </w:r>
          </w:p>
        </w:tc>
        <w:tc>
          <w:tcPr>
            <w:tcW w:w="1380" w:type="dxa"/>
            <w:vAlign w:val="bottom"/>
            <w:gridSpan w:val="6"/>
          </w:tcPr>
          <w:p>
            <w:pPr>
              <w:jc w:val="right"/>
              <w:ind w:right="60"/>
              <w:spacing w:after="0"/>
              <w:rPr>
                <w:sz w:val="20"/>
                <w:szCs w:val="20"/>
                <w:color w:val="auto"/>
              </w:rPr>
            </w:pPr>
            <w:r>
              <w:rPr>
                <w:rFonts w:ascii="Arial" w:cs="Arial" w:eastAsia="Arial" w:hAnsi="Arial"/>
                <w:sz w:val="16"/>
                <w:szCs w:val="16"/>
                <w:color w:val="auto"/>
              </w:rPr>
              <w:t>83,795</w:t>
            </w:r>
          </w:p>
        </w:tc>
        <w:tc>
          <w:tcPr>
            <w:tcW w:w="1360" w:type="dxa"/>
            <w:vAlign w:val="bottom"/>
            <w:gridSpan w:val="5"/>
          </w:tcPr>
          <w:p>
            <w:pPr>
              <w:jc w:val="right"/>
              <w:ind w:right="80"/>
              <w:spacing w:after="0"/>
              <w:rPr>
                <w:sz w:val="20"/>
                <w:szCs w:val="20"/>
                <w:color w:val="auto"/>
              </w:rPr>
            </w:pPr>
            <w:r>
              <w:rPr>
                <w:rFonts w:ascii="Arial" w:cs="Arial" w:eastAsia="Arial" w:hAnsi="Arial"/>
                <w:sz w:val="16"/>
                <w:szCs w:val="16"/>
                <w:color w:val="auto"/>
              </w:rPr>
              <w:t>81,561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96,193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82,718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81,510</w:t>
            </w:r>
          </w:p>
        </w:tc>
        <w:tc>
          <w:tcPr>
            <w:tcW w:w="0" w:type="dxa"/>
            <w:vAlign w:val="bottom"/>
          </w:tcPr>
          <w:p>
            <w:pPr>
              <w:spacing w:after="0"/>
              <w:rPr>
                <w:sz w:val="1"/>
                <w:szCs w:val="1"/>
                <w:color w:val="auto"/>
              </w:rPr>
            </w:pPr>
          </w:p>
        </w:tc>
      </w:tr>
      <w:tr>
        <w:trPr>
          <w:trHeight w:val="183"/>
        </w:trPr>
        <w:tc>
          <w:tcPr>
            <w:tcW w:w="5440" w:type="dxa"/>
            <w:vAlign w:val="bottom"/>
            <w:gridSpan w:val="10"/>
          </w:tcPr>
          <w:p>
            <w:pPr>
              <w:ind w:left="140"/>
              <w:spacing w:after="0"/>
              <w:rPr>
                <w:sz w:val="20"/>
                <w:szCs w:val="20"/>
                <w:color w:val="auto"/>
              </w:rPr>
            </w:pPr>
            <w:r>
              <w:rPr>
                <w:rFonts w:ascii="Arial" w:cs="Arial" w:eastAsia="Arial" w:hAnsi="Arial"/>
                <w:sz w:val="14"/>
                <w:szCs w:val="14"/>
                <w:color w:val="auto"/>
              </w:rPr>
              <w:t>Note: Some of the totals in the table above do not foot due to rounding differences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6"/>
        </w:trPr>
        <w:tc>
          <w:tcPr>
            <w:tcW w:w="6860" w:type="dxa"/>
            <w:vAlign w:val="bottom"/>
            <w:gridSpan w:val="15"/>
          </w:tcPr>
          <w:p>
            <w:pPr>
              <w:ind w:left="20"/>
              <w:spacing w:after="0"/>
              <w:rPr>
                <w:sz w:val="20"/>
                <w:szCs w:val="20"/>
                <w:color w:val="auto"/>
              </w:rPr>
            </w:pPr>
            <w:r>
              <w:rPr>
                <w:rFonts w:ascii="Arial" w:cs="Arial" w:eastAsia="Arial" w:hAnsi="Arial"/>
                <w:sz w:val="16"/>
                <w:szCs w:val="16"/>
                <w:b w:val="1"/>
                <w:bCs w:val="1"/>
                <w:color w:val="auto"/>
              </w:rPr>
              <w:t>Reconciliation of Adjusted SG&amp;A and Adjusted SG&amp;A Percent of Net Revenue to SG&amp;A</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6"/>
                <w:szCs w:val="16"/>
                <w:color w:val="auto"/>
                <w:w w:val="90"/>
              </w:rPr>
              <w:t>Three Months Ended</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99"/>
              </w:rPr>
              <w:t>Nine Months Ended</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80" w:type="dxa"/>
            <w:vAlign w:val="bottom"/>
            <w:gridSpan w:val="4"/>
            <w:vMerge w:val="restart"/>
          </w:tcPr>
          <w:p>
            <w:pPr>
              <w:jc w:val="right"/>
              <w:ind w:right="39"/>
              <w:spacing w:after="0"/>
              <w:rPr>
                <w:sz w:val="20"/>
                <w:szCs w:val="20"/>
                <w:color w:val="auto"/>
              </w:rPr>
            </w:pPr>
            <w:r>
              <w:rPr>
                <w:rFonts w:ascii="Arial" w:cs="Arial" w:eastAsia="Arial" w:hAnsi="Arial"/>
                <w:sz w:val="16"/>
                <w:szCs w:val="16"/>
                <w:color w:val="auto"/>
                <w:w w:val="99"/>
              </w:rPr>
              <w:t>October 2, 2021</w:t>
            </w:r>
          </w:p>
        </w:tc>
        <w:tc>
          <w:tcPr>
            <w:tcW w:w="100" w:type="dxa"/>
            <w:vAlign w:val="bottom"/>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940" w:type="dxa"/>
            <w:vAlign w:val="bottom"/>
            <w:gridSpan w:val="3"/>
          </w:tcPr>
          <w:p>
            <w:pPr>
              <w:jc w:val="center"/>
              <w:spacing w:after="0" w:line="162" w:lineRule="exact"/>
              <w:rPr>
                <w:sz w:val="20"/>
                <w:szCs w:val="20"/>
                <w:color w:val="auto"/>
              </w:rPr>
            </w:pPr>
            <w:r>
              <w:rPr>
                <w:rFonts w:ascii="Arial" w:cs="Arial" w:eastAsia="Arial" w:hAnsi="Arial"/>
                <w:sz w:val="16"/>
                <w:szCs w:val="16"/>
                <w:color w:val="auto"/>
                <w:w w:val="89"/>
              </w:rPr>
              <w:t>September 26,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Arial" w:cs="Arial" w:eastAsia="Arial" w:hAnsi="Arial"/>
                <w:sz w:val="16"/>
                <w:szCs w:val="16"/>
                <w:color w:val="auto"/>
                <w:w w:val="89"/>
              </w:rPr>
              <w:t>September 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restart"/>
          </w:tcPr>
          <w:p>
            <w:pPr>
              <w:jc w:val="right"/>
              <w:ind w:right="39"/>
              <w:spacing w:after="0"/>
              <w:rPr>
                <w:sz w:val="20"/>
                <w:szCs w:val="20"/>
                <w:color w:val="auto"/>
              </w:rPr>
            </w:pPr>
            <w:r>
              <w:rPr>
                <w:rFonts w:ascii="Arial" w:cs="Arial" w:eastAsia="Arial" w:hAnsi="Arial"/>
                <w:sz w:val="16"/>
                <w:szCs w:val="16"/>
                <w:color w:val="auto"/>
                <w:w w:val="90"/>
              </w:rPr>
              <w:t>October 2, 2021</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4"/>
          </w:tcPr>
          <w:p>
            <w:pPr>
              <w:ind w:left="80"/>
              <w:spacing w:after="0" w:line="162" w:lineRule="exact"/>
              <w:rPr>
                <w:sz w:val="20"/>
                <w:szCs w:val="20"/>
                <w:color w:val="auto"/>
              </w:rPr>
            </w:pPr>
            <w:r>
              <w:rPr>
                <w:rFonts w:ascii="Arial" w:cs="Arial" w:eastAsia="Arial" w:hAnsi="Arial"/>
                <w:sz w:val="16"/>
                <w:szCs w:val="16"/>
                <w:color w:val="auto"/>
              </w:rPr>
              <w:t>September 26,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99"/>
              <w:spacing w:after="0" w:line="162" w:lineRule="exact"/>
              <w:rPr>
                <w:sz w:val="20"/>
                <w:szCs w:val="20"/>
                <w:color w:val="auto"/>
              </w:rPr>
            </w:pPr>
            <w:r>
              <w:rPr>
                <w:rFonts w:ascii="Arial" w:cs="Arial" w:eastAsia="Arial" w:hAnsi="Arial"/>
                <w:sz w:val="16"/>
                <w:szCs w:val="16"/>
                <w:color w:val="auto"/>
                <w:w w:val="89"/>
              </w:rPr>
              <w:t>September 28,</w:t>
            </w:r>
          </w:p>
        </w:tc>
        <w:tc>
          <w:tcPr>
            <w:tcW w:w="0" w:type="dxa"/>
            <w:vAlign w:val="bottom"/>
          </w:tcPr>
          <w:p>
            <w:pPr>
              <w:spacing w:after="0"/>
              <w:rPr>
                <w:sz w:val="1"/>
                <w:szCs w:val="1"/>
                <w:color w:val="auto"/>
              </w:rPr>
            </w:pPr>
          </w:p>
        </w:tc>
      </w:tr>
      <w:tr>
        <w:trPr>
          <w:trHeight w:val="209"/>
        </w:trPr>
        <w:tc>
          <w:tcPr>
            <w:tcW w:w="2940" w:type="dxa"/>
            <w:vAlign w:val="bottom"/>
            <w:tcBorders>
              <w:bottom w:val="single" w:sz="8" w:color="CCEEFF"/>
            </w:tcBorders>
            <w:vMerge w:val="continue"/>
          </w:tcPr>
          <w:p>
            <w:pPr>
              <w:spacing w:after="0"/>
              <w:rPr>
                <w:sz w:val="18"/>
                <w:szCs w:val="18"/>
                <w:color w:val="auto"/>
              </w:rPr>
            </w:pPr>
          </w:p>
        </w:tc>
        <w:tc>
          <w:tcPr>
            <w:tcW w:w="1280" w:type="dxa"/>
            <w:vAlign w:val="bottom"/>
            <w:tcBorders>
              <w:bottom w:val="single" w:sz="8" w:color="auto"/>
            </w:tcBorders>
            <w:gridSpan w:val="4"/>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5"/>
              </w:rPr>
              <w:t>2020</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3"/>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SG&amp;A</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218,214</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190,518</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190,290</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676,042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520,841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566,444</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Stock compensation expense </w:t>
            </w:r>
            <w:r>
              <w:rPr>
                <w:rFonts w:ascii="Arial" w:cs="Arial" w:eastAsia="Arial" w:hAnsi="Arial"/>
                <w:sz w:val="21"/>
                <w:szCs w:val="21"/>
                <w:color w:val="auto"/>
                <w:vertAlign w:val="superscript"/>
              </w:rPr>
              <w:t>(a)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2,890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6,123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13,866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8,335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10,840</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Secondary offering expenses </w:t>
            </w:r>
            <w:r>
              <w:rPr>
                <w:rFonts w:ascii="Arial" w:cs="Arial" w:eastAsia="Arial" w:hAnsi="Arial"/>
                <w:sz w:val="21"/>
                <w:szCs w:val="21"/>
                <w:color w:val="auto"/>
                <w:vertAlign w:val="superscript"/>
              </w:rPr>
              <w:t>(e)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6"/>
        </w:trPr>
        <w:tc>
          <w:tcPr>
            <w:tcW w:w="2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Management realignment expenses </w:t>
            </w:r>
            <w:r>
              <w:rPr>
                <w:rFonts w:ascii="Arial" w:cs="Arial" w:eastAsia="Arial" w:hAnsi="Arial"/>
                <w:sz w:val="21"/>
                <w:szCs w:val="21"/>
                <w:color w:val="auto"/>
                <w:vertAlign w:val="superscript"/>
              </w:rPr>
              <w:t>(f)</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Long-term incentive plan </w:t>
            </w:r>
            <w:r>
              <w:rPr>
                <w:rFonts w:ascii="Arial" w:cs="Arial" w:eastAsia="Arial" w:hAnsi="Arial"/>
                <w:sz w:val="21"/>
                <w:szCs w:val="21"/>
                <w:color w:val="auto"/>
                <w:vertAlign w:val="superscript"/>
              </w:rPr>
              <w:t>(g)</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1,830</w:t>
            </w: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(n)</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1,057</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1,727</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2,484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2,206</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3,187</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Adjusted SG&amp;A</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213,706</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186,571</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180,931</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659,692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510,300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548,026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SG&amp;A Percent of Net Revenue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39.3 %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42.9 %</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42.8 %</w:t>
            </w:r>
          </w:p>
        </w:tc>
        <w:tc>
          <w:tcPr>
            <w:tcW w:w="0" w:type="dxa"/>
            <w:vAlign w:val="bottom"/>
          </w:tcPr>
          <w:p>
            <w:pPr>
              <w:spacing w:after="0"/>
              <w:rPr>
                <w:sz w:val="1"/>
                <w:szCs w:val="1"/>
                <w:color w:val="auto"/>
              </w:rPr>
            </w:pPr>
          </w:p>
        </w:tc>
      </w:tr>
      <w:tr>
        <w:trPr>
          <w:trHeight w:val="162"/>
        </w:trPr>
        <w:tc>
          <w:tcPr>
            <w:tcW w:w="2940" w:type="dxa"/>
            <w:vAlign w:val="bottom"/>
          </w:tcPr>
          <w:p>
            <w:pPr>
              <w:ind w:left="140"/>
              <w:spacing w:after="0" w:line="162" w:lineRule="exact"/>
              <w:rPr>
                <w:sz w:val="20"/>
                <w:szCs w:val="20"/>
                <w:color w:val="auto"/>
              </w:rPr>
            </w:pPr>
            <w:r>
              <w:rPr>
                <w:rFonts w:ascii="Arial" w:cs="Arial" w:eastAsia="Arial" w:hAnsi="Arial"/>
                <w:sz w:val="16"/>
                <w:szCs w:val="16"/>
                <w:b w:val="1"/>
                <w:bCs w:val="1"/>
                <w:color w:val="auto"/>
              </w:rPr>
              <w:t>Adjusted SG&amp;A Percent of Net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color w:val="auto"/>
              </w:rPr>
              <w:t>41.3 %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4"/>
            <w:vMerge w:val="restart"/>
          </w:tcPr>
          <w:p>
            <w:pPr>
              <w:jc w:val="right"/>
              <w:spacing w:after="0"/>
              <w:rPr>
                <w:sz w:val="20"/>
                <w:szCs w:val="20"/>
                <w:color w:val="auto"/>
              </w:rPr>
            </w:pPr>
            <w:r>
              <w:rPr>
                <w:rFonts w:ascii="Arial" w:cs="Arial" w:eastAsia="Arial" w:hAnsi="Arial"/>
                <w:sz w:val="16"/>
                <w:szCs w:val="16"/>
                <w:color w:val="auto"/>
              </w:rPr>
              <w:t>38.4 %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6"/>
                <w:szCs w:val="16"/>
                <w:color w:val="auto"/>
              </w:rPr>
              <w:t>41.9 %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41.2 %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42.0 %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41.4 %</w:t>
            </w:r>
          </w:p>
        </w:tc>
        <w:tc>
          <w:tcPr>
            <w:tcW w:w="0" w:type="dxa"/>
            <w:vAlign w:val="bottom"/>
          </w:tcPr>
          <w:p>
            <w:pPr>
              <w:spacing w:after="0"/>
              <w:rPr>
                <w:sz w:val="1"/>
                <w:szCs w:val="1"/>
                <w:color w:val="auto"/>
              </w:rPr>
            </w:pPr>
          </w:p>
        </w:tc>
      </w:tr>
      <w:tr>
        <w:trPr>
          <w:trHeight w:val="210"/>
        </w:trPr>
        <w:tc>
          <w:tcPr>
            <w:tcW w:w="2940" w:type="dxa"/>
            <w:vAlign w:val="bottom"/>
          </w:tcPr>
          <w:p>
            <w:pPr>
              <w:ind w:left="140"/>
              <w:spacing w:after="0"/>
              <w:rPr>
                <w:sz w:val="20"/>
                <w:szCs w:val="20"/>
                <w:color w:val="auto"/>
              </w:rPr>
            </w:pPr>
            <w:r>
              <w:rPr>
                <w:rFonts w:ascii="Arial" w:cs="Arial" w:eastAsia="Arial" w:hAnsi="Arial"/>
                <w:sz w:val="16"/>
                <w:szCs w:val="16"/>
                <w:b w:val="1"/>
                <w:bCs w:val="1"/>
                <w:color w:val="auto"/>
              </w:rPr>
              <w:t>Revenue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140"/>
        <w:spacing w:after="0"/>
        <w:rPr>
          <w:sz w:val="20"/>
          <w:szCs w:val="20"/>
          <w:color w:val="auto"/>
        </w:rPr>
      </w:pPr>
      <w:r>
        <w:rPr>
          <w:rFonts w:ascii="Arial" w:cs="Arial" w:eastAsia="Arial" w:hAnsi="Arial"/>
          <w:sz w:val="14"/>
          <w:szCs w:val="14"/>
          <w:color w:val="auto"/>
        </w:rPr>
        <w:t>Note: Percentages reflect line item as a percentage of net revenue</w:t>
      </w:r>
    </w:p>
    <w:p>
      <w:pPr>
        <w:spacing w:after="0" w:line="33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write-off of deferred financing fees related to the extinguishment of debt.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Expenses associated with settlement of significant litigation.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for the three and nine months ended September 28, 2019.</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in the Current Report on Form 8-K filed with the SEC on January 10, 2019.</w:t>
      </w:r>
    </w:p>
    <w:p>
      <w:pPr>
        <w:spacing w:after="0" w:line="1" w:lineRule="exact"/>
        <w:rPr>
          <w:rFonts w:ascii="Arial" w:cs="Arial" w:eastAsia="Arial" w:hAnsi="Arial"/>
          <w:sz w:val="14"/>
          <w:szCs w:val="14"/>
          <w:color w:val="auto"/>
        </w:rPr>
      </w:pPr>
    </w:p>
    <w:p>
      <w:pPr>
        <w:ind w:left="660" w:right="660" w:hanging="328"/>
        <w:spacing w:after="0" w:line="241" w:lineRule="auto"/>
        <w:tabs>
          <w:tab w:leader="none" w:pos="652"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for fiscal year 2019. This plan was effective in 2014 following the acquisition of the Company by affiliates of KKR &amp; Co. Inc. (the “KKR Acquisition”).</w:t>
      </w:r>
    </w:p>
    <w:p>
      <w:pPr>
        <w:ind w:left="640" w:hanging="308"/>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ectPr>
          <w:pgSz w:w="11900" w:h="16838" w:orient="portrait"/>
          <w:cols w:equalWidth="0" w:num="1">
            <w:col w:w="11240"/>
          </w:cols>
          <w:pgMar w:left="320" w:top="1057" w:right="339" w:bottom="1440" w:gutter="0" w:footer="0" w:header="0"/>
        </w:sectPr>
      </w:pPr>
    </w:p>
    <w:bookmarkStart w:id="15" w:name="page16"/>
    <w:bookmarkEnd w:id="15"/>
    <w:p>
      <w:pPr>
        <w:ind w:left="660" w:right="660" w:hanging="328"/>
        <w:spacing w:after="0" w:line="250" w:lineRule="auto"/>
        <w:tabs>
          <w:tab w:leader="none" w:pos="6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Amortization of deferred financing costs and other non-cash charges related to our long-term debt. We adjust for amortization of costs related to the 2025 Notes only when adjustment for these costs is not required in the calculation of diluted earnings per share according to U.S. GAAP.</w:t>
      </w:r>
    </w:p>
    <w:p>
      <w:pPr>
        <w:ind w:left="640" w:hanging="308"/>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losses (gains) recognized in interest expense on change in fair value of de-designated hedges.</w:t>
      </w:r>
    </w:p>
    <w:p>
      <w:pPr>
        <w:spacing w:after="0" w:line="1" w:lineRule="exact"/>
        <w:rPr>
          <w:rFonts w:ascii="Arial" w:cs="Arial" w:eastAsia="Arial" w:hAnsi="Arial"/>
          <w:sz w:val="14"/>
          <w:szCs w:val="14"/>
          <w:color w:val="auto"/>
        </w:rPr>
      </w:pPr>
    </w:p>
    <w:p>
      <w:pPr>
        <w:jc w:val="both"/>
        <w:ind w:left="660" w:right="640" w:hanging="328"/>
        <w:spacing w:after="0" w:line="241" w:lineRule="auto"/>
        <w:tabs>
          <w:tab w:leader="none" w:pos="652"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Operating Income, Adjusted Diluted EPS and Adjusted EBITDA), including our share of (gains) losses on equity method investments of $(2.4) million and $0.2 million for the three months ended October 2, 2021 and September 28, 2019, respectively, and $(2.4) million and $1.2 million for the nine months ended October 2, 2021 and September 28, 2019, respectively; and other expenses and adjustments which are primarily related to excess payroll taxes on stock option exercises, executive severance and relocation.</w:t>
      </w:r>
    </w:p>
    <w:p>
      <w:pPr>
        <w:spacing w:after="0" w:line="1" w:lineRule="exact"/>
        <w:rPr>
          <w:rFonts w:ascii="Arial" w:cs="Arial" w:eastAsia="Arial" w:hAnsi="Arial"/>
          <w:sz w:val="14"/>
          <w:szCs w:val="14"/>
          <w:color w:val="auto"/>
        </w:rPr>
      </w:pPr>
    </w:p>
    <w:p>
      <w:pPr>
        <w:ind w:left="660" w:right="660" w:hanging="328"/>
        <w:spacing w:after="0" w:line="241" w:lineRule="auto"/>
        <w:tabs>
          <w:tab w:leader="none" w:pos="6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jc w:val="both"/>
        <w:ind w:left="660" w:right="660" w:hanging="328"/>
        <w:spacing w:after="0" w:line="241" w:lineRule="auto"/>
        <w:tabs>
          <w:tab w:leader="none" w:pos="652"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other expenses in (k) above, except for our share of (gains) losses on equity method investments of $(2.4) million and $0.2 million for the three months ended October 2, 2021 and September 28, 2019, respectively, and $(2.4) million and $1.2 million for the nine months ended October 2, 2021 and September 28, 2019, respectively.</w:t>
      </w:r>
    </w:p>
    <w:p>
      <w:pPr>
        <w:spacing w:after="0" w:line="1" w:lineRule="exact"/>
        <w:rPr>
          <w:rFonts w:ascii="Arial" w:cs="Arial" w:eastAsia="Arial" w:hAnsi="Arial"/>
          <w:sz w:val="14"/>
          <w:szCs w:val="14"/>
          <w:color w:val="auto"/>
        </w:rPr>
      </w:pPr>
    </w:p>
    <w:p>
      <w:pPr>
        <w:ind w:left="660" w:right="660" w:hanging="328"/>
        <w:spacing w:after="0" w:line="255" w:lineRule="auto"/>
        <w:tabs>
          <w:tab w:leader="none" w:pos="652"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other expenses in (k) above, including the impact of stranded tax effect of $(2.1) million for the nine months ended October 2, 2021 associated with our interest rate swaps that matured in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40" w:type="dxa"/>
            <w:vAlign w:val="bottom"/>
            <w:gridSpan w:val="5"/>
          </w:tcPr>
          <w:p>
            <w:pPr>
              <w:ind w:left="20"/>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6"/>
        </w:trPr>
        <w:tc>
          <w:tcPr>
            <w:tcW w:w="49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5"/>
          </w:tcPr>
          <w:p>
            <w:pPr>
              <w:ind w:left="680"/>
              <w:spacing w:after="0" w:line="235" w:lineRule="exact"/>
              <w:rPr>
                <w:sz w:val="20"/>
                <w:szCs w:val="20"/>
                <w:color w:val="auto"/>
              </w:rPr>
            </w:pPr>
            <w:r>
              <w:rPr>
                <w:rFonts w:ascii="Arial" w:cs="Arial" w:eastAsia="Arial" w:hAnsi="Arial"/>
                <w:sz w:val="18"/>
                <w:szCs w:val="18"/>
                <w:color w:val="auto"/>
              </w:rPr>
              <w:t>Comparable store sales growth</w:t>
            </w:r>
            <w:r>
              <w:rPr>
                <w:rFonts w:ascii="Arial" w:cs="Arial" w:eastAsia="Arial" w:hAnsi="Arial"/>
                <w:sz w:val="23"/>
                <w:szCs w:val="23"/>
                <w:color w:val="auto"/>
                <w:vertAlign w:val="superscript"/>
              </w:rPr>
              <w:t>(a)</w:t>
            </w:r>
          </w:p>
        </w:tc>
        <w:tc>
          <w:tcPr>
            <w:tcW w:w="1100" w:type="dxa"/>
            <w:vAlign w:val="bottom"/>
            <w:tcBorders>
              <w:bottom w:val="single" w:sz="8" w:color="auto"/>
            </w:tcBorders>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2600" w:type="dxa"/>
            <w:vAlign w:val="bottom"/>
            <w:gridSpan w:val="3"/>
          </w:tcPr>
          <w:p>
            <w:pPr>
              <w:ind w:left="760"/>
              <w:spacing w:after="0"/>
              <w:rPr>
                <w:sz w:val="20"/>
                <w:szCs w:val="20"/>
                <w:color w:val="auto"/>
              </w:rPr>
            </w:pPr>
            <w:r>
              <w:rPr>
                <w:rFonts w:ascii="Arial" w:cs="Arial" w:eastAsia="Arial" w:hAnsi="Arial"/>
                <w:sz w:val="18"/>
                <w:szCs w:val="18"/>
                <w:color w:val="auto"/>
              </w:rPr>
              <w:t>Third Quarter</w:t>
            </w:r>
          </w:p>
        </w:tc>
        <w:tc>
          <w:tcPr>
            <w:tcW w:w="2580" w:type="dxa"/>
            <w:vAlign w:val="bottom"/>
            <w:gridSpan w:val="3"/>
          </w:tcPr>
          <w:p>
            <w:pPr>
              <w:ind w:left="800"/>
              <w:spacing w:after="0"/>
              <w:rPr>
                <w:sz w:val="20"/>
                <w:szCs w:val="20"/>
                <w:color w:val="auto"/>
              </w:rPr>
            </w:pPr>
            <w:r>
              <w:rPr>
                <w:rFonts w:ascii="Arial" w:cs="Arial" w:eastAsia="Arial" w:hAnsi="Arial"/>
                <w:sz w:val="18"/>
                <w:szCs w:val="18"/>
                <w:color w:val="auto"/>
              </w:rPr>
              <w:t>Year to Date</w:t>
            </w:r>
          </w:p>
        </w:tc>
        <w:tc>
          <w:tcPr>
            <w:tcW w:w="1100" w:type="dxa"/>
            <w:vAlign w:val="bottom"/>
          </w:tcPr>
          <w:p>
            <w:pPr>
              <w:spacing w:after="0"/>
              <w:rPr>
                <w:sz w:val="19"/>
                <w:szCs w:val="19"/>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2021 vs. 2019</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2021 vs. 2020</w:t>
            </w:r>
          </w:p>
        </w:tc>
        <w:tc>
          <w:tcPr>
            <w:tcW w:w="10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5"/>
              </w:rPr>
              <w:t>2021 vs. 2019</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2021 vs. 2020</w:t>
            </w:r>
          </w:p>
        </w:tc>
        <w:tc>
          <w:tcPr>
            <w:tcW w:w="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2021 Outlook</w:t>
            </w:r>
          </w:p>
        </w:tc>
      </w:tr>
      <w:tr>
        <w:trPr>
          <w:trHeight w:val="21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America’s Best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14.2 %</w:t>
            </w:r>
          </w:p>
        </w:tc>
        <w:tc>
          <w:tcPr>
            <w:tcW w:w="12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17.0 %</w:t>
            </w:r>
          </w:p>
        </w:tc>
        <w:tc>
          <w:tcPr>
            <w:tcW w:w="1220" w:type="dxa"/>
            <w:vAlign w:val="bottom"/>
          </w:tcPr>
          <w:p>
            <w:pPr>
              <w:jc w:val="right"/>
              <w:spacing w:after="0"/>
              <w:rPr>
                <w:sz w:val="20"/>
                <w:szCs w:val="20"/>
                <w:color w:val="auto"/>
              </w:rPr>
            </w:pPr>
            <w:r>
              <w:rPr>
                <w:rFonts w:ascii="Arial" w:cs="Arial" w:eastAsia="Arial" w:hAnsi="Arial"/>
                <w:sz w:val="18"/>
                <w:szCs w:val="18"/>
                <w:color w:val="auto"/>
              </w:rPr>
              <w:t>31.8 %</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Eyeglass World</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Military</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20" w:type="dxa"/>
            <w:vAlign w:val="bottom"/>
          </w:tcPr>
          <w:p>
            <w:pPr>
              <w:jc w:val="right"/>
              <w:spacing w:after="0"/>
              <w:rPr>
                <w:sz w:val="20"/>
                <w:szCs w:val="20"/>
                <w:color w:val="auto"/>
              </w:rPr>
            </w:pPr>
            <w:r>
              <w:rPr>
                <w:rFonts w:ascii="Arial" w:cs="Arial" w:eastAsia="Arial" w:hAnsi="Arial"/>
                <w:sz w:val="18"/>
                <w:szCs w:val="18"/>
                <w:color w:val="auto"/>
              </w:rPr>
              <w:t>22.6 %</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Fred Meyer</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Legacy segment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4.0 %</w:t>
            </w:r>
          </w:p>
        </w:tc>
        <w:tc>
          <w:tcPr>
            <w:tcW w:w="122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5.4 %</w:t>
            </w:r>
          </w:p>
        </w:tc>
        <w:tc>
          <w:tcPr>
            <w:tcW w:w="1220" w:type="dxa"/>
            <w:vAlign w:val="bottom"/>
          </w:tcPr>
          <w:p>
            <w:pPr>
              <w:jc w:val="right"/>
              <w:spacing w:after="0"/>
              <w:rPr>
                <w:sz w:val="20"/>
                <w:szCs w:val="20"/>
                <w:color w:val="auto"/>
              </w:rPr>
            </w:pPr>
            <w:r>
              <w:rPr>
                <w:rFonts w:ascii="Arial" w:cs="Arial" w:eastAsia="Arial" w:hAnsi="Arial"/>
                <w:sz w:val="18"/>
                <w:szCs w:val="18"/>
                <w:color w:val="auto"/>
              </w:rPr>
              <w:t>25.5 %</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49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4960" w:type="dxa"/>
            <w:vAlign w:val="bottom"/>
          </w:tcPr>
          <w:p>
            <w:pPr>
              <w:ind w:left="20"/>
              <w:spacing w:after="0"/>
              <w:rPr>
                <w:sz w:val="20"/>
                <w:szCs w:val="20"/>
                <w:color w:val="auto"/>
              </w:rPr>
            </w:pPr>
            <w:r>
              <w:rPr>
                <w:rFonts w:ascii="Arial" w:cs="Arial" w:eastAsia="Arial" w:hAnsi="Arial"/>
                <w:sz w:val="18"/>
                <w:szCs w:val="18"/>
                <w:color w:val="auto"/>
              </w:rPr>
              <w:t>Total comparable store sales growth</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15.7 %</w:t>
            </w:r>
          </w:p>
        </w:tc>
        <w:tc>
          <w:tcPr>
            <w:tcW w:w="122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15.5 %</w:t>
            </w:r>
          </w:p>
        </w:tc>
        <w:tc>
          <w:tcPr>
            <w:tcW w:w="1220" w:type="dxa"/>
            <w:vAlign w:val="bottom"/>
          </w:tcPr>
          <w:p>
            <w:pPr>
              <w:jc w:val="right"/>
              <w:spacing w:after="0"/>
              <w:rPr>
                <w:sz w:val="20"/>
                <w:szCs w:val="20"/>
                <w:color w:val="auto"/>
              </w:rPr>
            </w:pPr>
            <w:r>
              <w:rPr>
                <w:rFonts w:ascii="Arial" w:cs="Arial" w:eastAsia="Arial" w:hAnsi="Arial"/>
                <w:sz w:val="18"/>
                <w:szCs w:val="18"/>
                <w:color w:val="auto"/>
              </w:rPr>
              <w:t>30.3 %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 - 21%</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Adjusted Comparable Store Sales Growth </w:t>
            </w:r>
            <w:r>
              <w:rPr>
                <w:rFonts w:ascii="Arial" w:cs="Arial" w:eastAsia="Arial" w:hAnsi="Arial"/>
                <w:sz w:val="23"/>
                <w:szCs w:val="23"/>
                <w:color w:val="auto"/>
                <w:vertAlign w:val="superscript"/>
              </w:rPr>
              <w:t>(b)</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- 22%</w:t>
            </w:r>
          </w:p>
        </w:tc>
      </w:tr>
    </w:tbl>
    <w:p>
      <w:pPr>
        <w:spacing w:after="0" w:line="184" w:lineRule="exact"/>
        <w:rPr>
          <w:sz w:val="20"/>
          <w:szCs w:val="20"/>
          <w:color w:val="auto"/>
        </w:rPr>
      </w:pPr>
    </w:p>
    <w:p>
      <w:pPr>
        <w:jc w:val="both"/>
        <w:ind w:left="660" w:right="660" w:hanging="328"/>
        <w:spacing w:after="0" w:line="273" w:lineRule="auto"/>
        <w:tabs>
          <w:tab w:leader="none" w:pos="657" w:val="left"/>
        </w:tabs>
        <w:numPr>
          <w:ilvl w:val="0"/>
          <w:numId w:val="13"/>
        </w:numPr>
        <w:rPr>
          <w:rFonts w:ascii="Arial" w:cs="Arial" w:eastAsia="Arial" w:hAnsi="Arial"/>
          <w:sz w:val="13"/>
          <w:szCs w:val="13"/>
          <w:color w:val="auto"/>
        </w:rPr>
      </w:pPr>
      <w:r>
        <w:rPr>
          <w:rFonts w:ascii="Arial" w:cs="Arial" w:eastAsia="Arial" w:hAnsi="Arial"/>
          <w:sz w:val="13"/>
          <w:szCs w:val="13"/>
          <w:color w:val="auto"/>
        </w:rPr>
        <w:t>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in our Quarterly Report on Form 10-Q, with the exception of the Legacy segment, which is adjusted as noted in clause (b) (ii) below.</w:t>
      </w:r>
    </w:p>
    <w:p>
      <w:pPr>
        <w:spacing w:after="0" w:line="67" w:lineRule="exact"/>
        <w:rPr>
          <w:rFonts w:ascii="Arial" w:cs="Arial" w:eastAsia="Arial" w:hAnsi="Arial"/>
          <w:sz w:val="13"/>
          <w:szCs w:val="13"/>
          <w:color w:val="auto"/>
        </w:rPr>
      </w:pPr>
    </w:p>
    <w:p>
      <w:pPr>
        <w:jc w:val="both"/>
        <w:ind w:left="660" w:right="660" w:hanging="328"/>
        <w:spacing w:after="0" w:line="268" w:lineRule="auto"/>
        <w:tabs>
          <w:tab w:leader="none" w:pos="652"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the following changes from total comparable store sales growth based on consolidated net revenue: a decrease of 2.2% for third quarter 2021 vs. 2019, a decrease of 3.0% for third quarter 2021 vs. 2020, an increase of 0.1% for year to date 2021 vs. 2019 and an increase of 0.9% for year to date 2021 vs. 2020; and (ii) Adjusted Comparable Store Sales Growth includes retail sales to the Legacy partner’s customers (rather than the revenues recognized consistent with the management &amp; services agreement with the Legacy partner), resulting in the following changes from total comparable store sales growth based on consolidated net revenue: a decrease of 0.2% for third quarter 2021 vs. 2019, a decrease of 0.2% for third quarter 2021 vs. 2020 and a decrease of 0.1% for year to date 2021 vs 2020.</w:t>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Investors: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Vice President of Investor Relations</w:t>
      </w:r>
    </w:p>
    <w:p>
      <w:pPr>
        <w:spacing w:after="0" w:line="32" w:lineRule="exact"/>
        <w:rPr>
          <w:sz w:val="20"/>
          <w:szCs w:val="20"/>
          <w:color w:val="auto"/>
        </w:rPr>
      </w:pPr>
    </w:p>
    <w:p>
      <w:pPr>
        <w:ind w:right="7359" w:firstLine="8"/>
        <w:spacing w:after="0" w:line="323" w:lineRule="auto"/>
        <w:tabs>
          <w:tab w:leader="none" w:pos="4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Racheal Peters, Manager of External Communications</w:t>
      </w:r>
    </w:p>
    <w:p>
      <w:pPr>
        <w:spacing w:after="0" w:line="32" w:lineRule="exact"/>
        <w:rPr>
          <w:sz w:val="20"/>
          <w:szCs w:val="20"/>
          <w:color w:val="auto"/>
        </w:rPr>
      </w:pPr>
    </w:p>
    <w:p>
      <w:pPr>
        <w:ind w:right="8159" w:firstLine="8"/>
        <w:spacing w:after="0" w:line="323" w:lineRule="auto"/>
        <w:tabs>
          <w:tab w:leader="none" w:pos="4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448-2303 media@nationalvision.com</w:t>
      </w:r>
    </w:p>
    <w:sectPr>
      <w:pgSz w:w="11900" w:h="16838" w:orient="portrait"/>
      <w:cols w:equalWidth="0" w:num="1">
        <w:col w:w="10139"/>
      </w:cols>
      <w:pgMar w:left="320" w:top="8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9"/>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470"/>
    </w:lvl>
  </w:abstractNum>
  <w:abstractNum w:abstractNumId="14">
    <w:nsid w:val="1BEFD79F"/>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2021-11-10T05:42:02Z</dcterms:created>
  <dcterms:modified xsi:type="dcterms:W3CDTF">2021-11-10T05:42:02Z</dcterms:modified>
</cp:coreProperties>
</file>