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5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July 25, 2022 (July 19, 2022)</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tc>
        <w:tc>
          <w:tcPr>
            <w:tcW w:w="1260" w:type="dxa"/>
            <w:vAlign w:val="bottom"/>
          </w:tcPr>
          <w:p>
            <w:pPr>
              <w:spacing w:after="0"/>
              <w:rPr>
                <w:sz w:val="18"/>
                <w:szCs w:val="18"/>
                <w:color w:val="auto"/>
              </w:rPr>
            </w:pPr>
          </w:p>
        </w:tc>
      </w:tr>
      <w:tr>
        <w:trPr>
          <w:trHeight w:val="324"/>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8"/>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64"/>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60" w:type="dxa"/>
            <w:vAlign w:val="bottom"/>
          </w:tcPr>
          <w:p>
            <w:pPr>
              <w:spacing w:after="0"/>
              <w:rPr>
                <w:sz w:val="24"/>
                <w:szCs w:val="24"/>
                <w:color w:val="auto"/>
              </w:rPr>
            </w:pP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60" w:type="dxa"/>
            <w:vAlign w:val="bottom"/>
          </w:tcPr>
          <w:p>
            <w:pPr>
              <w:spacing w:after="0"/>
              <w:rPr>
                <w:sz w:val="18"/>
                <w:szCs w:val="18"/>
                <w:color w:val="auto"/>
              </w:rPr>
            </w:pPr>
          </w:p>
        </w:tc>
      </w:tr>
      <w:tr>
        <w:trPr>
          <w:trHeight w:val="276"/>
        </w:trPr>
        <w:tc>
          <w:tcPr>
            <w:tcW w:w="5460" w:type="dxa"/>
            <w:vAlign w:val="bottom"/>
          </w:tcPr>
          <w:p>
            <w:pPr>
              <w:jc w:val="center"/>
              <w:ind w:left="183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60" w:type="dxa"/>
            <w:vAlign w:val="bottom"/>
          </w:tcPr>
          <w:p>
            <w:pPr>
              <w:spacing w:after="0"/>
              <w:rPr>
                <w:sz w:val="23"/>
                <w:szCs w:val="23"/>
                <w:color w:val="auto"/>
              </w:rPr>
            </w:pPr>
          </w:p>
        </w:tc>
      </w:tr>
      <w:tr>
        <w:trPr>
          <w:trHeight w:val="210"/>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60" w:type="dxa"/>
            <w:vAlign w:val="bottom"/>
          </w:tcPr>
          <w:p>
            <w:pPr>
              <w:spacing w:after="0"/>
              <w:rPr>
                <w:sz w:val="18"/>
                <w:szCs w:val="18"/>
                <w:color w:val="auto"/>
              </w:rPr>
            </w:pPr>
          </w:p>
        </w:tc>
      </w:tr>
    </w:tbl>
    <w:p>
      <w:pPr>
        <w:spacing w:after="0" w:line="9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5"/>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p>
      <w:pPr>
        <w:spacing w:after="0" w:line="22" w:lineRule="exact"/>
        <w:rPr>
          <w:sz w:val="24"/>
          <w:szCs w:val="24"/>
          <w:color w:val="auto"/>
        </w:rPr>
      </w:pPr>
    </w:p>
    <w:p>
      <w:pPr>
        <w:spacing w:after="0" w:line="207" w:lineRule="exact"/>
        <w:tabs>
          <w:tab w:leader="none" w:pos="8020" w:val="left"/>
        </w:tabs>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180"/>
          </w:cols>
          <w:pgMar w:left="320" w:top="119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July 19, 2022, National Vision, Inc. (the “Subsidiary”), a Georgia corporation and a subsidiary of National Vision Holdings, Inc. (the “Company”), and Essilor of America, Inc., (“Essilor”), a Delaware corporation, entered into Amendment No. 1 (the “Amendment”) to the Letter Agreement dated November 12, 2018 by and between the Subsidiary and Essilor filed as Exhibit 10.36 to the Company’s Form 10-K filed on February 27, 2019 (the “Letter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amends the Letter Agreement to, among other things, extend the initial term for three years from May 31, 2023 to May 31, 2026.</w:t>
      </w:r>
    </w:p>
    <w:p>
      <w:pPr>
        <w:spacing w:after="0" w:line="10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Amendment is qualified in its entirety by reference to the full text of the Amendment, which is filed as Exhibit 10.1 hereto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First Amendment to the Direct Lens Letter Agreement, dated July 19, 2022, by and between Essilor of America, Inc. and National</w:t>
            </w:r>
          </w:p>
        </w:tc>
        <w:tc>
          <w:tcPr>
            <w:tcW w:w="0" w:type="dxa"/>
            <w:vAlign w:val="bottom"/>
          </w:tcPr>
          <w:p>
            <w:pPr>
              <w:spacing w:after="0"/>
              <w:rPr>
                <w:sz w:val="1"/>
                <w:szCs w:val="1"/>
                <w:color w:val="auto"/>
              </w:rPr>
            </w:pPr>
          </w:p>
        </w:tc>
      </w:tr>
      <w:tr>
        <w:trPr>
          <w:trHeight w:val="162"/>
        </w:trPr>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640" w:type="dxa"/>
            <w:vAlign w:val="bottom"/>
            <w:gridSpan w:val="3"/>
          </w:tcPr>
          <w:p>
            <w:pPr>
              <w:ind w:left="260"/>
              <w:spacing w:after="0" w:line="162" w:lineRule="exact"/>
              <w:rPr>
                <w:sz w:val="20"/>
                <w:szCs w:val="20"/>
                <w:color w:val="auto"/>
              </w:rPr>
            </w:pPr>
            <w:r>
              <w:rPr>
                <w:rFonts w:ascii="Times New Roman" w:cs="Times New Roman" w:eastAsia="Times New Roman" w:hAnsi="Times New Roman"/>
                <w:sz w:val="18"/>
                <w:szCs w:val="18"/>
                <w:color w:val="auto"/>
              </w:rPr>
              <w:t>Vision, Inc.</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380" w:hanging="1354"/>
        <w:spacing w:after="0"/>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identified information has been excluded from the exhibit pursuant to Item 601(a)(6) and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1796415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Date: July 25, 2022</w:t>
            </w:r>
          </w:p>
        </w:tc>
        <w:tc>
          <w:tcPr>
            <w:tcW w:w="27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760" w:type="dxa"/>
            <w:vAlign w:val="bottom"/>
          </w:tcPr>
          <w:p>
            <w:pPr>
              <w:spacing w:after="0"/>
              <w:rPr>
                <w:sz w:val="18"/>
                <w:szCs w:val="18"/>
                <w:color w:val="auto"/>
              </w:rPr>
            </w:pPr>
          </w:p>
        </w:tc>
        <w:tc>
          <w:tcPr>
            <w:tcW w:w="27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760" w:type="dxa"/>
            <w:vAlign w:val="bottom"/>
          </w:tcPr>
          <w:p>
            <w:pPr>
              <w:spacing w:after="0"/>
              <w:rPr>
                <w:sz w:val="20"/>
                <w:szCs w:val="20"/>
                <w:color w:val="auto"/>
              </w:rPr>
            </w:pPr>
          </w:p>
        </w:tc>
        <w:tc>
          <w:tcPr>
            <w:tcW w:w="27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0960"/>
          </w:cols>
          <w:pgMar w:left="320" w:top="887" w:right="6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180975</wp:posOffset>
            </wp:positionV>
            <wp:extent cx="708914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445770"/>
                    </a:xfrm>
                    <a:prstGeom prst="rect">
                      <a:avLst/>
                    </a:prstGeom>
                    <a:noFill/>
                  </pic:spPr>
                </pic:pic>
              </a:graphicData>
            </a:graphic>
          </wp:anchor>
        </w:drawing>
      </w:r>
    </w:p>
    <w:p>
      <w:pPr>
        <w:spacing w:after="0" w:line="267" w:lineRule="exact"/>
        <w:rPr>
          <w:sz w:val="20"/>
          <w:szCs w:val="20"/>
          <w:color w:val="auto"/>
        </w:rPr>
      </w:pPr>
    </w:p>
    <w:p>
      <w:pPr>
        <w:jc w:val="center"/>
        <w:ind w:right="140"/>
        <w:spacing w:after="0" w:line="205" w:lineRule="auto"/>
        <w:rPr>
          <w:sz w:val="20"/>
          <w:szCs w:val="20"/>
          <w:color w:val="auto"/>
        </w:rPr>
      </w:pPr>
      <w:r>
        <w:rPr>
          <w:rFonts w:ascii="Calibri" w:cs="Calibri" w:eastAsia="Calibri" w:hAnsi="Calibri"/>
          <w:sz w:val="20"/>
          <w:szCs w:val="20"/>
          <w:b w:val="1"/>
          <w:bCs w:val="1"/>
          <w:color w:val="auto"/>
        </w:rPr>
        <w:t>The use of the following notaton in this Exhibit indicates that certain identfed informaton has been excluded pursuant to Item 601(a)(6) and Item 601(b)(10)(iv) of Regulaton S-K because it is (i) not material and (ii) the type of informaton that the registrant treats as private or confdental: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1101090</wp:posOffset>
            </wp:positionV>
            <wp:extent cx="64325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2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b w:val="1"/>
          <w:bCs w:val="1"/>
          <w:u w:val="single" w:color="auto"/>
          <w:color w:val="auto"/>
        </w:rPr>
        <w:t>FIRST AMENDMENT TO DIRECT LENS LETTER AGREEMENT</w:t>
      </w:r>
    </w:p>
    <w:p>
      <w:pPr>
        <w:spacing w:after="0" w:line="265" w:lineRule="exact"/>
        <w:rPr>
          <w:sz w:val="20"/>
          <w:szCs w:val="20"/>
          <w:color w:val="auto"/>
        </w:rPr>
      </w:pPr>
    </w:p>
    <w:p>
      <w:pPr>
        <w:jc w:val="both"/>
        <w:ind w:right="100" w:firstLine="647"/>
        <w:spacing w:after="0" w:line="205" w:lineRule="auto"/>
        <w:rPr>
          <w:sz w:val="20"/>
          <w:szCs w:val="20"/>
          <w:color w:val="auto"/>
        </w:rPr>
      </w:pPr>
      <w:r>
        <w:rPr>
          <w:rFonts w:ascii="Calibri" w:cs="Calibri" w:eastAsia="Calibri" w:hAnsi="Calibri"/>
          <w:sz w:val="20"/>
          <w:szCs w:val="20"/>
          <w:color w:val="auto"/>
        </w:rPr>
        <w:t>This First Amendment to the Direct Lens Leter Agreement (the “First Amendment”), dated efectve as of July 19, 2022, is by and between Essilor of America, Inc., (“Essilor”), a Delaware corporaton, and Natonal Vision, Inc. (“NVI”), a Georgia corporaton, and provides as follows:</w:t>
      </w:r>
    </w:p>
    <w:p>
      <w:pPr>
        <w:spacing w:after="0" w:line="215"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W I T N E S S E T H :</w:t>
      </w:r>
    </w:p>
    <w:p>
      <w:pPr>
        <w:spacing w:after="0" w:line="211" w:lineRule="exact"/>
        <w:rPr>
          <w:sz w:val="20"/>
          <w:szCs w:val="20"/>
          <w:color w:val="auto"/>
        </w:rPr>
      </w:pPr>
    </w:p>
    <w:p>
      <w:pPr>
        <w:jc w:val="both"/>
        <w:ind w:right="100" w:firstLine="647"/>
        <w:spacing w:after="0" w:line="208" w:lineRule="auto"/>
        <w:rPr>
          <w:sz w:val="20"/>
          <w:szCs w:val="20"/>
          <w:color w:val="auto"/>
        </w:rPr>
      </w:pPr>
      <w:r>
        <w:rPr>
          <w:rFonts w:ascii="Calibri" w:cs="Calibri" w:eastAsia="Calibri" w:hAnsi="Calibri"/>
          <w:sz w:val="20"/>
          <w:szCs w:val="20"/>
          <w:color w:val="auto"/>
        </w:rPr>
        <w:t>WHEREAS, Essilor and NVI are partes to that certain Direct Lens Agreement, executed efectve November 12, 2018 (the “DL Leter Agreement”); and</w:t>
      </w:r>
    </w:p>
    <w:p>
      <w:pPr>
        <w:spacing w:after="0" w:line="225" w:lineRule="exact"/>
        <w:rPr>
          <w:sz w:val="20"/>
          <w:szCs w:val="20"/>
          <w:color w:val="auto"/>
        </w:rPr>
      </w:pPr>
    </w:p>
    <w:p>
      <w:pPr>
        <w:jc w:val="both"/>
        <w:ind w:right="100" w:firstLine="647"/>
        <w:spacing w:after="0" w:line="208" w:lineRule="auto"/>
        <w:rPr>
          <w:sz w:val="20"/>
          <w:szCs w:val="20"/>
          <w:color w:val="auto"/>
        </w:rPr>
      </w:pPr>
      <w:r>
        <w:rPr>
          <w:rFonts w:ascii="Calibri" w:cs="Calibri" w:eastAsia="Calibri" w:hAnsi="Calibri"/>
          <w:sz w:val="20"/>
          <w:szCs w:val="20"/>
          <w:color w:val="auto"/>
        </w:rPr>
        <w:t>WHEREAS, Essilor and NVI desire to further amend the DL Leter Agreement upon the terms and conditons set forth in this Amendment.</w:t>
      </w:r>
    </w:p>
    <w:p>
      <w:pPr>
        <w:spacing w:after="0" w:line="211" w:lineRule="exact"/>
        <w:rPr>
          <w:sz w:val="20"/>
          <w:szCs w:val="20"/>
          <w:color w:val="auto"/>
        </w:rPr>
      </w:pPr>
    </w:p>
    <w:p>
      <w:pPr>
        <w:jc w:val="both"/>
        <w:ind w:right="100" w:firstLine="647"/>
        <w:spacing w:after="0" w:line="214" w:lineRule="auto"/>
        <w:rPr>
          <w:sz w:val="20"/>
          <w:szCs w:val="20"/>
          <w:color w:val="auto"/>
        </w:rPr>
      </w:pPr>
      <w:r>
        <w:rPr>
          <w:rFonts w:ascii="Calibri" w:cs="Calibri" w:eastAsia="Calibri" w:hAnsi="Calibri"/>
          <w:sz w:val="20"/>
          <w:szCs w:val="20"/>
          <w:color w:val="auto"/>
        </w:rPr>
        <w:t>NOW, THEREFORE, in consideraton of the mutual covenants and agreements contained in this Amendment, and for other good and valuable consideraton, the receipt and sufciency of which are hereby acknowledged, the Partes hereby agree as follows:</w:t>
      </w:r>
    </w:p>
    <w:p>
      <w:pPr>
        <w:spacing w:after="0" w:line="253" w:lineRule="exact"/>
        <w:rPr>
          <w:sz w:val="20"/>
          <w:szCs w:val="20"/>
          <w:color w:val="auto"/>
        </w:rPr>
      </w:pPr>
    </w:p>
    <w:p>
      <w:pPr>
        <w:ind w:right="120" w:firstLine="646"/>
        <w:spacing w:after="0" w:line="229" w:lineRule="auto"/>
        <w:tabs>
          <w:tab w:leader="none" w:pos="1203" w:val="left"/>
        </w:tabs>
        <w:numPr>
          <w:ilvl w:val="1"/>
          <w:numId w:val="4"/>
        </w:numPr>
        <w:rPr>
          <w:rFonts w:ascii="Calibri" w:cs="Calibri" w:eastAsia="Calibri" w:hAnsi="Calibri"/>
          <w:sz w:val="22"/>
          <w:szCs w:val="22"/>
          <w:color w:val="auto"/>
        </w:rPr>
      </w:pPr>
      <w:r>
        <w:rPr>
          <w:rFonts w:ascii="Calibri" w:cs="Calibri" w:eastAsia="Calibri" w:hAnsi="Calibri"/>
          <w:sz w:val="20"/>
          <w:szCs w:val="20"/>
          <w:u w:val="single" w:color="auto"/>
          <w:color w:val="auto"/>
        </w:rPr>
        <w:t>Defned Terms</w:t>
      </w:r>
      <w:r>
        <w:rPr>
          <w:rFonts w:ascii="Calibri" w:cs="Calibri" w:eastAsia="Calibri" w:hAnsi="Calibri"/>
          <w:sz w:val="20"/>
          <w:szCs w:val="20"/>
          <w:color w:val="auto"/>
        </w:rPr>
        <w:t>. All capitalized terms used but not defned in this First Amendment shall have the meaning assigned to them in the DL Leter Agreement.</w:t>
      </w:r>
    </w:p>
    <w:p>
      <w:pPr>
        <w:spacing w:after="0" w:line="219" w:lineRule="exact"/>
        <w:rPr>
          <w:rFonts w:ascii="Calibri" w:cs="Calibri" w:eastAsia="Calibri" w:hAnsi="Calibri"/>
          <w:sz w:val="22"/>
          <w:szCs w:val="22"/>
          <w:color w:val="auto"/>
        </w:rPr>
      </w:pPr>
    </w:p>
    <w:p>
      <w:pPr>
        <w:ind w:left="1280" w:hanging="634"/>
        <w:spacing w:after="0"/>
        <w:tabs>
          <w:tab w:leader="none" w:pos="1280" w:val="left"/>
        </w:tabs>
        <w:numPr>
          <w:ilvl w:val="1"/>
          <w:numId w:val="4"/>
        </w:numPr>
        <w:rPr>
          <w:rFonts w:ascii="Calibri" w:cs="Calibri" w:eastAsia="Calibri" w:hAnsi="Calibri"/>
          <w:sz w:val="22"/>
          <w:szCs w:val="22"/>
          <w:color w:val="auto"/>
        </w:rPr>
      </w:pPr>
      <w:r>
        <w:rPr>
          <w:rFonts w:ascii="Calibri" w:cs="Calibri" w:eastAsia="Calibri" w:hAnsi="Calibri"/>
          <w:sz w:val="20"/>
          <w:szCs w:val="20"/>
          <w:u w:val="single" w:color="auto"/>
          <w:color w:val="auto"/>
        </w:rPr>
        <w:t>Secton 4 – Term and Terminaton</w:t>
      </w:r>
    </w:p>
    <w:p>
      <w:pPr>
        <w:spacing w:after="0" w:line="201" w:lineRule="exact"/>
        <w:rPr>
          <w:rFonts w:ascii="Calibri" w:cs="Calibri" w:eastAsia="Calibri" w:hAnsi="Calibri"/>
          <w:sz w:val="22"/>
          <w:szCs w:val="22"/>
          <w:color w:val="auto"/>
        </w:rPr>
      </w:pPr>
    </w:p>
    <w:p>
      <w:pPr>
        <w:ind w:left="1860" w:hanging="413"/>
        <w:spacing w:after="0"/>
        <w:tabs>
          <w:tab w:leader="none" w:pos="1860" w:val="left"/>
        </w:tabs>
        <w:numPr>
          <w:ilvl w:val="2"/>
          <w:numId w:val="4"/>
        </w:numPr>
        <w:rPr>
          <w:rFonts w:ascii="Calibri" w:cs="Calibri" w:eastAsia="Calibri" w:hAnsi="Calibri"/>
          <w:sz w:val="20"/>
          <w:szCs w:val="20"/>
          <w:color w:val="auto"/>
        </w:rPr>
      </w:pPr>
      <w:r>
        <w:rPr>
          <w:rFonts w:ascii="Calibri" w:cs="Calibri" w:eastAsia="Calibri" w:hAnsi="Calibri"/>
          <w:sz w:val="20"/>
          <w:szCs w:val="20"/>
          <w:color w:val="auto"/>
        </w:rPr>
        <w:t>Secton 4(a) shall be amended to refect an extension of the existng “Inital Term” untl May 31, 2026.</w:t>
      </w:r>
    </w:p>
    <w:p>
      <w:pPr>
        <w:spacing w:after="0" w:line="244" w:lineRule="exact"/>
        <w:rPr>
          <w:rFonts w:ascii="Calibri" w:cs="Calibri" w:eastAsia="Calibri" w:hAnsi="Calibri"/>
          <w:sz w:val="20"/>
          <w:szCs w:val="20"/>
          <w:color w:val="auto"/>
        </w:rPr>
      </w:pPr>
    </w:p>
    <w:p>
      <w:pPr>
        <w:ind w:left="1460" w:hanging="823"/>
        <w:spacing w:after="0"/>
        <w:tabs>
          <w:tab w:leader="none" w:pos="1460" w:val="left"/>
        </w:tabs>
        <w:numPr>
          <w:ilvl w:val="1"/>
          <w:numId w:val="4"/>
        </w:numPr>
        <w:rPr>
          <w:rFonts w:ascii="Calibri" w:cs="Calibri" w:eastAsia="Calibri" w:hAnsi="Calibri"/>
          <w:sz w:val="22"/>
          <w:szCs w:val="22"/>
          <w:color w:val="auto"/>
        </w:rPr>
      </w:pPr>
      <w:r>
        <w:rPr>
          <w:rFonts w:ascii="Calibri" w:cs="Calibri" w:eastAsia="Calibri" w:hAnsi="Calibri"/>
          <w:sz w:val="20"/>
          <w:szCs w:val="20"/>
          <w:u w:val="single" w:color="auto"/>
          <w:color w:val="auto"/>
        </w:rPr>
        <w:t>Secton 5 - Pricing</w:t>
      </w:r>
    </w:p>
    <w:p>
      <w:pPr>
        <w:spacing w:after="0" w:line="241" w:lineRule="exact"/>
        <w:rPr>
          <w:rFonts w:ascii="Calibri" w:cs="Calibri" w:eastAsia="Calibri" w:hAnsi="Calibri"/>
          <w:sz w:val="22"/>
          <w:szCs w:val="22"/>
          <w:color w:val="auto"/>
        </w:rPr>
      </w:pPr>
    </w:p>
    <w:p>
      <w:pPr>
        <w:ind w:left="960" w:hanging="404"/>
        <w:spacing w:after="0"/>
        <w:tabs>
          <w:tab w:leader="none" w:pos="96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Secton 5 shall be amended to add the following sentence:</w:t>
      </w:r>
    </w:p>
    <w:p>
      <w:pPr>
        <w:spacing w:after="0" w:line="201" w:lineRule="exact"/>
        <w:rPr>
          <w:sz w:val="20"/>
          <w:szCs w:val="20"/>
          <w:color w:val="auto"/>
        </w:rPr>
      </w:pPr>
    </w:p>
    <w:p>
      <w:pPr>
        <w:ind w:left="560"/>
        <w:spacing w:after="0"/>
        <w:rPr>
          <w:sz w:val="20"/>
          <w:szCs w:val="20"/>
          <w:color w:val="auto"/>
        </w:rPr>
      </w:pPr>
      <w:r>
        <w:rPr>
          <w:rFonts w:ascii="Calibri" w:cs="Calibri" w:eastAsia="Calibri" w:hAnsi="Calibri"/>
          <w:sz w:val="20"/>
          <w:szCs w:val="20"/>
          <w:color w:val="auto"/>
        </w:rPr>
        <w:t>[***].</w:t>
      </w:r>
    </w:p>
    <w:p>
      <w:pPr>
        <w:spacing w:after="0" w:line="285" w:lineRule="exact"/>
        <w:rPr>
          <w:sz w:val="20"/>
          <w:szCs w:val="20"/>
          <w:color w:val="auto"/>
        </w:rPr>
      </w:pPr>
    </w:p>
    <w:p>
      <w:pPr>
        <w:ind w:left="1460" w:hanging="823"/>
        <w:spacing w:after="0"/>
        <w:tabs>
          <w:tab w:leader="none" w:pos="1460" w:val="left"/>
        </w:tabs>
        <w:numPr>
          <w:ilvl w:val="0"/>
          <w:numId w:val="6"/>
        </w:numPr>
        <w:rPr>
          <w:rFonts w:ascii="Calibri" w:cs="Calibri" w:eastAsia="Calibri" w:hAnsi="Calibri"/>
          <w:sz w:val="22"/>
          <w:szCs w:val="22"/>
          <w:color w:val="auto"/>
        </w:rPr>
      </w:pPr>
      <w:r>
        <w:rPr>
          <w:rFonts w:ascii="Calibri" w:cs="Calibri" w:eastAsia="Calibri" w:hAnsi="Calibri"/>
          <w:sz w:val="20"/>
          <w:szCs w:val="20"/>
          <w:u w:val="single" w:color="auto"/>
          <w:color w:val="auto"/>
        </w:rPr>
        <w:t>Miscellaneous</w:t>
      </w:r>
      <w:r>
        <w:rPr>
          <w:rFonts w:ascii="Calibri" w:cs="Calibri" w:eastAsia="Calibri" w:hAnsi="Calibri"/>
          <w:sz w:val="20"/>
          <w:szCs w:val="20"/>
          <w:color w:val="auto"/>
        </w:rPr>
        <w:t>.</w:t>
      </w:r>
    </w:p>
    <w:p>
      <w:pPr>
        <w:spacing w:after="0" w:line="305" w:lineRule="exact"/>
        <w:rPr>
          <w:rFonts w:ascii="Calibri" w:cs="Calibri" w:eastAsia="Calibri" w:hAnsi="Calibri"/>
          <w:sz w:val="22"/>
          <w:szCs w:val="22"/>
          <w:color w:val="auto"/>
        </w:rPr>
      </w:pPr>
    </w:p>
    <w:p>
      <w:pPr>
        <w:jc w:val="both"/>
        <w:ind w:left="180" w:right="100" w:firstLine="1294"/>
        <w:spacing w:after="0" w:line="219" w:lineRule="auto"/>
        <w:tabs>
          <w:tab w:leader="none" w:pos="1845" w:val="left"/>
        </w:tabs>
        <w:numPr>
          <w:ilvl w:val="1"/>
          <w:numId w:val="6"/>
        </w:numPr>
        <w:rPr>
          <w:rFonts w:ascii="Calibri" w:cs="Calibri" w:eastAsia="Calibri" w:hAnsi="Calibri"/>
          <w:sz w:val="22"/>
          <w:szCs w:val="22"/>
          <w:color w:val="auto"/>
        </w:rPr>
      </w:pPr>
      <w:r>
        <w:rPr>
          <w:rFonts w:ascii="Calibri" w:cs="Calibri" w:eastAsia="Calibri" w:hAnsi="Calibri"/>
          <w:sz w:val="20"/>
          <w:szCs w:val="20"/>
          <w:color w:val="auto"/>
        </w:rPr>
        <w:t>Except as specifcally amended by this First Amendment, all provisions of the DL Leter Agreement remain in full force and efect, and the DL Leter Agreement, as amended by this First Amendment, will from and afer the date hereof be read as a single integrated document incorporatng the changes efected by this First Amendment.</w:t>
      </w:r>
    </w:p>
    <w:p>
      <w:pPr>
        <w:spacing w:after="0" w:line="217" w:lineRule="exact"/>
        <w:rPr>
          <w:rFonts w:ascii="Calibri" w:cs="Calibri" w:eastAsia="Calibri" w:hAnsi="Calibri"/>
          <w:sz w:val="22"/>
          <w:szCs w:val="22"/>
          <w:color w:val="auto"/>
        </w:rPr>
      </w:pPr>
    </w:p>
    <w:p>
      <w:pPr>
        <w:ind w:left="1860" w:hanging="386"/>
        <w:spacing w:after="0"/>
        <w:tabs>
          <w:tab w:leader="none" w:pos="1860" w:val="left"/>
        </w:tabs>
        <w:numPr>
          <w:ilvl w:val="1"/>
          <w:numId w:val="6"/>
        </w:numPr>
        <w:rPr>
          <w:rFonts w:ascii="Calibri" w:cs="Calibri" w:eastAsia="Calibri" w:hAnsi="Calibri"/>
          <w:sz w:val="20"/>
          <w:szCs w:val="20"/>
          <w:color w:val="auto"/>
        </w:rPr>
      </w:pPr>
      <w:r>
        <w:rPr>
          <w:rFonts w:ascii="Calibri" w:cs="Calibri" w:eastAsia="Calibri" w:hAnsi="Calibri"/>
          <w:sz w:val="20"/>
          <w:szCs w:val="20"/>
          <w:color w:val="auto"/>
        </w:rPr>
        <w:t>The DL Leter Agreement, as amended, is hereby ratfed and confrmed by the partes hereto.</w:t>
      </w:r>
    </w:p>
    <w:p>
      <w:pPr>
        <w:spacing w:after="0" w:line="200" w:lineRule="exact"/>
        <w:rPr>
          <w:rFonts w:ascii="Calibri" w:cs="Calibri" w:eastAsia="Calibri" w:hAnsi="Calibri"/>
          <w:sz w:val="20"/>
          <w:szCs w:val="20"/>
          <w:color w:val="auto"/>
        </w:rPr>
      </w:pPr>
    </w:p>
    <w:p>
      <w:pPr>
        <w:spacing w:after="0" w:line="348" w:lineRule="exact"/>
        <w:rPr>
          <w:rFonts w:ascii="Calibri" w:cs="Calibri" w:eastAsia="Calibri" w:hAnsi="Calibri"/>
          <w:sz w:val="20"/>
          <w:szCs w:val="20"/>
          <w:color w:val="auto"/>
        </w:rPr>
      </w:pPr>
    </w:p>
    <w:p>
      <w:pPr>
        <w:ind w:left="180" w:right="960" w:firstLine="1294"/>
        <w:spacing w:after="0" w:line="229" w:lineRule="auto"/>
        <w:tabs>
          <w:tab w:leader="none" w:pos="1847" w:val="left"/>
        </w:tabs>
        <w:numPr>
          <w:ilvl w:val="1"/>
          <w:numId w:val="6"/>
        </w:numPr>
        <w:rPr>
          <w:rFonts w:ascii="Calibri" w:cs="Calibri" w:eastAsia="Calibri" w:hAnsi="Calibri"/>
          <w:sz w:val="22"/>
          <w:szCs w:val="22"/>
          <w:color w:val="auto"/>
        </w:rPr>
      </w:pPr>
      <w:r>
        <w:rPr>
          <w:rFonts w:ascii="Calibri" w:cs="Calibri" w:eastAsia="Calibri" w:hAnsi="Calibri"/>
          <w:sz w:val="20"/>
          <w:szCs w:val="20"/>
          <w:color w:val="auto"/>
        </w:rPr>
        <w:t>If there is a confict between the provisions of the DL Leter Agreement and the First Amendment, the provisions of this First Amendment will control.</w:t>
      </w:r>
    </w:p>
    <w:p>
      <w:pPr>
        <w:sectPr>
          <w:pgSz w:w="11900" w:h="16838" w:orient="portrait"/>
          <w:cols w:equalWidth="0" w:num="1">
            <w:col w:w="11140"/>
          </w:cols>
          <w:pgMar w:left="420" w:top="98"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right="360" w:firstLine="1294"/>
        <w:spacing w:after="0" w:line="229" w:lineRule="auto"/>
        <w:tabs>
          <w:tab w:leader="none" w:pos="1822" w:val="left"/>
        </w:tabs>
        <w:numPr>
          <w:ilvl w:val="0"/>
          <w:numId w:val="7"/>
        </w:numPr>
        <w:rPr>
          <w:rFonts w:ascii="Calibri" w:cs="Calibri" w:eastAsia="Calibri" w:hAnsi="Calibri"/>
          <w:sz w:val="22"/>
          <w:szCs w:val="22"/>
          <w:color w:val="auto"/>
        </w:rPr>
      </w:pPr>
      <w:r>
        <w:rPr>
          <w:rFonts w:ascii="Calibri" w:cs="Calibri" w:eastAsia="Calibri" w:hAnsi="Calibri"/>
          <w:sz w:val="20"/>
          <w:szCs w:val="20"/>
          <w:color w:val="auto"/>
        </w:rPr>
        <w:t>This First Amendment may be signed in counterparts, each of which will be considered an original, but all of which together will consttute one and the same instrument.</w:t>
      </w:r>
    </w:p>
    <w:p>
      <w:pPr>
        <w:spacing w:after="0" w:line="226" w:lineRule="exact"/>
        <w:rPr>
          <w:sz w:val="20"/>
          <w:szCs w:val="20"/>
          <w:color w:val="auto"/>
        </w:rPr>
      </w:pPr>
    </w:p>
    <w:p>
      <w:pPr>
        <w:ind w:left="160" w:right="140" w:firstLine="647"/>
        <w:spacing w:after="0" w:line="214" w:lineRule="auto"/>
        <w:rPr>
          <w:sz w:val="20"/>
          <w:szCs w:val="20"/>
          <w:color w:val="auto"/>
        </w:rPr>
      </w:pPr>
      <w:r>
        <w:rPr>
          <w:rFonts w:ascii="Calibri" w:cs="Calibri" w:eastAsia="Calibri" w:hAnsi="Calibri"/>
          <w:sz w:val="20"/>
          <w:szCs w:val="20"/>
          <w:color w:val="auto"/>
        </w:rPr>
        <w:t>IN WITNESS WHEREOF, the partes hereto have executed this First Amendment to the Direct Lens Agreement as of the date frst writen above.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720" w:type="dxa"/>
            <w:vAlign w:val="bottom"/>
            <w:gridSpan w:val="2"/>
          </w:tcPr>
          <w:p>
            <w:pPr>
              <w:spacing w:after="0"/>
              <w:rPr>
                <w:sz w:val="20"/>
                <w:szCs w:val="20"/>
                <w:color w:val="auto"/>
              </w:rPr>
            </w:pPr>
            <w:r>
              <w:rPr>
                <w:rFonts w:ascii="Calibri" w:cs="Calibri" w:eastAsia="Calibri" w:hAnsi="Calibri"/>
                <w:sz w:val="20"/>
                <w:szCs w:val="20"/>
                <w:color w:val="auto"/>
              </w:rPr>
              <w:t>ESSILOR OF AMERICA, INC.</w:t>
            </w:r>
          </w:p>
        </w:tc>
        <w:tc>
          <w:tcPr>
            <w:tcW w:w="6300" w:type="dxa"/>
            <w:vAlign w:val="bottom"/>
            <w:gridSpan w:val="2"/>
          </w:tcPr>
          <w:p>
            <w:pPr>
              <w:ind w:left="560"/>
              <w:spacing w:after="0"/>
              <w:rPr>
                <w:sz w:val="20"/>
                <w:szCs w:val="20"/>
                <w:color w:val="auto"/>
              </w:rPr>
            </w:pPr>
            <w:r>
              <w:rPr>
                <w:rFonts w:ascii="Calibri" w:cs="Calibri" w:eastAsia="Calibri" w:hAnsi="Calibri"/>
                <w:sz w:val="20"/>
                <w:szCs w:val="20"/>
                <w:color w:val="auto"/>
              </w:rPr>
              <w:t>NATIONAL VISION, INC.</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0"/>
                <w:szCs w:val="20"/>
                <w:color w:val="auto"/>
              </w:rPr>
            </w:pPr>
            <w:r>
              <w:rPr>
                <w:rFonts w:ascii="Calibri" w:cs="Calibri" w:eastAsia="Calibri" w:hAnsi="Calibri"/>
                <w:sz w:val="20"/>
                <w:szCs w:val="20"/>
                <w:color w:val="auto"/>
              </w:rPr>
              <w:t>By:</w:t>
            </w:r>
          </w:p>
        </w:tc>
        <w:tc>
          <w:tcPr>
            <w:tcW w:w="3840" w:type="dxa"/>
            <w:vAlign w:val="bottom"/>
          </w:tcPr>
          <w:p>
            <w:pPr>
              <w:ind w:left="20"/>
              <w:spacing w:after="0"/>
              <w:rPr>
                <w:sz w:val="20"/>
                <w:szCs w:val="20"/>
                <w:color w:val="auto"/>
              </w:rPr>
            </w:pPr>
            <w:r>
              <w:rPr>
                <w:rFonts w:ascii="Calibri" w:cs="Calibri" w:eastAsia="Calibri" w:hAnsi="Calibri"/>
                <w:sz w:val="20"/>
                <w:szCs w:val="20"/>
                <w:color w:val="auto"/>
              </w:rPr>
              <w:t>/s/ Mat Tackman</w:t>
            </w:r>
          </w:p>
        </w:tc>
        <w:tc>
          <w:tcPr>
            <w:tcW w:w="1380" w:type="dxa"/>
            <w:vAlign w:val="bottom"/>
          </w:tcPr>
          <w:p>
            <w:pPr>
              <w:ind w:left="560"/>
              <w:spacing w:after="0"/>
              <w:rPr>
                <w:sz w:val="20"/>
                <w:szCs w:val="20"/>
                <w:color w:val="auto"/>
              </w:rPr>
            </w:pPr>
            <w:r>
              <w:rPr>
                <w:rFonts w:ascii="Calibri" w:cs="Calibri" w:eastAsia="Calibri" w:hAnsi="Calibri"/>
                <w:sz w:val="20"/>
                <w:szCs w:val="20"/>
                <w:color w:val="auto"/>
              </w:rPr>
              <w:t>By:</w:t>
            </w:r>
          </w:p>
        </w:tc>
        <w:tc>
          <w:tcPr>
            <w:tcW w:w="4920" w:type="dxa"/>
            <w:vAlign w:val="bottom"/>
          </w:tcPr>
          <w:p>
            <w:pPr>
              <w:ind w:left="20"/>
              <w:spacing w:after="0"/>
              <w:rPr>
                <w:sz w:val="20"/>
                <w:szCs w:val="20"/>
                <w:color w:val="auto"/>
              </w:rPr>
            </w:pPr>
            <w:r>
              <w:rPr>
                <w:rFonts w:ascii="Calibri" w:cs="Calibri" w:eastAsia="Calibri" w:hAnsi="Calibri"/>
                <w:sz w:val="20"/>
                <w:szCs w:val="20"/>
                <w:color w:val="auto"/>
              </w:rPr>
              <w:t>/s/ Megan Molony</w:t>
            </w:r>
          </w:p>
        </w:tc>
        <w:tc>
          <w:tcPr>
            <w:tcW w:w="0" w:type="dxa"/>
            <w:vAlign w:val="bottom"/>
          </w:tcPr>
          <w:p>
            <w:pPr>
              <w:spacing w:after="0"/>
              <w:rPr>
                <w:sz w:val="1"/>
                <w:szCs w:val="1"/>
                <w:color w:val="auto"/>
              </w:rPr>
            </w:pPr>
          </w:p>
        </w:tc>
      </w:tr>
      <w:tr>
        <w:trPr>
          <w:trHeight w:val="47"/>
        </w:trPr>
        <w:tc>
          <w:tcPr>
            <w:tcW w:w="880" w:type="dxa"/>
            <w:vAlign w:val="bottom"/>
            <w:vMerge w:val="restart"/>
          </w:tcPr>
          <w:p>
            <w:pPr>
              <w:spacing w:after="0"/>
              <w:rPr>
                <w:sz w:val="20"/>
                <w:szCs w:val="20"/>
                <w:color w:val="auto"/>
              </w:rPr>
            </w:pPr>
            <w:r>
              <w:rPr>
                <w:rFonts w:ascii="Calibri" w:cs="Calibri" w:eastAsia="Calibri" w:hAnsi="Calibri"/>
                <w:sz w:val="20"/>
                <w:szCs w:val="20"/>
                <w:color w:val="auto"/>
              </w:rPr>
              <w:t>Name:</w:t>
            </w:r>
          </w:p>
        </w:tc>
        <w:tc>
          <w:tcPr>
            <w:tcW w:w="3840" w:type="dxa"/>
            <w:vAlign w:val="bottom"/>
            <w:tcBorders>
              <w:bottom w:val="single" w:sz="8" w:color="auto"/>
            </w:tcBorders>
          </w:tcPr>
          <w:p>
            <w:pPr>
              <w:spacing w:after="0"/>
              <w:rPr>
                <w:sz w:val="4"/>
                <w:szCs w:val="4"/>
                <w:color w:val="auto"/>
              </w:rPr>
            </w:pPr>
          </w:p>
        </w:tc>
        <w:tc>
          <w:tcPr>
            <w:tcW w:w="1380" w:type="dxa"/>
            <w:vAlign w:val="bottom"/>
            <w:vMerge w:val="restart"/>
          </w:tcPr>
          <w:p>
            <w:pPr>
              <w:ind w:left="560"/>
              <w:spacing w:after="0"/>
              <w:rPr>
                <w:sz w:val="20"/>
                <w:szCs w:val="20"/>
                <w:color w:val="auto"/>
              </w:rPr>
            </w:pPr>
            <w:r>
              <w:rPr>
                <w:rFonts w:ascii="Calibri" w:cs="Calibri" w:eastAsia="Calibri" w:hAnsi="Calibri"/>
                <w:sz w:val="20"/>
                <w:szCs w:val="20"/>
                <w:color w:val="auto"/>
              </w:rPr>
              <w:t>Name:</w:t>
            </w:r>
          </w:p>
        </w:tc>
        <w:tc>
          <w:tcPr>
            <w:tcW w:w="4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880" w:type="dxa"/>
            <w:vAlign w:val="bottom"/>
            <w:vMerge w:val="continue"/>
          </w:tcPr>
          <w:p>
            <w:pPr>
              <w:spacing w:after="0"/>
              <w:rPr>
                <w:sz w:val="19"/>
                <w:szCs w:val="19"/>
                <w:color w:val="auto"/>
              </w:rPr>
            </w:pPr>
          </w:p>
        </w:tc>
        <w:tc>
          <w:tcPr>
            <w:tcW w:w="3840" w:type="dxa"/>
            <w:vAlign w:val="bottom"/>
          </w:tcPr>
          <w:p>
            <w:pPr>
              <w:ind w:left="20"/>
              <w:spacing w:after="0" w:line="225" w:lineRule="exact"/>
              <w:rPr>
                <w:sz w:val="20"/>
                <w:szCs w:val="20"/>
                <w:color w:val="auto"/>
              </w:rPr>
            </w:pPr>
            <w:r>
              <w:rPr>
                <w:rFonts w:ascii="Calibri" w:cs="Calibri" w:eastAsia="Calibri" w:hAnsi="Calibri"/>
                <w:sz w:val="20"/>
                <w:szCs w:val="20"/>
                <w:color w:val="auto"/>
              </w:rPr>
              <w:t>Mat Tackman</w:t>
            </w:r>
          </w:p>
        </w:tc>
        <w:tc>
          <w:tcPr>
            <w:tcW w:w="1380" w:type="dxa"/>
            <w:vAlign w:val="bottom"/>
            <w:vMerge w:val="continue"/>
          </w:tcPr>
          <w:p>
            <w:pPr>
              <w:spacing w:after="0"/>
              <w:rPr>
                <w:sz w:val="19"/>
                <w:szCs w:val="19"/>
                <w:color w:val="auto"/>
              </w:rPr>
            </w:pPr>
          </w:p>
        </w:tc>
        <w:tc>
          <w:tcPr>
            <w:tcW w:w="4920" w:type="dxa"/>
            <w:vAlign w:val="bottom"/>
          </w:tcPr>
          <w:p>
            <w:pPr>
              <w:ind w:left="20"/>
              <w:spacing w:after="0" w:line="225" w:lineRule="exact"/>
              <w:rPr>
                <w:sz w:val="20"/>
                <w:szCs w:val="20"/>
                <w:color w:val="auto"/>
              </w:rPr>
            </w:pPr>
            <w:r>
              <w:rPr>
                <w:rFonts w:ascii="Calibri" w:cs="Calibri" w:eastAsia="Calibri" w:hAnsi="Calibri"/>
                <w:sz w:val="20"/>
                <w:szCs w:val="20"/>
                <w:color w:val="auto"/>
              </w:rPr>
              <w:t>Megan Molony</w:t>
            </w:r>
          </w:p>
        </w:tc>
        <w:tc>
          <w:tcPr>
            <w:tcW w:w="0" w:type="dxa"/>
            <w:vAlign w:val="bottom"/>
          </w:tcPr>
          <w:p>
            <w:pPr>
              <w:spacing w:after="0"/>
              <w:rPr>
                <w:sz w:val="1"/>
                <w:szCs w:val="1"/>
                <w:color w:val="auto"/>
              </w:rPr>
            </w:pPr>
          </w:p>
        </w:tc>
      </w:tr>
      <w:tr>
        <w:trPr>
          <w:trHeight w:val="234"/>
        </w:trPr>
        <w:tc>
          <w:tcPr>
            <w:tcW w:w="880" w:type="dxa"/>
            <w:vAlign w:val="bottom"/>
          </w:tcPr>
          <w:p>
            <w:pPr>
              <w:spacing w:after="0" w:line="234" w:lineRule="exact"/>
              <w:rPr>
                <w:sz w:val="20"/>
                <w:szCs w:val="20"/>
                <w:color w:val="auto"/>
              </w:rPr>
            </w:pPr>
            <w:r>
              <w:rPr>
                <w:rFonts w:ascii="Calibri" w:cs="Calibri" w:eastAsia="Calibri" w:hAnsi="Calibri"/>
                <w:sz w:val="20"/>
                <w:szCs w:val="20"/>
                <w:color w:val="auto"/>
              </w:rPr>
              <w:t>Title:</w:t>
            </w:r>
          </w:p>
        </w:tc>
        <w:tc>
          <w:tcPr>
            <w:tcW w:w="3840" w:type="dxa"/>
            <w:vAlign w:val="bottom"/>
          </w:tcPr>
          <w:p>
            <w:pPr>
              <w:ind w:left="20"/>
              <w:spacing w:after="0" w:line="234" w:lineRule="exact"/>
              <w:rPr>
                <w:sz w:val="20"/>
                <w:szCs w:val="20"/>
                <w:color w:val="auto"/>
              </w:rPr>
            </w:pPr>
            <w:r>
              <w:rPr>
                <w:rFonts w:ascii="Calibri" w:cs="Calibri" w:eastAsia="Calibri" w:hAnsi="Calibri"/>
                <w:sz w:val="20"/>
                <w:szCs w:val="20"/>
                <w:color w:val="auto"/>
              </w:rPr>
              <w:t>Senior Vice President</w:t>
            </w:r>
          </w:p>
        </w:tc>
        <w:tc>
          <w:tcPr>
            <w:tcW w:w="1380" w:type="dxa"/>
            <w:vAlign w:val="bottom"/>
          </w:tcPr>
          <w:p>
            <w:pPr>
              <w:ind w:left="560"/>
              <w:spacing w:after="0" w:line="234" w:lineRule="exact"/>
              <w:rPr>
                <w:sz w:val="20"/>
                <w:szCs w:val="20"/>
                <w:color w:val="auto"/>
              </w:rPr>
            </w:pPr>
            <w:r>
              <w:rPr>
                <w:rFonts w:ascii="Calibri" w:cs="Calibri" w:eastAsia="Calibri" w:hAnsi="Calibri"/>
                <w:sz w:val="20"/>
                <w:szCs w:val="20"/>
                <w:color w:val="auto"/>
              </w:rPr>
              <w:t>Title:</w:t>
            </w:r>
          </w:p>
        </w:tc>
        <w:tc>
          <w:tcPr>
            <w:tcW w:w="4920" w:type="dxa"/>
            <w:vAlign w:val="bottom"/>
          </w:tcPr>
          <w:p>
            <w:pPr>
              <w:ind w:left="20"/>
              <w:spacing w:after="0" w:line="234" w:lineRule="exact"/>
              <w:rPr>
                <w:sz w:val="20"/>
                <w:szCs w:val="20"/>
                <w:color w:val="auto"/>
              </w:rPr>
            </w:pPr>
            <w:r>
              <w:rPr>
                <w:rFonts w:ascii="Calibri" w:cs="Calibri" w:eastAsia="Calibri" w:hAnsi="Calibri"/>
                <w:sz w:val="20"/>
                <w:szCs w:val="20"/>
                <w:color w:val="auto"/>
              </w:rPr>
              <w:t>Chief Merchandising and Managed Care Ofcer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lvl w:ilvl="1">
      <w:lvlJc w:val="left"/>
      <w:lvlText w:val="%2"/>
      <w:numFmt w:val="decimal"/>
      <w:start w:val="104"/>
    </w:lvl>
  </w:abstractNum>
  <w:abstractNum w:abstractNumId="3">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
    <w:nsid w:val="2EB141F2"/>
    <w:multiLevelType w:val="hybridMultilevel"/>
    <w:lvl w:ilvl="0">
      <w:lvlJc w:val="left"/>
      <w:lvlText w:val="%1."/>
      <w:numFmt w:val="decimal"/>
      <w:start w:val="4"/>
    </w:lvl>
    <w:lvl w:ilvl="1">
      <w:lvlJc w:val="left"/>
      <w:lvlText w:val="(%2)"/>
      <w:numFmt w:val="lowerLetter"/>
      <w:start w:val="1"/>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2022-07-25T09:15:36Z</dcterms:created>
  <dcterms:modified xsi:type="dcterms:W3CDTF">2022-07-25T09:15:36Z</dcterms:modified>
</cp:coreProperties>
</file>