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June 10, 2021 (June 8,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351"/>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66"/>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3"/>
                <w:szCs w:val="23"/>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8, 2021, National Vision Holdings, Inc. (“</w:t>
      </w:r>
      <w:r>
        <w:rPr>
          <w:rFonts w:ascii="Arial" w:cs="Arial" w:eastAsia="Arial" w:hAnsi="Arial"/>
          <w:sz w:val="17"/>
          <w:szCs w:val="17"/>
          <w:u w:val="single" w:color="auto"/>
          <w:color w:val="auto"/>
        </w:rPr>
        <w:t>National Vision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held its 2021 annual meeting of stockholders (the “</w:t>
      </w:r>
      <w:r>
        <w:rPr>
          <w:rFonts w:ascii="Arial" w:cs="Arial" w:eastAsia="Arial" w:hAnsi="Arial"/>
          <w:sz w:val="17"/>
          <w:szCs w:val="17"/>
          <w:u w:val="single" w:color="auto"/>
          <w:color w:val="auto"/>
        </w:rPr>
        <w:t>Annual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w:t>
      </w:r>
      <w:r>
        <w:rPr>
          <w:rFonts w:ascii="Arial" w:cs="Arial" w:eastAsia="Arial" w:hAnsi="Arial"/>
          <w:sz w:val="17"/>
          <w:szCs w:val="17"/>
          <w:color w:val="auto"/>
        </w:rPr>
        <w:t>”). As discussed under Item 5.07 of this Current Report on Form 8-K, the stockholders of the Company approved amendments to the Company’s Second Amended and Restated Certificate of Incorporation (the “Charter”) to (1) eliminate the classified structure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and (2) eliminate supermajority voting requirements and other obsolete provisions set forth therein (collectively, the “</w:t>
      </w:r>
      <w:r>
        <w:rPr>
          <w:rFonts w:ascii="Arial" w:cs="Arial" w:eastAsia="Arial" w:hAnsi="Arial"/>
          <w:sz w:val="17"/>
          <w:szCs w:val="17"/>
          <w:u w:val="single" w:color="auto"/>
          <w:color w:val="auto"/>
        </w:rPr>
        <w:t>Charter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Amendments</w:t>
      </w:r>
      <w:r>
        <w:rPr>
          <w:rFonts w:ascii="Arial" w:cs="Arial" w:eastAsia="Arial" w:hAnsi="Arial"/>
          <w:sz w:val="17"/>
          <w:szCs w:val="17"/>
          <w:color w:val="auto"/>
        </w:rPr>
        <w:t>”). The full text of the Amendments were set forth in the Company’s definitive proxy statement on Schedule 14A filed on April 30, 2021 with the Securities and Exchange Commission (the “</w:t>
      </w:r>
      <w:r>
        <w:rPr>
          <w:rFonts w:ascii="Arial" w:cs="Arial" w:eastAsia="Arial" w:hAnsi="Arial"/>
          <w:sz w:val="17"/>
          <w:szCs w:val="17"/>
          <w:u w:val="single" w:color="auto"/>
          <w:color w:val="auto"/>
        </w:rPr>
        <w:t>2021 Proxy Statement</w:t>
      </w:r>
      <w:r>
        <w:rPr>
          <w:rFonts w:ascii="Arial" w:cs="Arial" w:eastAsia="Arial" w:hAnsi="Arial"/>
          <w:sz w:val="17"/>
          <w:szCs w:val="17"/>
          <w:color w:val="auto"/>
        </w:rPr>
        <w:t>”).</w:t>
      </w:r>
    </w:p>
    <w:p>
      <w:pPr>
        <w:spacing w:after="0" w:line="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foregoing, and as described in the 2021 Proxy Statement, the Board also approved corresponding amendments (the “</w:t>
      </w:r>
      <w:r>
        <w:rPr>
          <w:rFonts w:ascii="Arial" w:cs="Arial" w:eastAsia="Arial" w:hAnsi="Arial"/>
          <w:sz w:val="18"/>
          <w:szCs w:val="18"/>
          <w:u w:val="single" w:color="auto"/>
          <w:color w:val="auto"/>
        </w:rPr>
        <w:t>Bylaw</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w:t>
      </w:r>
      <w:r>
        <w:rPr>
          <w:rFonts w:ascii="Arial" w:cs="Arial" w:eastAsia="Arial" w:hAnsi="Arial"/>
          <w:sz w:val="18"/>
          <w:szCs w:val="18"/>
          <w:color w:val="auto"/>
        </w:rPr>
        <w:t>”) to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approved the amendment and restatement of the Charter and the Bylaws to give effect to the Charter Amendments and the Bylaw Amendments. The full text of the amended and restated Charter and Bylaws are attached as Exhibits 3.1 and 3.2, respectively, to this Current Report on Form 8-K and are incorporated herein by this reference. The Charter Amendments became effective upon the Company’s filing of a Certificate of Amendment to the Charter with the Delaware Secretary of State on June 8, 2021 and the amended and restated Bylaws were effective thereafter. The amended and restated Charter became effective upon the filing thereof with the Secretary of State of the State of Delaware.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matters submitted to stockholders at the Annual Meeting and the voting results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elected three Class I director nominees to hold office for terms expiring at the 2024 annual meeting of stockholders and until his or her successor is duly elected and qualified.</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1220" w:type="dxa"/>
            <w:vAlign w:val="bottom"/>
          </w:tcPr>
          <w:p>
            <w:pPr>
              <w:spacing w:after="0"/>
              <w:rPr>
                <w:sz w:val="17"/>
                <w:szCs w:val="17"/>
                <w:color w:val="auto"/>
              </w:rPr>
            </w:pPr>
          </w:p>
        </w:tc>
        <w:tc>
          <w:tcPr>
            <w:tcW w:w="15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6"/>
              </w:rPr>
              <w:t>For</w:t>
            </w:r>
          </w:p>
        </w:tc>
        <w:tc>
          <w:tcPr>
            <w:tcW w:w="3500" w:type="dxa"/>
            <w:vAlign w:val="bottom"/>
            <w:gridSpan w:val="3"/>
          </w:tcPr>
          <w:p>
            <w:pPr>
              <w:ind w:left="1020"/>
              <w:spacing w:after="0"/>
              <w:rPr>
                <w:sz w:val="20"/>
                <w:szCs w:val="20"/>
                <w:color w:val="auto"/>
              </w:rPr>
            </w:pPr>
            <w:r>
              <w:rPr>
                <w:rFonts w:ascii="Arial" w:cs="Arial" w:eastAsia="Arial" w:hAnsi="Arial"/>
                <w:sz w:val="18"/>
                <w:szCs w:val="18"/>
                <w:b w:val="1"/>
                <w:bCs w:val="1"/>
                <w:color w:val="auto"/>
              </w:rPr>
              <w:t>Withheld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304"/>
        </w:trPr>
        <w:tc>
          <w:tcPr>
            <w:tcW w:w="2840" w:type="dxa"/>
            <w:vAlign w:val="bottom"/>
            <w:gridSpan w:val="2"/>
          </w:tcPr>
          <w:p>
            <w:pPr>
              <w:spacing w:after="0"/>
              <w:rPr>
                <w:sz w:val="20"/>
                <w:szCs w:val="20"/>
                <w:color w:val="auto"/>
              </w:rPr>
            </w:pPr>
            <w:r>
              <w:rPr>
                <w:rFonts w:ascii="Arial" w:cs="Arial" w:eastAsia="Arial" w:hAnsi="Arial"/>
                <w:sz w:val="18"/>
                <w:szCs w:val="18"/>
                <w:color w:val="auto"/>
              </w:rPr>
              <w:t>L. Reade Fahs</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77,563,072</w:t>
            </w:r>
          </w:p>
        </w:tc>
        <w:tc>
          <w:tcPr>
            <w:tcW w:w="174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289,396</w:t>
            </w:r>
          </w:p>
        </w:tc>
        <w:tc>
          <w:tcPr>
            <w:tcW w:w="17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837,467</w:t>
            </w:r>
          </w:p>
        </w:tc>
      </w:tr>
      <w:tr>
        <w:trPr>
          <w:trHeight w:val="270"/>
        </w:trPr>
        <w:tc>
          <w:tcPr>
            <w:tcW w:w="2840" w:type="dxa"/>
            <w:vAlign w:val="bottom"/>
            <w:gridSpan w:val="2"/>
          </w:tcPr>
          <w:p>
            <w:pPr>
              <w:spacing w:after="0"/>
              <w:rPr>
                <w:sz w:val="20"/>
                <w:szCs w:val="20"/>
                <w:color w:val="auto"/>
              </w:rPr>
            </w:pPr>
            <w:r>
              <w:rPr>
                <w:rFonts w:ascii="Arial" w:cs="Arial" w:eastAsia="Arial" w:hAnsi="Arial"/>
                <w:sz w:val="18"/>
                <w:szCs w:val="18"/>
                <w:color w:val="auto"/>
              </w:rPr>
              <w:t>Susan Somersille Johnson</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76,057,789</w:t>
            </w:r>
          </w:p>
        </w:tc>
        <w:tc>
          <w:tcPr>
            <w:tcW w:w="3500" w:type="dxa"/>
            <w:vAlign w:val="bottom"/>
            <w:gridSpan w:val="3"/>
          </w:tcPr>
          <w:p>
            <w:pPr>
              <w:jc w:val="center"/>
              <w:ind w:right="740"/>
              <w:spacing w:after="0"/>
              <w:rPr>
                <w:sz w:val="20"/>
                <w:szCs w:val="20"/>
                <w:color w:val="auto"/>
              </w:rPr>
            </w:pPr>
            <w:r>
              <w:rPr>
                <w:rFonts w:ascii="Arial" w:cs="Arial" w:eastAsia="Arial" w:hAnsi="Arial"/>
                <w:sz w:val="18"/>
                <w:szCs w:val="18"/>
                <w:color w:val="auto"/>
                <w:w w:val="89"/>
              </w:rPr>
              <w:t>1,794,679</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837,467</w:t>
            </w:r>
          </w:p>
        </w:tc>
      </w:tr>
      <w:tr>
        <w:trPr>
          <w:trHeight w:val="270"/>
        </w:trPr>
        <w:tc>
          <w:tcPr>
            <w:tcW w:w="2840" w:type="dxa"/>
            <w:vAlign w:val="bottom"/>
            <w:gridSpan w:val="2"/>
          </w:tcPr>
          <w:p>
            <w:pPr>
              <w:spacing w:after="0"/>
              <w:rPr>
                <w:sz w:val="20"/>
                <w:szCs w:val="20"/>
                <w:color w:val="auto"/>
              </w:rPr>
            </w:pPr>
            <w:r>
              <w:rPr>
                <w:rFonts w:ascii="Arial" w:cs="Arial" w:eastAsia="Arial" w:hAnsi="Arial"/>
                <w:sz w:val="18"/>
                <w:szCs w:val="18"/>
                <w:color w:val="auto"/>
              </w:rPr>
              <w:t>Naomi Kelman</w:t>
            </w:r>
          </w:p>
        </w:tc>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77,562,023</w:t>
            </w:r>
          </w:p>
        </w:tc>
        <w:tc>
          <w:tcPr>
            <w:tcW w:w="174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290,445</w:t>
            </w:r>
          </w:p>
        </w:tc>
        <w:tc>
          <w:tcPr>
            <w:tcW w:w="17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837,467</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Amendment to Eliminate the Classified Structure of the Board of Directors</w:t>
      </w:r>
    </w:p>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Stockholders approved the management proposal to amend the Company’s certificate of incorporation to eliminate the classified structure of the Board of Directors of the Company.</w:t>
      </w:r>
    </w:p>
    <w:p>
      <w:pPr>
        <w:spacing w:after="0" w:line="4" w:lineRule="exact"/>
        <w:rPr>
          <w:sz w:val="20"/>
          <w:szCs w:val="20"/>
          <w:color w:val="auto"/>
        </w:rPr>
      </w:pPr>
    </w:p>
    <w:tbl>
      <w:tblPr>
        <w:tblLayout w:type="fixed"/>
        <w:tblInd w:w="378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6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7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10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304"/>
        </w:trPr>
        <w:tc>
          <w:tcPr>
            <w:tcW w:w="2220" w:type="dxa"/>
            <w:vAlign w:val="bottom"/>
            <w:gridSpan w:val="3"/>
          </w:tcPr>
          <w:p>
            <w:pPr>
              <w:jc w:val="right"/>
              <w:ind w:right="1400"/>
              <w:spacing w:after="0"/>
              <w:rPr>
                <w:sz w:val="20"/>
                <w:szCs w:val="20"/>
                <w:color w:val="auto"/>
              </w:rPr>
            </w:pPr>
            <w:r>
              <w:rPr>
                <w:rFonts w:ascii="Arial" w:cs="Arial" w:eastAsia="Arial" w:hAnsi="Arial"/>
                <w:sz w:val="18"/>
                <w:szCs w:val="18"/>
                <w:color w:val="auto"/>
                <w:w w:val="88"/>
              </w:rPr>
              <w:t>77,838,501</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7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10,452</w:t>
            </w:r>
          </w:p>
        </w:tc>
        <w:tc>
          <w:tcPr>
            <w:tcW w:w="2400" w:type="dxa"/>
            <w:vAlign w:val="bottom"/>
            <w:gridSpan w:val="2"/>
          </w:tcPr>
          <w:p>
            <w:pPr>
              <w:jc w:val="right"/>
              <w:ind w:right="310"/>
              <w:spacing w:after="0"/>
              <w:rPr>
                <w:sz w:val="20"/>
                <w:szCs w:val="20"/>
                <w:color w:val="auto"/>
              </w:rPr>
            </w:pPr>
            <w:r>
              <w:rPr>
                <w:rFonts w:ascii="Arial" w:cs="Arial" w:eastAsia="Arial" w:hAnsi="Arial"/>
                <w:sz w:val="18"/>
                <w:szCs w:val="18"/>
                <w:color w:val="auto"/>
              </w:rPr>
              <w:t>837,467</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Amendment to Eliminate Supermajority Voting Standards and Other Obsolete Provisions</w:t>
      </w:r>
    </w:p>
    <w:p>
      <w:pPr>
        <w:spacing w:after="0" w:line="22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Stockholders approved the management proposal to amend the Company’s certificate of incorporation to eliminate the supermajority voting standards and other obsolete provisions.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96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6"/>
              </w:rPr>
              <w:t>For</w:t>
            </w:r>
          </w:p>
        </w:tc>
        <w:tc>
          <w:tcPr>
            <w:tcW w:w="13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7"/>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1020" w:type="dxa"/>
            <w:vAlign w:val="bottom"/>
          </w:tcPr>
          <w:p>
            <w:pPr>
              <w:spacing w:after="0"/>
              <w:rPr>
                <w:sz w:val="18"/>
                <w:szCs w:val="18"/>
                <w:color w:val="auto"/>
              </w:rPr>
            </w:pPr>
          </w:p>
        </w:tc>
        <w:tc>
          <w:tcPr>
            <w:tcW w:w="21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4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1"/>
        </w:trPr>
        <w:tc>
          <w:tcPr>
            <w:tcW w:w="6040" w:type="dxa"/>
            <w:vAlign w:val="bottom"/>
            <w:gridSpan w:val="3"/>
          </w:tcPr>
          <w:p>
            <w:pPr>
              <w:jc w:val="right"/>
              <w:ind w:right="1400"/>
              <w:spacing w:after="0"/>
              <w:rPr>
                <w:sz w:val="20"/>
                <w:szCs w:val="20"/>
                <w:color w:val="auto"/>
              </w:rPr>
            </w:pPr>
            <w:r>
              <w:rPr>
                <w:rFonts w:ascii="Arial" w:cs="Arial" w:eastAsia="Arial" w:hAnsi="Arial"/>
                <w:sz w:val="18"/>
                <w:szCs w:val="18"/>
                <w:color w:val="auto"/>
              </w:rPr>
              <w:t>77,838,344</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3,535</w:t>
            </w:r>
          </w:p>
        </w:tc>
        <w:tc>
          <w:tcPr>
            <w:tcW w:w="7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10,589</w:t>
            </w:r>
          </w:p>
        </w:tc>
        <w:tc>
          <w:tcPr>
            <w:tcW w:w="2400" w:type="dxa"/>
            <w:vAlign w:val="bottom"/>
            <w:gridSpan w:val="2"/>
          </w:tcPr>
          <w:p>
            <w:pPr>
              <w:jc w:val="right"/>
              <w:ind w:right="310"/>
              <w:spacing w:after="0"/>
              <w:rPr>
                <w:sz w:val="20"/>
                <w:szCs w:val="20"/>
                <w:color w:val="auto"/>
              </w:rPr>
            </w:pPr>
            <w:r>
              <w:rPr>
                <w:rFonts w:ascii="Arial" w:cs="Arial" w:eastAsia="Arial" w:hAnsi="Arial"/>
                <w:sz w:val="18"/>
                <w:szCs w:val="18"/>
                <w:color w:val="auto"/>
              </w:rPr>
              <w:t>837,467</w:t>
            </w:r>
          </w:p>
        </w:tc>
        <w:tc>
          <w:tcPr>
            <w:tcW w:w="720" w:type="dxa"/>
            <w:vAlign w:val="bottom"/>
          </w:tcPr>
          <w:p>
            <w:pPr>
              <w:spacing w:after="0"/>
              <w:rPr>
                <w:sz w:val="24"/>
                <w:szCs w:val="24"/>
                <w:color w:val="auto"/>
              </w:rPr>
            </w:pPr>
          </w:p>
        </w:tc>
      </w:tr>
      <w:tr>
        <w:trPr>
          <w:trHeight w:val="1465"/>
        </w:trPr>
        <w:tc>
          <w:tcPr>
            <w:tcW w:w="4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4: Advisory Vote on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compensation paid to the Company’s named executive officers.</w:t>
      </w:r>
    </w:p>
    <w:p>
      <w:pPr>
        <w:spacing w:after="0" w:line="32" w:lineRule="exact"/>
        <w:rPr>
          <w:sz w:val="20"/>
          <w:szCs w:val="20"/>
          <w:color w:val="auto"/>
        </w:rPr>
      </w:pPr>
    </w:p>
    <w:tbl>
      <w:tblPr>
        <w:tblLayout w:type="fixed"/>
        <w:tblInd w:w="38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2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6"/>
              </w:rPr>
              <w:t>For</w:t>
            </w:r>
          </w:p>
        </w:tc>
        <w:tc>
          <w:tcPr>
            <w:tcW w:w="740" w:type="dxa"/>
            <w:vAlign w:val="bottom"/>
          </w:tcPr>
          <w:p>
            <w:pPr>
              <w:spacing w:after="0"/>
              <w:rPr>
                <w:sz w:val="17"/>
                <w:szCs w:val="17"/>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7"/>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10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w w:val="88"/>
              </w:rPr>
              <w:t>75,824,785</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1,900,176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127,507</w:t>
            </w:r>
          </w:p>
        </w:tc>
        <w:tc>
          <w:tcPr>
            <w:tcW w:w="2400" w:type="dxa"/>
            <w:vAlign w:val="bottom"/>
            <w:gridSpan w:val="2"/>
          </w:tcPr>
          <w:p>
            <w:pPr>
              <w:jc w:val="right"/>
              <w:ind w:right="310"/>
              <w:spacing w:after="0"/>
              <w:rPr>
                <w:sz w:val="20"/>
                <w:szCs w:val="20"/>
                <w:color w:val="auto"/>
              </w:rPr>
            </w:pPr>
            <w:r>
              <w:rPr>
                <w:rFonts w:ascii="Arial" w:cs="Arial" w:eastAsia="Arial" w:hAnsi="Arial"/>
                <w:sz w:val="18"/>
                <w:szCs w:val="18"/>
                <w:color w:val="auto"/>
              </w:rPr>
              <w:t>837,467</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Ratification of the Appointment of the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Stockholders ratified the appointment of Deloitte &amp; Touche LLP as our independent registered public accounting firm for fiscal 2021.</w:t>
      </w:r>
    </w:p>
    <w:p>
      <w:pPr>
        <w:spacing w:after="0" w:line="32" w:lineRule="exact"/>
        <w:rPr>
          <w:sz w:val="20"/>
          <w:szCs w:val="20"/>
          <w:color w:val="auto"/>
        </w:rPr>
      </w:pPr>
    </w:p>
    <w:tbl>
      <w:tblPr>
        <w:tblLayout w:type="fixed"/>
        <w:tblInd w:w="382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96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6"/>
              </w:rPr>
              <w:t>For</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10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2220" w:type="dxa"/>
            <w:vAlign w:val="bottom"/>
            <w:gridSpan w:val="3"/>
          </w:tcPr>
          <w:p>
            <w:pPr>
              <w:jc w:val="right"/>
              <w:ind w:right="1400"/>
              <w:spacing w:after="0"/>
              <w:rPr>
                <w:sz w:val="20"/>
                <w:szCs w:val="20"/>
                <w:color w:val="auto"/>
              </w:rPr>
            </w:pPr>
            <w:r>
              <w:rPr>
                <w:rFonts w:ascii="Arial" w:cs="Arial" w:eastAsia="Arial" w:hAnsi="Arial"/>
                <w:sz w:val="18"/>
                <w:szCs w:val="18"/>
                <w:color w:val="auto"/>
                <w:w w:val="88"/>
              </w:rPr>
              <w:t>78,447,227</w:t>
            </w:r>
          </w:p>
        </w:tc>
        <w:tc>
          <w:tcPr>
            <w:tcW w:w="580" w:type="dxa"/>
            <w:vAlign w:val="bottom"/>
          </w:tcPr>
          <w:p>
            <w:pPr>
              <w:spacing w:after="0"/>
              <w:rPr>
                <w:sz w:val="20"/>
                <w:szCs w:val="20"/>
                <w:color w:val="auto"/>
              </w:rPr>
            </w:pPr>
            <w:r>
              <w:rPr>
                <w:rFonts w:ascii="Arial" w:cs="Arial" w:eastAsia="Arial" w:hAnsi="Arial"/>
                <w:sz w:val="18"/>
                <w:szCs w:val="18"/>
                <w:color w:val="auto"/>
                <w:w w:val="86"/>
              </w:rPr>
              <w:t>227,999</w:t>
            </w:r>
          </w:p>
        </w:tc>
        <w:tc>
          <w:tcPr>
            <w:tcW w:w="7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14,709</w:t>
            </w:r>
          </w:p>
        </w:tc>
        <w:tc>
          <w:tcPr>
            <w:tcW w:w="2400" w:type="dxa"/>
            <w:vAlign w:val="bottom"/>
            <w:gridSpan w:val="2"/>
          </w:tcPr>
          <w:p>
            <w:pPr>
              <w:jc w:val="right"/>
              <w:ind w:right="550"/>
              <w:spacing w:after="0"/>
              <w:rPr>
                <w:sz w:val="20"/>
                <w:szCs w:val="20"/>
                <w:color w:val="auto"/>
              </w:rPr>
            </w:pPr>
            <w:r>
              <w:rPr>
                <w:rFonts w:ascii="Arial" w:cs="Arial" w:eastAsia="Arial" w:hAnsi="Arial"/>
                <w:sz w:val="18"/>
                <w:szCs w:val="18"/>
                <w:color w:val="auto"/>
              </w:rPr>
              <w:t>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891"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0"/>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260" w:type="dxa"/>
            <w:vAlign w:val="bottom"/>
            <w:gridSpan w:val="2"/>
          </w:tcPr>
          <w:p>
            <w:pPr>
              <w:ind w:left="4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Third Amended and Restated Certificate of Incorporation of National Vision Holdings, Inc.</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23"/>
        </w:trPr>
        <w:tc>
          <w:tcPr>
            <w:tcW w:w="260" w:type="dxa"/>
            <w:vAlign w:val="bottom"/>
            <w:gridSpan w:val="2"/>
          </w:tcPr>
          <w:p>
            <w:pPr>
              <w:ind w:left="4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Third Amended and Restated Bylaws of National Vision Holdings, Inc.</w:t>
            </w:r>
          </w:p>
        </w:tc>
      </w:tr>
      <w:tr>
        <w:trPr>
          <w:trHeight w:val="1027"/>
        </w:trPr>
        <w:tc>
          <w:tcPr>
            <w:tcW w:w="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780" w:type="dxa"/>
            <w:vAlign w:val="bottom"/>
          </w:tcPr>
          <w:p>
            <w:pPr>
              <w:spacing w:after="0"/>
              <w:rPr>
                <w:sz w:val="20"/>
                <w:szCs w:val="20"/>
                <w:color w:val="auto"/>
              </w:rPr>
            </w:pPr>
            <w:r>
              <w:rPr>
                <w:rFonts w:ascii="Arial" w:cs="Arial" w:eastAsia="Arial" w:hAnsi="Arial"/>
                <w:sz w:val="18"/>
                <w:szCs w:val="18"/>
                <w:color w:val="auto"/>
              </w:rPr>
              <w:t>Date: June 10, 2021</w:t>
            </w:r>
          </w:p>
        </w:tc>
        <w:tc>
          <w:tcPr>
            <w:tcW w:w="2680" w:type="dxa"/>
            <w:vAlign w:val="bottom"/>
          </w:tcPr>
          <w:p>
            <w:pPr>
              <w:ind w:left="13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780" w:type="dxa"/>
            <w:vAlign w:val="bottom"/>
          </w:tcPr>
          <w:p>
            <w:pPr>
              <w:spacing w:after="0"/>
              <w:rPr>
                <w:sz w:val="19"/>
                <w:szCs w:val="19"/>
                <w:color w:val="auto"/>
              </w:rPr>
            </w:pPr>
          </w:p>
        </w:tc>
        <w:tc>
          <w:tcPr>
            <w:tcW w:w="2680" w:type="dxa"/>
            <w:vAlign w:val="bottom"/>
          </w:tcPr>
          <w:p>
            <w:pPr>
              <w:ind w:left="134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780" w:type="dxa"/>
            <w:vAlign w:val="bottom"/>
          </w:tcPr>
          <w:p>
            <w:pPr>
              <w:spacing w:after="0"/>
              <w:rPr>
                <w:sz w:val="20"/>
                <w:szCs w:val="20"/>
                <w:color w:val="auto"/>
              </w:rPr>
            </w:pPr>
          </w:p>
        </w:tc>
        <w:tc>
          <w:tcPr>
            <w:tcW w:w="2680" w:type="dxa"/>
            <w:vAlign w:val="bottom"/>
          </w:tcPr>
          <w:p>
            <w:pPr>
              <w:ind w:left="134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present name of the corporation is National Vision Holdings,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The Corporation was incorporated under the name “Nautilus Parent, Inc.” by the filing of its original Certificate of Incorporation with the Secretary of State of the State of Delaware on February 14, 2014, which was amended and restated on March 10, 2014 (as amended, the “</w:t>
      </w:r>
      <w:r>
        <w:rPr>
          <w:rFonts w:ascii="Arial" w:cs="Arial" w:eastAsia="Arial" w:hAnsi="Arial"/>
          <w:sz w:val="16"/>
          <w:szCs w:val="16"/>
          <w:u w:val="single" w:color="auto"/>
          <w:color w:val="auto"/>
        </w:rPr>
        <w:t>First Amended and Restated Certificate of Incorporation</w:t>
      </w:r>
      <w:r>
        <w:rPr>
          <w:rFonts w:ascii="Arial" w:cs="Arial" w:eastAsia="Arial" w:hAnsi="Arial"/>
          <w:sz w:val="16"/>
          <w:szCs w:val="16"/>
          <w:color w:val="auto"/>
        </w:rPr>
        <w:t>”). The First Amended and Restated Certificate of Incorporation was amended on June 28, 2017 to change the name of the Corporation from “Nautilus Parent, Inc.” to “National Vision Holdings, Inc.” The First Amended and Restated Certificate of Incorporation was amended on October 24, 2017 to effect a 1.96627-for-one reverse stock split of the then-outstanding common stock, par value $0.01 per share, of the Corporation. The Second Amended and Restated Certificate of Incorporation of the Corporation, which restates and integrates and also further amends the provisions of the First Amended and Restated Certificate of Incorporation, was duly adopted in accordance with the provisions of Sections 242 and 245 of the General Corporation Law of the State of Delaware and by the written consent of its stockholders in accordance with Section 228 of the General Corporation Law of the State of Delaware (as amended, the “</w:t>
      </w:r>
      <w:r>
        <w:rPr>
          <w:rFonts w:ascii="Arial" w:cs="Arial" w:eastAsia="Arial" w:hAnsi="Arial"/>
          <w:sz w:val="16"/>
          <w:szCs w:val="16"/>
          <w:u w:val="single" w:color="auto"/>
          <w:color w:val="auto"/>
        </w:rPr>
        <w:t>Second Amended and Restated Certificate of Incorporation</w:t>
      </w:r>
      <w:r>
        <w:rPr>
          <w:rFonts w:ascii="Arial" w:cs="Arial" w:eastAsia="Arial" w:hAnsi="Arial"/>
          <w:sz w:val="16"/>
          <w:szCs w:val="16"/>
          <w:color w:val="auto"/>
        </w:rPr>
        <w:t>”). This Third Amended and Restated Certificate of Incorporation of the Corporation, which restates and integrates and also further amends the provisions of the Second Amended and Restated Certificate of Incorporation, was duly adopted in accordance with the provisions of Sections 242 and 245 of the General Corporation Law of the State of Delaware. The Second Amended and Restated Certificate of Incorporation is hereby amended, integrated and restated to read in its entirety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is National Vision Holdings,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 AND AGENT</w:t>
      </w:r>
    </w:p>
    <w:p>
      <w:pPr>
        <w:spacing w:after="0" w:line="238"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The address of the registered office of the Corporation in the State of Delaware is Corporation Service Company, 251 Little Falls Drive in the City of Wilmington, County of New Castle, Delaware 19808. The name of the registered agent of the Corporation in the State of Delaware at such address is Corporation Service Company.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38"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the same exists or may hereafter be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238"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The total number of shares of all classes of stock that the Corporation shall have authority to issue is 250,000,000, which shall be divided into two classes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200,000,000 shares of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50,000,000 shares of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w:t>
      </w:r>
    </w:p>
    <w:p>
      <w:pPr>
        <w:spacing w:after="0" w:line="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 Common Stock and Preferred Stock may be issued from time to time by the Corporation for such consideration as may be fixed by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w:t>
      </w:r>
    </w:p>
    <w:p>
      <w:pPr>
        <w:sectPr>
          <w:pgSz w:w="11900" w:h="16838" w:orient="portrait"/>
          <w:cols w:equalWidth="0" w:num="1">
            <w:col w:w="11240"/>
          </w:cols>
          <w:pgMar w:left="320" w:top="121" w:right="339" w:bottom="1440" w:gutter="0" w:footer="0" w:header="0"/>
        </w:sectPr>
      </w:pPr>
    </w:p>
    <w:bookmarkStart w:id="6" w:name="page7"/>
    <w:bookmarkEnd w:id="6"/>
    <w:p>
      <w:pPr>
        <w:ind w:right="140"/>
        <w:spacing w:after="0" w:line="257" w:lineRule="auto"/>
        <w:rPr>
          <w:sz w:val="20"/>
          <w:szCs w:val="20"/>
          <w:color w:val="auto"/>
        </w:rPr>
      </w:pPr>
      <w:r>
        <w:rPr>
          <w:rFonts w:ascii="Arial" w:cs="Arial" w:eastAsia="Arial" w:hAnsi="Arial"/>
          <w:sz w:val="18"/>
          <w:szCs w:val="18"/>
          <w:color w:val="auto"/>
        </w:rPr>
        <w:t>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Third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Third Amended and Restated Certificate of Incorporation (including any certificate of designation relating to any series of Preferred Stock) or pursuant to the DGCL.</w:t>
      </w:r>
    </w:p>
    <w:p>
      <w:pPr>
        <w:spacing w:after="0" w:line="87"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C. Except as otherwise required by law, holders of any series of Preferred Stock shall be entitled to only such voting rights, if any, as shall expressly be granted thereto by this Third Amended and Restated Certificate of Incorporation (including any certificate of designation relating to such series of Preferred Stock).</w:t>
      </w:r>
    </w:p>
    <w:p>
      <w:pPr>
        <w:spacing w:after="0" w:line="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80" w:lineRule="exact"/>
        <w:rPr>
          <w:sz w:val="20"/>
          <w:szCs w:val="20"/>
          <w:color w:val="auto"/>
        </w:rPr>
      </w:pPr>
    </w:p>
    <w:p>
      <w:pPr>
        <w:ind w:right="340" w:firstLine="648"/>
        <w:spacing w:after="0" w:line="296" w:lineRule="auto"/>
        <w:rPr>
          <w:sz w:val="20"/>
          <w:szCs w:val="20"/>
          <w:color w:val="auto"/>
        </w:rPr>
      </w:pPr>
      <w:r>
        <w:rPr>
          <w:rFonts w:ascii="Arial" w:cs="Arial" w:eastAsia="Arial" w:hAnsi="Arial"/>
          <w:sz w:val="16"/>
          <w:szCs w:val="16"/>
          <w:color w:val="auto"/>
        </w:rPr>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DGCL (or any successor provision thereto), and no vote of the holders of any of the Common Stock or the Preferred Stock voting separately as a class shall be required therefor, unless a vote of any such holder is required pursuant to this Third Amended and Restated Certificate of Incorporation (including any certificate of designation relating to any series of Preferred Stock).</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THE CERTIFICATE OF INCORPORATION AND BYLAWS</w:t>
      </w:r>
    </w:p>
    <w:p>
      <w:pPr>
        <w:spacing w:after="0" w:line="103"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 In addition to any vote required by applicable law, this Third Amended and Restated Certificate of Incorporation may be amended, altered, repealed or rescinded, in whole or in part, or any provision inconsistent therewith or herewith may be adopted, by the affirmative vote of the holders of a majority in voting power of all the then-outstanding shares of stock of the Corporation entitled to vote thereon, voting together as a single class.</w:t>
      </w:r>
    </w:p>
    <w:p>
      <w:pPr>
        <w:spacing w:after="0" w:line="4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amended and restated bylaws of the Corporation (as in effect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the assent or vote of the stockholders in any manner not inconsistent with the laws of the State of Delaware or this Third Amended and Restated Certificate of Incorporation. In addition to any vote of the holders of any class or series of capital stock of the Corporation required herein (including any certificate of designation relating to any series of Preferred Stock), by the 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BOARD OF DIRECTORS</w:t>
      </w:r>
    </w:p>
    <w:p>
      <w:pPr>
        <w:sectPr>
          <w:pgSz w:w="11900" w:h="16838" w:orient="portrait"/>
          <w:cols w:equalWidth="0" w:num="1">
            <w:col w:w="11220"/>
          </w:cols>
          <w:pgMar w:left="320" w:top="935" w:right="359" w:bottom="1440" w:gutter="0" w:footer="0" w:header="0"/>
        </w:sectPr>
      </w:pPr>
    </w:p>
    <w:bookmarkStart w:id="7" w:name="page8"/>
    <w:bookmarkEnd w:id="7"/>
    <w:p>
      <w:pPr>
        <w:ind w:right="60" w:firstLine="648"/>
        <w:spacing w:after="0" w:line="286" w:lineRule="auto"/>
        <w:rPr>
          <w:sz w:val="20"/>
          <w:szCs w:val="20"/>
          <w:color w:val="auto"/>
        </w:rPr>
      </w:pPr>
      <w:r>
        <w:rPr>
          <w:rFonts w:ascii="Arial" w:cs="Arial" w:eastAsia="Arial" w:hAnsi="Arial"/>
          <w:sz w:val="16"/>
          <w:szCs w:val="16"/>
          <w:color w:val="auto"/>
        </w:rPr>
        <w:t>A. Except as otherwise provided in this Third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The directors (other than those directors elected by the holders of any series of Preferred Stock, voting separately as a series or together with one or more other such series, as the case may be) shall, until the annual meeting of stockholders to be held in 2024 (the “2024 Annual Meeting”), be divided into three classes designated Class I, Class II and Class III. Each class shall consist, as nearly as possible, of one-third of the total number of such directors. Each director elected at the 2021 annual meeting of stockholders shall be elected to a three-year term expiring at the 2024 annual meeting of stockholders. Commencing with the 2022 annual meeting of stockholders, directors of the class whose term ends at such annual meeting shall thereafter be elected for a one-year term expiring at the next annual meeting of stockholders and until their successors are elected and qualified or until their earlier death, resignation, retirement, disqualification or removal from office. From and after the 2024 Annual Meeting, the classification of the directors shall cease and all directors shall be elected for a one-year term expiring at the next annual meeting of stockholders or until their earlier death, resignation, retirement disqualification or removal from office. If the number of such directors is changed prior to the 2024 Annual Meeting, any increase or decrease shall be apportioned among the classes so as to maintain the number of directors in each class as nearly equal as possible. In no case shall a decrease in the number of directors remove or shorten the term of any incumbent director.</w:t>
      </w:r>
    </w:p>
    <w:p>
      <w:pPr>
        <w:spacing w:after="0" w:line="5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 Subject to the rights granted to the holders of any one or more series of Preferred Stock then outstanding, any newly-created directorship on the Board of Directors that results from an increase in the number of directors and any vacancy occurring on the Board of Directors (whether by death, resignation, retirement, disqualification, removal or other cause) shall be filled by a majority of the directors then in office, even if less than a quorum, by a sole remaining director or by the stockholders. Any director elected to fill a vacancy or newly created directorship shall hold office until, if prior to the 2024 Annual Meeting, the next election of the class into which such director shall have been elected or placed or, if from and after the 2024 Annual Meeting, the next annual meeting of stockholders and, in each case, until his or her successor shall be elected and qualified, or until his or her earlier death, resignation, retirement, disqualification or removal.</w:t>
      </w:r>
    </w:p>
    <w:p>
      <w:pPr>
        <w:spacing w:after="0" w:line="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 (i) Prior to the 2024 Annual Meeting, any or all of the directors (other than the directors elected by the holders of any series of Preferred Stock of the Corporation, voting separately as a series or together with one or more other such series, as the case may be) may be removed only for cause and only by the affirmative vote of the holders of a majority in voting power of all the then-outstanding shares of stock of the Corporation entitled to vote thereon, voting together as a single class, and (ii) from and after the 2024 Annual Meeting any such director may be removed with or without cause by the affirmative vote of a majority in voting power of all the then-outstanding shares of stock of the Corporation entitled to vote thereon, voting as a single class.</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Elections of directors need not be by written ballot unless the Bylaws shall so provide.</w:t>
      </w:r>
    </w:p>
    <w:p>
      <w:pPr>
        <w:spacing w:after="0" w:line="11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DIRECTOR LIABILITY</w:t>
      </w:r>
    </w:p>
    <w:p>
      <w:pPr>
        <w:sectPr>
          <w:pgSz w:w="11900" w:h="16838" w:orient="portrait"/>
          <w:cols w:equalWidth="0" w:num="1">
            <w:col w:w="11240"/>
          </w:cols>
          <w:pgMar w:left="320" w:top="935" w:right="339" w:bottom="1440" w:gutter="0" w:footer="0" w:header="0"/>
        </w:sectPr>
      </w:pPr>
    </w:p>
    <w:bookmarkStart w:id="8" w:name="page9"/>
    <w:bookmarkEnd w:id="8"/>
    <w:p>
      <w:pPr>
        <w:ind w:right="60" w:firstLine="648"/>
        <w:spacing w:after="0" w:line="308" w:lineRule="auto"/>
        <w:rPr>
          <w:sz w:val="20"/>
          <w:szCs w:val="20"/>
          <w:color w:val="auto"/>
        </w:rPr>
      </w:pPr>
      <w:r>
        <w:rPr>
          <w:rFonts w:ascii="Arial" w:cs="Arial" w:eastAsia="Arial" w:hAnsi="Arial"/>
          <w:sz w:val="17"/>
          <w:szCs w:val="17"/>
          <w:color w:val="auto"/>
        </w:rPr>
        <w:t>A.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w:t>
      </w:r>
    </w:p>
    <w:p>
      <w:pPr>
        <w:spacing w:after="0" w:line="3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B. Neither the amendment nor repeal of this Article VII, nor the adoption of any provision of this Third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OF STOCKHOLDERS IN LIEU OF MEETING, ANNUAL AND SPECIAL MEETINGS OF STOCKHOLDERS</w:t>
      </w:r>
    </w:p>
    <w:p>
      <w:pPr>
        <w:spacing w:after="0" w:line="10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A.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8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 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w:t>
      </w:r>
    </w:p>
    <w:p>
      <w:pPr>
        <w:spacing w:after="0" w:line="76"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C.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COMPETITION AND CORPORATE OPPORTUNITIES</w:t>
      </w:r>
    </w:p>
    <w:p>
      <w:pPr>
        <w:spacing w:after="0" w:line="10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In recognition and anticipation that members of the Board of Directors who are not employees of the Corporation (“</w:t>
      </w:r>
      <w:r>
        <w:rPr>
          <w:rFonts w:ascii="Arial" w:cs="Arial" w:eastAsia="Arial" w:hAnsi="Arial"/>
          <w:sz w:val="16"/>
          <w:szCs w:val="16"/>
          <w:u w:val="single" w:color="auto"/>
          <w:color w:val="auto"/>
        </w:rPr>
        <w:t>Non-Employee Directors</w:t>
      </w:r>
      <w:r>
        <w:rPr>
          <w:rFonts w:ascii="Arial" w:cs="Arial" w:eastAsia="Arial" w:hAnsi="Arial"/>
          <w:sz w:val="16"/>
          <w:szCs w:val="16"/>
          <w:color w:val="auto"/>
        </w:rPr>
        <w:t>”)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 None of the Non-Employee Director (including any Non-Employee Director who serves as an officer of the Corporation in both his or her director and officer capacities) or his or her Affiliates (the Persons (as defined below) identified above being referred to, collectively, as “</w:t>
      </w:r>
      <w:r>
        <w:rPr>
          <w:rFonts w:ascii="Arial" w:cs="Arial" w:eastAsia="Arial" w:hAnsi="Arial"/>
          <w:sz w:val="17"/>
          <w:szCs w:val="17"/>
          <w:u w:val="single" w:color="auto"/>
          <w:color w:val="auto"/>
        </w:rPr>
        <w:t>Identified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shall, to the fullest extent permitted by law, have any duty to refrain from directly or indirectly (i) engaging in the same or similar business activities or lines of business in which the Corporation or any of its Affiliates now engages or proposes to engage or (ii)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w:t>
      </w:r>
    </w:p>
    <w:p>
      <w:pPr>
        <w:sectPr>
          <w:pgSz w:w="11900" w:h="16838" w:orient="portrait"/>
          <w:cols w:equalWidth="0" w:num="1">
            <w:col w:w="11240"/>
          </w:cols>
          <w:pgMar w:left="320" w:top="1178" w:right="339" w:bottom="1440" w:gutter="0" w:footer="0" w:header="0"/>
        </w:sectPr>
      </w:pPr>
    </w:p>
    <w:bookmarkStart w:id="9" w:name="page10"/>
    <w:bookmarkEnd w:id="9"/>
    <w:p>
      <w:pPr>
        <w:ind w:right="180" w:firstLine="648"/>
        <w:spacing w:after="0" w:line="263" w:lineRule="auto"/>
        <w:rPr>
          <w:sz w:val="20"/>
          <w:szCs w:val="20"/>
          <w:color w:val="auto"/>
        </w:rPr>
      </w:pPr>
      <w:r>
        <w:rPr>
          <w:rFonts w:ascii="Arial" w:cs="Arial" w:eastAsia="Arial" w:hAnsi="Arial"/>
          <w:sz w:val="18"/>
          <w:szCs w:val="18"/>
          <w:color w:val="auto"/>
        </w:rPr>
        <w:t>C. 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w:t>
      </w:r>
    </w:p>
    <w:p>
      <w:pPr>
        <w:spacing w:after="0" w:line="76"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D.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IX shall not apply to any such corporate opportunity.</w:t>
      </w:r>
    </w:p>
    <w:p>
      <w:pPr>
        <w:spacing w:after="0" w:line="4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 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 For purposes of this Article IX, (i)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in respect of a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general or limited partnership, limited liability company, joint venture, trust, association or any other entity.</w:t>
      </w:r>
    </w:p>
    <w:p>
      <w:pPr>
        <w:spacing w:after="0" w:line="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G. 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Third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action, suit or claim that, but for this Article IX, would accrue or arise, prior to such alteration, amendment, addition, repeal or adoption.</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DGCL SECTION 203 AND BUSINESS COMBINATIONS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(3) years following the time that such stockholder became an interested stockholder, unless:</w:t>
      </w:r>
    </w:p>
    <w:p>
      <w:pPr>
        <w:spacing w:after="0" w:line="11" w:lineRule="exact"/>
        <w:rPr>
          <w:sz w:val="20"/>
          <w:szCs w:val="20"/>
          <w:color w:val="auto"/>
        </w:rPr>
      </w:pPr>
    </w:p>
    <w:p>
      <w:pPr>
        <w:ind w:left="2620" w:right="40" w:hanging="866"/>
        <w:spacing w:after="0" w:line="235" w:lineRule="auto"/>
        <w:tabs>
          <w:tab w:leader="none" w:pos="2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ind w:left="2620" w:right="80" w:hanging="866"/>
        <w:spacing w:after="0" w:line="226" w:lineRule="auto"/>
        <w:tabs>
          <w:tab w:leader="none" w:pos="2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7"/>
          <w:szCs w:val="17"/>
          <w:color w:val="auto"/>
        </w:rPr>
      </w:pPr>
    </w:p>
    <w:p>
      <w:pPr>
        <w:ind w:left="2620" w:right="180" w:hanging="866"/>
        <w:spacing w:after="0" w:line="237" w:lineRule="auto"/>
        <w:tabs>
          <w:tab w:leader="none" w:pos="2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at or subsequent to such time, the business combination is approved by the Board of Directors and authorized at an annual or special meeting of stockholders, and not by written consent, by the affirmative vote of at least a majority of the outstanding voting stock of the Corporation which is not owned by the interested stockholder.</w:t>
      </w:r>
    </w:p>
    <w:p>
      <w:pPr>
        <w:spacing w:after="0" w:line="189" w:lineRule="exact"/>
        <w:rPr>
          <w:rFonts w:ascii="Arial" w:cs="Arial" w:eastAsia="Arial" w:hAnsi="Arial"/>
          <w:sz w:val="17"/>
          <w:szCs w:val="17"/>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Article X, references to:</w:t>
      </w:r>
    </w:p>
    <w:p>
      <w:pPr>
        <w:spacing w:after="0" w:line="63" w:lineRule="exact"/>
        <w:rPr>
          <w:rFonts w:ascii="Arial" w:cs="Arial" w:eastAsia="Arial" w:hAnsi="Arial"/>
          <w:sz w:val="18"/>
          <w:szCs w:val="18"/>
          <w:color w:val="auto"/>
        </w:rPr>
      </w:pPr>
    </w:p>
    <w:p>
      <w:pPr>
        <w:ind w:left="2620" w:right="180" w:hanging="866"/>
        <w:spacing w:after="0" w:line="277" w:lineRule="auto"/>
        <w:tabs>
          <w:tab w:leader="none" w:pos="2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ectPr>
          <w:pgSz w:w="11900" w:h="16838" w:orient="portrait"/>
          <w:cols w:equalWidth="0" w:num="1">
            <w:col w:w="11240"/>
          </w:cols>
          <w:pgMar w:left="320" w:top="1178" w:right="339" w:bottom="1440" w:gutter="0" w:footer="0" w:header="0"/>
        </w:sectPr>
      </w:pPr>
    </w:p>
    <w:bookmarkStart w:id="10" w:name="page11"/>
    <w:bookmarkEnd w:id="10"/>
    <w:p>
      <w:pPr>
        <w:ind w:left="1500" w:hanging="866"/>
        <w:spacing w:after="0" w:line="296"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228" w:lineRule="exact"/>
        <w:rPr>
          <w:rFonts w:ascii="Arial" w:cs="Arial" w:eastAsia="Arial" w:hAnsi="Arial"/>
          <w:sz w:val="16"/>
          <w:szCs w:val="16"/>
          <w:color w:val="auto"/>
        </w:rPr>
      </w:pPr>
    </w:p>
    <w:p>
      <w:pPr>
        <w:ind w:left="1500" w:right="100" w:hanging="866"/>
        <w:spacing w:after="0" w:line="277"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of the Corporation, means:</w:t>
      </w:r>
    </w:p>
    <w:p>
      <w:pPr>
        <w:spacing w:after="0" w:line="102" w:lineRule="exact"/>
        <w:rPr>
          <w:rFonts w:ascii="Arial" w:cs="Arial" w:eastAsia="Arial" w:hAnsi="Arial"/>
          <w:sz w:val="18"/>
          <w:szCs w:val="18"/>
          <w:color w:val="auto"/>
        </w:rPr>
      </w:pPr>
    </w:p>
    <w:p>
      <w:pPr>
        <w:ind w:left="1880" w:right="1860" w:hanging="747"/>
        <w:spacing w:after="0" w:line="243" w:lineRule="auto"/>
        <w:tabs>
          <w:tab w:leader="none" w:pos="1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w:t>
      </w:r>
    </w:p>
    <w:p>
      <w:pPr>
        <w:ind w:left="1880" w:right="1540" w:hanging="747"/>
        <w:spacing w:after="0" w:line="238" w:lineRule="auto"/>
        <w:tabs>
          <w:tab w:leader="none" w:pos="1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5" w:lineRule="exact"/>
        <w:rPr>
          <w:rFonts w:ascii="Arial" w:cs="Arial" w:eastAsia="Arial" w:hAnsi="Arial"/>
          <w:sz w:val="16"/>
          <w:szCs w:val="16"/>
          <w:color w:val="auto"/>
        </w:rPr>
      </w:pPr>
    </w:p>
    <w:p>
      <w:pPr>
        <w:ind w:left="1880" w:right="1540" w:hanging="747"/>
        <w:spacing w:after="0" w:line="233" w:lineRule="auto"/>
        <w:tabs>
          <w:tab w:leader="none" w:pos="1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4" w:lineRule="exact"/>
        <w:rPr>
          <w:rFonts w:ascii="Arial" w:cs="Arial" w:eastAsia="Arial" w:hAnsi="Arial"/>
          <w:sz w:val="16"/>
          <w:szCs w:val="16"/>
          <w:color w:val="auto"/>
        </w:rPr>
      </w:pPr>
    </w:p>
    <w:p>
      <w:pPr>
        <w:ind w:left="1880" w:right="1540" w:hanging="747"/>
        <w:spacing w:after="0" w:line="224" w:lineRule="auto"/>
        <w:tabs>
          <w:tab w:leader="none" w:pos="1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ectPr>
          <w:pgSz w:w="11900" w:h="16838" w:orient="portrait"/>
          <w:cols w:equalWidth="0" w:num="1">
            <w:col w:w="10080"/>
          </w:cols>
          <w:pgMar w:left="1440" w:top="989" w:right="379" w:bottom="1440" w:gutter="0" w:footer="0" w:header="0"/>
        </w:sectPr>
      </w:pPr>
    </w:p>
    <w:bookmarkStart w:id="11" w:name="page12"/>
    <w:bookmarkEnd w:id="11"/>
    <w:p>
      <w:pPr>
        <w:ind w:left="2420" w:right="120" w:hanging="936"/>
        <w:spacing w:after="0" w:line="232" w:lineRule="auto"/>
        <w:tabs>
          <w:tab w:leader="none" w:pos="24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3" w:lineRule="exact"/>
        <w:rPr>
          <w:rFonts w:ascii="Arial" w:cs="Arial" w:eastAsia="Arial" w:hAnsi="Arial"/>
          <w:sz w:val="17"/>
          <w:szCs w:val="17"/>
          <w:color w:val="auto"/>
        </w:rPr>
      </w:pPr>
    </w:p>
    <w:p>
      <w:pPr>
        <w:ind w:left="1480" w:right="40" w:hanging="860"/>
        <w:spacing w:after="0" w:line="288"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w:t>
      </w:r>
    </w:p>
    <w:p>
      <w:pPr>
        <w:spacing w:after="0" w:line="15" w:lineRule="exact"/>
        <w:rPr>
          <w:rFonts w:ascii="Arial" w:cs="Arial" w:eastAsia="Arial" w:hAnsi="Arial"/>
          <w:sz w:val="16"/>
          <w:szCs w:val="16"/>
          <w:color w:val="auto"/>
        </w:rPr>
      </w:pPr>
    </w:p>
    <w:p>
      <w:pPr>
        <w:ind w:left="1480" w:right="20" w:hanging="860"/>
        <w:spacing w:after="0" w:line="285"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any person whose ownership of shares in excess of the 15% limitation set forth herein is the result of any action taken solely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1" w:lineRule="exact"/>
        <w:rPr>
          <w:rFonts w:ascii="Arial" w:cs="Arial" w:eastAsia="Arial" w:hAnsi="Arial"/>
          <w:sz w:val="16"/>
          <w:szCs w:val="16"/>
          <w:color w:val="auto"/>
        </w:rPr>
      </w:pPr>
    </w:p>
    <w:p>
      <w:pPr>
        <w:ind w:left="1480" w:right="800" w:hanging="860"/>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224" w:lineRule="exact"/>
        <w:rPr>
          <w:sz w:val="20"/>
          <w:szCs w:val="20"/>
          <w:color w:val="auto"/>
        </w:rPr>
      </w:pPr>
    </w:p>
    <w:p>
      <w:pPr>
        <w:ind w:left="2360" w:hanging="862"/>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3" w:lineRule="exact"/>
        <w:rPr>
          <w:rFonts w:ascii="Arial" w:cs="Arial" w:eastAsia="Arial" w:hAnsi="Arial"/>
          <w:sz w:val="18"/>
          <w:szCs w:val="18"/>
          <w:color w:val="auto"/>
        </w:rPr>
      </w:pPr>
    </w:p>
    <w:p>
      <w:pPr>
        <w:ind w:left="2360" w:hanging="862"/>
        <w:spacing w:after="0" w:line="222" w:lineRule="auto"/>
        <w:tabs>
          <w:tab w:leader="none" w:pos="2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person shall not be deemed the owner of any stock because of such person’s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vote such stock if the agreement, arrangement or understanding to vote such stock arises solely from a revocable proxy or consent given in response to a proxy or consent solicitation made to ten (10) or more persons; or</w:t>
      </w:r>
    </w:p>
    <w:p>
      <w:pPr>
        <w:ind w:left="2360" w:right="320" w:hanging="862"/>
        <w:spacing w:after="0" w:line="219" w:lineRule="auto"/>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ectPr>
          <w:pgSz w:w="11900" w:h="16838" w:orient="portrait"/>
          <w:cols w:equalWidth="0" w:num="1">
            <w:col w:w="10080"/>
          </w:cols>
          <w:pgMar w:left="1440" w:top="976" w:right="379" w:bottom="1440" w:gutter="0" w:footer="0" w:header="0"/>
        </w:sectPr>
      </w:pPr>
    </w:p>
    <w:bookmarkStart w:id="12" w:name="page13"/>
    <w:bookmarkEnd w:id="12"/>
    <w:p>
      <w:pPr>
        <w:ind w:left="2620" w:hanging="866"/>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63" w:lineRule="exact"/>
        <w:rPr>
          <w:rFonts w:ascii="Arial" w:cs="Arial" w:eastAsia="Arial" w:hAnsi="Arial"/>
          <w:sz w:val="18"/>
          <w:szCs w:val="18"/>
          <w:color w:val="auto"/>
        </w:rPr>
      </w:pPr>
    </w:p>
    <w:p>
      <w:pPr>
        <w:ind w:left="2620" w:hanging="866"/>
        <w:spacing w:after="0"/>
        <w:tabs>
          <w:tab w:leader="none" w:pos="2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w:t>
      </w:r>
      <w:r>
        <w:rPr>
          <w:rFonts w:ascii="Arial" w:cs="Arial" w:eastAsia="Arial" w:hAnsi="Arial"/>
          <w:sz w:val="16"/>
          <w:szCs w:val="16"/>
          <w:color w:val="auto"/>
        </w:rPr>
        <w:t>” means, with respect to any corporation, capital stock and, with respect to any other entity, any equity interest.</w:t>
      </w:r>
    </w:p>
    <w:p>
      <w:pPr>
        <w:spacing w:after="0" w:line="86" w:lineRule="exact"/>
        <w:rPr>
          <w:rFonts w:ascii="Arial" w:cs="Arial" w:eastAsia="Arial" w:hAnsi="Arial"/>
          <w:sz w:val="16"/>
          <w:szCs w:val="16"/>
          <w:color w:val="auto"/>
        </w:rPr>
      </w:pPr>
    </w:p>
    <w:p>
      <w:pPr>
        <w:ind w:left="2620" w:hanging="866"/>
        <w:spacing w:after="0"/>
        <w:tabs>
          <w:tab w:leader="none" w:pos="2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0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If any provision or provisions of this Third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Third Amended and Restated Certificate of Incorporation (including, without limitation, each portion of any paragraph of this Third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Third Amended and Restated Certificate of Incorporation (including, without limitation, each such portion of any paragraph of this Third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7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or stockholder of the Corporation to the Corporation or the Corporation’s stockholders, creditors or other constituents, (iii) any action asserting a claim against the Corporation or any director or officer of the Corporation arising pursuant to any provision of the DGCL or this Third Amended and Restated Certificate of Incorporation or the Bylaws (as either may be amended and/or restated from time to time) or as to which the DGCL confers jurisdiction on the Court of Chancery of the State of Delaware, or (iv) any action asserting a claim against the Corporation or any director or officer of the Corporation governed by the internal affairs doctrine; </w:t>
      </w:r>
      <w:r>
        <w:rPr>
          <w:rFonts w:ascii="Arial" w:cs="Arial" w:eastAsia="Arial" w:hAnsi="Arial"/>
          <w:sz w:val="16"/>
          <w:szCs w:val="16"/>
          <w:i w:val="1"/>
          <w:iCs w:val="1"/>
          <w:color w:val="auto"/>
        </w:rPr>
        <w:t>provided</w:t>
      </w:r>
      <w:r>
        <w:rPr>
          <w:rFonts w:ascii="Arial" w:cs="Arial" w:eastAsia="Arial" w:hAnsi="Arial"/>
          <w:sz w:val="16"/>
          <w:szCs w:val="16"/>
          <w:color w:val="auto"/>
        </w:rPr>
        <w:t>, that, if and only if the Court of Chancery of the State of Delaware dismisses any such action for lack of subject matter jurisdiction, such action may be brought in another state court sitting in the State of Delaware. To the fullest extent permitted by law, any person or entity purchasing or otherwise acquiring or holding any interest in shares of capital stock of the Corporation shall be deemed to have notice of and consented to the provisions of this Article XI(B).</w:t>
      </w:r>
    </w:p>
    <w:p>
      <w:pPr>
        <w:spacing w:after="0" w:line="19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National Vision Holdings, Inc. has caused this Third Amended and Restated Certificate of Incorporation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its duly authorized officer on this 9th day of June, 2021.</w:t>
      </w:r>
    </w:p>
    <w:p>
      <w:pPr>
        <w:spacing w:after="0" w:line="233"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140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98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THIRD AMENDED AND RESTATED</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BYLAWS</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NATIONAL VISION HOLDINGS, INC.</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Offices</w:t>
      </w:r>
    </w:p>
    <w:p>
      <w:pPr>
        <w:spacing w:after="0" w:line="320" w:lineRule="exact"/>
        <w:rPr>
          <w:sz w:val="20"/>
          <w:szCs w:val="20"/>
          <w:color w:val="auto"/>
        </w:rPr>
      </w:pPr>
    </w:p>
    <w:p>
      <w:pPr>
        <w:ind w:right="220" w:firstLine="1296"/>
        <w:spacing w:after="0" w:line="249"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Registered Office</w:t>
      </w:r>
      <w:r>
        <w:rPr>
          <w:rFonts w:ascii="Arial" w:cs="Arial" w:eastAsia="Arial" w:hAnsi="Arial"/>
          <w:sz w:val="21"/>
          <w:szCs w:val="21"/>
          <w:color w:val="auto"/>
        </w:rPr>
        <w:t>. The registered office and registered agent of National Vision Holdings, Inc. (the “</w:t>
      </w:r>
      <w:r>
        <w:rPr>
          <w:rFonts w:ascii="Arial" w:cs="Arial" w:eastAsia="Arial" w:hAnsi="Arial"/>
          <w:sz w:val="21"/>
          <w:szCs w:val="21"/>
          <w:u w:val="single" w:color="auto"/>
          <w:color w:val="auto"/>
        </w:rPr>
        <w:t>Corporation</w:t>
      </w:r>
      <w:r>
        <w:rPr>
          <w:rFonts w:ascii="Arial" w:cs="Arial" w:eastAsia="Arial" w:hAnsi="Arial"/>
          <w:sz w:val="21"/>
          <w:szCs w:val="21"/>
          <w:color w:val="auto"/>
        </w:rPr>
        <w:t>”) in the State of Delaware shall be as set forth in the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Arial" w:cs="Arial" w:eastAsia="Arial" w:hAnsi="Arial"/>
          <w:sz w:val="21"/>
          <w:szCs w:val="21"/>
          <w:u w:val="single" w:color="auto"/>
          <w:color w:val="auto"/>
        </w:rPr>
        <w:t>Board of Directors</w:t>
      </w:r>
      <w:r>
        <w:rPr>
          <w:rFonts w:ascii="Arial" w:cs="Arial" w:eastAsia="Arial" w:hAnsi="Arial"/>
          <w:sz w:val="21"/>
          <w:szCs w:val="21"/>
          <w:color w:val="auto"/>
        </w:rPr>
        <w:t>”) may, from time to time, determine or as the business of the Corporation may require.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226" w:lineRule="exact"/>
        <w:rPr>
          <w:sz w:val="20"/>
          <w:szCs w:val="20"/>
          <w:color w:val="auto"/>
        </w:rPr>
      </w:pPr>
    </w:p>
    <w:p>
      <w:pPr>
        <w:ind w:right="100" w:firstLine="1296"/>
        <w:spacing w:after="0" w:line="234"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Annual Meetings</w:t>
      </w:r>
      <w:r>
        <w:rPr>
          <w:rFonts w:ascii="Arial" w:cs="Arial" w:eastAsia="Arial" w:hAnsi="Arial"/>
          <w:sz w:val="22"/>
          <w:szCs w:val="22"/>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meetings of stockholders shall not be held at any place, but may instead be held solely by means of remote communication as described in Section 2.11 of these Bylaws in accordance with Section 211(a)(2) of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The Board of Directors may postpone, reschedule or cancel any annual meeting of stockholders previously scheduled by the Board of Directors.</w:t>
      </w:r>
    </w:p>
    <w:p>
      <w:pPr>
        <w:spacing w:after="0" w:line="191"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Arial" w:cs="Arial" w:eastAsia="Arial" w:hAnsi="Arial"/>
          <w:sz w:val="19"/>
          <w:szCs w:val="19"/>
          <w:u w:val="single" w:color="auto"/>
          <w:color w:val="auto"/>
        </w:rPr>
        <w:t>Amended and Restated Certificate of Incorporation</w:t>
      </w:r>
      <w:r>
        <w:rPr>
          <w:rFonts w:ascii="Arial" w:cs="Arial" w:eastAsia="Arial" w:hAnsi="Arial"/>
          <w:sz w:val="19"/>
          <w:szCs w:val="19"/>
          <w:color w:val="auto"/>
        </w:rPr>
        <w:t>”) and may be held at such place, if any, either within or without the State of Delaware, and at such time and date as the Board of Directors or the Chairman of the Board of Directors shall determine and state in the notice of meeting. The Board of Directors may postpone, reschedule or cancel any special meeting of stockholders previously scheduled by the Board of Directors or the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8" w:right="339" w:bottom="1440" w:gutter="0" w:footer="0" w:header="0"/>
        </w:sectPr>
      </w:pPr>
    </w:p>
    <w:bookmarkStart w:id="14" w:name="page15"/>
    <w:bookmarkEnd w:id="14"/>
    <w:p>
      <w:pPr>
        <w:ind w:left="1300"/>
        <w:spacing w:after="0"/>
        <w:tabs>
          <w:tab w:leader="none" w:pos="28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06" w:lineRule="exact"/>
        <w:rPr>
          <w:sz w:val="20"/>
          <w:szCs w:val="20"/>
          <w:color w:val="auto"/>
        </w:rPr>
      </w:pPr>
    </w:p>
    <w:p>
      <w:pPr>
        <w:ind w:left="1820" w:hanging="516"/>
        <w:spacing w:after="0"/>
        <w:tabs>
          <w:tab w:leader="none" w:pos="18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Annual Meetings of Stockholders</w:t>
      </w:r>
      <w:r>
        <w:rPr>
          <w:rFonts w:ascii="Arial" w:cs="Arial" w:eastAsia="Arial" w:hAnsi="Arial"/>
          <w:sz w:val="22"/>
          <w:szCs w:val="22"/>
          <w:color w:val="auto"/>
        </w:rPr>
        <w:t>.</w:t>
      </w:r>
    </w:p>
    <w:p>
      <w:pPr>
        <w:spacing w:after="0" w:line="206" w:lineRule="exact"/>
        <w:rPr>
          <w:sz w:val="20"/>
          <w:szCs w:val="20"/>
          <w:color w:val="auto"/>
        </w:rPr>
      </w:pPr>
    </w:p>
    <w:p>
      <w:pPr>
        <w:ind w:right="100" w:firstLine="1304"/>
        <w:spacing w:after="0" w:line="279" w:lineRule="auto"/>
        <w:tabs>
          <w:tab w:leader="none" w:pos="1939"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and the proposal of other business to be considered by the stockholders may be made at an annual meeting of stockholders only (a) pursuant to the Corporation’s notice of meeting (or any supplement thereto) delivered pursuant to Section 2.04 of Article II of these Bylaws, (b) by or at the direction of the Board of Directors or any authorized committee thereof or (c) by any stockholder of the Corporation who is entitled to vote at the meeting, who complied with the notice procedures set forth in paragraphs (A)(2) and (A)(3) of this Section 2.03 and who was a stockholder of record at the time such notice is delivered to the Secretary of the Corporation.</w:t>
      </w:r>
    </w:p>
    <w:p>
      <w:pPr>
        <w:spacing w:after="0" w:line="150" w:lineRule="exact"/>
        <w:rPr>
          <w:rFonts w:ascii="Arial" w:cs="Arial" w:eastAsia="Arial" w:hAnsi="Arial"/>
          <w:sz w:val="19"/>
          <w:szCs w:val="19"/>
          <w:color w:val="auto"/>
        </w:rPr>
      </w:pPr>
    </w:p>
    <w:p>
      <w:pPr>
        <w:ind w:firstLine="1304"/>
        <w:spacing w:after="0" w:line="270" w:lineRule="auto"/>
        <w:tabs>
          <w:tab w:leader="none" w:pos="1939"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For nominations or other business to be properly brought before an annual meeting by a stockholder pursuant to clause (c)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less than ninety (90) days nor more than one hundred and twenty (120) days prior to the first anniversary of the preceding year’s annual meeting (which date shall, for purposes of the Corporation’s first annual meeting of stockholders after its shares of Common Stock are first publicly traded, be deemed to have occurred on October 30, 2017);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one hundred and twenty (120) days prior to such annual meeting and not later than the close of business on the later of the ninetieth (90th) day prior to such annual meeting or the tenth (10th) day following the day on which public announcement of the date of such meeting is first made.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120" w:firstLine="1304"/>
        <w:spacing w:after="0" w:line="250" w:lineRule="auto"/>
        <w:tabs>
          <w:tab w:leader="none" w:pos="19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Such stockholder’s notice shall set forth (a) as to each person whom the stockholder proposes to nominate for election or re-election as a director, all information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4" w:right="339" w:bottom="1440" w:gutter="0" w:footer="0" w:header="0"/>
        </w:sectPr>
      </w:pPr>
    </w:p>
    <w:bookmarkStart w:id="15" w:name="page16"/>
    <w:bookmarkEnd w:id="15"/>
    <w:p>
      <w:pPr>
        <w:spacing w:after="0" w:line="21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to such person that is required to be disclosed in solicitations of proxies for election of directors in an election contest, or is otherwise required, in each case pursuant to Section 14(a) of the Securities Exchange Act of 1934, as amended (the “</w:t>
      </w:r>
      <w:r>
        <w:rPr>
          <w:rFonts w:ascii="Arial" w:cs="Arial" w:eastAsia="Arial" w:hAnsi="Arial"/>
          <w:sz w:val="19"/>
          <w:szCs w:val="19"/>
          <w:u w:val="single" w:color="auto"/>
          <w:color w:val="auto"/>
        </w:rPr>
        <w:t>Exchange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w:t>
      </w:r>
    </w:p>
    <w:p>
      <w:pPr>
        <w:spacing w:after="0" w:line="3"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or proposal is made</w:t>
      </w:r>
    </w:p>
    <w:p>
      <w:pPr>
        <w:spacing w:after="0" w:line="24" w:lineRule="exact"/>
        <w:rPr>
          <w:rFonts w:ascii="Arial" w:cs="Arial" w:eastAsia="Arial" w:hAnsi="Arial"/>
          <w:sz w:val="19"/>
          <w:szCs w:val="19"/>
          <w:color w:val="auto"/>
        </w:rPr>
      </w:pPr>
    </w:p>
    <w:p>
      <w:pPr>
        <w:ind w:firstLine="8"/>
        <w:spacing w:after="0" w:line="266" w:lineRule="auto"/>
        <w:tabs>
          <w:tab w:leader="none" w:pos="25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name and address of such stockholder, as they appear on the Corporation’s books and records, and of such beneficial owner, (ii) the class or series and number of shares of capital stock of the Corporation that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that will (x) deliver a proxy statement and/or form of proxy to holders of at least the percentage of the voting power of the Corporation’s outstanding capital stock required to approve or adopt the proposal or elect the nominee and/or (y) otherwise to solicit proxies or votes from stockholders in support of such proposal or nomination, (v) a certification regarding whether such stockholder and beneficial owner, if any, have complied with all applicable federal, state and other legal requirements in connection with (x) the stockholder’s and/or beneficial owner’s acquisition of shares of capital stock or other securities of the Corporation and/or the stockholder’s and/or (y) the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9"/>
          <w:szCs w:val="19"/>
          <w:u w:val="single" w:color="auto"/>
          <w:color w:val="auto"/>
        </w:rPr>
        <w:t>proponent persons</w:t>
      </w:r>
      <w:r>
        <w:rPr>
          <w:rFonts w:ascii="Arial" w:cs="Arial" w:eastAsia="Arial" w:hAnsi="Arial"/>
          <w:sz w:val="19"/>
          <w:szCs w:val="19"/>
          <w:color w:val="auto"/>
        </w:rPr>
        <w:t>”); and (e) 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w:t>
      </w:r>
    </w:p>
    <w:p>
      <w:pPr>
        <w:spacing w:after="0" w:line="19" w:lineRule="exact"/>
        <w:rPr>
          <w:rFonts w:ascii="Arial" w:cs="Arial" w:eastAsia="Arial" w:hAnsi="Arial"/>
          <w:sz w:val="19"/>
          <w:szCs w:val="19"/>
          <w:color w:val="auto"/>
        </w:rPr>
      </w:pPr>
    </w:p>
    <w:p>
      <w:pPr>
        <w:ind w:right="200" w:firstLine="8"/>
        <w:spacing w:after="0" w:line="308" w:lineRule="auto"/>
        <w:tabs>
          <w:tab w:leader="none" w:pos="37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to provide any proponent person, directly or indirectly, with the opportunity to profit or share in any profit derived from, or to otherwise benefit economically from, any increase or decrease in the value of any security of the Corporation.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40" w:right="359" w:bottom="1440" w:gutter="0" w:footer="0" w:header="0"/>
        </w:sectPr>
      </w:pPr>
    </w:p>
    <w:bookmarkStart w:id="16" w:name="page17"/>
    <w:bookmarkEnd w:id="16"/>
    <w:p>
      <w:pPr>
        <w:ind w:right="20"/>
        <w:spacing w:after="0" w:line="270" w:lineRule="auto"/>
        <w:rPr>
          <w:sz w:val="20"/>
          <w:szCs w:val="20"/>
          <w:color w:val="auto"/>
        </w:rPr>
      </w:pPr>
      <w:r>
        <w:rPr>
          <w:rFonts w:ascii="Arial" w:cs="Arial" w:eastAsia="Arial" w:hAnsi="Arial"/>
          <w:sz w:val="19"/>
          <w:szCs w:val="19"/>
          <w:color w:val="auto"/>
        </w:rPr>
        <w:t xml:space="preserve">stockholder providing notice of a proposed nomination for election to the Board of Directors or other business proposed to be brought before a meeting (whether given pursuant to this paragraph (A)(3) or paragraph (B) of this Section 2.03 of these Bylaws)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9" w:lineRule="exact"/>
        <w:rPr>
          <w:sz w:val="20"/>
          <w:szCs w:val="20"/>
          <w:color w:val="auto"/>
        </w:rPr>
      </w:pPr>
    </w:p>
    <w:p>
      <w:pPr>
        <w:ind w:left="1800" w:hanging="496"/>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Special Meetings of Stockholders</w:t>
      </w:r>
      <w:r>
        <w:rPr>
          <w:rFonts w:ascii="Arial" w:cs="Arial" w:eastAsia="Arial" w:hAnsi="Arial"/>
          <w:sz w:val="22"/>
          <w:szCs w:val="22"/>
          <w:color w:val="auto"/>
        </w:rPr>
        <w:t>. Only such business shall be conducted</w:t>
      </w:r>
    </w:p>
    <w:p>
      <w:pPr>
        <w:spacing w:after="0" w:line="8"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entitled to vote at the meeting, who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80"/>
          </w:cols>
          <w:pgMar w:left="320" w:top="1414" w:right="399" w:bottom="1440" w:gutter="0" w:footer="0" w:header="0"/>
        </w:sectPr>
      </w:pPr>
    </w:p>
    <w:bookmarkStart w:id="17" w:name="page18"/>
    <w:bookmarkEnd w:id="17"/>
    <w:p>
      <w:pPr>
        <w:ind w:right="240"/>
        <w:spacing w:after="0" w:line="250" w:lineRule="auto"/>
        <w:rPr>
          <w:sz w:val="20"/>
          <w:szCs w:val="20"/>
          <w:color w:val="auto"/>
        </w:rPr>
      </w:pPr>
      <w:r>
        <w:rPr>
          <w:rFonts w:ascii="Arial" w:cs="Arial" w:eastAsia="Arial" w:hAnsi="Arial"/>
          <w:sz w:val="22"/>
          <w:szCs w:val="22"/>
          <w:color w:val="auto"/>
        </w:rPr>
        <w:t>event shall the public announcement of an adjournment or postponement of a special meeting commence a new time period (or extend any time period) for the giving of a stockholder’s notice as described above.</w:t>
      </w:r>
    </w:p>
    <w:p>
      <w:pPr>
        <w:spacing w:after="0" w:line="175" w:lineRule="exact"/>
        <w:rPr>
          <w:sz w:val="20"/>
          <w:szCs w:val="20"/>
          <w:color w:val="auto"/>
        </w:rPr>
      </w:pPr>
    </w:p>
    <w:p>
      <w:pPr>
        <w:ind w:firstLine="1304"/>
        <w:spacing w:after="0" w:line="269" w:lineRule="auto"/>
        <w:tabs>
          <w:tab w:leader="none" w:pos="180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(1) Only such persons who are nominated in accordance with the procedures set forth in this Section 2.03 shall be eligible to serve as directors and only such business shall be conducted at an annual or special meeting of stockholders as shall have been brought before the meeting in accordance with the procedures set forth in this Section. Except as otherwise provided by law, the Amended and Restated Certificate of Incorporation or these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law,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4" w:right="339" w:bottom="1440" w:gutter="0" w:footer="0" w:header="0"/>
        </w:sectPr>
      </w:pPr>
    </w:p>
    <w:bookmarkStart w:id="18" w:name="page19"/>
    <w:bookmarkEnd w:id="18"/>
    <w:p>
      <w:pPr>
        <w:ind w:left="7" w:right="220" w:firstLine="1289"/>
        <w:spacing w:after="0" w:line="282" w:lineRule="auto"/>
        <w:tabs>
          <w:tab w:leader="none" w:pos="1879" w:val="left"/>
        </w:tabs>
        <w:numPr>
          <w:ilvl w:val="0"/>
          <w:numId w:val="17"/>
        </w:numPr>
        <w:rPr>
          <w:rFonts w:ascii="Arial" w:cs="Arial" w:eastAsia="Arial" w:hAnsi="Arial"/>
          <w:sz w:val="19"/>
          <w:szCs w:val="19"/>
          <w:color w:val="auto"/>
        </w:rPr>
      </w:pPr>
      <w:r>
        <w:rPr>
          <w:rFonts w:ascii="Arial" w:cs="Arial" w:eastAsia="Arial" w:hAnsi="Arial"/>
          <w:sz w:val="19"/>
          <w:szCs w:val="19"/>
          <w:color w:val="auto"/>
        </w:rPr>
        <w:t>Whenever used in these Bylaws, “</w:t>
      </w:r>
      <w:r>
        <w:rPr>
          <w:rFonts w:ascii="Arial" w:cs="Arial" w:eastAsia="Arial" w:hAnsi="Arial"/>
          <w:sz w:val="19"/>
          <w:szCs w:val="19"/>
          <w:u w:val="single" w:color="auto"/>
          <w:color w:val="auto"/>
        </w:rPr>
        <w:t>public announcement</w:t>
      </w:r>
      <w:r>
        <w:rPr>
          <w:rFonts w:ascii="Arial" w:cs="Arial" w:eastAsia="Arial" w:hAnsi="Arial"/>
          <w:sz w:val="19"/>
          <w:szCs w:val="19"/>
          <w:color w:val="auto"/>
        </w:rPr>
        <w:t xml:space="preserve">” shall mean disclosure (a) in a press release released by the 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47" w:lineRule="exact"/>
        <w:rPr>
          <w:rFonts w:ascii="Arial" w:cs="Arial" w:eastAsia="Arial" w:hAnsi="Arial"/>
          <w:sz w:val="19"/>
          <w:szCs w:val="19"/>
          <w:color w:val="auto"/>
        </w:rPr>
      </w:pPr>
    </w:p>
    <w:p>
      <w:pPr>
        <w:ind w:left="7" w:firstLine="1289"/>
        <w:spacing w:after="0" w:line="274" w:lineRule="auto"/>
        <w:tabs>
          <w:tab w:leader="none" w:pos="1879"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paragraphs (A)(1)(c) and (B) hereof), and compliance with paragraphs (A)(1)(c) and (B) of this Section 2.03 of these Bylaws shall be the exclusive means for a stockholder to make nominations or submit other business. Nothing in these Bylaws shall be deemed to affect any rights of the holders of any class or series of stock having a preference over the Common Stock as to dividends or upon liquidation to elect directors under specified circumstances.</w:t>
      </w:r>
    </w:p>
    <w:p>
      <w:pPr>
        <w:spacing w:after="0" w:line="158" w:lineRule="exact"/>
        <w:rPr>
          <w:sz w:val="20"/>
          <w:szCs w:val="20"/>
          <w:color w:val="auto"/>
        </w:rPr>
      </w:pPr>
    </w:p>
    <w:p>
      <w:pPr>
        <w:ind w:left="7" w:firstLine="1231"/>
        <w:spacing w:after="0" w:line="269"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Notice of Meetings</w:t>
      </w:r>
      <w:r>
        <w:rPr>
          <w:rFonts w:ascii="Arial" w:cs="Arial" w:eastAsia="Arial" w:hAnsi="Arial"/>
          <w:sz w:val="19"/>
          <w:szCs w:val="19"/>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Amended and Restated Certificate of Incorporation or these Bylaws, the notice of any meeting shall be given not less than ten</w:t>
      </w:r>
    </w:p>
    <w:p>
      <w:pPr>
        <w:spacing w:after="0" w:line="1" w:lineRule="exact"/>
        <w:rPr>
          <w:sz w:val="20"/>
          <w:szCs w:val="20"/>
          <w:color w:val="auto"/>
        </w:rPr>
      </w:pPr>
    </w:p>
    <w:p>
      <w:pPr>
        <w:ind w:left="7" w:right="200" w:hanging="7"/>
        <w:spacing w:after="0" w:line="236" w:lineRule="auto"/>
        <w:tabs>
          <w:tab w:leader="none" w:pos="4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nor more than sixty (60) days before the date of the meeting to each stockholder entitled to vote at such meeting as of the record date for determining the stockholders entitled to notice of the meeting.</w:t>
      </w:r>
    </w:p>
    <w:p>
      <w:pPr>
        <w:spacing w:after="0" w:line="187" w:lineRule="exact"/>
        <w:rPr>
          <w:sz w:val="20"/>
          <w:szCs w:val="20"/>
          <w:color w:val="auto"/>
        </w:rPr>
      </w:pPr>
    </w:p>
    <w:p>
      <w:pPr>
        <w:ind w:left="7" w:right="960" w:firstLine="1231"/>
        <w:spacing w:after="0" w:line="250"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Quorum</w:t>
      </w:r>
      <w:r>
        <w:rPr>
          <w:rFonts w:ascii="Arial" w:cs="Arial" w:eastAsia="Arial" w:hAnsi="Arial"/>
          <w:sz w:val="22"/>
          <w:szCs w:val="22"/>
          <w:color w:val="auto"/>
        </w:rPr>
        <w:t>. Unless otherwise required by law, the Amended and Restated Certificate of Incorporation or the rules of any stock exchange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7"/>
          </w:cols>
          <w:pgMar w:left="393" w:top="1414" w:right="419" w:bottom="1440" w:gutter="0" w:footer="0" w:header="0"/>
        </w:sectPr>
      </w:pPr>
    </w:p>
    <w:bookmarkStart w:id="19" w:name="page20"/>
    <w:bookmarkEnd w:id="19"/>
    <w:p>
      <w:pPr>
        <w:ind w:right="40"/>
        <w:spacing w:after="0" w:line="234" w:lineRule="auto"/>
        <w:rPr>
          <w:sz w:val="20"/>
          <w:szCs w:val="20"/>
          <w:color w:val="auto"/>
        </w:rPr>
      </w:pPr>
      <w:r>
        <w:rPr>
          <w:rFonts w:ascii="Arial" w:cs="Arial" w:eastAsia="Arial" w:hAnsi="Arial"/>
          <w:sz w:val="22"/>
          <w:szCs w:val="22"/>
          <w:color w:val="auto"/>
        </w:rPr>
        <w:t>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91"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Voting</w:t>
      </w:r>
      <w:r>
        <w:rPr>
          <w:rFonts w:ascii="Arial" w:cs="Arial" w:eastAsia="Arial" w:hAnsi="Arial"/>
          <w:sz w:val="19"/>
          <w:szCs w:val="19"/>
          <w:color w:val="auto"/>
        </w:rPr>
        <w:t>. Except as otherwise provided by or pursuant to the provisions of the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200" w:lineRule="exact"/>
        <w:rPr>
          <w:sz w:val="20"/>
          <w:szCs w:val="20"/>
          <w:color w:val="auto"/>
        </w:rPr>
      </w:pPr>
    </w:p>
    <w:p>
      <w:pPr>
        <w:spacing w:after="0" w:line="206" w:lineRule="exact"/>
        <w:rPr>
          <w:sz w:val="20"/>
          <w:szCs w:val="20"/>
          <w:color w:val="auto"/>
        </w:rPr>
      </w:pPr>
    </w:p>
    <w:p>
      <w:pPr>
        <w:ind w:right="300" w:firstLine="1296"/>
        <w:spacing w:after="0" w:line="238"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Chairman of Meetings</w:t>
      </w:r>
      <w:r>
        <w:rPr>
          <w:rFonts w:ascii="Arial" w:cs="Arial" w:eastAsia="Arial" w:hAnsi="Arial"/>
          <w:sz w:val="22"/>
          <w:szCs w:val="22"/>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185"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Secretary of Meetings</w:t>
      </w:r>
      <w:r>
        <w:rPr>
          <w:rFonts w:ascii="Arial" w:cs="Arial" w:eastAsia="Arial" w:hAnsi="Arial"/>
          <w:sz w:val="22"/>
          <w:szCs w:val="22"/>
          <w:color w:val="auto"/>
        </w:rPr>
        <w:t>. The Secretary of the Corporation shall act as secretary at all meetings of the stockholders. In the absence or disability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4" w:right="339" w:bottom="1440" w:gutter="0" w:footer="0" w:header="0"/>
        </w:sectPr>
      </w:pPr>
    </w:p>
    <w:bookmarkStart w:id="20" w:name="page21"/>
    <w:bookmarkEnd w:id="20"/>
    <w:p>
      <w:pPr>
        <w:ind w:right="260"/>
        <w:spacing w:after="0" w:line="250" w:lineRule="auto"/>
        <w:rPr>
          <w:sz w:val="20"/>
          <w:szCs w:val="20"/>
          <w:color w:val="auto"/>
        </w:rPr>
      </w:pPr>
      <w:r>
        <w:rPr>
          <w:rFonts w:ascii="Arial" w:cs="Arial" w:eastAsia="Arial" w:hAnsi="Arial"/>
          <w:sz w:val="22"/>
          <w:szCs w:val="22"/>
          <w:color w:val="auto"/>
        </w:rPr>
        <w:t>Secretary, the Chairman of the Board of Directors, the Chief Executive Officer or the chairman of the meeting shall appoint a person to act as secretary at such meetings.</w:t>
      </w:r>
    </w:p>
    <w:p>
      <w:pPr>
        <w:spacing w:after="0" w:line="175" w:lineRule="exact"/>
        <w:rPr>
          <w:sz w:val="20"/>
          <w:szCs w:val="20"/>
          <w:color w:val="auto"/>
        </w:rPr>
      </w:pPr>
    </w:p>
    <w:p>
      <w:pPr>
        <w:ind w:right="280" w:firstLine="1231"/>
        <w:spacing w:after="0" w:line="238"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Consent of Stockholders in Lieu of Meeting</w:t>
      </w:r>
      <w:r>
        <w:rPr>
          <w:rFonts w:ascii="Arial" w:cs="Arial" w:eastAsia="Arial" w:hAnsi="Arial"/>
          <w:sz w:val="22"/>
          <w:szCs w:val="22"/>
          <w:color w:val="auto"/>
        </w:rPr>
        <w:t>. Any action required or permitted to be taken at any annual or special meeting of stockholders of the Corporation may be taken without a meeting, without prior notice and without a vote only in the manner provided in the Amended and Restated Certificate of Incorporation and in accordance with applicable law.</w:t>
      </w:r>
    </w:p>
    <w:p>
      <w:pPr>
        <w:spacing w:after="0" w:line="198" w:lineRule="exact"/>
        <w:rPr>
          <w:sz w:val="20"/>
          <w:szCs w:val="20"/>
          <w:color w:val="auto"/>
        </w:rPr>
      </w:pPr>
    </w:p>
    <w:p>
      <w:pPr>
        <w:ind w:firstLine="1231"/>
        <w:spacing w:after="0" w:line="273"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Adjournment</w:t>
      </w:r>
      <w:r>
        <w:rPr>
          <w:rFonts w:ascii="Arial" w:cs="Arial" w:eastAsia="Arial" w:hAnsi="Arial"/>
          <w:sz w:val="19"/>
          <w:szCs w:val="19"/>
          <w:color w:val="auto"/>
        </w:rPr>
        <w:t>. At any meeting of stockholders of the Corporation, if less than a quorum be present, the chairman of the meeting or stockholders holding a majority in voting power of the shares of stock of the Corporation,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200" w:lineRule="exact"/>
        <w:rPr>
          <w:sz w:val="20"/>
          <w:szCs w:val="20"/>
          <w:color w:val="auto"/>
        </w:rPr>
      </w:pPr>
    </w:p>
    <w:p>
      <w:pPr>
        <w:spacing w:after="0" w:line="204" w:lineRule="exact"/>
        <w:rPr>
          <w:sz w:val="20"/>
          <w:szCs w:val="20"/>
          <w:color w:val="auto"/>
        </w:rPr>
      </w:pPr>
    </w:p>
    <w:p>
      <w:pPr>
        <w:ind w:right="500" w:firstLine="1231"/>
        <w:spacing w:after="0" w:line="257"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Remote Communication</w:t>
      </w:r>
      <w:r>
        <w:rPr>
          <w:rFonts w:ascii="Arial" w:cs="Arial" w:eastAsia="Arial" w:hAnsi="Arial"/>
          <w:sz w:val="21"/>
          <w:szCs w:val="21"/>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169" w:lineRule="exact"/>
        <w:rPr>
          <w:sz w:val="20"/>
          <w:szCs w:val="20"/>
          <w:color w:val="auto"/>
        </w:rPr>
      </w:pPr>
    </w:p>
    <w:p>
      <w:pPr>
        <w:ind w:left="1880" w:hanging="591"/>
        <w:spacing w:after="0"/>
        <w:tabs>
          <w:tab w:leader="none" w:pos="18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participate in a meeting of stockholders; and</w:t>
      </w:r>
    </w:p>
    <w:p>
      <w:pPr>
        <w:spacing w:after="0" w:line="206" w:lineRule="exact"/>
        <w:rPr>
          <w:rFonts w:ascii="Arial" w:cs="Arial" w:eastAsia="Arial" w:hAnsi="Arial"/>
          <w:sz w:val="22"/>
          <w:szCs w:val="22"/>
          <w:color w:val="auto"/>
        </w:rPr>
      </w:pPr>
    </w:p>
    <w:p>
      <w:pPr>
        <w:ind w:right="860" w:firstLine="1289"/>
        <w:spacing w:after="0" w:line="250" w:lineRule="auto"/>
        <w:tabs>
          <w:tab w:leader="none" w:pos="1867"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be deemed present in person and vote at a meeting of stockholders whether such meeting is to be held at a designated place or solely by means of remote communication,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75" w:lineRule="exact"/>
        <w:rPr>
          <w:sz w:val="20"/>
          <w:szCs w:val="20"/>
          <w:color w:val="auto"/>
        </w:rPr>
      </w:pPr>
    </w:p>
    <w:p>
      <w:pPr>
        <w:ind w:right="560" w:firstLine="1289"/>
        <w:spacing w:after="0" w:line="274" w:lineRule="auto"/>
        <w:tabs>
          <w:tab w:leader="none" w:pos="1872"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Corporation shall implement reasonable measures to verify that each person deemed present and permitted to vote at the meeting by means of remote communication is a stockholder or proxyholder;</w:t>
      </w:r>
    </w:p>
    <w:p>
      <w:pPr>
        <w:spacing w:after="0" w:line="150" w:lineRule="exact"/>
        <w:rPr>
          <w:rFonts w:ascii="Arial" w:cs="Arial" w:eastAsia="Arial" w:hAnsi="Arial"/>
          <w:sz w:val="21"/>
          <w:szCs w:val="21"/>
          <w:color w:val="auto"/>
        </w:rPr>
      </w:pPr>
    </w:p>
    <w:p>
      <w:pPr>
        <w:ind w:right="340" w:firstLine="1289"/>
        <w:spacing w:after="0" w:line="297" w:lineRule="auto"/>
        <w:tabs>
          <w:tab w:leader="none" w:pos="1872"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33" w:lineRule="exact"/>
        <w:rPr>
          <w:rFonts w:ascii="Arial" w:cs="Arial" w:eastAsia="Arial" w:hAnsi="Arial"/>
          <w:sz w:val="19"/>
          <w:szCs w:val="19"/>
          <w:color w:val="auto"/>
        </w:rPr>
      </w:pPr>
    </w:p>
    <w:p>
      <w:pPr>
        <w:ind w:right="940" w:firstLine="1289"/>
        <w:spacing w:after="0" w:line="274" w:lineRule="auto"/>
        <w:tabs>
          <w:tab w:leader="none" w:pos="1872" w:val="left"/>
        </w:tabs>
        <w:numPr>
          <w:ilvl w:val="0"/>
          <w:numId w:val="20"/>
        </w:numPr>
        <w:rPr>
          <w:rFonts w:ascii="Arial" w:cs="Arial" w:eastAsia="Arial" w:hAnsi="Arial"/>
          <w:sz w:val="21"/>
          <w:szCs w:val="21"/>
          <w:color w:val="auto"/>
        </w:rPr>
      </w:pPr>
      <w:r>
        <w:rPr>
          <w:rFonts w:ascii="Arial" w:cs="Arial" w:eastAsia="Arial" w:hAnsi="Arial"/>
          <w:sz w:val="21"/>
          <w:szCs w:val="21"/>
          <w:color w:val="auto"/>
        </w:rPr>
        <w:t>if any stockholder or proxyholder votes or takes other action at the meeting by means of remote communication, a record of such vote or other action shall be maintained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80"/>
          </w:cols>
          <w:pgMar w:left="400" w:top="1414" w:right="419" w:bottom="1440" w:gutter="0" w:footer="0" w:header="0"/>
        </w:sectPr>
      </w:pPr>
    </w:p>
    <w:bookmarkStart w:id="21" w:name="page22"/>
    <w:bookmarkEnd w:id="21"/>
    <w:p>
      <w:pPr>
        <w:ind w:right="80" w:firstLine="1296"/>
        <w:spacing w:after="0" w:line="271"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Inspectors of Election</w:t>
      </w:r>
      <w:r>
        <w:rPr>
          <w:rFonts w:ascii="Arial" w:cs="Arial" w:eastAsia="Arial" w:hAnsi="Arial"/>
          <w:sz w:val="19"/>
          <w:szCs w:val="19"/>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212" w:lineRule="exact"/>
        <w:rPr>
          <w:sz w:val="20"/>
          <w:szCs w:val="20"/>
          <w:color w:val="auto"/>
        </w:rPr>
      </w:pPr>
    </w:p>
    <w:p>
      <w:pPr>
        <w:ind w:right="220" w:firstLine="1296"/>
        <w:spacing w:after="0" w:line="236"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Powers</w:t>
      </w:r>
      <w:r>
        <w:rPr>
          <w:rFonts w:ascii="Arial" w:cs="Arial" w:eastAsia="Arial" w:hAnsi="Arial"/>
          <w:sz w:val="22"/>
          <w:szCs w:val="22"/>
          <w:color w:val="auto"/>
        </w:rPr>
        <w:t>. Except as otherwise provided in the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87"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Number and Term; Chairman</w:t>
      </w:r>
      <w:r>
        <w:rPr>
          <w:rFonts w:ascii="Arial" w:cs="Arial" w:eastAsia="Arial" w:hAnsi="Arial"/>
          <w:sz w:val="21"/>
          <w:szCs w:val="21"/>
          <w:color w:val="auto"/>
        </w:rPr>
        <w:t>. Subject to the Amended and Restated Certificate of Incorporation, the number of directors shall be fixed exclusively by resolution of the Board of Directors. At each annual meeting of stockholders, directors shall be elected for the term provided in the Amended and Restated Certificate of Incorporation. Directors need not be stockholders. The Board of Directors shall elect a Chairman of the Board of Directors, who shall have the powers and perform such duties as provided in these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 meeting or is not a director, a majority of the directors present at such meeting shall elect one of their members to preside.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4" w:right="339" w:bottom="1440" w:gutter="0" w:footer="0" w:header="0"/>
        </w:sectPr>
      </w:pPr>
    </w:p>
    <w:bookmarkStart w:id="22" w:name="page23"/>
    <w:bookmarkEnd w:id="22"/>
    <w:p>
      <w:pPr>
        <w:ind w:right="420" w:firstLine="1296"/>
        <w:spacing w:after="0" w:line="236"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Resignations</w:t>
      </w:r>
      <w:r>
        <w:rPr>
          <w:rFonts w:ascii="Arial" w:cs="Arial" w:eastAsia="Arial" w:hAnsi="Arial"/>
          <w:sz w:val="22"/>
          <w:szCs w:val="22"/>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87" w:lineRule="exact"/>
        <w:rPr>
          <w:sz w:val="20"/>
          <w:szCs w:val="20"/>
          <w:color w:val="auto"/>
        </w:rPr>
      </w:pPr>
    </w:p>
    <w:p>
      <w:pPr>
        <w:ind w:right="900" w:firstLine="1296"/>
        <w:spacing w:after="0" w:line="250"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Removal</w:t>
      </w:r>
      <w:r>
        <w:rPr>
          <w:rFonts w:ascii="Arial" w:cs="Arial" w:eastAsia="Arial" w:hAnsi="Arial"/>
          <w:sz w:val="22"/>
          <w:szCs w:val="22"/>
          <w:color w:val="auto"/>
        </w:rPr>
        <w:t>. Directors of the Corporation may be removed in the manner provided in the Amended and Restated Certificate of Incorporation and applicable law.</w:t>
      </w:r>
    </w:p>
    <w:p>
      <w:pPr>
        <w:spacing w:after="0" w:line="175"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w:t>
      </w:r>
    </w:p>
    <w:p>
      <w:pPr>
        <w:spacing w:after="0" w:line="134"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color w:val="auto"/>
        </w:rPr>
        <w:t xml:space="preserve">SECTION 3.06 </w:t>
      </w:r>
      <w:r>
        <w:rPr>
          <w:rFonts w:ascii="Arial" w:cs="Arial" w:eastAsia="Arial" w:hAnsi="Arial"/>
          <w:sz w:val="21"/>
          <w:szCs w:val="21"/>
          <w:u w:val="single" w:color="auto"/>
          <w:color w:val="auto"/>
        </w:rPr>
        <w:t>Meetings</w:t>
      </w:r>
      <w:r>
        <w:rPr>
          <w:rFonts w:ascii="Arial" w:cs="Arial" w:eastAsia="Arial" w:hAnsi="Arial"/>
          <w:sz w:val="21"/>
          <w:szCs w:val="21"/>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Amended and Restated Certificate of Incorporation, and shall be called by the Chief Executive Officer or the Secretary of the Corporation if directed by the Board of Directors and shall be at such places and times as they or he or she shall fix. Notice need not be given of regular meetings of the Board of Directors. At least twenty 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184"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Quorum, Voting and Adjournment</w:t>
      </w:r>
      <w:r>
        <w:rPr>
          <w:rFonts w:ascii="Arial" w:cs="Arial" w:eastAsia="Arial" w:hAnsi="Arial"/>
          <w:sz w:val="22"/>
          <w:szCs w:val="22"/>
          <w:color w:val="auto"/>
        </w:rPr>
        <w:t>. A majority of the total number of directors shall constitute a quorum for the transaction of business. Except as otherwise provided by law, the Amended and Restated Certificate of Incorporation or these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0"/>
          </w:cols>
          <w:pgMar w:left="320" w:top="1414" w:right="379" w:bottom="1440" w:gutter="0" w:footer="0" w:header="0"/>
        </w:sectPr>
      </w:pPr>
    </w:p>
    <w:bookmarkStart w:id="23" w:name="page24"/>
    <w:bookmarkEnd w:id="23"/>
    <w:p>
      <w:pPr>
        <w:ind w:firstLine="1296"/>
        <w:spacing w:after="0" w:line="270"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Committees; Committee Rules</w:t>
      </w:r>
      <w:r>
        <w:rPr>
          <w:rFonts w:ascii="Arial" w:cs="Arial" w:eastAsia="Arial" w:hAnsi="Arial"/>
          <w:sz w:val="19"/>
          <w:szCs w:val="19"/>
          <w:color w:val="auto"/>
        </w:rPr>
        <w:t>. The Board of Directors may designate one or more committees, including but not limited to an Audit Committee and a Compensation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0" w:lineRule="exact"/>
        <w:rPr>
          <w:sz w:val="20"/>
          <w:szCs w:val="20"/>
          <w:color w:val="auto"/>
        </w:rPr>
      </w:pPr>
    </w:p>
    <w:p>
      <w:pPr>
        <w:spacing w:after="0" w:line="203"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and the writing or writings or electronic transmission or transmissions are filed in the minutes of proceedings of the Board of Directors. Such filing shall be in paper form if the minutes are maintained in paper form or shall be in electronic form if the minutes are maintained in electronic form.</w:t>
      </w:r>
    </w:p>
    <w:p>
      <w:pPr>
        <w:spacing w:after="0" w:line="150" w:lineRule="exact"/>
        <w:rPr>
          <w:sz w:val="20"/>
          <w:szCs w:val="20"/>
          <w:color w:val="auto"/>
        </w:rPr>
      </w:pPr>
    </w:p>
    <w:p>
      <w:pPr>
        <w:ind w:right="60" w:firstLine="1296"/>
        <w:spacing w:after="0" w:line="236"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Remote Meeting</w:t>
      </w:r>
      <w:r>
        <w:rPr>
          <w:rFonts w:ascii="Arial" w:cs="Arial" w:eastAsia="Arial" w:hAnsi="Arial"/>
          <w:sz w:val="22"/>
          <w:szCs w:val="22"/>
          <w:color w:val="auto"/>
        </w:rPr>
        <w:t>.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80"/>
          </w:cols>
          <w:pgMar w:left="320" w:top="1414" w:right="399" w:bottom="1440" w:gutter="0" w:footer="0" w:header="0"/>
        </w:sectPr>
      </w:pPr>
    </w:p>
    <w:bookmarkStart w:id="24" w:name="page25"/>
    <w:bookmarkEnd w:id="24"/>
    <w:p>
      <w:pPr>
        <w:ind w:right="800" w:firstLine="1296"/>
        <w:spacing w:after="0" w:line="328"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The Board of Directors shall have the authority to fix the compensation, including fees and reimbursement of expenses, of directors for services to the Corporation in any capacity.</w:t>
      </w:r>
    </w:p>
    <w:p>
      <w:pPr>
        <w:spacing w:after="0" w:line="105" w:lineRule="exact"/>
        <w:rPr>
          <w:sz w:val="20"/>
          <w:szCs w:val="20"/>
          <w:color w:val="auto"/>
        </w:rPr>
      </w:pPr>
    </w:p>
    <w:p>
      <w:pPr>
        <w:ind w:right="40" w:firstLine="1296"/>
        <w:spacing w:after="0" w:line="248"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Reliance on Books and Records.</w:t>
      </w:r>
      <w:r>
        <w:rPr>
          <w:rFonts w:ascii="Arial" w:cs="Arial" w:eastAsia="Arial" w:hAnsi="Arial"/>
          <w:sz w:val="21"/>
          <w:szCs w:val="21"/>
          <w:color w:val="auto"/>
        </w:rPr>
        <w:t xml:space="preserve">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7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Officers</w:t>
      </w:r>
    </w:p>
    <w:p>
      <w:pPr>
        <w:spacing w:after="0" w:line="307" w:lineRule="exact"/>
        <w:rPr>
          <w:sz w:val="20"/>
          <w:szCs w:val="20"/>
          <w:color w:val="auto"/>
        </w:rPr>
      </w:pPr>
    </w:p>
    <w:p>
      <w:pPr>
        <w:ind w:right="160" w:firstLine="1296"/>
        <w:spacing w:after="0" w:line="246"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Number.</w:t>
      </w:r>
      <w:r>
        <w:rPr>
          <w:rFonts w:ascii="Arial" w:cs="Arial" w:eastAsia="Arial" w:hAnsi="Arial"/>
          <w:sz w:val="21"/>
          <w:szCs w:val="21"/>
          <w:color w:val="auto"/>
        </w:rPr>
        <w:t xml:space="preserve"> The officers of the Corporation shall include a Chief Executive Officer, a President, a principal financial officer, a principal accounting officer and a Secretary,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one or more Vice Presidents, including one or more Executive Vice Presidents, Senior Vice Presidents, a Treasurer and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180" w:lineRule="exact"/>
        <w:rPr>
          <w:sz w:val="20"/>
          <w:szCs w:val="20"/>
          <w:color w:val="auto"/>
        </w:rPr>
      </w:pPr>
    </w:p>
    <w:p>
      <w:pPr>
        <w:ind w:firstLine="1296"/>
        <w:spacing w:after="0" w:line="252"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Other Officers and Agents</w:t>
      </w:r>
      <w:r>
        <w:rPr>
          <w:rFonts w:ascii="Arial" w:cs="Arial" w:eastAsia="Arial" w:hAnsi="Arial"/>
          <w:sz w:val="21"/>
          <w:szCs w:val="21"/>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each of whom does not need to be a member of the Board of Directors.</w:t>
      </w:r>
    </w:p>
    <w:p>
      <w:pPr>
        <w:spacing w:after="0" w:line="174"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u w:val="single" w:color="auto"/>
          <w:color w:val="auto"/>
        </w:rPr>
        <w:t>Chief Executive Officer/President</w:t>
      </w:r>
      <w:r>
        <w:rPr>
          <w:rFonts w:ascii="Arial" w:cs="Arial" w:eastAsia="Arial" w:hAnsi="Arial"/>
          <w:sz w:val="21"/>
          <w:szCs w:val="21"/>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184" w:lineRule="exact"/>
        <w:rPr>
          <w:sz w:val="20"/>
          <w:szCs w:val="20"/>
          <w:color w:val="auto"/>
        </w:rPr>
      </w:pPr>
    </w:p>
    <w:p>
      <w:pPr>
        <w:ind w:right="700" w:firstLine="1296"/>
        <w:spacing w:after="0" w:line="250"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Vice Presidents</w:t>
      </w:r>
      <w:r>
        <w:rPr>
          <w:rFonts w:ascii="Arial" w:cs="Arial" w:eastAsia="Arial" w:hAnsi="Arial"/>
          <w:sz w:val="22"/>
          <w:szCs w:val="22"/>
          <w:color w:val="auto"/>
        </w:rPr>
        <w:t>. Each Vice President, if any are appointed, of whom one or more may be designated an Executive Vice President or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4" w:right="339" w:bottom="1440" w:gutter="0" w:footer="0" w:header="0"/>
        </w:sectPr>
      </w:pPr>
    </w:p>
    <w:bookmarkStart w:id="25" w:name="page26"/>
    <w:bookmarkEnd w:id="25"/>
    <w:p>
      <w:pPr>
        <w:ind w:right="360"/>
        <w:spacing w:after="0" w:line="250" w:lineRule="auto"/>
        <w:rPr>
          <w:sz w:val="20"/>
          <w:szCs w:val="20"/>
          <w:color w:val="auto"/>
        </w:rPr>
      </w:pPr>
      <w:r>
        <w:rPr>
          <w:rFonts w:ascii="Arial" w:cs="Arial" w:eastAsia="Arial" w:hAnsi="Arial"/>
          <w:sz w:val="22"/>
          <w:szCs w:val="22"/>
          <w:color w:val="auto"/>
        </w:rPr>
        <w:t>shall have such powers and shall perform such duties as shall be assigned to him or her by the Chief Executive Officer or the Board of Directors.</w:t>
      </w:r>
    </w:p>
    <w:p>
      <w:pPr>
        <w:spacing w:after="0" w:line="175" w:lineRule="exact"/>
        <w:rPr>
          <w:sz w:val="20"/>
          <w:szCs w:val="20"/>
          <w:color w:val="auto"/>
        </w:rPr>
      </w:pPr>
    </w:p>
    <w:p>
      <w:pPr>
        <w:ind w:right="40" w:firstLine="1296"/>
        <w:spacing w:after="0" w:line="275"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157" w:lineRule="exact"/>
        <w:rPr>
          <w:sz w:val="20"/>
          <w:szCs w:val="20"/>
          <w:color w:val="auto"/>
        </w:rPr>
      </w:pPr>
    </w:p>
    <w:p>
      <w:pPr>
        <w:ind w:right="260" w:firstLine="1296"/>
        <w:spacing w:after="0" w:line="328" w:lineRule="auto"/>
        <w:rPr>
          <w:sz w:val="20"/>
          <w:szCs w:val="20"/>
          <w:color w:val="auto"/>
        </w:rPr>
      </w:pPr>
      <w:r>
        <w:rPr>
          <w:rFonts w:ascii="Arial" w:cs="Arial" w:eastAsia="Arial" w:hAnsi="Arial"/>
          <w:sz w:val="19"/>
          <w:szCs w:val="19"/>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05"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Secretary</w:t>
      </w:r>
      <w:r>
        <w:rPr>
          <w:rFonts w:ascii="Arial" w:cs="Arial" w:eastAsia="Arial" w:hAnsi="Arial"/>
          <w:sz w:val="22"/>
          <w:szCs w:val="22"/>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188"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Assistant Treasurers and Assistant Secretaries</w:t>
      </w:r>
      <w:r>
        <w:rPr>
          <w:rFonts w:ascii="Arial" w:cs="Arial" w:eastAsia="Arial" w:hAnsi="Arial"/>
          <w:sz w:val="19"/>
          <w:szCs w:val="19"/>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47" w:lineRule="exact"/>
        <w:rPr>
          <w:sz w:val="20"/>
          <w:szCs w:val="20"/>
          <w:color w:val="auto"/>
        </w:rPr>
      </w:pPr>
    </w:p>
    <w:p>
      <w:pPr>
        <w:ind w:right="20" w:firstLine="1296"/>
        <w:spacing w:after="0" w:line="236"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u w:val="single" w:color="auto"/>
          <w:color w:val="auto"/>
        </w:rPr>
        <w:t>Corporate Funds and Checks</w:t>
      </w:r>
      <w:r>
        <w:rPr>
          <w:rFonts w:ascii="Arial" w:cs="Arial" w:eastAsia="Arial" w:hAnsi="Arial"/>
          <w:sz w:val="22"/>
          <w:szCs w:val="22"/>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187" w:lineRule="exact"/>
        <w:rPr>
          <w:sz w:val="20"/>
          <w:szCs w:val="20"/>
          <w:color w:val="auto"/>
        </w:rPr>
      </w:pPr>
    </w:p>
    <w:p>
      <w:pPr>
        <w:ind w:right="680" w:firstLine="1296"/>
        <w:spacing w:after="0" w:line="297" w:lineRule="auto"/>
        <w:rPr>
          <w:sz w:val="20"/>
          <w:szCs w:val="20"/>
          <w:color w:val="auto"/>
        </w:rPr>
      </w:pPr>
      <w:r>
        <w:rPr>
          <w:rFonts w:ascii="Arial" w:cs="Arial" w:eastAsia="Arial" w:hAnsi="Arial"/>
          <w:sz w:val="19"/>
          <w:szCs w:val="19"/>
          <w:color w:val="auto"/>
        </w:rPr>
        <w:t xml:space="preserve">SECTION 4.09 </w:t>
      </w:r>
      <w:r>
        <w:rPr>
          <w:rFonts w:ascii="Arial" w:cs="Arial" w:eastAsia="Arial" w:hAnsi="Arial"/>
          <w:sz w:val="19"/>
          <w:szCs w:val="19"/>
          <w:u w:val="single" w:color="auto"/>
          <w:color w:val="auto"/>
        </w:rPr>
        <w:t>Contracts and Other Documents</w:t>
      </w:r>
      <w:r>
        <w:rPr>
          <w:rFonts w:ascii="Arial" w:cs="Arial" w:eastAsia="Arial" w:hAnsi="Arial"/>
          <w:sz w:val="19"/>
          <w:szCs w:val="19"/>
          <w:color w:val="auto"/>
        </w:rPr>
        <w:t>. The Chief Executive Officer and the Secretary, or such other officer or officers as may from time to time be authorized by the Board of Directors or any other committee given specific authority in the premises by the Board of Directors during the intervals between the meetings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60"/>
          </w:cols>
          <w:pgMar w:left="320" w:top="1414" w:right="419" w:bottom="1440" w:gutter="0" w:footer="0" w:header="0"/>
        </w:sectPr>
      </w:pPr>
    </w:p>
    <w:bookmarkStart w:id="26" w:name="page27"/>
    <w:bookmarkEnd w:id="26"/>
    <w:p>
      <w:pPr>
        <w:ind w:right="160"/>
        <w:spacing w:after="0" w:line="250" w:lineRule="auto"/>
        <w:rPr>
          <w:sz w:val="20"/>
          <w:szCs w:val="20"/>
          <w:color w:val="auto"/>
        </w:rPr>
      </w:pPr>
      <w:r>
        <w:rPr>
          <w:rFonts w:ascii="Arial" w:cs="Arial" w:eastAsia="Arial" w:hAnsi="Arial"/>
          <w:sz w:val="22"/>
          <w:szCs w:val="22"/>
          <w:color w:val="auto"/>
        </w:rPr>
        <w:t>Directors, shall have power to sign and execute on behalf of the Corporation deeds, conveyances and contracts, and any and all other documents requiring execution by the Corporation.</w:t>
      </w:r>
    </w:p>
    <w:p>
      <w:pPr>
        <w:spacing w:after="0" w:line="175"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Ownership of Stock of Another Corporation</w:t>
      </w:r>
      <w:r>
        <w:rPr>
          <w:rFonts w:ascii="Arial" w:cs="Arial" w:eastAsia="Arial" w:hAnsi="Arial"/>
          <w:sz w:val="19"/>
          <w:szCs w:val="19"/>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50"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In the absence, disability or refusal of any officer to exercise and perform his or her duties, the Board of Directors may delegate to another officer such powers or duties.</w:t>
      </w:r>
    </w:p>
    <w:p>
      <w:pPr>
        <w:spacing w:after="0" w:line="175" w:lineRule="exact"/>
        <w:rPr>
          <w:sz w:val="20"/>
          <w:szCs w:val="20"/>
          <w:color w:val="auto"/>
        </w:rPr>
      </w:pPr>
    </w:p>
    <w:p>
      <w:pPr>
        <w:jc w:val="both"/>
        <w:ind w:right="240" w:firstLine="1296"/>
        <w:spacing w:after="0"/>
        <w:rPr>
          <w:sz w:val="20"/>
          <w:szCs w:val="20"/>
          <w:color w:val="auto"/>
        </w:rPr>
      </w:pPr>
      <w:r>
        <w:rPr>
          <w:rFonts w:ascii="Arial" w:cs="Arial" w:eastAsia="Arial" w:hAnsi="Arial"/>
          <w:sz w:val="22"/>
          <w:szCs w:val="22"/>
          <w:color w:val="auto"/>
        </w:rPr>
        <w:t xml:space="preserve">SECTION 4.12 </w:t>
      </w:r>
      <w:r>
        <w:rPr>
          <w:rFonts w:ascii="Arial" w:cs="Arial" w:eastAsia="Arial" w:hAnsi="Arial"/>
          <w:sz w:val="22"/>
          <w:szCs w:val="22"/>
          <w:u w:val="single" w:color="auto"/>
          <w:color w:val="auto"/>
        </w:rPr>
        <w:t>Resignation and Removal</w:t>
      </w:r>
      <w:r>
        <w:rPr>
          <w:rFonts w:ascii="Arial" w:cs="Arial" w:eastAsia="Arial" w:hAnsi="Arial"/>
          <w:sz w:val="22"/>
          <w:szCs w:val="22"/>
          <w:color w:val="auto"/>
        </w:rPr>
        <w:t>. Any officer of the Corporation may be removed from office for or without cause at any time by the Board of Directors. Any officer may resign at any time in the same manner prescribed under Section 3.03 of these Bylaws.</w:t>
      </w:r>
    </w:p>
    <w:p>
      <w:pPr>
        <w:spacing w:after="0" w:line="186"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Vacancies</w:t>
      </w:r>
      <w:r>
        <w:rPr>
          <w:rFonts w:ascii="Arial" w:cs="Arial" w:eastAsia="Arial" w:hAnsi="Arial"/>
          <w:sz w:val="19"/>
          <w:szCs w:val="19"/>
          <w:color w:val="auto"/>
        </w:rPr>
        <w:t>. The Board of Directors shall have the power to fill vacancies occurring in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office.</w:t>
      </w:r>
    </w:p>
    <w:p>
      <w:pPr>
        <w:spacing w:after="0" w:line="8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Stock</w:t>
      </w:r>
    </w:p>
    <w:p>
      <w:pPr>
        <w:spacing w:after="0" w:line="307"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Shares With Certificates</w:t>
      </w:r>
      <w:r>
        <w:rPr>
          <w:rFonts w:ascii="Arial" w:cs="Arial" w:eastAsia="Arial" w:hAnsi="Arial"/>
          <w:sz w:val="19"/>
          <w:szCs w:val="19"/>
          <w:color w:val="auto"/>
        </w:rPr>
        <w:t xml:space="preserve">. The shares of stock of the Corporation shall be represented by certificates,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the Chief Executive Officer, the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55" w:lineRule="exact"/>
        <w:rPr>
          <w:sz w:val="20"/>
          <w:szCs w:val="20"/>
          <w:color w:val="auto"/>
        </w:rPr>
      </w:pPr>
    </w:p>
    <w:p>
      <w:pPr>
        <w:ind w:right="180" w:firstLine="1296"/>
        <w:spacing w:after="0" w:line="297"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Shares Without Certificates</w:t>
      </w:r>
      <w:r>
        <w:rPr>
          <w:rFonts w:ascii="Arial" w:cs="Arial" w:eastAsia="Arial" w:hAnsi="Arial"/>
          <w:sz w:val="19"/>
          <w:szCs w:val="19"/>
          <w:color w:val="auto"/>
        </w:rPr>
        <w:t>. If the Board of Directors chooses to issue shares of stock without certificates, the Corporation, if required by the DGCL, shall, within a reasonable time after the issue or transfer of shares without certificates, send the stockholder a written statement of the information required by the DGCL. The Corporation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160"/>
          </w:cols>
          <w:pgMar w:left="320" w:top="1414" w:right="419" w:bottom="1440" w:gutter="0" w:footer="0" w:header="0"/>
        </w:sectPr>
      </w:pPr>
    </w:p>
    <w:bookmarkStart w:id="27" w:name="page28"/>
    <w:bookmarkEnd w:id="27"/>
    <w:p>
      <w:pPr>
        <w:ind w:right="540"/>
        <w:spacing w:after="0" w:line="328" w:lineRule="auto"/>
        <w:rPr>
          <w:sz w:val="20"/>
          <w:szCs w:val="20"/>
          <w:color w:val="auto"/>
        </w:rPr>
      </w:pPr>
      <w:r>
        <w:rPr>
          <w:rFonts w:ascii="Arial" w:cs="Arial" w:eastAsia="Arial" w:hAnsi="Arial"/>
          <w:sz w:val="19"/>
          <w:szCs w:val="19"/>
          <w:color w:val="auto"/>
        </w:rPr>
        <w:t xml:space="preserve">adopt a system of issuance, recordation and transfer of its shares of stock by electronic or other means not involving the issuance of certificates,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use of such system by the Corporation is permitted in accordance with applicable law.</w:t>
      </w:r>
    </w:p>
    <w:p>
      <w:pPr>
        <w:spacing w:after="0" w:line="105" w:lineRule="exact"/>
        <w:rPr>
          <w:sz w:val="20"/>
          <w:szCs w:val="20"/>
          <w:color w:val="auto"/>
        </w:rPr>
      </w:pPr>
    </w:p>
    <w:p>
      <w:pPr>
        <w:ind w:right="80" w:firstLine="1296"/>
        <w:spacing w:after="0" w:line="273"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Transfer of Shares</w:t>
      </w:r>
      <w:r>
        <w:rPr>
          <w:rFonts w:ascii="Arial" w:cs="Arial" w:eastAsia="Arial" w:hAnsi="Arial"/>
          <w:sz w:val="19"/>
          <w:szCs w:val="19"/>
          <w:color w:val="auto"/>
        </w:rPr>
        <w:t>. Shares of stock of the Corporation shall be transferable upon its books by the holders thereof, in person or by their duly authorized attorneys or legal representatives, in the manner prescribed by law, the Amended and Restated Certificate of Incorporation and in these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of Directors shall have power and authority to make such rules and regulations as it may deem necessary or proper concerning the issue, transfer and registration of certificates for shares of stock of the Corporation.</w:t>
      </w:r>
    </w:p>
    <w:p>
      <w:pPr>
        <w:spacing w:after="0" w:line="155" w:lineRule="exact"/>
        <w:rPr>
          <w:sz w:val="20"/>
          <w:szCs w:val="20"/>
          <w:color w:val="auto"/>
        </w:rPr>
      </w:pPr>
    </w:p>
    <w:p>
      <w:pPr>
        <w:ind w:right="40" w:firstLine="1296"/>
        <w:spacing w:after="0" w:line="275"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Lost, Stolen, Destroyed or Mutilated Certificates</w:t>
      </w:r>
      <w:r>
        <w:rPr>
          <w:rFonts w:ascii="Arial" w:cs="Arial" w:eastAsia="Arial" w:hAnsi="Arial"/>
          <w:sz w:val="19"/>
          <w:szCs w:val="19"/>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57" w:lineRule="exact"/>
        <w:rPr>
          <w:sz w:val="20"/>
          <w:szCs w:val="20"/>
          <w:color w:val="auto"/>
        </w:rPr>
      </w:pPr>
    </w:p>
    <w:p>
      <w:pPr>
        <w:ind w:firstLine="1296"/>
        <w:spacing w:after="0" w:line="238"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List of Stockholders Entitled To Vote</w:t>
      </w:r>
      <w:r>
        <w:rPr>
          <w:rFonts w:ascii="Arial" w:cs="Arial" w:eastAsia="Arial" w:hAnsi="Arial"/>
          <w:sz w:val="21"/>
          <w:szCs w:val="21"/>
          <w:color w:val="auto"/>
        </w:rPr>
        <w:t>. The Corporation shall prepare, at least ten (10) days before every meeting of stockholders, a complete list of the stockholders entitled to vote at the meeting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(a) on a reasonably accessible electronic network,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80"/>
          </w:cols>
          <w:pgMar w:left="320" w:top="1414" w:right="399" w:bottom="1440" w:gutter="0" w:footer="0" w:header="0"/>
        </w:sectPr>
      </w:pPr>
    </w:p>
    <w:bookmarkStart w:id="28" w:name="page29"/>
    <w:bookmarkEnd w:id="28"/>
    <w:p>
      <w:pPr>
        <w:ind w:right="80"/>
        <w:spacing w:after="0" w:line="248" w:lineRule="auto"/>
        <w:rPr>
          <w:sz w:val="20"/>
          <w:szCs w:val="20"/>
          <w:color w:val="auto"/>
        </w:rPr>
      </w:pPr>
      <w:r>
        <w:rPr>
          <w:rFonts w:ascii="Arial" w:cs="Arial" w:eastAsia="Arial" w:hAnsi="Arial"/>
          <w:sz w:val="21"/>
          <w:szCs w:val="21"/>
          <w:color w:val="auto"/>
        </w:rPr>
        <w:t>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177" w:lineRule="exact"/>
        <w:rPr>
          <w:sz w:val="20"/>
          <w:szCs w:val="20"/>
          <w:color w:val="auto"/>
        </w:rPr>
      </w:pPr>
    </w:p>
    <w:p>
      <w:pPr>
        <w:ind w:left="1280"/>
        <w:spacing w:after="0"/>
        <w:tabs>
          <w:tab w:leader="none" w:pos="282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u w:val="single" w:color="auto"/>
          <w:color w:val="auto"/>
        </w:rPr>
        <w:t>Fixing Date for Determination of Stockholders of Record.</w:t>
      </w:r>
    </w:p>
    <w:p>
      <w:pPr>
        <w:spacing w:after="0" w:line="206" w:lineRule="exact"/>
        <w:rPr>
          <w:sz w:val="20"/>
          <w:szCs w:val="20"/>
          <w:color w:val="auto"/>
        </w:rPr>
      </w:pPr>
    </w:p>
    <w:p>
      <w:pPr>
        <w:ind w:firstLine="1289"/>
        <w:spacing w:after="0" w:line="271" w:lineRule="auto"/>
        <w:tabs>
          <w:tab w:leader="none" w:pos="1879"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4" w:lineRule="exact"/>
        <w:rPr>
          <w:rFonts w:ascii="Arial" w:cs="Arial" w:eastAsia="Arial" w:hAnsi="Arial"/>
          <w:sz w:val="19"/>
          <w:szCs w:val="19"/>
          <w:color w:val="auto"/>
        </w:rPr>
      </w:pPr>
    </w:p>
    <w:p>
      <w:pPr>
        <w:ind w:right="120" w:firstLine="1289"/>
        <w:spacing w:after="0" w:line="279" w:lineRule="auto"/>
        <w:tabs>
          <w:tab w:leader="none" w:pos="1867"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50" w:lineRule="exact"/>
        <w:rPr>
          <w:rFonts w:ascii="Arial" w:cs="Arial" w:eastAsia="Arial" w:hAnsi="Arial"/>
          <w:sz w:val="19"/>
          <w:szCs w:val="19"/>
          <w:color w:val="auto"/>
        </w:rPr>
      </w:pPr>
    </w:p>
    <w:p>
      <w:pPr>
        <w:ind w:right="140" w:firstLine="1289"/>
        <w:spacing w:after="0" w:line="279" w:lineRule="auto"/>
        <w:tabs>
          <w:tab w:leader="none" w:pos="1867"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Unless otherwise restricted by the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140"/>
          </w:cols>
          <w:pgMar w:left="400" w:top="1414" w:right="359" w:bottom="1440" w:gutter="0" w:footer="0" w:header="0"/>
        </w:sectPr>
      </w:pPr>
    </w:p>
    <w:bookmarkStart w:id="29" w:name="page30"/>
    <w:bookmarkEnd w:id="29"/>
    <w:p>
      <w:pPr>
        <w:ind w:right="160"/>
        <w:spacing w:after="0" w:line="236" w:lineRule="auto"/>
        <w:rPr>
          <w:sz w:val="20"/>
          <w:szCs w:val="20"/>
          <w:color w:val="auto"/>
        </w:rPr>
      </w:pPr>
      <w:r>
        <w:rPr>
          <w:rFonts w:ascii="Arial" w:cs="Arial" w:eastAsia="Arial" w:hAnsi="Arial"/>
          <w:sz w:val="22"/>
          <w:szCs w:val="22"/>
          <w:color w:val="auto"/>
        </w:rPr>
        <w:t>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187" w:lineRule="exact"/>
        <w:rPr>
          <w:sz w:val="20"/>
          <w:szCs w:val="20"/>
          <w:color w:val="auto"/>
        </w:rPr>
      </w:pPr>
    </w:p>
    <w:p>
      <w:pPr>
        <w:ind w:firstLine="1296"/>
        <w:spacing w:after="0" w:line="234"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Registered Stockholders</w:t>
      </w:r>
      <w:r>
        <w:rPr>
          <w:rFonts w:ascii="Arial" w:cs="Arial" w:eastAsia="Arial" w:hAnsi="Arial"/>
          <w:sz w:val="22"/>
          <w:szCs w:val="22"/>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and Waiver of Notice</w:t>
      </w:r>
    </w:p>
    <w:p>
      <w:pPr>
        <w:spacing w:after="0" w:line="199" w:lineRule="exact"/>
        <w:rPr>
          <w:sz w:val="20"/>
          <w:szCs w:val="20"/>
          <w:color w:val="auto"/>
        </w:rPr>
      </w:pPr>
    </w:p>
    <w:p>
      <w:pPr>
        <w:ind w:right="340" w:firstLine="1296"/>
        <w:spacing w:after="0" w:line="287"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Notice</w:t>
      </w:r>
      <w:r>
        <w:rPr>
          <w:rFonts w:ascii="Arial" w:cs="Arial" w:eastAsia="Arial" w:hAnsi="Arial"/>
          <w:sz w:val="19"/>
          <w:szCs w:val="19"/>
          <w:color w:val="auto"/>
        </w:rPr>
        <w:t>. 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43" w:lineRule="exact"/>
        <w:rPr>
          <w:sz w:val="20"/>
          <w:szCs w:val="20"/>
          <w:color w:val="auto"/>
        </w:rPr>
      </w:pPr>
    </w:p>
    <w:p>
      <w:pPr>
        <w:ind w:right="60" w:firstLine="1296"/>
        <w:spacing w:after="0" w:line="248"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u w:val="single" w:color="auto"/>
          <w:color w:val="auto"/>
        </w:rPr>
        <w:t>Waiver of Notice</w:t>
      </w:r>
      <w:r>
        <w:rPr>
          <w:rFonts w:ascii="Arial" w:cs="Arial" w:eastAsia="Arial" w:hAnsi="Arial"/>
          <w:sz w:val="21"/>
          <w:szCs w:val="21"/>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76"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VII</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Indemnification</w:t>
      </w:r>
    </w:p>
    <w:p>
      <w:pPr>
        <w:spacing w:after="0" w:line="320" w:lineRule="exact"/>
        <w:rPr>
          <w:sz w:val="20"/>
          <w:szCs w:val="20"/>
          <w:color w:val="auto"/>
        </w:rPr>
      </w:pPr>
    </w:p>
    <w:p>
      <w:pPr>
        <w:ind w:right="100" w:firstLine="1296"/>
        <w:spacing w:after="0" w:line="235"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Right to Indemnification</w:t>
      </w:r>
      <w:r>
        <w:rPr>
          <w:rFonts w:ascii="Arial" w:cs="Arial" w:eastAsia="Arial" w:hAnsi="Arial"/>
          <w:sz w:val="22"/>
          <w:szCs w:val="22"/>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22"/>
          <w:szCs w:val="22"/>
          <w:u w:val="single" w:color="auto"/>
          <w:color w:val="auto"/>
        </w:rPr>
        <w:t>proceeding</w:t>
      </w:r>
      <w:r>
        <w:rPr>
          <w:rFonts w:ascii="Arial" w:cs="Arial" w:eastAsia="Arial" w:hAnsi="Arial"/>
          <w:sz w:val="22"/>
          <w:szCs w:val="22"/>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4" w:right="339" w:bottom="1440" w:gutter="0" w:footer="0" w:header="0"/>
        </w:sectPr>
      </w:pPr>
    </w:p>
    <w:bookmarkStart w:id="30" w:name="page31"/>
    <w:bookmarkEnd w:id="30"/>
    <w:p>
      <w:pPr>
        <w:ind w:right="40"/>
        <w:spacing w:after="0" w:line="273" w:lineRule="auto"/>
        <w:rPr>
          <w:sz w:val="20"/>
          <w:szCs w:val="20"/>
          <w:color w:val="auto"/>
        </w:rPr>
      </w:pPr>
      <w:r>
        <w:rPr>
          <w:rFonts w:ascii="Arial" w:cs="Arial" w:eastAsia="Arial" w:hAnsi="Arial"/>
          <w:sz w:val="19"/>
          <w:szCs w:val="19"/>
          <w:color w:val="auto"/>
        </w:rPr>
        <w:t>(hereinafter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provided in Section 7.03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55" w:lineRule="exact"/>
        <w:rPr>
          <w:sz w:val="20"/>
          <w:szCs w:val="20"/>
          <w:color w:val="auto"/>
        </w:rPr>
      </w:pPr>
    </w:p>
    <w:p>
      <w:pPr>
        <w:ind w:left="1360"/>
        <w:spacing w:after="0"/>
        <w:tabs>
          <w:tab w:leader="none" w:pos="290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 In addition to the right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to indemnification conferred in Section 7.01, an indemnitee shall also have the right to be paid by the Corporation the expenses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(including attorney’s fees) incurred in appearing at, participating in or defending any such proceeding in advance of its final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disposition or in connection with a proceeding brought to establish or enforce a right to indemnification or advancement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expenses under this Article VII (which shall be governed by Section 7.03 (hereinafter an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if the DGCL requires or in the case of an advance made in a proceeding brought to establish or enforce a right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indemnification or advancement, an advancement of expenses incurred by an indemnitee in his or her capacity as a director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officer (and not in any other capacity in which service was or is rendered by such indemnitee, including, without limitation,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service to an employee benefit plan) shall be made solely upon delivery to the Corporation of an undertaking (hereinafter 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undertaking</w:t>
      </w:r>
      <w:r>
        <w:rPr>
          <w:rFonts w:ascii="Arial" w:cs="Arial" w:eastAsia="Arial" w:hAnsi="Arial"/>
          <w:sz w:val="19"/>
          <w:szCs w:val="19"/>
          <w:color w:val="auto"/>
        </w:rPr>
        <w:t>”), by or on behalf of such indemnitee, to repay all amounts so advanced if it shall ultimately be determined by final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judicial decision from which there is no further right to appeal (hereinafter a “</w:t>
      </w:r>
      <w:r>
        <w:rPr>
          <w:rFonts w:ascii="Arial" w:cs="Arial" w:eastAsia="Arial" w:hAnsi="Arial"/>
          <w:sz w:val="19"/>
          <w:szCs w:val="19"/>
          <w:u w:val="single" w:color="auto"/>
          <w:color w:val="auto"/>
        </w:rPr>
        <w:t>final adjudication</w:t>
      </w:r>
      <w:r>
        <w:rPr>
          <w:rFonts w:ascii="Arial" w:cs="Arial" w:eastAsia="Arial" w:hAnsi="Arial"/>
          <w:sz w:val="19"/>
          <w:szCs w:val="19"/>
          <w:color w:val="auto"/>
        </w:rPr>
        <w:t>”) that such indemnitee is not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entitled to be indemnified or entitled to advancement of expenses under Sections 7.01 and 7.02 or otherwise.</w:t>
      </w:r>
    </w:p>
    <w:p>
      <w:pPr>
        <w:spacing w:after="0" w:line="188" w:lineRule="exact"/>
        <w:rPr>
          <w:sz w:val="20"/>
          <w:szCs w:val="20"/>
          <w:color w:val="auto"/>
        </w:rPr>
      </w:pPr>
    </w:p>
    <w:p>
      <w:pPr>
        <w:ind w:right="80" w:firstLine="1296"/>
        <w:spacing w:after="0" w:line="272"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Right of Indemnitee to Bring Suit.</w:t>
      </w:r>
      <w:r>
        <w:rPr>
          <w:rFonts w:ascii="Arial" w:cs="Arial" w:eastAsia="Arial" w:hAnsi="Arial"/>
          <w:sz w:val="19"/>
          <w:szCs w:val="19"/>
          <w:color w:val="auto"/>
        </w:rPr>
        <w:t xml:space="preserve"> If a claim under Section 7.01 or 7.02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160"/>
          </w:cols>
          <w:pgMar w:left="320" w:top="1414" w:right="419" w:bottom="1440" w:gutter="0" w:footer="0" w:header="0"/>
        </w:sectPr>
      </w:pPr>
    </w:p>
    <w:bookmarkStart w:id="31" w:name="page32"/>
    <w:bookmarkEnd w:id="31"/>
    <w:p>
      <w:pPr>
        <w:ind w:right="20"/>
        <w:spacing w:after="0" w:line="273" w:lineRule="auto"/>
        <w:rPr>
          <w:sz w:val="20"/>
          <w:szCs w:val="20"/>
          <w:color w:val="auto"/>
        </w:rPr>
      </w:pPr>
      <w:r>
        <w:rPr>
          <w:rFonts w:ascii="Arial" w:cs="Arial" w:eastAsia="Arial" w:hAnsi="Arial"/>
          <w:sz w:val="19"/>
          <w:szCs w:val="19"/>
          <w:color w:val="auto"/>
        </w:rPr>
        <w:t>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47" w:lineRule="exact"/>
        <w:rPr>
          <w:sz w:val="20"/>
          <w:szCs w:val="20"/>
          <w:color w:val="auto"/>
        </w:rPr>
      </w:pPr>
    </w:p>
    <w:p>
      <w:pPr>
        <w:ind w:left="1280"/>
        <w:spacing w:after="0"/>
        <w:tabs>
          <w:tab w:leader="none" w:pos="282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Indemnification Not Exclusive</w:t>
      </w:r>
      <w:r>
        <w:rPr>
          <w:rFonts w:ascii="Arial" w:cs="Arial" w:eastAsia="Arial" w:hAnsi="Arial"/>
          <w:sz w:val="19"/>
          <w:szCs w:val="19"/>
          <w:color w:val="auto"/>
        </w:rPr>
        <w:t>.</w:t>
      </w:r>
    </w:p>
    <w:p>
      <w:pPr>
        <w:spacing w:after="0" w:line="220" w:lineRule="exact"/>
        <w:rPr>
          <w:sz w:val="20"/>
          <w:szCs w:val="20"/>
          <w:color w:val="auto"/>
        </w:rPr>
      </w:pPr>
    </w:p>
    <w:p>
      <w:pPr>
        <w:ind w:right="80" w:firstLine="1289"/>
        <w:spacing w:after="0" w:line="277" w:lineRule="auto"/>
        <w:tabs>
          <w:tab w:leader="none" w:pos="1879"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38" w:lineRule="exact"/>
        <w:rPr>
          <w:rFonts w:ascii="Arial" w:cs="Arial" w:eastAsia="Arial" w:hAnsi="Arial"/>
          <w:sz w:val="19"/>
          <w:szCs w:val="19"/>
          <w:color w:val="auto"/>
        </w:rPr>
      </w:pPr>
    </w:p>
    <w:p>
      <w:pPr>
        <w:ind w:firstLine="1289"/>
        <w:spacing w:after="0" w:line="271" w:lineRule="auto"/>
        <w:tabs>
          <w:tab w:leader="none" w:pos="1867" w:val="left"/>
        </w:tabs>
        <w:numPr>
          <w:ilvl w:val="0"/>
          <w:numId w:val="22"/>
        </w:numPr>
        <w:rPr>
          <w:rFonts w:ascii="Arial" w:cs="Arial" w:eastAsia="Arial" w:hAnsi="Arial"/>
          <w:sz w:val="19"/>
          <w:szCs w:val="19"/>
          <w:color w:val="auto"/>
        </w:rPr>
      </w:pPr>
      <w:r>
        <w:rPr>
          <w:rFonts w:ascii="Arial" w:cs="Arial" w:eastAsia="Arial" w:hAnsi="Arial"/>
          <w:sz w:val="19"/>
          <w:szCs w:val="19"/>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Bylaws of the Corporation (or any other agreement between the Corporation and such persons, as applicable)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080"/>
          </w:cols>
          <w:pgMar w:left="400" w:top="1414" w:right="41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9"/>
          <w:szCs w:val="19"/>
          <w:color w:val="auto"/>
        </w:rPr>
        <w:t>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For purposes of this Section 7.04(B) of Article VII, the following terms shall have the following meanings:</w:t>
      </w:r>
    </w:p>
    <w:p>
      <w:pPr>
        <w:spacing w:after="0" w:line="218" w:lineRule="exact"/>
        <w:rPr>
          <w:sz w:val="20"/>
          <w:szCs w:val="20"/>
          <w:color w:val="auto"/>
        </w:rPr>
      </w:pPr>
    </w:p>
    <w:p>
      <w:pPr>
        <w:ind w:right="260" w:firstLine="656"/>
        <w:spacing w:after="0" w:line="234" w:lineRule="auto"/>
        <w:tabs>
          <w:tab w:leader="none" w:pos="1291"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indemnitee-related entities</w:t>
      </w:r>
      <w:r>
        <w:rPr>
          <w:rFonts w:ascii="Arial" w:cs="Arial" w:eastAsia="Arial" w:hAnsi="Arial"/>
          <w:sz w:val="22"/>
          <w:szCs w:val="22"/>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90" w:lineRule="exact"/>
        <w:rPr>
          <w:rFonts w:ascii="Arial" w:cs="Arial" w:eastAsia="Arial" w:hAnsi="Arial"/>
          <w:sz w:val="22"/>
          <w:szCs w:val="22"/>
          <w:color w:val="auto"/>
        </w:rPr>
      </w:pPr>
    </w:p>
    <w:p>
      <w:pPr>
        <w:ind w:firstLine="656"/>
        <w:spacing w:after="0" w:line="249" w:lineRule="auto"/>
        <w:tabs>
          <w:tab w:leader="none" w:pos="1291"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jointly indemnifiable claims</w:t>
      </w:r>
      <w:r>
        <w:rPr>
          <w:rFonts w:ascii="Arial" w:cs="Arial" w:eastAsia="Arial" w:hAnsi="Arial"/>
          <w:sz w:val="21"/>
          <w:szCs w:val="21"/>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any agreement or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78" w:lineRule="exact"/>
        <w:rPr>
          <w:sz w:val="20"/>
          <w:szCs w:val="20"/>
          <w:color w:val="auto"/>
        </w:rPr>
      </w:pPr>
    </w:p>
    <w:p>
      <w:pPr>
        <w:ind w:right="180" w:firstLine="1296"/>
        <w:spacing w:after="0" w:line="245"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u w:val="single" w:color="auto"/>
          <w:color w:val="auto"/>
        </w:rPr>
        <w:t>Corporate Obligations; Reliance</w:t>
      </w:r>
      <w:r>
        <w:rPr>
          <w:rFonts w:ascii="Arial" w:cs="Arial" w:eastAsia="Arial" w:hAnsi="Arial"/>
          <w:sz w:val="21"/>
          <w:szCs w:val="21"/>
          <w:color w:val="auto"/>
        </w:rPr>
        <w:t>. The rights granted pursuant to the provisions of this Article VII shall vest at the time a person becomes a director or officer of the Corporation and shall be deemed to create a binding contractual obligation on the part of the Corporation to the persons who from time to time are elected as officers or directors of the Corporation, and such persons in acting in their capacities as officers or directors of the Corporation or any subsidiary shall be entitled to rely on such provisions of this Article VII without giving notice thereof to the Corporation.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1" w:lineRule="exact"/>
        <w:rPr>
          <w:sz w:val="20"/>
          <w:szCs w:val="20"/>
          <w:color w:val="auto"/>
        </w:rPr>
      </w:pPr>
    </w:p>
    <w:p>
      <w:pPr>
        <w:ind w:right="440" w:firstLine="1296"/>
        <w:spacing w:after="0"/>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Insurance</w:t>
      </w:r>
      <w:r>
        <w:rPr>
          <w:rFonts w:ascii="Arial" w:cs="Arial" w:eastAsia="Arial" w:hAnsi="Arial"/>
          <w:sz w:val="22"/>
          <w:szCs w:val="22"/>
          <w:color w:val="auto"/>
        </w:rPr>
        <w:t>. The Corporation may maintain insurance, at its expense, to protect itself and any director, officer, employee or agent of the Corporation or another corporation, partnership, joint venture, trust or other enterprise against any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14" w:right="359" w:bottom="1440" w:gutter="0" w:footer="0" w:header="0"/>
        </w:sectPr>
      </w:pPr>
    </w:p>
    <w:bookmarkStart w:id="33" w:name="page34"/>
    <w:bookmarkEnd w:id="33"/>
    <w:p>
      <w:pPr>
        <w:ind w:right="200"/>
        <w:spacing w:after="0" w:line="250" w:lineRule="auto"/>
        <w:rPr>
          <w:sz w:val="20"/>
          <w:szCs w:val="20"/>
          <w:color w:val="auto"/>
        </w:rPr>
      </w:pPr>
      <w:r>
        <w:rPr>
          <w:rFonts w:ascii="Arial" w:cs="Arial" w:eastAsia="Arial" w:hAnsi="Arial"/>
          <w:sz w:val="22"/>
          <w:szCs w:val="22"/>
          <w:color w:val="auto"/>
        </w:rPr>
        <w:t>liability or loss, whether or not the Corporation would have the power to indemnify such person against such expense, liability or loss under the DGCL.</w:t>
      </w:r>
    </w:p>
    <w:p>
      <w:pPr>
        <w:spacing w:after="0" w:line="175" w:lineRule="exact"/>
        <w:rPr>
          <w:sz w:val="20"/>
          <w:szCs w:val="20"/>
          <w:color w:val="auto"/>
        </w:rPr>
      </w:pPr>
    </w:p>
    <w:p>
      <w:pPr>
        <w:ind w:firstLine="1296"/>
        <w:spacing w:after="0" w:line="252"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u w:val="single" w:color="auto"/>
          <w:color w:val="auto"/>
        </w:rPr>
        <w:t>Indemnification of Employees and Agents of the Corporation</w:t>
      </w:r>
      <w:r>
        <w:rPr>
          <w:rFonts w:ascii="Arial" w:cs="Arial" w:eastAsia="Arial" w:hAnsi="Arial"/>
          <w:sz w:val="21"/>
          <w:szCs w:val="21"/>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60" w:lineRule="exact"/>
        <w:rPr>
          <w:sz w:val="20"/>
          <w:szCs w:val="20"/>
          <w:color w:val="auto"/>
        </w:rPr>
      </w:pPr>
    </w:p>
    <w:p>
      <w:pPr>
        <w:jc w:val="right"/>
        <w:ind w:right="4820"/>
        <w:spacing w:after="0"/>
        <w:rPr>
          <w:sz w:val="20"/>
          <w:szCs w:val="20"/>
          <w:color w:val="auto"/>
        </w:rPr>
      </w:pPr>
      <w:r>
        <w:rPr>
          <w:rFonts w:ascii="Arial" w:cs="Arial" w:eastAsia="Arial" w:hAnsi="Arial"/>
          <w:sz w:val="22"/>
          <w:szCs w:val="22"/>
          <w:b w:val="1"/>
          <w:bCs w:val="1"/>
          <w:color w:val="auto"/>
        </w:rPr>
        <w:t>ARTICLE VIII</w:t>
      </w:r>
    </w:p>
    <w:p>
      <w:pPr>
        <w:spacing w:after="0" w:line="206" w:lineRule="exact"/>
        <w:rPr>
          <w:sz w:val="20"/>
          <w:szCs w:val="20"/>
          <w:color w:val="auto"/>
        </w:rPr>
      </w:pPr>
    </w:p>
    <w:p>
      <w:pPr>
        <w:jc w:val="right"/>
        <w:ind w:right="4860"/>
        <w:spacing w:after="0"/>
        <w:rPr>
          <w:sz w:val="20"/>
          <w:szCs w:val="20"/>
          <w:color w:val="auto"/>
        </w:rPr>
      </w:pPr>
      <w:r>
        <w:rPr>
          <w:rFonts w:ascii="Arial" w:cs="Arial" w:eastAsia="Arial" w:hAnsi="Arial"/>
          <w:sz w:val="22"/>
          <w:szCs w:val="22"/>
          <w:b w:val="1"/>
          <w:bCs w:val="1"/>
          <w:color w:val="auto"/>
        </w:rPr>
        <w:t>Miscellaneous</w:t>
      </w:r>
    </w:p>
    <w:p>
      <w:pPr>
        <w:spacing w:after="0" w:line="320"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For purposes of these Bylaws,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5" w:lineRule="exact"/>
        <w:rPr>
          <w:sz w:val="20"/>
          <w:szCs w:val="20"/>
          <w:color w:val="auto"/>
        </w:rPr>
      </w:pPr>
    </w:p>
    <w:p>
      <w:pPr>
        <w:ind w:right="360" w:firstLine="1296"/>
        <w:spacing w:after="0" w:line="238"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Corporate Seal</w:t>
      </w:r>
      <w:r>
        <w:rPr>
          <w:rFonts w:ascii="Arial" w:cs="Arial" w:eastAsia="Arial" w:hAnsi="Arial"/>
          <w:sz w:val="22"/>
          <w:szCs w:val="22"/>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5"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end on the Saturday closest to December 31 of each year, or such other day as the Board of Directors may designate.</w:t>
      </w:r>
    </w:p>
    <w:p>
      <w:pPr>
        <w:spacing w:after="0" w:line="175" w:lineRule="exact"/>
        <w:rPr>
          <w:sz w:val="20"/>
          <w:szCs w:val="20"/>
          <w:color w:val="auto"/>
        </w:rPr>
      </w:pPr>
    </w:p>
    <w:p>
      <w:pPr>
        <w:ind w:right="100" w:firstLine="1296"/>
        <w:spacing w:after="0" w:line="274"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Section Headings</w:t>
      </w:r>
      <w:r>
        <w:rPr>
          <w:rFonts w:ascii="Arial" w:cs="Arial" w:eastAsia="Arial" w:hAnsi="Arial"/>
          <w:sz w:val="21"/>
          <w:szCs w:val="21"/>
          <w:color w:val="auto"/>
        </w:rPr>
        <w:t>. Section headings in these Bylaws are for convenience of reference only and shall not be given any substantive effect in limiting or otherwise construing any provision herein.</w:t>
      </w:r>
    </w:p>
    <w:p>
      <w:pPr>
        <w:spacing w:after="0" w:line="151"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Inconsistent Provisions</w:t>
      </w:r>
      <w:r>
        <w:rPr>
          <w:rFonts w:ascii="Arial" w:cs="Arial" w:eastAsia="Arial" w:hAnsi="Arial"/>
          <w:sz w:val="22"/>
          <w:szCs w:val="22"/>
          <w:color w:val="auto"/>
        </w:rPr>
        <w:t>.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w:t>
      </w:r>
    </w:p>
    <w:p>
      <w:pPr>
        <w:spacing w:after="0" w:line="8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Amendments</w:t>
      </w:r>
    </w:p>
    <w:p>
      <w:pPr>
        <w:spacing w:after="0" w:line="104" w:lineRule="exact"/>
        <w:rPr>
          <w:sz w:val="20"/>
          <w:szCs w:val="20"/>
          <w:color w:val="auto"/>
        </w:rPr>
      </w:pPr>
    </w:p>
    <w:p>
      <w:pPr>
        <w:ind w:right="120" w:firstLine="1296"/>
        <w:spacing w:after="0" w:line="235"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Amendments</w:t>
      </w:r>
      <w:r>
        <w:rPr>
          <w:rFonts w:ascii="Arial" w:cs="Arial" w:eastAsia="Arial" w:hAnsi="Arial"/>
          <w:sz w:val="22"/>
          <w:szCs w:val="22"/>
          <w:color w:val="auto"/>
        </w:rPr>
        <w:t>. The Board of Directors is authorized to make, repeal, alter, amend and rescind, in whole or in part, these Bylaws without the assent or vote of the stockholders in any manner not inconsistent with the laws of the State of Delaware or the Amended and Restated Certificate of Incorporation. In addition to any vote of the holders of any class or series of capital stock of the Corporation required by the Amended and Restated Certificate of Incorporation (including any certificate of designation relating to any series of Preferred Stock (as defined in the Amended and Restated Certificate of Incorporation)), by these</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140"/>
          </w:cols>
          <w:pgMar w:left="320" w:top="1414" w:right="439" w:bottom="1440" w:gutter="0" w:footer="0" w:header="0"/>
        </w:sectPr>
      </w:pPr>
    </w:p>
    <w:bookmarkStart w:id="34" w:name="page35"/>
    <w:bookmarkEnd w:id="34"/>
    <w:p>
      <w:pPr>
        <w:jc w:val="both"/>
        <w:spacing w:after="0" w:line="238" w:lineRule="auto"/>
        <w:rPr>
          <w:sz w:val="20"/>
          <w:szCs w:val="20"/>
          <w:color w:val="auto"/>
        </w:rPr>
      </w:pPr>
      <w:r>
        <w:rPr>
          <w:rFonts w:ascii="Arial" w:cs="Arial" w:eastAsia="Arial" w:hAnsi="Arial"/>
          <w:sz w:val="22"/>
          <w:szCs w:val="22"/>
          <w:color w:val="auto"/>
        </w:rPr>
        <w:t>Bylaws or applicable law, the affirmative vote of the holders of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these Bylaws or to adopt any provision inconsistent therewith.</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22</w:t>
      </w:r>
    </w:p>
    <w:sectPr>
      <w:pgSz w:w="11900" w:h="16838" w:orient="portrait"/>
      <w:cols w:equalWidth="0" w:num="1">
        <w:col w:w="11140"/>
      </w:cols>
      <w:pgMar w:left="320" w:top="141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upperLetter"/>
      <w:start w:val="1"/>
    </w:lvl>
    <w:lvl w:ilvl="1">
      <w:lvlJc w:val="left"/>
      <w:lvlText w:val="%2."/>
      <w:numFmt w:val="decimal"/>
      <w:start w:val="1"/>
    </w:lvl>
  </w:abstractNum>
  <w:abstractNum w:abstractNumId="3">
    <w:nsid w:val="109CF92E"/>
    <w:multiLevelType w:val="hybridMultilevel"/>
    <w:lvl w:ilvl="0">
      <w:lvlJc w:val="left"/>
      <w:lvlText w:val="%1."/>
      <w:numFmt w:val="upperLetter"/>
      <w:start w:val="3"/>
    </w:lvl>
    <w:lvl w:ilvl="1">
      <w:lvlJc w:val="left"/>
      <w:lvlText w:val="%2."/>
      <w:numFmt w:val="decimal"/>
      <w:start w:val="1"/>
    </w:lvl>
  </w:abstractNum>
  <w:abstractNum w:abstractNumId="4">
    <w:nsid w:val="DED7263"/>
    <w:multiLevelType w:val="hybridMultilevel"/>
    <w:lvl w:ilvl="0">
      <w:lvlJc w:val="left"/>
      <w:lvlText w:val="%1."/>
      <w:numFmt w:val="decimal"/>
      <w:start w:val="2"/>
    </w:lvl>
    <w:lvl w:ilvl="1">
      <w:lvlJc w:val="left"/>
      <w:lvlText w:val="(%2)"/>
      <w:numFmt w:val="lowerRoman"/>
      <w:start w:val="1"/>
    </w:lvl>
  </w:abstractNum>
  <w:abstractNum w:abstractNumId="5">
    <w:nsid w:val="7FDCC233"/>
    <w:multiLevelType w:val="hybridMultilevel"/>
    <w:lvl w:ilvl="0">
      <w:lvlJc w:val="left"/>
      <w:lvlText w:val="%1"/>
      <w:numFmt w:val="decimal"/>
      <w:start w:val="1"/>
    </w:lvl>
    <w:lvl w:ilvl="1">
      <w:lvlJc w:val="left"/>
      <w:lvlText w:val="(%2)"/>
      <w:numFmt w:val="lowerRoman"/>
      <w:start w:val="5"/>
    </w:lvl>
  </w:abstractNum>
  <w:abstractNum w:abstractNumId="6">
    <w:nsid w:val="1BEFD79F"/>
    <w:multiLevelType w:val="hybridMultilevel"/>
    <w:lvl w:ilvl="0">
      <w:lvlJc w:val="left"/>
      <w:lvlText w:val="%1."/>
      <w:numFmt w:val="decimal"/>
      <w:start w:val="4"/>
    </w:lvl>
    <w:lvl w:ilvl="1">
      <w:lvlJc w:val="left"/>
      <w:lvlText w:val="%2"/>
      <w:numFmt w:val="lowerRoman"/>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upp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3"/>
    </w:lvl>
  </w:abstractNum>
  <w:abstractNum w:abstractNumId="12">
    <w:nsid w:val="431BD7B7"/>
    <w:multiLevelType w:val="hybridMultilevel"/>
    <w:lvl w:ilvl="0">
      <w:lvlJc w:val="left"/>
      <w:lvlText w:val="(%1)"/>
      <w:numFmt w:val="lowerLetter"/>
      <w:start w:val="9"/>
    </w:lvl>
  </w:abstractNum>
  <w:abstractNum w:abstractNumId="13">
    <w:nsid w:val="3F2DBA31"/>
    <w:multiLevelType w:val="hybridMultilevel"/>
    <w:lvl w:ilvl="0">
      <w:lvlJc w:val="left"/>
      <w:lvlText w:val="(%1)"/>
      <w:numFmt w:val="lowerLetter"/>
      <w:start w:val="61"/>
    </w:lvl>
  </w:abstractNum>
  <w:abstractNum w:abstractNumId="14">
    <w:nsid w:val="7C83E458"/>
    <w:multiLevelType w:val="hybridMultilevel"/>
    <w:lvl w:ilvl="0">
      <w:lvlJc w:val="left"/>
      <w:lvlText w:val="(%1)"/>
      <w:numFmt w:val="upperLetter"/>
      <w:start w:val="2"/>
    </w:lvl>
  </w:abstractNum>
  <w:abstractNum w:abstractNumId="15">
    <w:nsid w:val="257130A3"/>
    <w:multiLevelType w:val="hybridMultilevel"/>
    <w:lvl w:ilvl="0">
      <w:lvlJc w:val="left"/>
      <w:lvlText w:val="(%1)"/>
      <w:numFmt w:val="upperLetter"/>
      <w:start w:val="3"/>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decimal"/>
      <w:start w:val="10"/>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upperLetter"/>
      <w:start w:val="1"/>
    </w:lvl>
  </w:abstractNum>
  <w:abstractNum w:abstractNumId="21">
    <w:nsid w:val="2443A858"/>
    <w:multiLevelType w:val="hybridMultilevel"/>
    <w:lvl w:ilvl="0">
      <w:lvlJc w:val="left"/>
      <w:lvlText w:val="(%1)"/>
      <w:numFmt w:val="upp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2021-06-10T07:10:29Z</dcterms:created>
  <dcterms:modified xsi:type="dcterms:W3CDTF">2021-06-10T07:10:29Z</dcterms:modified>
</cp:coreProperties>
</file>