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4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333-223602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7"/>
        <w:spacing w:after="0"/>
        <w:rPr>
          <w:sz w:val="20"/>
          <w:szCs w:val="20"/>
          <w:color w:val="auto"/>
        </w:rPr>
      </w:pPr>
      <w:r>
        <w:rPr>
          <w:rFonts w:ascii="Arial" w:cs="Arial" w:eastAsia="Arial" w:hAnsi="Arial"/>
          <w:sz w:val="23"/>
          <w:szCs w:val="23"/>
          <w:b w:val="1"/>
          <w:bCs w:val="1"/>
          <w:color w:val="auto"/>
        </w:rPr>
        <w:t>PROSPECTUS</w:t>
      </w:r>
    </w:p>
    <w:p>
      <w:pPr>
        <w:spacing w:after="0" w:line="222" w:lineRule="exact"/>
        <w:rPr>
          <w:sz w:val="24"/>
          <w:szCs w:val="24"/>
          <w:color w:val="auto"/>
        </w:rPr>
      </w:pPr>
    </w:p>
    <w:p>
      <w:pPr>
        <w:jc w:val="center"/>
        <w:ind w:right="-6"/>
        <w:spacing w:after="0"/>
        <w:rPr>
          <w:sz w:val="20"/>
          <w:szCs w:val="20"/>
          <w:color w:val="auto"/>
        </w:rPr>
      </w:pPr>
      <w:r>
        <w:rPr>
          <w:rFonts w:ascii="Arial" w:cs="Arial" w:eastAsia="Arial" w:hAnsi="Arial"/>
          <w:sz w:val="23"/>
          <w:szCs w:val="23"/>
          <w:b w:val="1"/>
          <w:bCs w:val="1"/>
          <w:color w:val="auto"/>
        </w:rPr>
        <w:t>12,000,000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2482850</wp:posOffset>
            </wp:positionH>
            <wp:positionV relativeFrom="paragraph">
              <wp:posOffset>298450</wp:posOffset>
            </wp:positionV>
            <wp:extent cx="1080770" cy="831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077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6"/>
        <w:spacing w:after="0"/>
        <w:rPr>
          <w:sz w:val="20"/>
          <w:szCs w:val="20"/>
          <w:color w:val="auto"/>
        </w:rPr>
      </w:pPr>
      <w:r>
        <w:rPr>
          <w:rFonts w:ascii="Arial" w:cs="Arial" w:eastAsia="Arial" w:hAnsi="Arial"/>
          <w:sz w:val="27"/>
          <w:szCs w:val="27"/>
          <w:b w:val="1"/>
          <w:bCs w:val="1"/>
          <w:color w:val="auto"/>
        </w:rPr>
        <w:t>National Vision Holdings, Inc.</w:t>
      </w:r>
    </w:p>
    <w:p>
      <w:pPr>
        <w:spacing w:after="0" w:line="212" w:lineRule="exact"/>
        <w:rPr>
          <w:sz w:val="24"/>
          <w:szCs w:val="24"/>
          <w:color w:val="auto"/>
        </w:rPr>
      </w:pPr>
    </w:p>
    <w:p>
      <w:pPr>
        <w:jc w:val="center"/>
        <w:ind w:right="-6"/>
        <w:spacing w:after="0"/>
        <w:rPr>
          <w:sz w:val="20"/>
          <w:szCs w:val="20"/>
          <w:color w:val="auto"/>
        </w:rPr>
      </w:pPr>
      <w:r>
        <w:rPr>
          <w:rFonts w:ascii="Arial" w:cs="Arial" w:eastAsia="Arial" w:hAnsi="Arial"/>
          <w:sz w:val="23"/>
          <w:szCs w:val="23"/>
          <w:b w:val="1"/>
          <w:bCs w:val="1"/>
          <w:color w:val="auto"/>
        </w:rPr>
        <w:t>Common Stock</w:t>
      </w:r>
    </w:p>
    <w:p>
      <w:pPr>
        <w:spacing w:after="0" w:line="200" w:lineRule="exact"/>
        <w:rPr>
          <w:sz w:val="24"/>
          <w:szCs w:val="24"/>
          <w:color w:val="auto"/>
        </w:rPr>
      </w:pPr>
    </w:p>
    <w:p>
      <w:pPr>
        <w:spacing w:after="0" w:line="239" w:lineRule="exact"/>
        <w:rPr>
          <w:sz w:val="24"/>
          <w:szCs w:val="24"/>
          <w:color w:val="auto"/>
        </w:rPr>
      </w:pPr>
    </w:p>
    <w:p>
      <w:pPr>
        <w:ind w:left="7" w:right="160" w:firstLine="360"/>
        <w:spacing w:after="0" w:line="269" w:lineRule="auto"/>
        <w:rPr>
          <w:sz w:val="20"/>
          <w:szCs w:val="20"/>
          <w:color w:val="auto"/>
        </w:rPr>
      </w:pPr>
      <w:r>
        <w:rPr>
          <w:rFonts w:ascii="Arial" w:cs="Arial" w:eastAsia="Arial" w:hAnsi="Arial"/>
          <w:sz w:val="18"/>
          <w:szCs w:val="18"/>
          <w:color w:val="auto"/>
        </w:rPr>
        <w:t>The selling stockholders named in this prospectus are offering 12,000,000 shares of common stock of National Vision Holdings, Inc. We will not receive any proceeds from the sale of our common stock by the selling stockholders.</w:t>
      </w:r>
    </w:p>
    <w:p>
      <w:pPr>
        <w:spacing w:after="0" w:line="130" w:lineRule="exact"/>
        <w:rPr>
          <w:sz w:val="24"/>
          <w:szCs w:val="24"/>
          <w:color w:val="auto"/>
        </w:rPr>
      </w:pPr>
    </w:p>
    <w:p>
      <w:pPr>
        <w:ind w:left="7" w:right="320" w:firstLine="360"/>
        <w:spacing w:after="0" w:line="269" w:lineRule="auto"/>
        <w:rPr>
          <w:sz w:val="20"/>
          <w:szCs w:val="20"/>
          <w:color w:val="auto"/>
        </w:rPr>
      </w:pPr>
      <w:r>
        <w:rPr>
          <w:rFonts w:ascii="Arial" w:cs="Arial" w:eastAsia="Arial" w:hAnsi="Arial"/>
          <w:sz w:val="18"/>
          <w:szCs w:val="18"/>
          <w:color w:val="auto"/>
        </w:rPr>
        <w:t>Our common stock is listed on the NASDAQ Global Select Market, or NASDAQ, under the symbol “EYE.” On March 14, 2018, the closing sales price of our common stock as reported on the NASDAQ was $33.57 per share.</w:t>
      </w:r>
    </w:p>
    <w:p>
      <w:pPr>
        <w:spacing w:after="0" w:line="130" w:lineRule="exact"/>
        <w:rPr>
          <w:sz w:val="24"/>
          <w:szCs w:val="24"/>
          <w:color w:val="auto"/>
        </w:rPr>
      </w:pPr>
    </w:p>
    <w:p>
      <w:pPr>
        <w:ind w:left="7" w:right="120" w:firstLine="360"/>
        <w:spacing w:after="0" w:line="210" w:lineRule="auto"/>
        <w:rPr>
          <w:sz w:val="20"/>
          <w:szCs w:val="20"/>
          <w:color w:val="auto"/>
        </w:rPr>
      </w:pPr>
      <w:r>
        <w:rPr>
          <w:rFonts w:ascii="Arial" w:cs="Arial" w:eastAsia="Arial" w:hAnsi="Arial"/>
          <w:sz w:val="20"/>
          <w:szCs w:val="20"/>
          <w:color w:val="auto"/>
        </w:rPr>
        <w:t>To the extent that the underwriters sell more than 12,000,000 shares of our common stock, the underwriters have the option to purchase up to an additional 1,800,000 shares from the selling stockholders at the public offering price, less the underwriting discounts and commissions, within 30 days of the date of this prospectus. We will not receive any proceeds from the sale of our common stock by the selling stockholders pursuant to any exercise of the underwriters’ option to purchase additional shares.</w:t>
      </w:r>
    </w:p>
    <w:p>
      <w:pPr>
        <w:spacing w:after="0" w:line="155" w:lineRule="exact"/>
        <w:rPr>
          <w:sz w:val="24"/>
          <w:szCs w:val="24"/>
          <w:color w:val="auto"/>
        </w:rPr>
      </w:pPr>
    </w:p>
    <w:p>
      <w:pPr>
        <w:ind w:left="7" w:right="280" w:firstLine="360"/>
        <w:spacing w:after="0" w:line="218" w:lineRule="auto"/>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Investing in our common stock involves risk. See “Risk Factors” beginning on page </w:t>
      </w:r>
      <w:hyperlink w:anchor="page26">
        <w:r>
          <w:rPr>
            <w:rFonts w:ascii="Arial" w:cs="Arial" w:eastAsia="Arial" w:hAnsi="Arial"/>
            <w:sz w:val="20"/>
            <w:szCs w:val="20"/>
            <w:b w:val="1"/>
            <w:bCs w:val="1"/>
            <w:i w:val="1"/>
            <w:iCs w:val="1"/>
            <w:u w:val="single" w:color="auto"/>
            <w:color w:val="0000EE"/>
          </w:rPr>
          <w:t>17</w:t>
        </w:r>
        <w:r>
          <w:rPr>
            <w:rFonts w:ascii="Arial" w:cs="Arial" w:eastAsia="Arial" w:hAnsi="Arial"/>
            <w:sz w:val="20"/>
            <w:szCs w:val="20"/>
            <w:b w:val="1"/>
            <w:bCs w:val="1"/>
            <w:i w:val="1"/>
            <w:iCs w:val="1"/>
            <w:u w:val="single" w:color="auto"/>
            <w:color w:val="auto"/>
          </w:rPr>
          <w:t xml:space="preserve"> </w:t>
        </w:r>
      </w:hyperlink>
      <w:r>
        <w:rPr>
          <w:rFonts w:ascii="Arial" w:cs="Arial" w:eastAsia="Arial" w:hAnsi="Arial"/>
          <w:sz w:val="20"/>
          <w:szCs w:val="20"/>
          <w:b w:val="1"/>
          <w:bCs w:val="1"/>
          <w:i w:val="1"/>
          <w:iCs w:val="1"/>
          <w:color w:val="auto"/>
        </w:rPr>
        <w:t>of this prospectus and the risk factors in the documents incorporated by reference in this prospectus to read about factors you should consider before buying shares of our common stock.</w:t>
      </w:r>
    </w:p>
    <w:p>
      <w:pPr>
        <w:spacing w:after="0" w:line="157" w:lineRule="exact"/>
        <w:rPr>
          <w:sz w:val="24"/>
          <w:szCs w:val="24"/>
          <w:color w:val="auto"/>
        </w:rPr>
      </w:pPr>
    </w:p>
    <w:p>
      <w:pPr>
        <w:jc w:val="both"/>
        <w:ind w:left="7" w:right="20" w:firstLine="360"/>
        <w:spacing w:after="0" w:line="218" w:lineRule="auto"/>
        <w:rPr>
          <w:sz w:val="20"/>
          <w:szCs w:val="20"/>
          <w:color w:val="auto"/>
        </w:rPr>
      </w:pPr>
      <w:r>
        <w:rPr>
          <w:rFonts w:ascii="Arial" w:cs="Arial" w:eastAsia="Arial" w:hAnsi="Arial"/>
          <w:sz w:val="20"/>
          <w:szCs w:val="20"/>
          <w:b w:val="1"/>
          <w:bCs w:val="1"/>
          <w:i w:val="1"/>
          <w:i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29" w:lineRule="exact"/>
        <w:rPr>
          <w:sz w:val="24"/>
          <w:szCs w:val="24"/>
          <w:color w:val="auto"/>
        </w:rPr>
      </w:pPr>
    </w:p>
    <w:tbl>
      <w:tblPr>
        <w:tblLayout w:type="fixed"/>
        <w:tblInd w:w="7"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5"/>
                <w:szCs w:val="15"/>
                <w:color w:val="auto"/>
              </w:rPr>
            </w:pPr>
          </w:p>
        </w:tc>
      </w:tr>
      <w:tr>
        <w:trPr>
          <w:trHeight w:val="257"/>
        </w:trPr>
        <w:tc>
          <w:tcPr>
            <w:tcW w:w="20" w:type="dxa"/>
            <w:vAlign w:val="bottom"/>
          </w:tcPr>
          <w:p>
            <w:pPr>
              <w:spacing w:after="0"/>
              <w:rPr>
                <w:sz w:val="22"/>
                <w:szCs w:val="22"/>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Public offering price</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33.00</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396,000,000</w:t>
            </w:r>
          </w:p>
        </w:tc>
        <w:tc>
          <w:tcPr>
            <w:tcW w:w="60" w:type="dxa"/>
            <w:vAlign w:val="bottom"/>
            <w:shd w:val="clear" w:color="auto" w:fill="CCEEFF"/>
          </w:tcPr>
          <w:p>
            <w:pPr>
              <w:spacing w:after="0"/>
              <w:rPr>
                <w:sz w:val="22"/>
                <w:szCs w:val="22"/>
                <w:color w:val="auto"/>
              </w:rPr>
            </w:pPr>
          </w:p>
        </w:tc>
      </w:tr>
      <w:tr>
        <w:trPr>
          <w:trHeight w:val="250"/>
        </w:trPr>
        <w:tc>
          <w:tcPr>
            <w:tcW w:w="7000" w:type="dxa"/>
            <w:vAlign w:val="bottom"/>
            <w:gridSpan w:val="3"/>
          </w:tcPr>
          <w:p>
            <w:pPr>
              <w:spacing w:after="0"/>
              <w:rPr>
                <w:sz w:val="20"/>
                <w:szCs w:val="20"/>
                <w:color w:val="auto"/>
              </w:rPr>
            </w:pPr>
            <w:r>
              <w:rPr>
                <w:rFonts w:ascii="Arial" w:cs="Arial" w:eastAsia="Arial" w:hAnsi="Arial"/>
                <w:sz w:val="20"/>
                <w:szCs w:val="20"/>
                <w:color w:val="auto"/>
              </w:rPr>
              <w:t>Underwriting discounts and commissions</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w:t>
            </w:r>
          </w:p>
        </w:tc>
        <w:tc>
          <w:tcPr>
            <w:tcW w:w="160" w:type="dxa"/>
            <w:vAlign w:val="bottom"/>
          </w:tcPr>
          <w:p>
            <w:pPr>
              <w:spacing w:after="0"/>
              <w:rPr>
                <w:sz w:val="21"/>
                <w:szCs w:val="21"/>
                <w:color w:val="auto"/>
              </w:rPr>
            </w:pP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15,840,000</w:t>
            </w:r>
          </w:p>
        </w:tc>
        <w:tc>
          <w:tcPr>
            <w:tcW w:w="6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7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Proceeds, before expenses, to the selling stockholders</w:t>
            </w:r>
            <w:r>
              <w:rPr>
                <w:rFonts w:ascii="Arial" w:cs="Arial" w:eastAsia="Arial" w:hAnsi="Arial"/>
                <w:sz w:val="29"/>
                <w:szCs w:val="29"/>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31.68</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380,160,000</w:t>
            </w:r>
          </w:p>
        </w:tc>
        <w:tc>
          <w:tcPr>
            <w:tcW w:w="6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5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bl>
    <w:p>
      <w:pPr>
        <w:spacing w:after="0" w:line="103" w:lineRule="exact"/>
        <w:rPr>
          <w:sz w:val="24"/>
          <w:szCs w:val="2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“Underwriting (Conflicts of Interest)” for additional information regarding underwriting compensation.</w:t>
      </w:r>
    </w:p>
    <w:p>
      <w:pPr>
        <w:spacing w:after="0" w:line="206" w:lineRule="exact"/>
        <w:rPr>
          <w:sz w:val="24"/>
          <w:szCs w:val="24"/>
          <w:color w:val="auto"/>
        </w:rPr>
      </w:pPr>
    </w:p>
    <w:p>
      <w:pPr>
        <w:ind w:left="7"/>
        <w:spacing w:after="0"/>
        <w:rPr>
          <w:sz w:val="20"/>
          <w:szCs w:val="20"/>
          <w:color w:val="auto"/>
        </w:rPr>
      </w:pPr>
      <w:r>
        <w:rPr>
          <w:rFonts w:ascii="Arial" w:cs="Arial" w:eastAsia="Arial" w:hAnsi="Arial"/>
          <w:sz w:val="18"/>
          <w:szCs w:val="18"/>
          <w:color w:val="auto"/>
        </w:rPr>
        <w:t>The underwriters expect to deliver the shares against payment in New York, New York on or about March 19,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170815</wp:posOffset>
            </wp:positionV>
            <wp:extent cx="1037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6"/>
        <w:spacing w:after="0"/>
        <w:rPr>
          <w:sz w:val="20"/>
          <w:szCs w:val="20"/>
          <w:color w:val="auto"/>
        </w:rPr>
      </w:pPr>
      <w:r>
        <w:rPr>
          <w:rFonts w:ascii="Arial" w:cs="Arial" w:eastAsia="Arial" w:hAnsi="Arial"/>
          <w:sz w:val="18"/>
          <w:szCs w:val="18"/>
          <w:i w:val="1"/>
          <w:iCs w:val="1"/>
          <w:color w:val="auto"/>
        </w:rPr>
        <w:t>Joint Book-Running Managers</w:t>
      </w:r>
    </w:p>
    <w:p>
      <w:pPr>
        <w:spacing w:after="0" w:line="64" w:lineRule="exact"/>
        <w:rPr>
          <w:sz w:val="24"/>
          <w:szCs w:val="24"/>
          <w:color w:val="auto"/>
        </w:rPr>
      </w:pPr>
    </w:p>
    <w:p>
      <w:pPr>
        <w:ind w:left="7"/>
        <w:spacing w:after="0"/>
        <w:tabs>
          <w:tab w:leader="none" w:pos="2506" w:val="left"/>
          <w:tab w:leader="none" w:pos="4086" w:val="left"/>
          <w:tab w:leader="none" w:pos="7306" w:val="left"/>
          <w:tab w:leader="none" w:pos="9046" w:val="left"/>
        </w:tabs>
        <w:rPr>
          <w:sz w:val="20"/>
          <w:szCs w:val="20"/>
          <w:color w:val="auto"/>
        </w:rPr>
      </w:pP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22"/>
          <w:szCs w:val="22"/>
          <w:b w:val="1"/>
          <w:bCs w:val="1"/>
          <w:color w:val="auto"/>
        </w:rPr>
        <w:t>Jefferies</w:t>
      </w:r>
      <w:r>
        <w:rPr>
          <w:sz w:val="20"/>
          <w:szCs w:val="20"/>
          <w:color w:val="auto"/>
        </w:rPr>
        <w:tab/>
      </w:r>
      <w:r>
        <w:rPr>
          <w:rFonts w:ascii="Arial" w:cs="Arial" w:eastAsia="Arial" w:hAnsi="Arial"/>
          <w:sz w:val="22"/>
          <w:szCs w:val="22"/>
          <w:b w:val="1"/>
          <w:bCs w:val="1"/>
          <w:color w:val="auto"/>
        </w:rPr>
        <w:t>KKR</w:t>
      </w:r>
    </w:p>
    <w:p>
      <w:pPr>
        <w:spacing w:after="0" w:line="71" w:lineRule="exact"/>
        <w:rPr>
          <w:sz w:val="24"/>
          <w:szCs w:val="24"/>
          <w:color w:val="auto"/>
        </w:rPr>
      </w:pPr>
    </w:p>
    <w:p>
      <w:pPr>
        <w:ind w:left="507"/>
        <w:spacing w:after="0"/>
        <w:tabs>
          <w:tab w:leader="none" w:pos="3286" w:val="left"/>
          <w:tab w:leader="none" w:pos="6826" w:val="left"/>
        </w:tabs>
        <w:rPr>
          <w:sz w:val="20"/>
          <w:szCs w:val="20"/>
          <w:color w:val="auto"/>
        </w:rPr>
      </w:pPr>
      <w:r>
        <w:rPr>
          <w:rFonts w:ascii="Arial" w:cs="Arial" w:eastAsia="Arial" w:hAnsi="Arial"/>
          <w:sz w:val="22"/>
          <w:szCs w:val="22"/>
          <w:b w:val="1"/>
          <w:bCs w:val="1"/>
          <w:color w:val="auto"/>
        </w:rPr>
        <w:t>Morgan Stanley</w:t>
      </w:r>
      <w:r>
        <w:rPr>
          <w:sz w:val="20"/>
          <w:szCs w:val="20"/>
          <w:color w:val="auto"/>
        </w:rPr>
        <w:tab/>
      </w:r>
      <w:r>
        <w:rPr>
          <w:rFonts w:ascii="Arial" w:cs="Arial" w:eastAsia="Arial" w:hAnsi="Arial"/>
          <w:sz w:val="22"/>
          <w:szCs w:val="22"/>
          <w:b w:val="1"/>
          <w:bCs w:val="1"/>
          <w:color w:val="auto"/>
        </w:rPr>
        <w:t>UBS Investment Bank</w:t>
      </w:r>
      <w:r>
        <w:rPr>
          <w:sz w:val="20"/>
          <w:szCs w:val="20"/>
          <w:color w:val="auto"/>
        </w:rPr>
        <w:tab/>
      </w:r>
      <w:r>
        <w:rPr>
          <w:rFonts w:ascii="Arial" w:cs="Arial" w:eastAsia="Arial" w:hAnsi="Arial"/>
          <w:sz w:val="19"/>
          <w:szCs w:val="19"/>
          <w:b w:val="1"/>
          <w:bCs w:val="1"/>
          <w:color w:val="auto"/>
        </w:rPr>
        <w:t>Wells Fargo Securities</w:t>
      </w:r>
    </w:p>
    <w:p>
      <w:pPr>
        <w:spacing w:after="0" w:line="125" w:lineRule="exact"/>
        <w:rPr>
          <w:sz w:val="24"/>
          <w:szCs w:val="24"/>
          <w:color w:val="auto"/>
        </w:rPr>
      </w:pPr>
    </w:p>
    <w:p>
      <w:pPr>
        <w:jc w:val="center"/>
        <w:ind w:right="-6"/>
        <w:spacing w:after="0"/>
        <w:rPr>
          <w:sz w:val="20"/>
          <w:szCs w:val="20"/>
          <w:color w:val="auto"/>
        </w:rPr>
      </w:pPr>
      <w:r>
        <w:rPr>
          <w:rFonts w:ascii="Arial" w:cs="Arial" w:eastAsia="Arial" w:hAnsi="Arial"/>
          <w:sz w:val="18"/>
          <w:szCs w:val="18"/>
          <w:i w:val="1"/>
          <w:iCs w:val="1"/>
          <w:color w:val="auto"/>
        </w:rPr>
        <w:t>Co-Managers</w:t>
      </w:r>
    </w:p>
    <w:p>
      <w:pPr>
        <w:spacing w:after="0" w:line="64" w:lineRule="exact"/>
        <w:rPr>
          <w:sz w:val="24"/>
          <w:szCs w:val="24"/>
          <w:color w:val="auto"/>
        </w:rPr>
      </w:pPr>
    </w:p>
    <w:p>
      <w:pPr>
        <w:ind w:left="187"/>
        <w:spacing w:after="0"/>
        <w:tabs>
          <w:tab w:leader="none" w:pos="3486" w:val="left"/>
          <w:tab w:leader="none" w:pos="6986" w:val="left"/>
        </w:tabs>
        <w:rPr>
          <w:sz w:val="20"/>
          <w:szCs w:val="20"/>
          <w:color w:val="auto"/>
        </w:rPr>
      </w:pPr>
      <w:r>
        <w:rPr>
          <w:rFonts w:ascii="Arial" w:cs="Arial" w:eastAsia="Arial" w:hAnsi="Arial"/>
          <w:sz w:val="22"/>
          <w:szCs w:val="22"/>
          <w:b w:val="1"/>
          <w:bCs w:val="1"/>
          <w:color w:val="auto"/>
        </w:rPr>
        <w:t>Guggenheim Securities</w:t>
      </w:r>
      <w:r>
        <w:rPr>
          <w:sz w:val="20"/>
          <w:szCs w:val="20"/>
          <w:color w:val="auto"/>
        </w:rPr>
        <w:tab/>
      </w:r>
      <w:r>
        <w:rPr>
          <w:rFonts w:ascii="Arial" w:cs="Arial" w:eastAsia="Arial" w:hAnsi="Arial"/>
          <w:sz w:val="22"/>
          <w:szCs w:val="22"/>
          <w:b w:val="1"/>
          <w:bCs w:val="1"/>
          <w:color w:val="auto"/>
        </w:rPr>
        <w:t>Mizuho Securities</w:t>
      </w:r>
      <w:r>
        <w:rPr>
          <w:sz w:val="20"/>
          <w:szCs w:val="20"/>
          <w:color w:val="auto"/>
        </w:rPr>
        <w:tab/>
      </w:r>
      <w:r>
        <w:rPr>
          <w:rFonts w:ascii="Arial" w:cs="Arial" w:eastAsia="Arial" w:hAnsi="Arial"/>
          <w:sz w:val="19"/>
          <w:szCs w:val="19"/>
          <w:b w:val="1"/>
          <w:bCs w:val="1"/>
          <w:color w:val="auto"/>
        </w:rPr>
        <w:t>Macquarie Capital</w:t>
      </w:r>
    </w:p>
    <w:p>
      <w:pPr>
        <w:sectPr>
          <w:pgSz w:w="11900" w:h="16838" w:orient="portrait"/>
          <w:cols w:equalWidth="0" w:num="1">
            <w:col w:w="9567"/>
          </w:cols>
          <w:pgMar w:left="1173" w:top="238" w:right="1159" w:bottom="1440" w:gutter="0" w:footer="0" w:header="0"/>
        </w:sectPr>
      </w:pPr>
    </w:p>
    <w:p>
      <w:pPr>
        <w:spacing w:after="0" w:line="116" w:lineRule="exact"/>
        <w:rPr>
          <w:sz w:val="24"/>
          <w:szCs w:val="24"/>
          <w:color w:val="auto"/>
        </w:rPr>
      </w:pPr>
    </w:p>
    <w:p>
      <w:pPr>
        <w:jc w:val="center"/>
        <w:ind w:right="13"/>
        <w:spacing w:after="0"/>
        <w:rPr>
          <w:sz w:val="20"/>
          <w:szCs w:val="20"/>
          <w:color w:val="auto"/>
        </w:rPr>
      </w:pPr>
      <w:r>
        <w:rPr>
          <w:rFonts w:ascii="Arial" w:cs="Arial" w:eastAsia="Arial" w:hAnsi="Arial"/>
          <w:sz w:val="17"/>
          <w:szCs w:val="17"/>
          <w:b w:val="1"/>
          <w:bCs w:val="1"/>
          <w:color w:val="auto"/>
        </w:rPr>
        <w:t>Prospectus dated March 14,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327660</wp:posOffset>
            </wp:positionV>
            <wp:extent cx="607187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38" w:right="115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294755" cy="8618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4755" cy="861885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191885" cy="8712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91885" cy="871283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174740" cy="8704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87045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380480" cy="6972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0480" cy="697230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or in any free writing prospectus that we authorize to be delivered to you. We, the selling stockholders and the underwriters have not authorized anyone to provide any information or to make any representations other than those contained, or incorporated by reference, in this prospectus or in any free writing prospectuses we have prepared. We, the selling stockholders and the underwriters take no responsibility for, and can provide no assurance as to the reliability of, any other information that others may provide you. The selling stockholders and the underwriters are offering to sell, and seeking offers to buy, these securities only in jurisdictions where offers and sales are permitted. You should assume that the information contained, or incorporated by reference, in this prospectus or any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that date.</w:t>
      </w:r>
    </w:p>
    <w:p>
      <w:pPr>
        <w:spacing w:after="0" w:line="56" w:lineRule="exact"/>
        <w:rPr>
          <w:sz w:val="20"/>
          <w:szCs w:val="20"/>
          <w:color w:val="auto"/>
        </w:rPr>
      </w:pPr>
    </w:p>
    <w:p>
      <w:pPr>
        <w:ind w:right="80" w:firstLine="360"/>
        <w:spacing w:after="0" w:line="295" w:lineRule="auto"/>
        <w:rPr>
          <w:sz w:val="20"/>
          <w:szCs w:val="20"/>
          <w:color w:val="auto"/>
        </w:rPr>
      </w:pPr>
      <w:r>
        <w:rPr>
          <w:rFonts w:ascii="Arial" w:cs="Arial" w:eastAsia="Arial" w:hAnsi="Arial"/>
          <w:sz w:val="16"/>
          <w:szCs w:val="16"/>
          <w:b w:val="1"/>
          <w:bCs w:val="1"/>
          <w:color w:val="auto"/>
        </w:rPr>
        <w:t>For investors outside the United States: The selling stockholders and the underwriters are offering to sell, and seeking offers to buy, shares of our common stock only in jurisdictions where offers and sales are permitted. None of us, the selling stockholders 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Market, Ranking, and Other Industry Data</w:t>
              </w:r>
            </w:hyperlink>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100"/>
              <w:spacing w:after="0" w:line="189"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tcPr>
          <w:p>
            <w:pPr>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Trademarks, Service Marks and Tradenames</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gridSpan w:val="3"/>
          </w:tcPr>
          <w:p>
            <w:pPr>
              <w:jc w:val="right"/>
              <w:ind w:right="100"/>
              <w:spacing w:after="0" w:line="189"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00" w:type="dxa"/>
            <w:vAlign w:val="bottom"/>
            <w:gridSpan w:val="7"/>
            <w:shd w:val="clear" w:color="auto" w:fill="CCEEFF"/>
          </w:tcPr>
          <w:p>
            <w:pPr>
              <w:spacing w:after="0" w:line="189"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Basis of Presentation</w:t>
              </w:r>
            </w:hyperlink>
          </w:p>
        </w:tc>
        <w:tc>
          <w:tcPr>
            <w:tcW w:w="7760" w:type="dxa"/>
            <w:vAlign w:val="bottom"/>
            <w:gridSpan w:val="12"/>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100"/>
              <w:spacing w:after="0" w:line="189"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00" w:type="dxa"/>
            <w:vAlign w:val="bottom"/>
            <w:gridSpan w:val="7"/>
          </w:tcPr>
          <w:p>
            <w:pPr>
              <w:spacing w:after="0" w:line="189" w:lineRule="exact"/>
              <w:rPr>
                <w:rFonts w:ascii="Arial" w:cs="Arial" w:eastAsia="Arial" w:hAnsi="Arial"/>
                <w:sz w:val="18"/>
                <w:szCs w:val="18"/>
                <w:color w:val="0000EE"/>
              </w:rPr>
            </w:pPr>
            <w:hyperlink w:anchor="page8">
              <w:r>
                <w:rPr>
                  <w:rFonts w:ascii="Arial" w:cs="Arial" w:eastAsia="Arial" w:hAnsi="Arial"/>
                  <w:sz w:val="18"/>
                  <w:szCs w:val="18"/>
                  <w:color w:val="0000EE"/>
                </w:rPr>
                <w:t>Glossary</w:t>
              </w:r>
            </w:hyperlink>
          </w:p>
        </w:tc>
        <w:tc>
          <w:tcPr>
            <w:tcW w:w="7760" w:type="dxa"/>
            <w:vAlign w:val="bottom"/>
            <w:gridSpan w:val="12"/>
          </w:tcPr>
          <w:p>
            <w:pPr>
              <w:spacing w:after="0"/>
              <w:rPr>
                <w:sz w:val="16"/>
                <w:szCs w:val="16"/>
                <w:color w:val="auto"/>
              </w:rPr>
            </w:pPr>
          </w:p>
        </w:tc>
        <w:tc>
          <w:tcPr>
            <w:tcW w:w="280" w:type="dxa"/>
            <w:vAlign w:val="bottom"/>
            <w:gridSpan w:val="5"/>
          </w:tcPr>
          <w:p>
            <w:pPr>
              <w:jc w:val="right"/>
              <w:ind w:right="100"/>
              <w:spacing w:after="0" w:line="189" w:lineRule="exact"/>
              <w:rPr>
                <w:rFonts w:ascii="Arial" w:cs="Arial" w:eastAsia="Arial" w:hAnsi="Arial"/>
                <w:sz w:val="18"/>
                <w:szCs w:val="18"/>
                <w:color w:val="0000EE"/>
              </w:rPr>
            </w:pPr>
            <w:hyperlink w:anchor="page8">
              <w:r>
                <w:rPr>
                  <w:rFonts w:ascii="Arial" w:cs="Arial" w:eastAsia="Arial" w:hAnsi="Arial"/>
                  <w:sz w:val="18"/>
                  <w:szCs w:val="18"/>
                  <w:color w:val="0000EE"/>
                </w:rPr>
                <w:t>iii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9">
              <w:r>
                <w:rPr>
                  <w:rFonts w:ascii="Arial" w:cs="Arial" w:eastAsia="Arial" w:hAnsi="Arial"/>
                  <w:sz w:val="18"/>
                  <w:szCs w:val="18"/>
                  <w:color w:val="0000EE"/>
                </w:rPr>
                <w:t>Non-GAAP Financial Measures</w:t>
              </w:r>
            </w:hyperlink>
          </w:p>
        </w:tc>
        <w:tc>
          <w:tcPr>
            <w:tcW w:w="40" w:type="dxa"/>
            <w:vAlign w:val="bottom"/>
            <w:shd w:val="clear" w:color="auto" w:fill="CCEEFF"/>
          </w:tcPr>
          <w:p>
            <w:pPr>
              <w:spacing w:after="0"/>
              <w:rPr>
                <w:sz w:val="16"/>
                <w:szCs w:val="16"/>
                <w:color w:val="auto"/>
              </w:rPr>
            </w:pPr>
          </w:p>
        </w:tc>
        <w:tc>
          <w:tcPr>
            <w:tcW w:w="240" w:type="dxa"/>
            <w:vAlign w:val="bottom"/>
            <w:gridSpan w:val="4"/>
            <w:shd w:val="clear" w:color="auto" w:fill="CCEEFF"/>
          </w:tcPr>
          <w:p>
            <w:pPr>
              <w:jc w:val="right"/>
              <w:ind w:right="100"/>
              <w:spacing w:after="0" w:line="189"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iv</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80" w:type="dxa"/>
            <w:vAlign w:val="bottom"/>
            <w:gridSpan w:val="12"/>
          </w:tcPr>
          <w:p>
            <w:pPr>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Prospectus Summary</w:t>
              </w:r>
            </w:hyperlink>
          </w:p>
        </w:tc>
        <w:tc>
          <w:tcPr>
            <w:tcW w:w="6980" w:type="dxa"/>
            <w:vAlign w:val="bottom"/>
            <w:gridSpan w:val="7"/>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gridSpan w:val="4"/>
          </w:tcPr>
          <w:p>
            <w:pPr>
              <w:jc w:val="right"/>
              <w:ind w:right="100"/>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3"/>
            <w:shd w:val="clear" w:color="auto" w:fill="CCEEFF"/>
          </w:tcPr>
          <w:p>
            <w:pPr>
              <w:spacing w:after="0" w:line="189" w:lineRule="exact"/>
              <w:rPr>
                <w:rFonts w:ascii="Arial" w:cs="Arial" w:eastAsia="Arial" w:hAnsi="Arial"/>
                <w:sz w:val="18"/>
                <w:szCs w:val="18"/>
                <w:color w:val="0000EE"/>
                <w:w w:val="85"/>
              </w:rPr>
            </w:pPr>
            <w:hyperlink w:anchor="page26">
              <w:r>
                <w:rPr>
                  <w:rFonts w:ascii="Arial" w:cs="Arial" w:eastAsia="Arial" w:hAnsi="Arial"/>
                  <w:sz w:val="18"/>
                  <w:szCs w:val="18"/>
                  <w:color w:val="0000EE"/>
                  <w:w w:val="85"/>
                </w:rPr>
                <w:t>Risk Factors</w:t>
              </w:r>
            </w:hyperlink>
          </w:p>
        </w:tc>
        <w:tc>
          <w:tcPr>
            <w:tcW w:w="8380" w:type="dxa"/>
            <w:vAlign w:val="bottom"/>
            <w:gridSpan w:val="16"/>
            <w:shd w:val="clear" w:color="auto" w:fill="CCEEFF"/>
          </w:tcPr>
          <w:p>
            <w:pPr>
              <w:spacing w:after="0"/>
              <w:rPr>
                <w:sz w:val="16"/>
                <w:szCs w:val="16"/>
                <w:color w:val="auto"/>
              </w:rPr>
            </w:pPr>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17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tcPr>
          <w:p>
            <w:pPr>
              <w:spacing w:after="0" w:line="189" w:lineRule="exact"/>
              <w:rPr>
                <w:rFonts w:ascii="Arial" w:cs="Arial" w:eastAsia="Arial" w:hAnsi="Arial"/>
                <w:sz w:val="18"/>
                <w:szCs w:val="18"/>
                <w:color w:val="0000EE"/>
              </w:rPr>
            </w:pPr>
            <w:hyperlink w:anchor="page34">
              <w:r>
                <w:rPr>
                  <w:rFonts w:ascii="Arial" w:cs="Arial" w:eastAsia="Arial" w:hAnsi="Arial"/>
                  <w:sz w:val="18"/>
                  <w:szCs w:val="18"/>
                  <w:color w:val="0000EE"/>
                </w:rPr>
                <w:t>Special Note Regarding Forward-Looking Statements</w:t>
              </w:r>
            </w:hyperlink>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25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36">
              <w:r>
                <w:rPr>
                  <w:rFonts w:ascii="Arial" w:cs="Arial" w:eastAsia="Arial" w:hAnsi="Arial"/>
                  <w:sz w:val="18"/>
                  <w:szCs w:val="18"/>
                  <w:color w:val="0000EE"/>
                </w:rPr>
                <w:t>Use of Proceeds</w:t>
              </w:r>
            </w:hyperlink>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27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tcPr>
          <w:p>
            <w:pPr>
              <w:spacing w:after="0" w:line="189" w:lineRule="exact"/>
              <w:rPr>
                <w:rFonts w:ascii="Arial" w:cs="Arial" w:eastAsia="Arial" w:hAnsi="Arial"/>
                <w:sz w:val="18"/>
                <w:szCs w:val="18"/>
                <w:color w:val="0000EE"/>
              </w:rPr>
            </w:pPr>
            <w:hyperlink w:anchor="page37">
              <w:r>
                <w:rPr>
                  <w:rFonts w:ascii="Arial" w:cs="Arial" w:eastAsia="Arial" w:hAnsi="Arial"/>
                  <w:sz w:val="18"/>
                  <w:szCs w:val="18"/>
                  <w:color w:val="0000EE"/>
                </w:rPr>
                <w:t>Dividend Policy</w:t>
              </w:r>
            </w:hyperlink>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20" w:type="dxa"/>
            <w:vAlign w:val="bottom"/>
            <w:gridSpan w:val="11"/>
            <w:shd w:val="clear" w:color="auto" w:fill="CCEEFF"/>
          </w:tcPr>
          <w:p>
            <w:pPr>
              <w:spacing w:after="0" w:line="189"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Price Range of Common Stock</w:t>
              </w:r>
            </w:hyperlink>
          </w:p>
        </w:tc>
        <w:tc>
          <w:tcPr>
            <w:tcW w:w="7040" w:type="dxa"/>
            <w:vAlign w:val="bottom"/>
            <w:gridSpan w:val="8"/>
            <w:shd w:val="clear" w:color="auto" w:fill="CCEEFF"/>
          </w:tcPr>
          <w:p>
            <w:pPr>
              <w:spacing w:after="0"/>
              <w:rPr>
                <w:sz w:val="16"/>
                <w:szCs w:val="16"/>
                <w:color w:val="auto"/>
              </w:rPr>
            </w:pPr>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29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20" w:type="dxa"/>
            <w:vAlign w:val="bottom"/>
            <w:gridSpan w:val="11"/>
          </w:tcPr>
          <w:p>
            <w:pPr>
              <w:spacing w:after="0" w:line="189" w:lineRule="exact"/>
              <w:rPr>
                <w:rFonts w:ascii="Arial" w:cs="Arial" w:eastAsia="Arial" w:hAnsi="Arial"/>
                <w:sz w:val="18"/>
                <w:szCs w:val="18"/>
                <w:color w:val="0000EE"/>
              </w:rPr>
            </w:pPr>
            <w:hyperlink w:anchor="page39">
              <w:r>
                <w:rPr>
                  <w:rFonts w:ascii="Arial" w:cs="Arial" w:eastAsia="Arial" w:hAnsi="Arial"/>
                  <w:sz w:val="18"/>
                  <w:szCs w:val="18"/>
                  <w:color w:val="0000EE"/>
                </w:rPr>
                <w:t>Capitalization</w:t>
              </w:r>
            </w:hyperlink>
          </w:p>
        </w:tc>
        <w:tc>
          <w:tcPr>
            <w:tcW w:w="7040" w:type="dxa"/>
            <w:vAlign w:val="bottom"/>
            <w:gridSpan w:val="8"/>
          </w:tcPr>
          <w:p>
            <w:pPr>
              <w:spacing w:after="0"/>
              <w:rPr>
                <w:sz w:val="16"/>
                <w:szCs w:val="16"/>
                <w:color w:val="auto"/>
              </w:rPr>
            </w:pPr>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Selling Stockholders</w:t>
              </w:r>
            </w:hyperlink>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tcPr>
          <w:p>
            <w:pPr>
              <w:spacing w:after="0" w:line="189"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Capital Stock</w:t>
              </w:r>
            </w:hyperlink>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00" w:type="dxa"/>
            <w:vAlign w:val="bottom"/>
            <w:gridSpan w:val="10"/>
            <w:shd w:val="clear" w:color="auto" w:fill="CCEEFF"/>
          </w:tcPr>
          <w:p>
            <w:pPr>
              <w:spacing w:after="0" w:line="189"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Shares Eligible for Future Sale</w:t>
              </w:r>
            </w:hyperlink>
          </w:p>
        </w:tc>
        <w:tc>
          <w:tcPr>
            <w:tcW w:w="7060" w:type="dxa"/>
            <w:vAlign w:val="bottom"/>
            <w:gridSpan w:val="9"/>
            <w:shd w:val="clear" w:color="auto" w:fill="CCEEFF"/>
          </w:tcPr>
          <w:p>
            <w:pPr>
              <w:spacing w:after="0"/>
              <w:rPr>
                <w:sz w:val="16"/>
                <w:szCs w:val="16"/>
                <w:color w:val="auto"/>
              </w:rPr>
            </w:pPr>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tcPr>
          <w:p>
            <w:pPr>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Material United States Federal Income and Estate Tax Consequences to Non-U.S. Holders</w:t>
              </w:r>
            </w:hyperlink>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42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2620" w:type="dxa"/>
            <w:vAlign w:val="bottom"/>
            <w:tcBorders>
              <w:top w:val="single" w:sz="8" w:color="0000EE"/>
            </w:tcBorders>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54">
              <w:r>
                <w:rPr>
                  <w:rFonts w:ascii="Arial" w:cs="Arial" w:eastAsia="Arial" w:hAnsi="Arial"/>
                  <w:sz w:val="18"/>
                  <w:szCs w:val="18"/>
                  <w:color w:val="0000EE"/>
                </w:rPr>
                <w:t>Underwriting (Conflicts of Interest)</w:t>
              </w:r>
            </w:hyperlink>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45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40" w:type="dxa"/>
            <w:vAlign w:val="bottom"/>
            <w:gridSpan w:val="13"/>
          </w:tcPr>
          <w:p>
            <w:pPr>
              <w:spacing w:after="0" w:line="189" w:lineRule="exact"/>
              <w:rPr>
                <w:rFonts w:ascii="Arial" w:cs="Arial" w:eastAsia="Arial" w:hAnsi="Arial"/>
                <w:sz w:val="18"/>
                <w:szCs w:val="18"/>
                <w:color w:val="0000EE"/>
              </w:rPr>
            </w:pPr>
            <w:hyperlink w:anchor="page61">
              <w:r>
                <w:rPr>
                  <w:rFonts w:ascii="Arial" w:cs="Arial" w:eastAsia="Arial" w:hAnsi="Arial"/>
                  <w:sz w:val="18"/>
                  <w:szCs w:val="18"/>
                  <w:color w:val="0000EE"/>
                </w:rPr>
                <w:t>Legal Matters</w:t>
              </w:r>
            </w:hyperlink>
          </w:p>
        </w:tc>
        <w:tc>
          <w:tcPr>
            <w:tcW w:w="6720" w:type="dxa"/>
            <w:vAlign w:val="bottom"/>
            <w:gridSpan w:val="6"/>
          </w:tcPr>
          <w:p>
            <w:pPr>
              <w:spacing w:after="0"/>
              <w:rPr>
                <w:sz w:val="16"/>
                <w:szCs w:val="16"/>
                <w:color w:val="auto"/>
              </w:rPr>
            </w:pPr>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61">
              <w:r>
                <w:rPr>
                  <w:rFonts w:ascii="Arial" w:cs="Arial" w:eastAsia="Arial" w:hAnsi="Arial"/>
                  <w:sz w:val="18"/>
                  <w:szCs w:val="18"/>
                  <w:color w:val="0000EE"/>
                </w:rPr>
                <w:t>Experts</w:t>
              </w:r>
            </w:hyperlink>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tcPr>
          <w:p>
            <w:pPr>
              <w:spacing w:after="0" w:line="189" w:lineRule="exact"/>
              <w:rPr>
                <w:rFonts w:ascii="Arial" w:cs="Arial" w:eastAsia="Arial" w:hAnsi="Arial"/>
                <w:sz w:val="18"/>
                <w:szCs w:val="18"/>
                <w:color w:val="0000EE"/>
              </w:rPr>
            </w:pPr>
            <w:hyperlink w:anchor="page61">
              <w:r>
                <w:rPr>
                  <w:rFonts w:ascii="Arial" w:cs="Arial" w:eastAsia="Arial" w:hAnsi="Arial"/>
                  <w:sz w:val="18"/>
                  <w:szCs w:val="18"/>
                  <w:color w:val="0000EE"/>
                </w:rPr>
                <w:t>Where You Can Find More Information</w:t>
              </w:r>
            </w:hyperlink>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61">
              <w:r>
                <w:rPr>
                  <w:rFonts w:ascii="Arial" w:cs="Arial" w:eastAsia="Arial" w:hAnsi="Arial"/>
                  <w:sz w:val="18"/>
                  <w:szCs w:val="18"/>
                  <w:color w:val="0000EE"/>
                </w:rPr>
                <w:t>Incorporation by Reference</w:t>
              </w:r>
            </w:hyperlink>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121" w:lineRule="exact"/>
        <w:rPr>
          <w:sz w:val="20"/>
          <w:szCs w:val="20"/>
          <w:color w:val="auto"/>
        </w:rPr>
      </w:pPr>
    </w:p>
    <w:p>
      <w:pPr>
        <w:ind w:right="40" w:firstLine="360"/>
        <w:spacing w:after="0" w:line="284" w:lineRule="auto"/>
        <w:rPr>
          <w:sz w:val="20"/>
          <w:szCs w:val="20"/>
          <w:color w:val="auto"/>
        </w:rPr>
      </w:pPr>
      <w:r>
        <w:rPr>
          <w:rFonts w:ascii="Arial" w:cs="Arial" w:eastAsia="Arial" w:hAnsi="Arial"/>
          <w:sz w:val="16"/>
          <w:szCs w:val="16"/>
          <w:color w:val="auto"/>
        </w:rPr>
        <w:t>The data included, or incorporated by reference, in this prospectus regarding markets, ranking and other industry information are based on reports of government agencies or published industry sources, and our own internal estimates are based on our management’s knowledge and experience in the markets in which we operate. Data regarding the industry in which we compete and our market position and market share within this industry are inherently imprecise and are subject to significant business, economic and competitive uncertainties beyond our control, but we believe they generally indicate size, position and market share within this industry. Our own estimates are based on information obtained from our customers, suppliers, trade and business organizations and other contacts in the markets we operate. We are responsible for all of the disclosure included, or incorporated by reference, in this prospectus, and we believe these estimates to be accurate as of the date of this prospectus or such other date stated in this prospectus (or in documents we have incorporated by reference).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While we believe that each of the publications used throughout this prospectus (or in documents we have incorporated by reference) are prepared by reputable sources, neither we nor the underwriters have independently verified market and industry data from third-party sources. While we believe our internal company research and estimates are reliable, such research and estimates have not been verified by any independent source. In addition, assumptions and estimates of our and our industry’s future performance are necessarily subject to a high degree of uncertainty and risk due to a variety of factors, including those described in “Risk Factors” in this prospectus and “Risk Factors” and “Management’s Discussion and Analysis of Financial Condition and Results of Operations” in our Annual Report (as defined herein), which is incorporated by reference in this prospectus. These and other factors could cause our future performance to differ materially from our assumptions and estimates. See “Special Note Regarding Forward-Looking Statements.” As a result, you should be aware that market, ranking, and other similar industry data included, or incorporated by reference, in this prospectus, and estimates and beliefs based on that data may not be reliable. None of us, the selling stockholders and the underwriters can guarantee the accuracy or completeness of any such information contained, or incorporated by reference, in this prospectus.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121" w:lineRule="exact"/>
        <w:rPr>
          <w:sz w:val="20"/>
          <w:szCs w:val="20"/>
          <w:color w:val="auto"/>
        </w:rPr>
      </w:pPr>
    </w:p>
    <w:p>
      <w:pPr>
        <w:ind w:firstLine="360"/>
        <w:spacing w:after="0" w:line="274" w:lineRule="auto"/>
        <w:rPr>
          <w:sz w:val="20"/>
          <w:szCs w:val="20"/>
          <w:color w:val="auto"/>
        </w:rPr>
      </w:pPr>
      <w:r>
        <w:rPr>
          <w:rFonts w:ascii="Arial" w:cs="Arial" w:eastAsia="Arial" w:hAnsi="Arial"/>
          <w:sz w:val="16"/>
          <w:szCs w:val="16"/>
          <w:color w:val="auto"/>
        </w:rPr>
        <w:t xml:space="preserve">We own a number of registered and common law trademarks and pending applications for trademark registrations in the United States, primarily through our subsidiaries, including: America’s Best, America’s Best &amp; design, America’s Best Contacts &amp; Eyeglasses, America’s Best Contacts &amp; Eyeglasses &amp; design, America’s Best Vision Plan, America’s Best owl mascot image, the slogan, “It’s not just a better deal. It’s America’s Best.,” Eyeglass World, Eyeglass World logos, the slogans, “See yourself smile. See yourself save.,” “The world’s best way to buy glasses.” and “The world’s best way to buy contacts.,” the Eyeglass World mast image Mr. World, AC Lens, FirstSight, Vista Optical, Eyecare Club, Sofmed, Digimax, Neverglare, Neverglare Advantage and Neverglare Advantage &amp; design. Solely for convenience, the trademarks, service marks and tradenames referred to in this prospectus (or in documents we have incorporated by reference) are presented without the </w:t>
      </w:r>
      <w:r>
        <w:rPr>
          <w:rFonts w:ascii="Arial" w:cs="Arial" w:eastAsia="Arial" w:hAnsi="Arial"/>
          <w:sz w:val="24"/>
          <w:szCs w:val="24"/>
          <w:color w:val="auto"/>
          <w:vertAlign w:val="superscript"/>
        </w:rPr>
        <w:t>®</w:t>
      </w:r>
      <w:r>
        <w:rPr>
          <w:rFonts w:ascii="Arial" w:cs="Arial" w:eastAsia="Arial" w:hAnsi="Arial"/>
          <w:sz w:val="16"/>
          <w:szCs w:val="16"/>
          <w:color w:val="auto"/>
        </w:rPr>
        <w:t xml:space="preserve">, </w:t>
      </w:r>
      <w:r>
        <w:rPr>
          <w:rFonts w:ascii="Arial" w:cs="Arial" w:eastAsia="Arial" w:hAnsi="Arial"/>
          <w:sz w:val="24"/>
          <w:szCs w:val="24"/>
          <w:color w:val="auto"/>
          <w:vertAlign w:val="superscript"/>
        </w:rPr>
        <w:t>SM</w:t>
      </w:r>
      <w:r>
        <w:rPr>
          <w:rFonts w:ascii="Arial" w:cs="Arial" w:eastAsia="Arial" w:hAnsi="Arial"/>
          <w:sz w:val="16"/>
          <w:szCs w:val="16"/>
          <w:color w:val="auto"/>
        </w:rPr>
        <w:t xml:space="preserve"> and ™ symbols, but such references are not intended to indicate, in any way, that we will not assert, to the fullest extent under applicable law, our rights or the rights of the applicable licensors to these trademarks, service marks and tradenames. All trademarks, service marks and tradenames appearing in this prospectus (or in documents we have incorporated by reference) are the property of their respective owners.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40" w:firstLine="360"/>
        <w:spacing w:after="0" w:line="255" w:lineRule="auto"/>
        <w:rPr>
          <w:sz w:val="20"/>
          <w:szCs w:val="20"/>
          <w:color w:val="auto"/>
        </w:rPr>
      </w:pPr>
      <w:r>
        <w:rPr>
          <w:rFonts w:ascii="Arial" w:cs="Arial" w:eastAsia="Arial" w:hAnsi="Arial"/>
          <w:sz w:val="18"/>
          <w:szCs w:val="18"/>
          <w:color w:val="auto"/>
        </w:rPr>
        <w:t>Unless otherwise indicated or the context otherwise requires, financial data included, or incorporated by reference, in this prospectus reflects the business and operations of National Vision Holdings, Inc. and its consolidated subsidiaries. Unless the context otherwise requires, all references herein to “National Vision Holdings, Inc.,” “National Vision,” the “Company,” “we,” “our” or “us” refer to National Vision Holdings, Inc. and its consolidated subsidiaries. National Vision Holdings, Inc. conducts substantially all of its activities through its direct, wholly-owned subsidiary, National Vision, Inc., which we refer to herein as “NVI,” and NVI’s subsidiaries.</w:t>
      </w:r>
    </w:p>
    <w:p>
      <w:pPr>
        <w:spacing w:after="0" w:line="85"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We operate on a retail fiscal calendar pursuant to which our fiscal year consists of 52 or 53 weeks, ending on the Saturday closest to December 31. Unless otherwise indicated or the context otherwise requires, all references to years and quarters relate to fiscal periods rather than calendar periods.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References to “fiscal year 2015,” “fiscal year 2016” and “fiscal year 2017” relate to our fiscal year ended January 2, 2016, our fiscal year ended December 31, 2016 and our fiscal year ended December 30, 2017, respectively.</w:t>
      </w:r>
    </w:p>
    <w:p>
      <w:pPr>
        <w:spacing w:after="0" w:line="62"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Amounts in this prospectus and the audited consolidated financial statements incorporated by reference in this prospectus are presented in U.S. dollars rounded to the nearest thousand, unless otherwise noted. Certain amounts presented in tables are subject to rounding adjustments and, as a result, the totals in such tables may not sum. The accounting policies set out in the audited consolidated financial statements incorporated by reference in this prospectus have been consistently applied to all periods presented.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GLOSSARY</w:t>
      </w:r>
    </w:p>
    <w:p>
      <w:pPr>
        <w:spacing w:after="0" w:line="12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The following are definitions of certain terms as used in this prospectus, unless otherwise noted or indicated by context.</w:t>
      </w:r>
    </w:p>
    <w:p>
      <w:pPr>
        <w:spacing w:after="0" w:line="129" w:lineRule="exact"/>
        <w:rPr>
          <w:sz w:val="20"/>
          <w:szCs w:val="20"/>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 Lens” means Arlington Contact Lens Service, Inc., our wholly-owned subsidiary.</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means our Annual Report on Form 10-K for the fiscal year ended December 30, 2017, filed on March 8, 2018.</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“Berkshire” means Berkshire Partners LLC.</w:t>
      </w:r>
    </w:p>
    <w:p>
      <w:pPr>
        <w:spacing w:after="0" w:line="117" w:lineRule="exact"/>
        <w:rPr>
          <w:rFonts w:ascii="Arial" w:cs="Arial" w:eastAsia="Arial" w:hAnsi="Arial"/>
          <w:sz w:val="18"/>
          <w:szCs w:val="18"/>
          <w:color w:val="auto"/>
        </w:rPr>
      </w:pPr>
    </w:p>
    <w:p>
      <w:pPr>
        <w:ind w:left="700" w:right="180" w:hanging="356"/>
        <w:spacing w:after="0" w:line="308" w:lineRule="auto"/>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“Centralized laboratory network” or “laboratory network” mean our three owned, full-service optical laboratories in the United States and two outsourced, third-party owned optical laboratories in Mexico and China.</w:t>
      </w:r>
    </w:p>
    <w:p>
      <w:pPr>
        <w:spacing w:after="0" w:line="38" w:lineRule="exact"/>
        <w:rPr>
          <w:rFonts w:ascii="Arial" w:cs="Arial" w:eastAsia="Arial" w:hAnsi="Arial"/>
          <w:sz w:val="17"/>
          <w:szCs w:val="17"/>
          <w:color w:val="auto"/>
        </w:rPr>
      </w:pPr>
    </w:p>
    <w:p>
      <w:pPr>
        <w:ind w:left="700" w:hanging="356"/>
        <w:spacing w:after="0" w:line="312" w:lineRule="auto"/>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“E-commerce platform” means the technology that we use to conduct the online sale of optical goods and accessories, and includes our construction, management and operation of our proprietary websites and websites for third parties, such as Wal-Mart Stores, Inc., or Walmart, Sam’s Club and Giant Eagle, which we refer to herein as our “e-commerce business.”</w:t>
      </w:r>
    </w:p>
    <w:p>
      <w:pPr>
        <w:spacing w:after="0" w:line="38" w:lineRule="exact"/>
        <w:rPr>
          <w:rFonts w:ascii="Arial" w:cs="Arial" w:eastAsia="Arial" w:hAnsi="Arial"/>
          <w:sz w:val="16"/>
          <w:szCs w:val="16"/>
          <w:color w:val="auto"/>
        </w:rPr>
      </w:pPr>
    </w:p>
    <w:p>
      <w:pPr>
        <w:ind w:left="700" w:right="140" w:hanging="356"/>
        <w:spacing w:after="0" w:line="342" w:lineRule="auto"/>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“E-commerce sales” means sales from our store, proprietary and partner websites, excluding AC Lens’ fulfilment orders for the Walmart and Sam’s Club websites and ship-to-home orders from our store websites fulfilled by AC Lens.</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“Eye care practitioners” means optometrists and ophthalmologists.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“FirstSight” means FirstSight Vision Services, Inc., our wholly-owned subsidiary.</w:t>
      </w:r>
    </w:p>
    <w:p>
      <w:pPr>
        <w:spacing w:after="0" w:line="117"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“Host brands” means the Vista Optical brands we operate in Fred Meyer stores and on U.S. Army and Air Force military bases.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“Host partners” means Fred Meyer, Inc., or Fred Meyer, and the U.S. Army and Air Force Exchange Service.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Acquisition” means the acquisition of the Company by affiliates of KKR Sponsor in March 2014.</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Sponsor” means Kohlberg Kravis Roberts &amp; Co. L.P.</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“Legacy brand” means the Vision Center brand we operate in Walmart stores.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“Legacy partner” means Walmart.</w:t>
      </w:r>
    </w:p>
    <w:p>
      <w:pPr>
        <w:spacing w:after="0" w:line="117" w:lineRule="exact"/>
        <w:rPr>
          <w:rFonts w:ascii="Arial" w:cs="Arial" w:eastAsia="Arial" w:hAnsi="Arial"/>
          <w:sz w:val="18"/>
          <w:szCs w:val="18"/>
          <w:color w:val="auto"/>
        </w:rPr>
      </w:pPr>
    </w:p>
    <w:p>
      <w:pPr>
        <w:ind w:left="700" w:right="40" w:hanging="356"/>
        <w:spacing w:after="0" w:line="259"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“Managed care” or “managed vision care” mean vision care programs and associated benefits (i) sponsored by employers or other groups, (ii) provided by insurers and managed care entities, such as health maintenance organizations, or HMOs, to individuals, and (iii) delivered, typically on a fee-for-service or capitated basis, by health care providers, such as ophthalmologists, optometrists and opticians.</w:t>
      </w:r>
    </w:p>
    <w:p>
      <w:pPr>
        <w:spacing w:after="0" w:line="78"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“Mature stores” means stores that have been in operation for longer than five years.</w:t>
      </w:r>
    </w:p>
    <w:p>
      <w:pPr>
        <w:spacing w:after="0" w:line="117"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“Omni-channel platform” means the technology supporting many of our physical and online retail functionalities and services, including online frame browsing and virtual frame try-on, scheduling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140"/>
        <w:spacing w:after="0" w:line="312" w:lineRule="auto"/>
        <w:rPr>
          <w:sz w:val="20"/>
          <w:szCs w:val="20"/>
          <w:color w:val="auto"/>
        </w:rPr>
      </w:pPr>
      <w:r>
        <w:rPr>
          <w:rFonts w:ascii="Arial" w:cs="Arial" w:eastAsia="Arial" w:hAnsi="Arial"/>
          <w:sz w:val="16"/>
          <w:szCs w:val="16"/>
          <w:color w:val="auto"/>
        </w:rPr>
        <w:t>appointments, ship to customer programs, geolocation of our retail locations and online ordering of optical goods. As of December 30, 2017, our omni-channel platform serves our America’s Best Contacts &amp; Eyeglasses, or America’s Best, stores, Eyeglass World stores and Vista Optical operations on U.S. Army and Air Force military bases.</w:t>
      </w:r>
    </w:p>
    <w:p>
      <w:pPr>
        <w:spacing w:after="0" w:line="39" w:lineRule="exact"/>
        <w:rPr>
          <w:sz w:val="20"/>
          <w:szCs w:val="20"/>
          <w:color w:val="auto"/>
        </w:rPr>
      </w:pPr>
    </w:p>
    <w:p>
      <w:pPr>
        <w:ind w:left="700" w:hanging="356"/>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“Owned brands” or “owned stores” mean our America’s Best and Eyeglass World brands or stores, as applicable.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“Partner brands” means our host and legacy brands, collectively.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“Sponsors” means affiliates of KKR Sponsor and private equity funds managed by Berkshire.</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“Value segment” or “value segment of the U.S. optical retail industry” consists of the Company, Walmart, Costco Wholesale and Eyemart Express, Ltd.</w:t>
      </w:r>
    </w:p>
    <w:p>
      <w:pPr>
        <w:spacing w:after="0" w:line="62" w:lineRule="exact"/>
        <w:rPr>
          <w:rFonts w:ascii="Arial" w:cs="Arial" w:eastAsia="Arial" w:hAnsi="Arial"/>
          <w:sz w:val="18"/>
          <w:szCs w:val="18"/>
          <w:color w:val="auto"/>
        </w:rPr>
      </w:pPr>
    </w:p>
    <w:p>
      <w:pPr>
        <w:ind w:left="700" w:right="200" w:hanging="35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“Vision care professionals” means optometrists (including optometrists employed by us or by professional corporations owned by eye care practitioners with which we have arrangements) and opticians.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This prospectus contains, or incorporates by reference, “non-GAAP financial measures” that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“EBITDA,” “Adjusted EBITDA” and “Adjusted Net Income.”</w:t>
      </w:r>
    </w:p>
    <w:p>
      <w:pPr>
        <w:spacing w:after="0" w:line="63"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EBITDA, Adjusted EBITDA and Adjusted Net Income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uses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5"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“Prospectus Summary―Summary Historical Consolidated Financial and Other Data.”</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209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92825" cy="5209540"/>
                    </a:xfrm>
                    <a:prstGeom prst="rect">
                      <a:avLst/>
                    </a:prstGeom>
                    <a:noFill/>
                  </pic:spPr>
                </pic:pic>
              </a:graphicData>
            </a:graphic>
          </wp:anchor>
        </w:drawing>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100" w:right="60" w:firstLine="360"/>
        <w:spacing w:after="0" w:line="270" w:lineRule="auto"/>
        <w:rPr>
          <w:sz w:val="20"/>
          <w:szCs w:val="20"/>
          <w:color w:val="auto"/>
        </w:rPr>
      </w:pPr>
      <w:r>
        <w:rPr>
          <w:rFonts w:ascii="Arial" w:cs="Arial" w:eastAsia="Arial" w:hAnsi="Arial"/>
          <w:sz w:val="17"/>
          <w:szCs w:val="17"/>
          <w:i w:val="1"/>
          <w:iCs w:val="1"/>
          <w:color w:val="auto"/>
        </w:rPr>
        <w:t>This summary highlights certain significant aspects of our business and this offering, and it includes information contained elsewhere in this prospectus or incorporated by reference in this prospectus from our filings with the SEC listed under “Incorporation by Reference.” This summary is not complete and does not contain all of the information that you should consider before making your investment decision. You should carefully read this entire prospectus and the information incorporated by reference in this prospectus, including any free writing prospectus prepared by us or on our behalf, including the sections entitled “Special Note Regarding Forward-Looking Statements” and “Risk Factors” included in this prospectus and “Risk Factors,” “Management’s Discussion and Analysis of Financial Condition and Results of Operations” and the audited consolidated financial statements and related notes thereto in our Annual Report, which is incorporated by reference in this prospectus, before you decide to invest in shares of our common stock.</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100" w:right="40" w:firstLine="360"/>
        <w:spacing w:after="0" w:line="253" w:lineRule="auto"/>
        <w:rPr>
          <w:sz w:val="20"/>
          <w:szCs w:val="20"/>
          <w:color w:val="auto"/>
        </w:rPr>
      </w:pPr>
      <w:r>
        <w:rPr>
          <w:rFonts w:ascii="Arial" w:cs="Arial" w:eastAsia="Arial" w:hAnsi="Arial"/>
          <w:sz w:val="18"/>
          <w:szCs w:val="18"/>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believe our focus on the value segment, breadth of product assortment, committed employees and consultative selling approach generate customer goodwill for our brands. Our long-serving and motivated management team of optical retail experts has delivered a highly-consistent track record of strong results.</w:t>
      </w:r>
    </w:p>
    <w:p>
      <w:pPr>
        <w:spacing w:after="0" w:line="89" w:lineRule="exact"/>
        <w:rPr>
          <w:sz w:val="20"/>
          <w:szCs w:val="20"/>
          <w:color w:val="auto"/>
        </w:rPr>
      </w:pPr>
    </w:p>
    <w:p>
      <w:pPr>
        <w:ind w:left="100" w:firstLine="360"/>
        <w:spacing w:after="0" w:line="268" w:lineRule="auto"/>
        <w:rPr>
          <w:sz w:val="20"/>
          <w:szCs w:val="20"/>
          <w:color w:val="auto"/>
        </w:rPr>
      </w:pPr>
      <w:r>
        <w:rPr>
          <w:rFonts w:ascii="Arial" w:cs="Arial" w:eastAsia="Arial" w:hAnsi="Arial"/>
          <w:sz w:val="17"/>
          <w:szCs w:val="17"/>
          <w:color w:val="auto"/>
        </w:rPr>
        <w:t>We are well positioned to serve our new and existing customers through a diverse portfolio of 1,013 retail stores across five brands and 18 consumer websites as of December 30, 2017. We have two reportable segments: our owned &amp; host segment and our legacy segment. Our owned &amp; host segment includes our two owned brands, America’s Best and Eyeglass World, and our Vista Optical locations in Fred Meyer stores. Within this segment, we also provide low-cost vision care products and services to American military service members by operating Vista Optical locations on military bases across the country. Our legacy segment consists of our 27-year strategic relationship with Walmart to operate Vision Centers in select Walmart stores. In addition, our wholly-owned subsidiary, FirstSight, which is licensed as a single-service health plan under California law, issues individual vision care benefit plans in connection with our America’s Best operations in California and provides, or arranges for the provision of, optometric services at almost all of the optometric offices next to Walmart and Sam’s Club stores in California. We support our owned brands and our Vista Optical military operations through our ever-evolving omni-channel offerings and we also have an established standalone e-commerce business. Our e-commerce platform serves our proprietary e-commerce websites and the e-commerce websites of third parties, including Walmart, Sam’s Club and Giant Eagle. The following table provides an overview of our portfolio of brands:</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293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92825" cy="729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Note: Store count as of December 30, 2017. SKU figures refer to eyeglass frame SKUs. ODs are Doctors of Optometry.</w:t>
      </w:r>
    </w:p>
    <w:p>
      <w:pPr>
        <w:spacing w:after="0" w:line="109" w:lineRule="exact"/>
        <w:rPr>
          <w:sz w:val="20"/>
          <w:szCs w:val="20"/>
          <w:color w:val="auto"/>
        </w:rPr>
      </w:pPr>
    </w:p>
    <w:p>
      <w:pPr>
        <w:ind w:left="460" w:hanging="353"/>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Vista Optical in Fred Meyer stores does not offer omni-channel services.</w:t>
      </w:r>
    </w:p>
    <w:p>
      <w:pPr>
        <w:spacing w:after="0" w:line="100" w:lineRule="exact"/>
        <w:rPr>
          <w:sz w:val="20"/>
          <w:szCs w:val="20"/>
          <w:color w:val="auto"/>
        </w:rPr>
      </w:pPr>
    </w:p>
    <w:p>
      <w:pPr>
        <w:ind w:left="100" w:right="140" w:firstLine="360"/>
        <w:spacing w:after="0" w:line="297" w:lineRule="auto"/>
        <w:rPr>
          <w:sz w:val="20"/>
          <w:szCs w:val="20"/>
          <w:color w:val="auto"/>
        </w:rPr>
      </w:pPr>
      <w:r>
        <w:rPr>
          <w:rFonts w:ascii="Arial" w:cs="Arial" w:eastAsia="Arial" w:hAnsi="Arial"/>
          <w:sz w:val="16"/>
          <w:szCs w:val="16"/>
          <w:color w:val="auto"/>
        </w:rPr>
        <w:t>Our financial success has helped fuel our ever-growing philanthropic engine. Through multiple charitable partnerships, we have directly assisted approximately 900,000 individuals to see and have indirectly helped improve the vision of approximately 14 million individuals globally. Our philanthropic culture instills a sense of purpose and engagement in our employees, from in-store staff to senior management. Our employees feel pride in the positive work they are doing, which allows us to attract and retain both store associates and vision care professionals, thus improving the customer experience in our stores.</w:t>
      </w:r>
    </w:p>
    <w:p>
      <w:pPr>
        <w:spacing w:after="0" w:line="50" w:lineRule="exact"/>
        <w:rPr>
          <w:sz w:val="20"/>
          <w:szCs w:val="20"/>
          <w:color w:val="auto"/>
        </w:rPr>
      </w:pPr>
    </w:p>
    <w:p>
      <w:pPr>
        <w:jc w:val="both"/>
        <w:ind w:left="100" w:right="60" w:firstLine="360"/>
        <w:spacing w:after="0" w:line="286" w:lineRule="auto"/>
        <w:rPr>
          <w:sz w:val="20"/>
          <w:szCs w:val="20"/>
          <w:color w:val="auto"/>
        </w:rPr>
      </w:pPr>
      <w:r>
        <w:rPr>
          <w:rFonts w:ascii="Arial" w:cs="Arial" w:eastAsia="Arial" w:hAnsi="Arial"/>
          <w:sz w:val="17"/>
          <w:szCs w:val="17"/>
          <w:color w:val="auto"/>
        </w:rPr>
        <w:t>Our disciplined approach to new store openings, combined with our attractive store economics, has led to strong returns on investment. We believe these elements are the foundation for continued profitable growth from our existing store base, as well as a significant opportunity to deliver growth through new store openings. The fundamentals of our model are:</w:t>
      </w:r>
    </w:p>
    <w:p>
      <w:pPr>
        <w:spacing w:after="0" w:line="57" w:lineRule="exact"/>
        <w:rPr>
          <w:sz w:val="20"/>
          <w:szCs w:val="20"/>
          <w:color w:val="auto"/>
        </w:rPr>
      </w:pPr>
    </w:p>
    <w:p>
      <w:pPr>
        <w:ind w:left="800" w:hanging="342"/>
        <w:spacing w:after="0" w:line="255"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Differentiated and Defensible Value Proposition. </w:t>
      </w:r>
      <w:r>
        <w:rPr>
          <w:rFonts w:ascii="Arial" w:cs="Arial" w:eastAsia="Arial" w:hAnsi="Arial"/>
          <w:sz w:val="18"/>
          <w:szCs w:val="18"/>
          <w:color w:val="auto"/>
        </w:rPr>
        <w:t>We believe our success is driven by our low prices, convenient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locations, broad assortment of branded and private label merchandise and the high levels of in-store service provided by our well-trained and passionate store associates and vision care professionals. We believe our bundled offers, including two-pairs of eyeglasses plus an eye exam for $69.95 at America’s Best and two-pairs of eyeglasses for $78.00 at Eyeglass World, represent among the lowest price offerings of any national chain. Our ability to utilize national advertising for America’s Best allows us to communicate this value proposition to a meaningfully greater number of current and potential customers.</w:t>
      </w:r>
    </w:p>
    <w:p>
      <w:pPr>
        <w:spacing w:after="0" w:line="81" w:lineRule="exact"/>
        <w:rPr>
          <w:rFonts w:ascii="Arial" w:cs="Arial" w:eastAsia="Arial" w:hAnsi="Arial"/>
          <w:sz w:val="18"/>
          <w:szCs w:val="18"/>
          <w:color w:val="auto"/>
        </w:rPr>
      </w:pPr>
    </w:p>
    <w:p>
      <w:pPr>
        <w:ind w:left="800" w:right="40" w:hanging="342"/>
        <w:spacing w:after="0" w:line="273"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Recurring Revenue Characteristics. </w:t>
      </w:r>
      <w:r>
        <w:rPr>
          <w:rFonts w:ascii="Arial" w:cs="Arial" w:eastAsia="Arial" w:hAnsi="Arial"/>
          <w:sz w:val="17"/>
          <w:szCs w:val="17"/>
          <w:color w:val="auto"/>
        </w:rPr>
        <w:t>Eye care purchases are predominantly a medical necessity and are therefore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considered non-discretionary in nature.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63% of total customers in fiscal year 2017 and new customers representing the remaining 37% of total customers in fiscal year 2017.</w:t>
      </w:r>
    </w:p>
    <w:p>
      <w:pPr>
        <w:spacing w:after="0" w:line="70" w:lineRule="exact"/>
        <w:rPr>
          <w:rFonts w:ascii="Arial" w:cs="Arial" w:eastAsia="Arial" w:hAnsi="Arial"/>
          <w:sz w:val="17"/>
          <w:szCs w:val="17"/>
          <w:color w:val="auto"/>
        </w:rPr>
      </w:pPr>
    </w:p>
    <w:p>
      <w:pPr>
        <w:ind w:left="800" w:right="360" w:hanging="342"/>
        <w:spacing w:after="0" w:line="286"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Attractive Store Economics and Embedded Earnings Growth. </w:t>
      </w:r>
      <w:r>
        <w:rPr>
          <w:rFonts w:ascii="Arial" w:cs="Arial" w:eastAsia="Arial" w:hAnsi="Arial"/>
          <w:sz w:val="17"/>
          <w:szCs w:val="17"/>
          <w:color w:val="auto"/>
        </w:rPr>
        <w:t>Our store economics are based on low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steady ramping of sales in new locations, low operating costs and consistent sales volume and earnings growth in mature stores, which result in attractive returns on capital. On average,</w:t>
      </w: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585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92825" cy="7585075"/>
                    </a:xfrm>
                    <a:prstGeom prst="rect">
                      <a:avLst/>
                    </a:prstGeom>
                    <a:noFill/>
                  </pic:spPr>
                </pic:pic>
              </a:graphicData>
            </a:graphic>
          </wp:anchor>
        </w:drawing>
      </w:r>
    </w:p>
    <w:p>
      <w:pPr>
        <w:spacing w:after="0" w:line="138"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our owned stores achieve profitability shortly after their first-year opening anniversary and pay back invested capital in less than four years. By consistently replicating the key characteristics of our store model, we execute a formula-based approach to opening new stores and managing existing stores, which has delivered predictable store performance across vintages, diverse geographies and new and existing markets. We believe this leads to a high degree of visibility into the embedded earnings potential of our newly opened stores. For indicative purposes, assuming that each of our open but not mature America’s Best and Eyeglass World stores as of December 30, 2017 were able to attain the average fifth-year financial performance of our existing mature America’s Best and Eyeglass World stores, we would have generated an additional approximately $58 million of revenues and approximately $48 million of EBITDA for our owned &amp; host segment in fiscal year 2017.</w:t>
      </w:r>
    </w:p>
    <w:p>
      <w:pPr>
        <w:spacing w:after="0" w:line="74" w:lineRule="exact"/>
        <w:rPr>
          <w:sz w:val="20"/>
          <w:szCs w:val="20"/>
          <w:color w:val="auto"/>
        </w:rPr>
      </w:pPr>
    </w:p>
    <w:p>
      <w:pPr>
        <w:ind w:left="100" w:right="20" w:firstLine="360"/>
        <w:spacing w:after="0" w:line="264" w:lineRule="auto"/>
        <w:rPr>
          <w:sz w:val="20"/>
          <w:szCs w:val="20"/>
          <w:color w:val="auto"/>
        </w:rPr>
      </w:pPr>
      <w:r>
        <w:rPr>
          <w:rFonts w:ascii="Arial" w:cs="Arial" w:eastAsia="Arial" w:hAnsi="Arial"/>
          <w:sz w:val="18"/>
          <w:szCs w:val="18"/>
          <w:color w:val="auto"/>
        </w:rPr>
        <w:t>By targeting the high-growth value segment, we have grown revenue at three times the rate of the U.S. optical retail industry over the past five years, gained significant market share and generated a record 64 consecutive quarters of positive comparable store sales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right="120" w:hanging="353"/>
        <w:spacing w:after="0" w:line="273"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2009 comparable store sales exclude sales from the Eyeglass World stores for the first six-month “transition” period following our acquisition of Eyeglass World.</w:t>
      </w:r>
    </w:p>
    <w:p>
      <w:pPr>
        <w:spacing w:after="0" w:line="66" w:lineRule="exact"/>
        <w:rPr>
          <w:sz w:val="20"/>
          <w:szCs w:val="20"/>
          <w:color w:val="auto"/>
        </w:rPr>
      </w:pPr>
    </w:p>
    <w:p>
      <w:pPr>
        <w:ind w:left="460" w:right="60" w:hanging="353"/>
        <w:spacing w:after="0" w:line="273"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Comparable store sales growth in the third quarter of fiscal year 2011 was impacted by the near U.S. federal government shutdown and subsequent adverse impact on the consumer environment.</w:t>
      </w:r>
    </w:p>
    <w:p>
      <w:pPr>
        <w:spacing w:after="0" w:line="57" w:lineRule="exact"/>
        <w:rPr>
          <w:sz w:val="20"/>
          <w:szCs w:val="20"/>
          <w:color w:val="auto"/>
        </w:rPr>
      </w:pPr>
    </w:p>
    <w:p>
      <w:pPr>
        <w:ind w:left="100" w:firstLine="360"/>
        <w:spacing w:after="0" w:line="286" w:lineRule="auto"/>
        <w:rPr>
          <w:sz w:val="20"/>
          <w:szCs w:val="20"/>
          <w:color w:val="auto"/>
        </w:rPr>
      </w:pPr>
      <w:r>
        <w:rPr>
          <w:rFonts w:ascii="Arial" w:cs="Arial" w:eastAsia="Arial" w:hAnsi="Arial"/>
          <w:sz w:val="16"/>
          <w:szCs w:val="16"/>
          <w:color w:val="auto"/>
        </w:rPr>
        <w:t>For fiscal years 2015, 2016 and 2017, we generated total net revenue of $1.1 billion, $1.2 billion and $1.4 billion, respectively, representing a compound annual growth rate, or CAGR, of approximately 13.7% from fiscal year 2015 to fiscal year 2017. Our net income for these same periods was $4 million, $15 million and $46 million, respectively. Our Adjusted EBITDA for these same periods was $113 million, $138 million and $160 million, respectively, representing a CAGR of approximately</w:t>
      </w:r>
    </w:p>
    <w:p>
      <w:pPr>
        <w:spacing w:after="0" w:line="2" w:lineRule="exact"/>
        <w:rPr>
          <w:sz w:val="20"/>
          <w:szCs w:val="20"/>
          <w:color w:val="auto"/>
        </w:rPr>
      </w:pPr>
    </w:p>
    <w:p>
      <w:pPr>
        <w:ind w:left="100" w:right="160"/>
        <w:spacing w:after="0" w:line="273" w:lineRule="auto"/>
        <w:rPr>
          <w:sz w:val="20"/>
          <w:szCs w:val="20"/>
          <w:color w:val="auto"/>
        </w:rPr>
      </w:pPr>
      <w:r>
        <w:rPr>
          <w:rFonts w:ascii="Arial" w:cs="Arial" w:eastAsia="Arial" w:hAnsi="Arial"/>
          <w:sz w:val="17"/>
          <w:szCs w:val="17"/>
          <w:color w:val="auto"/>
        </w:rPr>
        <w:t>19.0% from fiscal year 2015 to fiscal year 2017. Our Adjusted Net Income for these same periods was $26 million, $33 million and $33 million, respectively, representing a CAGR of approximately 13.1% from fiscal year 2015 to fiscal year 2017. For definitions of Adjusted EBITDA and Adjusted Net Income and a reconciliation of Adjusted EBITDA and Adjusted Net Income to net income, see “―Summary Historical Consolidated Financial and Other Data.”</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100" w:right="180" w:firstLine="360"/>
        <w:spacing w:after="0" w:line="259" w:lineRule="auto"/>
        <w:rPr>
          <w:sz w:val="20"/>
          <w:szCs w:val="20"/>
          <w:color w:val="auto"/>
        </w:rPr>
      </w:pPr>
      <w:r>
        <w:rPr>
          <w:rFonts w:ascii="Arial" w:cs="Arial" w:eastAsia="Arial" w:hAnsi="Arial"/>
          <w:sz w:val="18"/>
          <w:szCs w:val="18"/>
          <w:color w:val="auto"/>
        </w:rPr>
        <w:t>The U.S. optical retail industry, defined by Vision Monday to include optical retailers’ revenues from the sales of products (including managed vision care benefit revenues and omni-channel and e-commerce sales) and eye care services provided by vision care professionals, including eye exams, is a $35 billion industry that has exhibited consistent, stable growth across economic cycles. According to Vision Monday, over the period from</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336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92825" cy="7336155"/>
                    </a:xfrm>
                    <a:prstGeom prst="rect">
                      <a:avLst/>
                    </a:prstGeom>
                    <a:noFill/>
                  </pic:spPr>
                </pic:pic>
              </a:graphicData>
            </a:graphic>
          </wp:anchor>
        </w:drawing>
      </w:r>
    </w:p>
    <w:p>
      <w:pPr>
        <w:spacing w:after="0" w:line="138" w:lineRule="exact"/>
        <w:rPr>
          <w:sz w:val="20"/>
          <w:szCs w:val="20"/>
          <w:color w:val="auto"/>
        </w:rPr>
      </w:pPr>
    </w:p>
    <w:p>
      <w:pPr>
        <w:ind w:left="100" w:right="20"/>
        <w:spacing w:after="0" w:line="255" w:lineRule="auto"/>
        <w:rPr>
          <w:sz w:val="20"/>
          <w:szCs w:val="20"/>
          <w:color w:val="auto"/>
        </w:rPr>
      </w:pPr>
      <w:r>
        <w:rPr>
          <w:rFonts w:ascii="Arial" w:cs="Arial" w:eastAsia="Arial" w:hAnsi="Arial"/>
          <w:sz w:val="18"/>
          <w:szCs w:val="18"/>
          <w:color w:val="auto"/>
        </w:rPr>
        <w:t>2007 to 2016, the industry grew from $26 billion to $35 billion in annual sales, representing a CAGR of 3.4%. The industry experienced only a modest decline of approximately 3.8% during the 2008 to 2009 recession and rebounded with robust post-recession sales growth of 4.6% CAGR from 2009 to 2016, according to Vision Monday. We believe the ability to see well is a necessity, not a discretionary decision. The steady growth of the industry and its resilience to economic cycles is due in large part to the medical, non-discretionary and recurring nature of eye care purchases. In short, eyesight continues to decline with age, regardless of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there are four key secular growth trends that will continue to contribute to the stability and growth of the</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U.S. optical retail industry:</w:t>
      </w:r>
    </w:p>
    <w:p>
      <w:pPr>
        <w:spacing w:after="0" w:line="103" w:lineRule="exact"/>
        <w:rPr>
          <w:sz w:val="20"/>
          <w:szCs w:val="20"/>
          <w:color w:val="auto"/>
        </w:rPr>
      </w:pPr>
    </w:p>
    <w:p>
      <w:pPr>
        <w:ind w:left="800" w:hanging="342"/>
        <w:spacing w:after="0" w:line="253"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Aging Population. </w:t>
      </w:r>
      <w:r>
        <w:rPr>
          <w:rFonts w:ascii="Arial" w:cs="Arial" w:eastAsia="Arial" w:hAnsi="Arial"/>
          <w:sz w:val="18"/>
          <w:szCs w:val="18"/>
          <w:color w:val="auto"/>
        </w:rPr>
        <w:t>According to The Vision Council, approximately 76% of adults in the United States used some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vision correction as of September 2016. At age 45, the need for vision correction begins to increase significantly, with approximately 86% of adults in the United States between the ages of 45 and 54 and approximately 92% of adults in the United States aged 55 and older using vision correction, according to The Vision Council. As the U.S. population ages and life expectancy increases, the pool of potential customers and opportunities for repeat purchases in the optical retail industry are anticipated to rise. In 2014, the U.S. Census Bureau estimated that approximately 42% of the U.S. population would be 45 years old or older by 2020 (the 0.9% increase from 2015 population projections implies an additional 8.4 million adults will enter this 45-plus demographic by 2020). Given that eyesight deteriorates progressively with age, aging of the U.S. population should result in incremental sales of eyewear and related accessories.</w:t>
      </w:r>
    </w:p>
    <w:p>
      <w:pPr>
        <w:spacing w:after="0" w:line="86" w:lineRule="exact"/>
        <w:rPr>
          <w:rFonts w:ascii="Arial" w:cs="Arial" w:eastAsia="Arial" w:hAnsi="Arial"/>
          <w:sz w:val="18"/>
          <w:szCs w:val="18"/>
          <w:color w:val="auto"/>
        </w:rPr>
      </w:pPr>
    </w:p>
    <w:p>
      <w:pPr>
        <w:ind w:left="800" w:right="20" w:hanging="342"/>
        <w:spacing w:after="0" w:line="271"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Frequent Replacement Cycle. </w:t>
      </w:r>
      <w:r>
        <w:rPr>
          <w:rFonts w:ascii="Arial" w:cs="Arial" w:eastAsia="Arial" w:hAnsi="Arial"/>
          <w:sz w:val="17"/>
          <w:szCs w:val="17"/>
          <w:color w:val="auto"/>
        </w:rPr>
        <w:t>The repetitive and predictable nature of customer behavior results in a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volume of recurring revenue for the 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an estimated 189 million people in the United States using vision correction devices in 2015 received nearly 114 million eye exams that year, implying an average interval between exams of 20 months. The interval between exams contributes to the industry’s stability and shortening this interval represents an opportunity to increase the frequency of customer purchases.</w:t>
      </w:r>
    </w:p>
    <w:p>
      <w:pPr>
        <w:spacing w:after="0" w:line="70" w:lineRule="exact"/>
        <w:rPr>
          <w:rFonts w:ascii="Arial" w:cs="Arial" w:eastAsia="Arial" w:hAnsi="Arial"/>
          <w:sz w:val="17"/>
          <w:szCs w:val="17"/>
          <w:color w:val="auto"/>
        </w:rPr>
      </w:pPr>
    </w:p>
    <w:p>
      <w:pPr>
        <w:ind w:left="800" w:right="220" w:hanging="342"/>
        <w:spacing w:after="0" w:line="297"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Usage of Computer and Mobile Screens. </w:t>
      </w:r>
      <w:r>
        <w:rPr>
          <w:rFonts w:ascii="Arial" w:cs="Arial" w:eastAsia="Arial" w:hAnsi="Arial"/>
          <w:sz w:val="16"/>
          <w:szCs w:val="16"/>
          <w:color w:val="auto"/>
        </w:rPr>
        <w:t>Due to the proliferation of smartphones, laptops and tablets,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population has experienced a dramatic increase in the amount of time spent viewing electronic screens.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w:t>
      </w:r>
    </w:p>
    <w:p>
      <w:pPr>
        <w:spacing w:after="0" w:line="50" w:lineRule="exact"/>
        <w:rPr>
          <w:rFonts w:ascii="Arial" w:cs="Arial" w:eastAsia="Arial" w:hAnsi="Arial"/>
          <w:sz w:val="16"/>
          <w:szCs w:val="16"/>
          <w:color w:val="auto"/>
        </w:rPr>
      </w:pPr>
    </w:p>
    <w:p>
      <w:pPr>
        <w:ind w:left="800" w:right="40" w:hanging="342"/>
        <w:spacing w:after="0" w:line="26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Growing Focus on Health and Wellness. </w:t>
      </w:r>
      <w:r>
        <w:rPr>
          <w:rFonts w:ascii="Arial" w:cs="Arial" w:eastAsia="Arial" w:hAnsi="Arial"/>
          <w:sz w:val="18"/>
          <w:szCs w:val="18"/>
          <w:color w:val="auto"/>
        </w:rPr>
        <w:t>The optical retail industry is poised to benefit from expansive trends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underlying an increasing societal focus on health and wellness. Consumers want personalized solutions that allow them to make informed decisions about their health. Additionally,</w:t>
      </w: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209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92825" cy="5209540"/>
                    </a:xfrm>
                    <a:prstGeom prst="rect">
                      <a:avLst/>
                    </a:prstGeom>
                    <a:noFill/>
                  </pic:spPr>
                </pic:pic>
              </a:graphicData>
            </a:graphic>
          </wp:anchor>
        </w:drawing>
      </w:r>
    </w:p>
    <w:p>
      <w:pPr>
        <w:spacing w:after="0" w:line="138" w:lineRule="exact"/>
        <w:rPr>
          <w:sz w:val="20"/>
          <w:szCs w:val="20"/>
          <w:color w:val="auto"/>
        </w:rPr>
      </w:pPr>
    </w:p>
    <w:p>
      <w:pPr>
        <w:ind w:left="820" w:right="40"/>
        <w:spacing w:after="0" w:line="291" w:lineRule="auto"/>
        <w:rPr>
          <w:sz w:val="20"/>
          <w:szCs w:val="20"/>
          <w:color w:val="auto"/>
        </w:rPr>
      </w:pPr>
      <w:r>
        <w:rPr>
          <w:rFonts w:ascii="Arial" w:cs="Arial" w:eastAsia="Arial" w:hAnsi="Arial"/>
          <w:sz w:val="16"/>
          <w:szCs w:val="16"/>
          <w:color w:val="auto"/>
        </w:rPr>
        <w:t>rising healthcare costs are driving a growing emphasis on preventative healthcare. Eye exams can detect a host of physical ailments, such as hypertension or diabetes, and are one of the most inexpensive and effective forms of detection for many of these conditions. As consumers continue to develop greater awareness of health and wellness issues, there is an opportunity for retailers that are able to offer personalized, inexpensive, health-oriented products and services that can increase quality 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Value Chains Gaining Market Share in Optical Retail Industry</w:t>
      </w:r>
    </w:p>
    <w:p>
      <w:pPr>
        <w:spacing w:after="0" w:line="121" w:lineRule="exact"/>
        <w:rPr>
          <w:sz w:val="20"/>
          <w:szCs w:val="20"/>
          <w:color w:val="auto"/>
        </w:rPr>
      </w:pPr>
    </w:p>
    <w:p>
      <w:pPr>
        <w:ind w:left="100" w:firstLine="360"/>
        <w:spacing w:after="0" w:line="290" w:lineRule="auto"/>
        <w:rPr>
          <w:sz w:val="20"/>
          <w:szCs w:val="20"/>
          <w:color w:val="auto"/>
        </w:rPr>
      </w:pPr>
      <w:r>
        <w:rPr>
          <w:rFonts w:ascii="Arial" w:cs="Arial" w:eastAsia="Arial" w:hAnsi="Arial"/>
          <w:sz w:val="16"/>
          <w:szCs w:val="16"/>
          <w:color w:val="auto"/>
        </w:rPr>
        <w:t>Providing consumers with quality vision care and products involves multiple steps and several parties. In the process of purchasing vision care products a consumer will interact directly with eye care practitioners who prescribe (and may also dispense) products. Consumers may likewise interact with optical retail outlets, which dispense products and may offer on-site optometry services to increase customers’ convenience. Retailers also assist consumers in selecting and fitting vision care products, and directly or through third parties, manufacture and finish vision care products and their components. As part of the purchase, the consumer and retailer may interact with an insurance company or managed vision care provider. Further, vision care and optical retail require compliance with numerous regulations, which often vary by state. The industry experience and knowledge to initiate and maintain relationships across all of these parties is crucial to the success of optical retailers.</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Several key factors drive the changing dynamics across the optical retail market:</w:t>
      </w:r>
    </w:p>
    <w:p>
      <w:pPr>
        <w:spacing w:after="0" w:line="117" w:lineRule="exact"/>
        <w:rPr>
          <w:sz w:val="20"/>
          <w:szCs w:val="20"/>
          <w:color w:val="auto"/>
        </w:rPr>
      </w:pPr>
    </w:p>
    <w:p>
      <w:pPr>
        <w:ind w:left="800" w:right="60" w:hanging="342"/>
        <w:spacing w:after="0" w:line="293"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Optical Retail Chains Gaining Market Share From Independents. </w:t>
      </w:r>
      <w:r>
        <w:rPr>
          <w:rFonts w:ascii="Arial" w:cs="Arial" w:eastAsia="Arial" w:hAnsi="Arial"/>
          <w:sz w:val="16"/>
          <w:szCs w:val="16"/>
          <w:color w:val="auto"/>
        </w:rPr>
        <w:t>As a result of customers’ desire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convenience of a one-stop shop with broad product selection, strong customer service and competitive prices, larger optical retailers have gained market share from independent practitioners over the past approximately 20 years, with total market share of the ten largest optical retailers in the United States increasing from 18% in 1992 to 32% in 2016 according to 20/20 Magazine and Vision Monday. Despite this growth, the top ten optical retailers still have a relatively small share of the overall market and the largest optical retailers are well-positioned to continue increasing their share.</w:t>
      </w:r>
    </w:p>
    <w:p>
      <w:pPr>
        <w:spacing w:after="0" w:line="56" w:lineRule="exact"/>
        <w:rPr>
          <w:rFonts w:ascii="Arial" w:cs="Arial" w:eastAsia="Arial" w:hAnsi="Arial"/>
          <w:sz w:val="16"/>
          <w:szCs w:val="16"/>
          <w:color w:val="auto"/>
        </w:rPr>
      </w:pPr>
    </w:p>
    <w:p>
      <w:pPr>
        <w:ind w:left="800" w:right="220" w:hanging="342"/>
        <w:spacing w:after="0" w:line="25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Value Chains Are Growing Faster Than Industry. </w:t>
      </w:r>
      <w:r>
        <w:rPr>
          <w:rFonts w:ascii="Arial" w:cs="Arial" w:eastAsia="Arial" w:hAnsi="Arial"/>
          <w:sz w:val="18"/>
          <w:szCs w:val="18"/>
          <w:color w:val="auto"/>
        </w:rPr>
        <w:t>According to Vision Monday estimates, from 2007 to 2016,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segment of the U.S. optical retail industry grew at a CAGR of 6.6%, nearly twice the rate of the broader optical retail industry. Increased consumer cost consciousness has shifted market share toward value optical retail chains and mass merchants that serve the value segment. To the extent this trend continues, the value segment is expected to continue to outpace overall industry growth.</w:t>
      </w:r>
    </w:p>
    <w:p>
      <w:pPr>
        <w:spacing w:after="0" w:line="80" w:lineRule="exact"/>
        <w:rPr>
          <w:rFonts w:ascii="Arial" w:cs="Arial" w:eastAsia="Arial" w:hAnsi="Arial"/>
          <w:sz w:val="18"/>
          <w:szCs w:val="18"/>
          <w:color w:val="auto"/>
        </w:rPr>
      </w:pPr>
    </w:p>
    <w:p>
      <w:pPr>
        <w:ind w:left="800" w:right="40" w:hanging="342"/>
        <w:spacing w:after="0" w:line="25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E-commerce. </w:t>
      </w:r>
      <w:r>
        <w:rPr>
          <w:rFonts w:ascii="Arial" w:cs="Arial" w:eastAsia="Arial" w:hAnsi="Arial"/>
          <w:sz w:val="18"/>
          <w:szCs w:val="18"/>
          <w:color w:val="auto"/>
        </w:rPr>
        <w:t>The optical retail industry is underpenetrated in the e-commerce channel relative to other categories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retail. This is due to inherent penetration barriers that make optical retail better suited for omni-channel offerings rather than pure e-commerce. Although contact lenses lend themselves more to online purchases than do eyeglasses, users still generally need to visit an eye care practitioner or a store to update their prescription. Such visits are an opportunity to sell an annual supply of contact lenses to the customer.</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370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92825" cy="7370445"/>
                    </a:xfrm>
                    <a:prstGeom prst="rect">
                      <a:avLst/>
                    </a:prstGeom>
                    <a:noFill/>
                  </pic:spPr>
                </pic:pic>
              </a:graphicData>
            </a:graphic>
          </wp:anchor>
        </w:drawing>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Competitive Advantages</w:t>
      </w:r>
    </w:p>
    <w:p>
      <w:pPr>
        <w:spacing w:after="0" w:line="121" w:lineRule="exact"/>
        <w:rPr>
          <w:sz w:val="20"/>
          <w:szCs w:val="20"/>
          <w:color w:val="auto"/>
        </w:rPr>
      </w:pPr>
    </w:p>
    <w:p>
      <w:pPr>
        <w:ind w:left="100" w:right="140" w:firstLine="360"/>
        <w:spacing w:after="0" w:line="264" w:lineRule="auto"/>
        <w:rPr>
          <w:sz w:val="20"/>
          <w:szCs w:val="20"/>
          <w:color w:val="auto"/>
        </w:rPr>
      </w:pPr>
      <w:r>
        <w:rPr>
          <w:rFonts w:ascii="Arial" w:cs="Arial" w:eastAsia="Arial" w:hAnsi="Arial"/>
          <w:sz w:val="18"/>
          <w:szCs w:val="18"/>
          <w:color w:val="auto"/>
        </w:rPr>
        <w:t>Our history of profitable growth is founded on a commitment to a relatively simple business model: providing exceptional value and convenience to customers, enabled by our low-cost operating platform. This business model has multiple areas of competitive advantage:</w:t>
      </w:r>
    </w:p>
    <w:p>
      <w:pPr>
        <w:spacing w:after="0" w:line="73" w:lineRule="exact"/>
        <w:rPr>
          <w:sz w:val="20"/>
          <w:szCs w:val="20"/>
          <w:color w:val="auto"/>
        </w:rPr>
      </w:pPr>
    </w:p>
    <w:p>
      <w:pPr>
        <w:ind w:left="800" w:right="60" w:hanging="342"/>
        <w:spacing w:after="0" w:line="287"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Highly-differentiated and Defensible Value Proposition. </w:t>
      </w:r>
      <w:r>
        <w:rPr>
          <w:rFonts w:ascii="Arial" w:cs="Arial" w:eastAsia="Arial" w:hAnsi="Arial"/>
          <w:sz w:val="16"/>
          <w:szCs w:val="16"/>
          <w:color w:val="auto"/>
        </w:rPr>
        <w:t>Our value price positioning extends across our entire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of brands. We offer among the lowest price points in the optical retail industry and this highly-compelling customer value positioning has been a critical driver of our outsized market share gains and revenue growth. Through its arrangements with individual optometrists or professional corporations owned by eye care practitioners, America’s Best is able to offer customers two distinctive bundled eyewear pricing offers: (i) the two-pairs of eyeglasses offer for $69.95, including an eye exam, and (ii) the Eyecare Club program, which offers several years of eye exams plus a discount on products for a low price. In addition, Eyeglass World’s opening price point offer of two pairs of eyeglasses for $78.00 is among the lowest in our industry. Based on a recent study of leading optical retailers and based on these bundled offers, we believe that America’s Best and Eyeglass World’s opening price points for eyeglasses and an eye exam are 74% and 37% lower on a per-pair basis than the next lowest retailer surveyed and 82% and 56% lower than the average of independent retailers surveyed, respectively, each as indicated in the chart below:</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Price for Exam + Single Pair of Glasses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20" w:right="360"/>
        <w:spacing w:after="0" w:line="273" w:lineRule="auto"/>
        <w:rPr>
          <w:sz w:val="20"/>
          <w:szCs w:val="20"/>
          <w:color w:val="auto"/>
        </w:rPr>
      </w:pPr>
      <w:r>
        <w:rPr>
          <w:rFonts w:ascii="Arial" w:cs="Arial" w:eastAsia="Arial" w:hAnsi="Arial"/>
          <w:sz w:val="14"/>
          <w:szCs w:val="14"/>
          <w:color w:val="auto"/>
        </w:rPr>
        <w:t>Note: One-pair price for “two-pair shops” calculated by dividing “two-pair price” by two and adding back exam price. For retailers who do not provide eye exams, the average exam price of the other retailers shown has been used.</w:t>
      </w:r>
    </w:p>
    <w:p>
      <w:pPr>
        <w:spacing w:after="0" w:line="1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Source: Haynes and Company Research Study (2016); KKR Capstone analysis.</w:t>
      </w:r>
    </w:p>
    <w:p>
      <w:pPr>
        <w:spacing w:after="0" w:line="100"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We are also committed to providing our customers with high levels of in-store customer service and a convenient and compelling shopping experience. On-site optometrists enable a convenient one-stop shop for the clinically-assisted sale of eye exams and eyewear and attract customers. We believe that the comprehensive proposition of our value pricing, the breadth and quality of our product mix and high levels of customer service drive repeat visits and customer loyalty, engagement and ambassadorship.</w:t>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9" w:right="129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993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92825" cy="6993255"/>
                    </a:xfrm>
                    <a:prstGeom prst="rect">
                      <a:avLst/>
                    </a:prstGeom>
                    <a:noFill/>
                  </pic:spPr>
                </pic:pic>
              </a:graphicData>
            </a:graphic>
          </wp:anchor>
        </w:drawing>
      </w:r>
    </w:p>
    <w:p>
      <w:pPr>
        <w:spacing w:after="0" w:line="246" w:lineRule="exact"/>
        <w:rPr>
          <w:sz w:val="20"/>
          <w:szCs w:val="20"/>
          <w:color w:val="auto"/>
        </w:rPr>
      </w:pPr>
    </w:p>
    <w:p>
      <w:pPr>
        <w:ind w:left="820"/>
        <w:spacing w:after="0" w:line="272" w:lineRule="auto"/>
        <w:rPr>
          <w:sz w:val="20"/>
          <w:szCs w:val="20"/>
          <w:color w:val="auto"/>
        </w:rPr>
      </w:pPr>
      <w:r>
        <w:rPr>
          <w:rFonts w:ascii="Arial" w:cs="Arial" w:eastAsia="Arial" w:hAnsi="Arial"/>
          <w:sz w:val="17"/>
          <w:szCs w:val="17"/>
          <w:color w:val="auto"/>
        </w:rPr>
        <w:t>Our optical retail offerings are also more defensible to potential e-commerce pressure relative to other categories of retail. This is due to inherent penetration barriers that make optical retail better suited for omni-channel offerings rather than pure e-commerce. Eye exams typically involve in-person visits to eye care practitioners or stores and customers generally want to try eyeglasses on before purchasing as slight changes in style, size and color can make a meaningful difference to the functionality and visual appeal of the eyeglass frame. Lastly, the service and sales consultations provided by our on-site vision care professionals and in-store associates are a key part of the vision correction product purchase process, which cannot be replicated online.</w:t>
      </w:r>
    </w:p>
    <w:p>
      <w:pPr>
        <w:spacing w:after="0" w:line="70" w:lineRule="exact"/>
        <w:rPr>
          <w:sz w:val="20"/>
          <w:szCs w:val="20"/>
          <w:color w:val="auto"/>
        </w:rPr>
      </w:pPr>
    </w:p>
    <w:p>
      <w:pPr>
        <w:ind w:left="800" w:right="80" w:hanging="342"/>
        <w:spacing w:after="0" w:line="254"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Leading Low-cost Operating Model. </w:t>
      </w:r>
      <w:r>
        <w:rPr>
          <w:rFonts w:ascii="Arial" w:cs="Arial" w:eastAsia="Arial" w:hAnsi="Arial"/>
          <w:sz w:val="18"/>
          <w:szCs w:val="18"/>
          <w:color w:val="auto"/>
        </w:rPr>
        <w:t>Our low-cost structure allows us to maintain our low prices to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generating attractive margins. This low-cost structure is a result of our highly-efficient laboratory network and manufacturing capabilities. Orders are routed via a centralized proprietary system to the appropriate processing laboratory, minimizing cost and delivery time. Through a combination of volume increases, continuous operating efficiency improvements and implementation of technological enhancements across our laboratory network, we have increased the number of orders processed through our laboratory network and reduced the cost per job. This has allowed us to maintain our introductory offer of two-pairs of eyeglasses and an eye exam for $69.95 at America’s Best for over ten years.</w:t>
      </w:r>
    </w:p>
    <w:p>
      <w:pPr>
        <w:spacing w:after="0" w:line="84" w:lineRule="exact"/>
        <w:rPr>
          <w:rFonts w:ascii="Arial" w:cs="Arial" w:eastAsia="Arial" w:hAnsi="Arial"/>
          <w:sz w:val="18"/>
          <w:szCs w:val="18"/>
          <w:color w:val="auto"/>
        </w:rPr>
      </w:pPr>
    </w:p>
    <w:p>
      <w:pPr>
        <w:jc w:val="both"/>
        <w:ind w:left="820" w:right="40"/>
        <w:spacing w:after="0" w:line="286" w:lineRule="auto"/>
        <w:rPr>
          <w:rFonts w:ascii="Arial" w:cs="Arial" w:eastAsia="Arial" w:hAnsi="Arial"/>
          <w:sz w:val="18"/>
          <w:szCs w:val="18"/>
          <w:color w:val="auto"/>
        </w:rPr>
      </w:pPr>
      <w:r>
        <w:rPr>
          <w:rFonts w:ascii="Arial" w:cs="Arial" w:eastAsia="Arial" w:hAnsi="Arial"/>
          <w:sz w:val="17"/>
          <w:szCs w:val="17"/>
          <w:color w:val="auto"/>
        </w:rPr>
        <w:t>Our scale and business model allow us to benefit from procurement and real estate cost structure advantages as well as efficiencies in advertising spend and corporate management. As a result of these factors, we are able to drive attractive profitable growth, while maintaining industry-low prices for our customers.</w:t>
      </w:r>
    </w:p>
    <w:p>
      <w:pPr>
        <w:spacing w:after="0" w:line="57" w:lineRule="exact"/>
        <w:rPr>
          <w:rFonts w:ascii="Arial" w:cs="Arial" w:eastAsia="Arial" w:hAnsi="Arial"/>
          <w:sz w:val="18"/>
          <w:szCs w:val="18"/>
          <w:color w:val="auto"/>
        </w:rPr>
      </w:pPr>
    </w:p>
    <w:p>
      <w:pPr>
        <w:ind w:left="800" w:right="60" w:hanging="342"/>
        <w:spacing w:after="0" w:line="270" w:lineRule="auto"/>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Best-in-class Management Team with Deep Optical Experience. </w:t>
      </w:r>
      <w:r>
        <w:rPr>
          <w:rFonts w:ascii="Arial" w:cs="Arial" w:eastAsia="Arial" w:hAnsi="Arial"/>
          <w:sz w:val="17"/>
          <w:szCs w:val="17"/>
          <w:color w:val="auto"/>
        </w:rPr>
        <w:t>Our company is led by a highly-accomplished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proven management team with deep expertise. The current team is one of the longest-tenured in the optical retail industry, averaging 21 years of optical or similar retail experience. Importantly, many of our management team members have come from the optical industry, providing great insight. Our management team has also been a cohesive unit, with an average of 13 years at National Vision and low senior management turnover. Collectively, this team has a wide range of experience across optical merchandising, store openings, customer engagement, operations, omni-channel platform and technology. Combining this operational expertise with a finely-tuned formulaic playbook, management has achieved an impressive long-term track record of significant industry outperformance and generated positive comparable store sales growth in every quarter since 2002, when this management team took over, including during periods of economic contraction.</w:t>
      </w:r>
    </w:p>
    <w:p>
      <w:pPr>
        <w:spacing w:after="0" w:line="69" w:lineRule="exact"/>
        <w:rPr>
          <w:rFonts w:ascii="Arial" w:cs="Arial" w:eastAsia="Arial" w:hAnsi="Arial"/>
          <w:sz w:val="17"/>
          <w:szCs w:val="17"/>
          <w:color w:val="auto"/>
        </w:rPr>
      </w:pPr>
    </w:p>
    <w:p>
      <w:pPr>
        <w:ind w:left="800" w:right="20" w:hanging="342"/>
        <w:spacing w:after="0" w:line="270" w:lineRule="auto"/>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Diverse Portfolio of Attractive Brands. </w:t>
      </w:r>
      <w:r>
        <w:rPr>
          <w:rFonts w:ascii="Arial" w:cs="Arial" w:eastAsia="Arial" w:hAnsi="Arial"/>
          <w:sz w:val="17"/>
          <w:szCs w:val="17"/>
          <w:color w:val="auto"/>
        </w:rPr>
        <w:t>We have a differentiated collection of five complementary brands, four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are supported by either our omni-channel or e-commerce platform, that all target the fast-growing value segment within the U.S. optical retail industry. America’s Best and Eyeglass World, our owned brands, have been the primary source of our store growth. Our partner brands (Vision Centers in Walmart and Vista Optical in Fred Meyer stores and on U.S. military bases) are based in well-known, high-traffic environments, exhibit low capital intensity and generate reliable cash flow. Our omni-channel and e-commerce platforms allow us to capture digital sales, deliver several customer convenience capabilities and serve as an educational resource for our customers. In the aggregate, we believe that this diverse combination of brands exhibits a strong economic profile that combines robust growth potential with significant free cash flow generation.</w:t>
      </w:r>
    </w:p>
    <w:p>
      <w:pPr>
        <w:spacing w:after="0" w:line="73" w:lineRule="exact"/>
        <w:rPr>
          <w:rFonts w:ascii="Arial" w:cs="Arial" w:eastAsia="Arial" w:hAnsi="Arial"/>
          <w:sz w:val="17"/>
          <w:szCs w:val="17"/>
          <w:color w:val="auto"/>
        </w:rPr>
      </w:pPr>
    </w:p>
    <w:p>
      <w:pPr>
        <w:ind w:left="800" w:hanging="342"/>
        <w:spacing w:after="0" w:line="272" w:lineRule="auto"/>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Proven Real Estate Site Selection Process. </w:t>
      </w:r>
      <w:r>
        <w:rPr>
          <w:rFonts w:ascii="Arial" w:cs="Arial" w:eastAsia="Arial" w:hAnsi="Arial"/>
          <w:sz w:val="17"/>
          <w:szCs w:val="17"/>
          <w:color w:val="auto"/>
        </w:rPr>
        <w:t>We locate our owned stores in highly-desirable retail developments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surrounded by dense concentrations of our target customers, resulting in strong performance across our store base. We have rarely closed or relocated a store due to underperformance, and our five-year rolling average new store success rate—defined as the percentage of stores opened in the last five years that are still open—was 99% as of December 30, 2017. We have long-standing relationships with many leading commercial real estate firms and believe that we are a preferred tenant given our brands and the high volume of customers that visit our stores. As a result, we believe we will continue to have access to desirable retail sites.</w:t>
      </w:r>
    </w:p>
    <w:p>
      <w:pPr>
        <w:spacing w:after="0" w:line="69" w:lineRule="exact"/>
        <w:rPr>
          <w:rFonts w:ascii="Arial" w:cs="Arial" w:eastAsia="Arial" w:hAnsi="Arial"/>
          <w:sz w:val="17"/>
          <w:szCs w:val="17"/>
          <w:color w:val="auto"/>
        </w:rPr>
      </w:pPr>
    </w:p>
    <w:p>
      <w:pPr>
        <w:ind w:left="800" w:right="680" w:hanging="342"/>
        <w:spacing w:after="0" w:line="308" w:lineRule="auto"/>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Partnerships with Retail Partners and Vendors. </w:t>
      </w:r>
      <w:r>
        <w:rPr>
          <w:rFonts w:ascii="Arial" w:cs="Arial" w:eastAsia="Arial" w:hAnsi="Arial"/>
          <w:sz w:val="17"/>
          <w:szCs w:val="17"/>
          <w:color w:val="auto"/>
        </w:rPr>
        <w:t>We have developed extensive and long-term strategic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relationships with our frame and lens suppliers, our host and legacy partners and managed</w:t>
      </w: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9" w:right="129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650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92825" cy="6650355"/>
                    </a:xfrm>
                    <a:prstGeom prst="rect">
                      <a:avLst/>
                    </a:prstGeom>
                    <a:noFill/>
                  </pic:spPr>
                </pic:pic>
              </a:graphicData>
            </a:graphic>
          </wp:anchor>
        </w:drawing>
      </w:r>
    </w:p>
    <w:p>
      <w:pPr>
        <w:spacing w:after="0" w:line="138" w:lineRule="exact"/>
        <w:rPr>
          <w:sz w:val="20"/>
          <w:szCs w:val="20"/>
          <w:color w:val="auto"/>
        </w:rPr>
      </w:pPr>
    </w:p>
    <w:p>
      <w:pPr>
        <w:ind w:left="820" w:right="20"/>
        <w:spacing w:after="0" w:line="288" w:lineRule="auto"/>
        <w:rPr>
          <w:sz w:val="20"/>
          <w:szCs w:val="20"/>
          <w:color w:val="auto"/>
        </w:rPr>
      </w:pPr>
      <w:r>
        <w:rPr>
          <w:rFonts w:ascii="Arial" w:cs="Arial" w:eastAsia="Arial" w:hAnsi="Arial"/>
          <w:sz w:val="16"/>
          <w:szCs w:val="16"/>
          <w:color w:val="auto"/>
        </w:rPr>
        <w:t>vision care companies. Our highly-experienced procurement team leverages long-standing relationships with our vendors to source all of our products. Our strong vendor relationships and scale allow us to maintain broad, on-trend assortments, competitive pricing and favorable payment terms. We have maintained and broadened relationships with our host and legacy partners over several decades. For example, in 2012, we expanded our relationship with Walmart to manage walmartcontacts.com and samsclubcontacts.com and to undertake the back-end logistics and fulfilment services for Walmart’s “ship-to-home” contact lens sales and for virtually all of Sam’s Club contact lens orders. We have also developed strong relationships with managed vision care companies through our network of stores, efficient billing and focus on value. We continually seek to partner with additional managed vision care payors and to increase participation in our partners’ networks. We believe that our above-market growth is also an attractive growth driver for our business partners and positions us as a preferred retailer for key vendors and industry partners.</w:t>
      </w:r>
    </w:p>
    <w:p>
      <w:pPr>
        <w:spacing w:after="0" w:line="61" w:lineRule="exact"/>
        <w:rPr>
          <w:sz w:val="20"/>
          <w:szCs w:val="20"/>
          <w:color w:val="auto"/>
        </w:rPr>
      </w:pPr>
    </w:p>
    <w:p>
      <w:pPr>
        <w:ind w:left="800" w:right="20" w:hanging="342"/>
        <w:spacing w:after="0" w:line="255"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Experience with the Regulatory Complexity of the Optical Industry. </w:t>
      </w:r>
      <w:r>
        <w:rPr>
          <w:rFonts w:ascii="Arial" w:cs="Arial" w:eastAsia="Arial" w:hAnsi="Arial"/>
          <w:sz w:val="18"/>
          <w:szCs w:val="18"/>
          <w:color w:val="auto"/>
        </w:rPr>
        <w:t>There are extensive and diverse sets of 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regulations governing the provision of vision care. As a result, regulatory compliance for optical retailers in the United States is complicated and time-consuming, involving many regulatory bodies and licensing agencies at both the federal and state levels. We believe that our deep knowledge of the optical regulatory framework and our significant compliance experience provide us with an important competitive advantage. We also believe that these compliance and licensure requirements, and related costs, serve as a significant hurdle for potential new entrants into the optical retail industry.</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100" w:right="280" w:firstLine="360"/>
        <w:spacing w:after="0" w:line="277" w:lineRule="auto"/>
        <w:rPr>
          <w:sz w:val="20"/>
          <w:szCs w:val="20"/>
          <w:color w:val="auto"/>
        </w:rPr>
      </w:pPr>
      <w:r>
        <w:rPr>
          <w:rFonts w:ascii="Arial" w:cs="Arial" w:eastAsia="Arial" w:hAnsi="Arial"/>
          <w:sz w:val="18"/>
          <w:szCs w:val="18"/>
          <w:color w:val="auto"/>
        </w:rPr>
        <w:t>We believe that we have the right strategy and execution capabilities to capitalize on the substantial growth opportunities afforded by our business model. We intend to further drive growth from five distinct sources:</w:t>
      </w:r>
    </w:p>
    <w:p>
      <w:pPr>
        <w:spacing w:after="0" w:line="62" w:lineRule="exact"/>
        <w:rPr>
          <w:sz w:val="20"/>
          <w:szCs w:val="20"/>
          <w:color w:val="auto"/>
        </w:rPr>
      </w:pPr>
    </w:p>
    <w:p>
      <w:pPr>
        <w:ind w:left="800" w:hanging="342"/>
        <w:spacing w:after="0" w:line="286"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 Our Store Base. </w:t>
      </w:r>
      <w:r>
        <w:rPr>
          <w:rFonts w:ascii="Arial" w:cs="Arial" w:eastAsia="Arial" w:hAnsi="Arial"/>
          <w:sz w:val="16"/>
          <w:szCs w:val="16"/>
          <w:color w:val="auto"/>
        </w:rPr>
        <w:t>We believe that our expansion opportunities in the United States are significant.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adopted a disciplined expansion strategy designed to leverage the strengths of our compelling and distinct value proposition and recognized America’s Best and Eyeglass World brand names to develop new stores successfully in an array of markets that are primed for growth, including new, existing, small and large markets. In the aggregate, we have opened 498 stores on a net basis (opened 566 new stores and closed 68 stores) since 2006 and, in the past three years, we have increased our new store growth to approximately 75 new stores per annum. We have an established partnership with a third party real estate firm to evaluate potential new America’s Best and Eyeglass World stores and our analysis suggests that we can grow America’s Best to at least 1,000 stores and Eyeglass World to at least 850 stores, inclusive of those already open. We believe that these two brands can accordingly grow from approximately 700 stores as of December 30, 2017 to a total of at least 1,850 stores, with similar economics to the existing store base. In the near term, our primary focus will continue to be to open new America’s Best stores, most notably in California as well as Northern New Jersey and parts of the New York metro area, with a longer-term focus on expanding our Eyeglass World store footprint. We believe that our consistent track record of successfully opening stores across vintages, geographies and markets demonstrates our ability to further increase our store count and, as a result, we believe that our current level of new store growth of approximately 75 stores per annum is sustainable for the foreseeable future.</w:t>
      </w:r>
    </w:p>
    <w:p>
      <w:pPr>
        <w:spacing w:after="0" w:line="60" w:lineRule="exact"/>
        <w:rPr>
          <w:rFonts w:ascii="Arial" w:cs="Arial" w:eastAsia="Arial" w:hAnsi="Arial"/>
          <w:sz w:val="16"/>
          <w:szCs w:val="16"/>
          <w:color w:val="auto"/>
        </w:rPr>
      </w:pPr>
    </w:p>
    <w:p>
      <w:pPr>
        <w:ind w:left="800" w:right="20" w:hanging="342"/>
        <w:spacing w:after="0" w:line="289"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Comparable Store Sales Growth. </w:t>
      </w:r>
      <w:r>
        <w:rPr>
          <w:rFonts w:ascii="Arial" w:cs="Arial" w:eastAsia="Arial" w:hAnsi="Arial"/>
          <w:sz w:val="16"/>
          <w:szCs w:val="16"/>
          <w:color w:val="auto"/>
        </w:rPr>
        <w:t>We expect that our value proposition will generate profitable comparable store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growth. The vast majority of our comparable store sales growth over the past five years has been driven by increased traffic. The typical eyewear replacement cycle, which we estimate is two to three years, creates substantial opportunity for us to increase sales from our existing customer base. We continually strive to improve our in-store shopping experience and to enhance our solutions-based service approach to increase the volume of customer traffic to our stores. We also expect to increase customer traffic by improving marketing programs and omni-channel offerings, and by expanding our participation in managed vision care programs. We are currently underpenetrated in the managed vision care market relative to the broader optical retail industry. We expect that these initiatives collectively will help us to attract new customers to our stores and increase the frequency of purchases by our existing customers.</w:t>
      </w: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7189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92825" cy="6718935"/>
                    </a:xfrm>
                    <a:prstGeom prst="rect">
                      <a:avLst/>
                    </a:prstGeom>
                    <a:noFill/>
                  </pic:spPr>
                </pic:pic>
              </a:graphicData>
            </a:graphic>
          </wp:anchor>
        </w:drawing>
      </w:r>
    </w:p>
    <w:p>
      <w:pPr>
        <w:spacing w:after="0" w:line="246" w:lineRule="exact"/>
        <w:rPr>
          <w:sz w:val="20"/>
          <w:szCs w:val="20"/>
          <w:color w:val="auto"/>
        </w:rPr>
      </w:pPr>
    </w:p>
    <w:p>
      <w:pPr>
        <w:ind w:left="800" w:right="220" w:hanging="342"/>
        <w:spacing w:after="0" w:line="291"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Improve Operating Productivity. </w:t>
      </w:r>
      <w:r>
        <w:rPr>
          <w:rFonts w:ascii="Arial" w:cs="Arial" w:eastAsia="Arial" w:hAnsi="Arial"/>
          <w:sz w:val="16"/>
          <w:szCs w:val="16"/>
          <w:color w:val="auto"/>
        </w:rPr>
        <w:t>We believe that our continued growth will provide further opportunities to improve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margin over time. Growth, both in revenue and stores, will enable us to leverage corporate overhead, our centralized laboratory network and our advertising spend. We expect to benefit from our national network television advertising campaign for America’s Best, which we believe is more cost effective than local market campaigns. This national campaign has helped raise our brand awareness in both existing and new markets, allowing us to save advertising spend when entering new markets. We also believe that continued efficiencies in store operations and technological advancements in our centralized laboratory network will further enhance margins.</w:t>
      </w:r>
    </w:p>
    <w:p>
      <w:pPr>
        <w:spacing w:after="0" w:line="59" w:lineRule="exact"/>
        <w:rPr>
          <w:rFonts w:ascii="Arial" w:cs="Arial" w:eastAsia="Arial" w:hAnsi="Arial"/>
          <w:sz w:val="16"/>
          <w:szCs w:val="16"/>
          <w:color w:val="auto"/>
        </w:rPr>
      </w:pPr>
    </w:p>
    <w:p>
      <w:pPr>
        <w:ind w:left="820" w:right="20"/>
        <w:spacing w:after="0" w:line="272" w:lineRule="auto"/>
        <w:rPr>
          <w:rFonts w:ascii="Arial" w:cs="Arial" w:eastAsia="Arial" w:hAnsi="Arial"/>
          <w:sz w:val="16"/>
          <w:szCs w:val="16"/>
          <w:color w:val="auto"/>
        </w:rPr>
      </w:pPr>
      <w:r>
        <w:rPr>
          <w:rFonts w:ascii="Arial" w:cs="Arial" w:eastAsia="Arial" w:hAnsi="Arial"/>
          <w:sz w:val="17"/>
          <w:szCs w:val="17"/>
          <w:color w:val="auto"/>
        </w:rPr>
        <w:t>In the past three years, we have accelerated store openings of America’s Best and Eyeglass World to 75 stores per annum. Based on the consistency and predictability of the maturation process for our existing store base, we believe that there are significant embedded earnings in these maturing stores. For indicative purposes, assuming that each of our open but not mature America’s Best and Eyeglass World stores as of December 30, 2017 were able to attain the average fifth-year financial performance of our existing mature America’s Best and Eyeglass World stores, we would have generated an additional approximately $58 million of revenues and approximately $48 million of EBITDA for our owned &amp; host segment in fiscal year 2017.</w:t>
      </w:r>
    </w:p>
    <w:p>
      <w:pPr>
        <w:spacing w:after="0" w:line="69" w:lineRule="exact"/>
        <w:rPr>
          <w:rFonts w:ascii="Arial" w:cs="Arial" w:eastAsia="Arial" w:hAnsi="Arial"/>
          <w:sz w:val="16"/>
          <w:szCs w:val="16"/>
          <w:color w:val="auto"/>
        </w:rPr>
      </w:pPr>
    </w:p>
    <w:p>
      <w:pPr>
        <w:ind w:left="800" w:hanging="342"/>
        <w:spacing w:after="0" w:line="287"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Technology to Optimize and Expand the Business. </w:t>
      </w:r>
      <w:r>
        <w:rPr>
          <w:rFonts w:ascii="Arial" w:cs="Arial" w:eastAsia="Arial" w:hAnsi="Arial"/>
          <w:sz w:val="16"/>
          <w:szCs w:val="16"/>
          <w:color w:val="auto"/>
        </w:rPr>
        <w:t>Our experienced management team has consistently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leveraged innovative strategies to grow our business and remain at the forefront of technological development in the optical retail industry. We have invested significantly in technological improvements to position us for future growth. We plan to continue investing in software solutions that further develop our omni-channel platform and enhance our customer engagement capabilities, and we will also continue to invest in tools to improve the quality of the in-store eye exam experience. Since eye exams are a critical service element of our business, we believe that investing in technology to improve this experience will aid in retention of both customers and optometric talent. We are regularly presented with opportunities to invest in technological innovators across the optical retail industry and we have invested $8.6 million in venture-backed emerging companies since June 2014. We believe that these investments provide direct access to optical technology innovators, giving us a deeper understanding of emerging trends and developments. We are thus in a better position to evolve our products and services to meet the needs of our customers.</w:t>
      </w:r>
    </w:p>
    <w:p>
      <w:pPr>
        <w:spacing w:after="0" w:line="64" w:lineRule="exact"/>
        <w:rPr>
          <w:rFonts w:ascii="Arial" w:cs="Arial" w:eastAsia="Arial" w:hAnsi="Arial"/>
          <w:sz w:val="16"/>
          <w:szCs w:val="16"/>
          <w:color w:val="auto"/>
        </w:rPr>
      </w:pPr>
    </w:p>
    <w:p>
      <w:pPr>
        <w:ind w:left="800" w:right="200" w:hanging="342"/>
        <w:spacing w:after="0" w:line="277"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Explore Strategic Opportunities. </w:t>
      </w:r>
      <w:r>
        <w:rPr>
          <w:rFonts w:ascii="Arial" w:cs="Arial" w:eastAsia="Arial" w:hAnsi="Arial"/>
          <w:sz w:val="18"/>
          <w:szCs w:val="18"/>
          <w:color w:val="auto"/>
        </w:rPr>
        <w:t>We will selectively evaluate strategic acquisition opportunities from time to time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 of our growth strategy.</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 Related to Our Business and this Offering</w:t>
      </w:r>
    </w:p>
    <w:p>
      <w:pPr>
        <w:spacing w:after="0" w:line="121" w:lineRule="exact"/>
        <w:rPr>
          <w:sz w:val="20"/>
          <w:szCs w:val="20"/>
          <w:color w:val="auto"/>
        </w:rPr>
      </w:pPr>
    </w:p>
    <w:p>
      <w:pPr>
        <w:ind w:left="100" w:right="120" w:firstLine="360"/>
        <w:spacing w:after="0" w:line="264" w:lineRule="auto"/>
        <w:rPr>
          <w:sz w:val="20"/>
          <w:szCs w:val="20"/>
          <w:color w:val="auto"/>
        </w:rPr>
      </w:pPr>
      <w:r>
        <w:rPr>
          <w:rFonts w:ascii="Arial" w:cs="Arial" w:eastAsia="Arial" w:hAnsi="Arial"/>
          <w:sz w:val="18"/>
          <w:szCs w:val="18"/>
          <w:color w:val="auto"/>
        </w:rPr>
        <w:t>Investing in our common stock involves substantial risk, and our ability to successfully operate our business is subject to numerous risks, including those that are generally associated with operating in the optical retail industry. Below is a summary of some of the principal risks we face:</w:t>
      </w:r>
    </w:p>
    <w:p>
      <w:pPr>
        <w:spacing w:after="0" w:line="73" w:lineRule="exact"/>
        <w:rPr>
          <w:sz w:val="20"/>
          <w:szCs w:val="20"/>
          <w:color w:val="auto"/>
        </w:rPr>
      </w:pPr>
    </w:p>
    <w:p>
      <w:pPr>
        <w:ind w:left="800" w:hanging="342"/>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800" w:hanging="342"/>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800" w:right="160" w:hanging="342"/>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loss of, or disruption in the operations of, one or more of our distribution centers and/or optical laboratories;</w:t>
      </w:r>
    </w:p>
    <w:p>
      <w:pPr>
        <w:spacing w:after="0" w:line="128" w:lineRule="exact"/>
        <w:rPr>
          <w:rFonts w:ascii="Arial" w:cs="Arial" w:eastAsia="Arial" w:hAnsi="Arial"/>
          <w:sz w:val="17"/>
          <w:szCs w:val="17"/>
          <w:color w:val="auto"/>
        </w:rPr>
      </w:pPr>
    </w:p>
    <w:p>
      <w:pPr>
        <w:ind w:left="800" w:hanging="342"/>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9645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92825" cy="5964555"/>
                    </a:xfrm>
                    <a:prstGeom prst="rect">
                      <a:avLst/>
                    </a:prstGeom>
                    <a:noFill/>
                  </pic:spPr>
                </pic:pic>
              </a:graphicData>
            </a:graphic>
          </wp:anchor>
        </w:drawing>
      </w:r>
    </w:p>
    <w:p>
      <w:pPr>
        <w:spacing w:after="0" w:line="246" w:lineRule="exact"/>
        <w:rPr>
          <w:sz w:val="20"/>
          <w:szCs w:val="20"/>
          <w:color w:val="auto"/>
        </w:rPr>
      </w:pPr>
    </w:p>
    <w:p>
      <w:pPr>
        <w:ind w:left="800" w:hanging="342"/>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 and</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sz w:val="20"/>
          <w:szCs w:val="20"/>
          <w:color w:val="auto"/>
        </w:rPr>
      </w:pPr>
    </w:p>
    <w:p>
      <w:pPr>
        <w:ind w:left="100" w:right="40" w:firstLine="360"/>
        <w:spacing w:after="0" w:line="276" w:lineRule="auto"/>
        <w:rPr>
          <w:sz w:val="20"/>
          <w:szCs w:val="20"/>
          <w:color w:val="auto"/>
        </w:rPr>
      </w:pPr>
      <w:r>
        <w:rPr>
          <w:rFonts w:ascii="Arial" w:cs="Arial" w:eastAsia="Arial" w:hAnsi="Arial"/>
          <w:sz w:val="17"/>
          <w:szCs w:val="17"/>
          <w:color w:val="auto"/>
        </w:rPr>
        <w:t>Any of the factors set forth under “Risk Factors” in this prospectus and under “Risk Factors” in our Annual Report, which is incorporated herein by reference, may limit our ability to successfully execute our business strategy. You should carefully consider all of the information set forth, or incorporated by reference, in this prospectus and, in particular, should evaluate the specific factors set forth under “Risk Factors” in this prospectus and under “Risk Factors” in our Annual Report, which is incorporated herein by reference, in deciding whether to invest in our common stock.</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Corporate History and Information</w:t>
      </w:r>
    </w:p>
    <w:p>
      <w:pPr>
        <w:spacing w:after="0" w:line="121" w:lineRule="exact"/>
        <w:rPr>
          <w:sz w:val="20"/>
          <w:szCs w:val="20"/>
          <w:color w:val="auto"/>
        </w:rPr>
      </w:pPr>
    </w:p>
    <w:p>
      <w:pPr>
        <w:ind w:left="100" w:right="120" w:firstLine="360"/>
        <w:spacing w:after="0" w:line="259" w:lineRule="auto"/>
        <w:rPr>
          <w:sz w:val="20"/>
          <w:szCs w:val="20"/>
          <w:color w:val="auto"/>
        </w:rPr>
      </w:pPr>
      <w:r>
        <w:rPr>
          <w:rFonts w:ascii="Arial" w:cs="Arial" w:eastAsia="Arial" w:hAnsi="Arial"/>
          <w:sz w:val="18"/>
          <w:szCs w:val="18"/>
          <w:color w:val="auto"/>
        </w:rPr>
        <w:t>Through its predecessors, NVI commenced operations in 1990. In 2005, private equity funds managed by Berkshire acquired both NVI and Consolidated Vision Group, Inc., which operated America’s Best stores, and merged these entities, with NVI surviving. In 2009, NVI acquired the Eyeglass World store chain. In 2011, after a multi-year partnership, NVI acquired AC Lens to bolster its e-commerce platform.</w:t>
      </w:r>
    </w:p>
    <w:p>
      <w:pPr>
        <w:spacing w:after="0" w:line="79" w:lineRule="exact"/>
        <w:rPr>
          <w:sz w:val="20"/>
          <w:szCs w:val="20"/>
          <w:color w:val="auto"/>
        </w:rPr>
      </w:pPr>
    </w:p>
    <w:p>
      <w:pPr>
        <w:ind w:left="100" w:right="80" w:firstLine="360"/>
        <w:spacing w:after="0" w:line="257" w:lineRule="auto"/>
        <w:rPr>
          <w:sz w:val="20"/>
          <w:szCs w:val="20"/>
          <w:color w:val="auto"/>
        </w:rPr>
      </w:pPr>
      <w:r>
        <w:rPr>
          <w:rFonts w:ascii="Arial" w:cs="Arial" w:eastAsia="Arial" w:hAnsi="Arial"/>
          <w:sz w:val="18"/>
          <w:szCs w:val="18"/>
          <w:color w:val="auto"/>
        </w:rPr>
        <w:t>In March 2014, NVI was acquired by affiliates of KKR Sponsor. National Vision Holdings, Inc. was incorporated in Delaware on February 14, 2014 under the name “Nautilus Parent, Inc.” and NVI became our wholly-owned subsidiary in connection with the KKR Acquisition. We changed our name to “National Vision Holdings, Inc.” in June 2017. Our common stock began trading on NASDAQ under the symbol “EYE” on October 26, 2017 and we consummated our initial public offering of our common stock, or the IPO, on October 30, 2017.</w:t>
      </w:r>
    </w:p>
    <w:p>
      <w:pPr>
        <w:spacing w:after="0" w:line="80" w:lineRule="exact"/>
        <w:rPr>
          <w:sz w:val="20"/>
          <w:szCs w:val="20"/>
          <w:color w:val="auto"/>
        </w:rPr>
      </w:pPr>
    </w:p>
    <w:p>
      <w:pPr>
        <w:ind w:left="100" w:right="60" w:firstLine="360"/>
        <w:spacing w:after="0" w:line="279" w:lineRule="auto"/>
        <w:rPr>
          <w:sz w:val="20"/>
          <w:szCs w:val="20"/>
          <w:color w:val="auto"/>
        </w:rPr>
      </w:pPr>
      <w:r>
        <w:rPr>
          <w:rFonts w:ascii="Arial" w:cs="Arial" w:eastAsia="Arial" w:hAnsi="Arial"/>
          <w:sz w:val="17"/>
          <w:szCs w:val="17"/>
          <w:color w:val="auto"/>
        </w:rPr>
        <w:t xml:space="preserve">Our principal executive offices are located at 2435 Commerce Avenue, Bldg. 2200, Duluth, Georgia 30096. The telephone number of our principal executive offices is (770) 822-3600. We maintain a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contained on, or that can be accessed through, our corporate website or other company websites referenced elsewhere in this prospectus neither constitutes part of this prospectus nor is incorporated by reference herein.</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About KKR &amp; Co.</w:t>
      </w:r>
    </w:p>
    <w:p>
      <w:pPr>
        <w:spacing w:after="0" w:line="121" w:lineRule="exact"/>
        <w:rPr>
          <w:sz w:val="20"/>
          <w:szCs w:val="20"/>
          <w:color w:val="auto"/>
        </w:rPr>
      </w:pPr>
    </w:p>
    <w:p>
      <w:pPr>
        <w:ind w:left="100" w:firstLine="360"/>
        <w:spacing w:after="0" w:line="255" w:lineRule="auto"/>
        <w:rPr>
          <w:sz w:val="20"/>
          <w:szCs w:val="20"/>
          <w:color w:val="auto"/>
        </w:rPr>
      </w:pPr>
      <w:r>
        <w:rPr>
          <w:rFonts w:ascii="Arial" w:cs="Arial" w:eastAsia="Arial" w:hAnsi="Arial"/>
          <w:sz w:val="18"/>
          <w:szCs w:val="18"/>
          <w:color w:val="auto"/>
        </w:rPr>
        <w:t>KKR &amp; Co. L.P., which, together with its subsidiaries, we refer to as KKR &amp; Co., is a leading global investment firm that manages multiple alternative asset classes including private equity, energy, infrastructure, real estate and credit, with its strategic manager partnerships that manage hedge funds. KKR &amp; Co. aims to generate attractive investment returns for its fund investors by following a patient and disciplined investment approach, employing world-class people, and driving growth and value creation with its portfolio companies. KKR &amp; Co. invests its own capital alongside the capital it manages for fund investors and provides financing solutions and investment opportunities through its capital markets business. KKR &amp; Co. L.P. is listed on The New York Stock Exchange (NYSE: KKR).</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About Berkshire</w:t>
      </w:r>
    </w:p>
    <w:p>
      <w:pPr>
        <w:spacing w:after="0" w:line="121" w:lineRule="exact"/>
        <w:rPr>
          <w:sz w:val="20"/>
          <w:szCs w:val="20"/>
          <w:color w:val="auto"/>
        </w:rPr>
      </w:pPr>
    </w:p>
    <w:p>
      <w:pPr>
        <w:ind w:left="100" w:right="280" w:firstLine="360"/>
        <w:spacing w:after="0" w:line="257" w:lineRule="auto"/>
        <w:rPr>
          <w:sz w:val="20"/>
          <w:szCs w:val="20"/>
          <w:color w:val="auto"/>
        </w:rPr>
      </w:pPr>
      <w:r>
        <w:rPr>
          <w:rFonts w:ascii="Arial" w:cs="Arial" w:eastAsia="Arial" w:hAnsi="Arial"/>
          <w:sz w:val="18"/>
          <w:szCs w:val="18"/>
          <w:color w:val="auto"/>
        </w:rPr>
        <w:t>Berkshire, a Boston-based investment firm, has raised nine private equity funds with more than $16 billion in aggregate capital and has made over 120 investments in primarily middle market companies since its founding in 1986. Berkshire has developed specific industry experience in several areas including consumer and retail, communications, business services, industrials and healthcare. Berkshire has a strong history of partnering with management teams to grow companies in which it invests.</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3074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92825" cy="6307455"/>
                    </a:xfrm>
                    <a:prstGeom prst="rect">
                      <a:avLst/>
                    </a:prstGeom>
                    <a:noFill/>
                  </pic:spPr>
                </pic:pic>
              </a:graphicData>
            </a:graphic>
          </wp:anchor>
        </w:drawing>
      </w:r>
    </w:p>
    <w:p>
      <w:pPr>
        <w:spacing w:after="0" w:line="350"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5340" w:type="dxa"/>
            <w:vAlign w:val="bottom"/>
            <w:gridSpan w:val="3"/>
          </w:tcPr>
          <w:p>
            <w:pPr>
              <w:ind w:left="160"/>
              <w:spacing w:after="0"/>
              <w:rPr>
                <w:sz w:val="20"/>
                <w:szCs w:val="20"/>
                <w:color w:val="auto"/>
              </w:rPr>
            </w:pPr>
            <w:r>
              <w:rPr>
                <w:rFonts w:ascii="Arial" w:cs="Arial" w:eastAsia="Arial" w:hAnsi="Arial"/>
                <w:sz w:val="18"/>
                <w:szCs w:val="18"/>
                <w:b w:val="1"/>
                <w:bCs w:val="1"/>
                <w:color w:val="auto"/>
              </w:rPr>
              <w:t>The Offering</w:t>
            </w:r>
          </w:p>
        </w:tc>
      </w:tr>
      <w:tr>
        <w:trPr>
          <w:trHeight w:val="324"/>
        </w:trPr>
        <w:tc>
          <w:tcPr>
            <w:tcW w:w="4020" w:type="dxa"/>
            <w:vAlign w:val="bottom"/>
          </w:tcPr>
          <w:p>
            <w:pPr>
              <w:spacing w:after="0"/>
              <w:rPr>
                <w:sz w:val="20"/>
                <w:szCs w:val="20"/>
                <w:color w:val="auto"/>
              </w:rPr>
            </w:pPr>
            <w:r>
              <w:rPr>
                <w:rFonts w:ascii="Arial" w:cs="Arial" w:eastAsia="Arial" w:hAnsi="Arial"/>
                <w:sz w:val="18"/>
                <w:szCs w:val="18"/>
                <w:color w:val="auto"/>
              </w:rPr>
              <w:t>Common stock offered by the selling stockholders</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12,000,000 shares.</w:t>
            </w:r>
          </w:p>
        </w:tc>
      </w:tr>
      <w:tr>
        <w:trPr>
          <w:trHeight w:val="310"/>
        </w:trPr>
        <w:tc>
          <w:tcPr>
            <w:tcW w:w="4020" w:type="dxa"/>
            <w:vAlign w:val="bottom"/>
          </w:tcPr>
          <w:p>
            <w:pPr>
              <w:spacing w:after="0"/>
              <w:rPr>
                <w:sz w:val="20"/>
                <w:szCs w:val="20"/>
                <w:color w:val="auto"/>
              </w:rPr>
            </w:pPr>
            <w:r>
              <w:rPr>
                <w:rFonts w:ascii="Arial" w:cs="Arial" w:eastAsia="Arial" w:hAnsi="Arial"/>
                <w:sz w:val="18"/>
                <w:szCs w:val="18"/>
                <w:color w:val="auto"/>
                <w:w w:val="95"/>
              </w:rPr>
              <w:t>Underwriters’ option to purchase additional shares of</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7"/>
              </w:rPr>
              <w:t>The selling stockholders have granted the underwriters a 30-day</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2"/>
              </w:rPr>
              <w:t>option to purchase up to 1,800,000 additional shares of our common</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7"/>
              </w:rPr>
              <w:t>stock at the public offering price, less underwriting discounts and</w:t>
            </w:r>
          </w:p>
        </w:tc>
      </w:tr>
      <w:tr>
        <w:trPr>
          <w:trHeight w:val="230"/>
        </w:trPr>
        <w:tc>
          <w:tcPr>
            <w:tcW w:w="4020" w:type="dxa"/>
            <w:vAlign w:val="bottom"/>
          </w:tcPr>
          <w:p>
            <w:pPr>
              <w:spacing w:after="0"/>
              <w:rPr>
                <w:sz w:val="20"/>
                <w:szCs w:val="20"/>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commissions.</w:t>
            </w:r>
          </w:p>
        </w:tc>
      </w:tr>
      <w:tr>
        <w:trPr>
          <w:trHeight w:val="324"/>
        </w:trPr>
        <w:tc>
          <w:tcPr>
            <w:tcW w:w="4020" w:type="dxa"/>
            <w:vAlign w:val="bottom"/>
          </w:tcPr>
          <w:p>
            <w:pPr>
              <w:spacing w:after="0"/>
              <w:rPr>
                <w:sz w:val="20"/>
                <w:szCs w:val="20"/>
                <w:color w:val="auto"/>
              </w:rPr>
            </w:pPr>
            <w:r>
              <w:rPr>
                <w:rFonts w:ascii="Arial" w:cs="Arial" w:eastAsia="Arial" w:hAnsi="Arial"/>
                <w:sz w:val="18"/>
                <w:szCs w:val="18"/>
                <w:color w:val="auto"/>
              </w:rPr>
              <w:t>Common stock outstanding</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74,656,175 shares (as of February 28, 2018)</w:t>
            </w:r>
          </w:p>
        </w:tc>
      </w:tr>
      <w:tr>
        <w:trPr>
          <w:trHeight w:val="310"/>
        </w:trPr>
        <w:tc>
          <w:tcPr>
            <w:tcW w:w="4020" w:type="dxa"/>
            <w:vAlign w:val="bottom"/>
          </w:tcPr>
          <w:p>
            <w:pPr>
              <w:spacing w:after="0"/>
              <w:rPr>
                <w:sz w:val="20"/>
                <w:szCs w:val="20"/>
                <w:color w:val="auto"/>
              </w:rPr>
            </w:pPr>
            <w:r>
              <w:rPr>
                <w:rFonts w:ascii="Arial" w:cs="Arial" w:eastAsia="Arial" w:hAnsi="Arial"/>
                <w:sz w:val="18"/>
                <w:szCs w:val="18"/>
                <w:color w:val="auto"/>
              </w:rPr>
              <w:t>Use of proceeds</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0"/>
              </w:rPr>
              <w:t>We will not receive any proceeds from the sale of shares being sold in</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this offering, including from any exercise by the underwriters of their</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6"/>
              </w:rPr>
              <w:t>option to purchase additional shares. The selling stockholders will</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receive all of the net proceeds and bear all commissions and</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2"/>
              </w:rPr>
              <w:t>discounts, if any, from the sale of our common stock pursuant to this</w:t>
            </w:r>
          </w:p>
        </w:tc>
      </w:tr>
      <w:tr>
        <w:trPr>
          <w:trHeight w:val="230"/>
        </w:trPr>
        <w:tc>
          <w:tcPr>
            <w:tcW w:w="4020" w:type="dxa"/>
            <w:vAlign w:val="bottom"/>
          </w:tcPr>
          <w:p>
            <w:pPr>
              <w:spacing w:after="0"/>
              <w:rPr>
                <w:sz w:val="20"/>
                <w:szCs w:val="20"/>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prospectus. See “Use of Proceeds” and “Selling Stockholders.”</w:t>
            </w:r>
          </w:p>
        </w:tc>
      </w:tr>
      <w:tr>
        <w:trPr>
          <w:trHeight w:val="284"/>
        </w:trPr>
        <w:tc>
          <w:tcPr>
            <w:tcW w:w="4020" w:type="dxa"/>
            <w:vAlign w:val="bottom"/>
          </w:tcPr>
          <w:p>
            <w:pPr>
              <w:spacing w:after="0"/>
              <w:rPr>
                <w:sz w:val="20"/>
                <w:szCs w:val="20"/>
                <w:color w:val="auto"/>
              </w:rPr>
            </w:pPr>
            <w:r>
              <w:rPr>
                <w:rFonts w:ascii="Arial" w:cs="Arial" w:eastAsia="Arial" w:hAnsi="Arial"/>
                <w:sz w:val="18"/>
                <w:szCs w:val="18"/>
                <w:color w:val="auto"/>
              </w:rPr>
              <w:t>Risk factors</w:t>
            </w:r>
          </w:p>
        </w:tc>
        <w:tc>
          <w:tcPr>
            <w:tcW w:w="5340" w:type="dxa"/>
            <w:vAlign w:val="bottom"/>
            <w:gridSpan w:val="3"/>
          </w:tcPr>
          <w:p>
            <w:pPr>
              <w:ind w:left="300"/>
              <w:spacing w:after="0"/>
              <w:rPr>
                <w:rFonts w:ascii="Arial" w:cs="Arial" w:eastAsia="Arial" w:hAnsi="Arial"/>
                <w:sz w:val="18"/>
                <w:szCs w:val="18"/>
                <w:color w:val="auto"/>
                <w:w w:val="99"/>
              </w:rPr>
            </w:pPr>
            <w:r>
              <w:rPr>
                <w:rFonts w:ascii="Arial" w:cs="Arial" w:eastAsia="Arial" w:hAnsi="Arial"/>
                <w:sz w:val="18"/>
                <w:szCs w:val="18"/>
                <w:color w:val="auto"/>
                <w:w w:val="99"/>
              </w:rPr>
              <w:t xml:space="preserve">See “Risk Factors” beginning on page </w:t>
            </w:r>
            <w:hyperlink w:anchor="page26">
              <w:r>
                <w:rPr>
                  <w:rFonts w:ascii="Arial" w:cs="Arial" w:eastAsia="Arial" w:hAnsi="Arial"/>
                  <w:sz w:val="18"/>
                  <w:szCs w:val="18"/>
                  <w:color w:val="0000EE"/>
                  <w:w w:val="99"/>
                </w:rPr>
                <w:t>17</w:t>
              </w:r>
              <w:r>
                <w:rPr>
                  <w:rFonts w:ascii="Arial" w:cs="Arial" w:eastAsia="Arial" w:hAnsi="Arial"/>
                  <w:sz w:val="18"/>
                  <w:szCs w:val="18"/>
                  <w:color w:val="auto"/>
                  <w:w w:val="99"/>
                </w:rPr>
                <w:t xml:space="preserve"> </w:t>
              </w:r>
            </w:hyperlink>
            <w:r>
              <w:rPr>
                <w:rFonts w:ascii="Arial" w:cs="Arial" w:eastAsia="Arial" w:hAnsi="Arial"/>
                <w:sz w:val="18"/>
                <w:szCs w:val="18"/>
                <w:color w:val="auto"/>
                <w:w w:val="99"/>
              </w:rPr>
              <w:t>and other information</w:t>
            </w:r>
          </w:p>
        </w:tc>
      </w:tr>
      <w:tr>
        <w:trPr>
          <w:trHeight w:val="20"/>
        </w:trPr>
        <w:tc>
          <w:tcPr>
            <w:tcW w:w="4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2"/>
        </w:trPr>
        <w:tc>
          <w:tcPr>
            <w:tcW w:w="4020" w:type="dxa"/>
            <w:vAlign w:val="bottom"/>
          </w:tcPr>
          <w:p>
            <w:pPr>
              <w:spacing w:after="0"/>
              <w:rPr>
                <w:sz w:val="19"/>
                <w:szCs w:val="19"/>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8"/>
              </w:rPr>
              <w:t>included, and incorporated by reference, in this prospectus for a</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1"/>
              </w:rPr>
              <w:t>discussion of factors you should carefully consider before deciding to</w:t>
            </w:r>
          </w:p>
        </w:tc>
      </w:tr>
      <w:tr>
        <w:trPr>
          <w:trHeight w:val="230"/>
        </w:trPr>
        <w:tc>
          <w:tcPr>
            <w:tcW w:w="4020" w:type="dxa"/>
            <w:vAlign w:val="bottom"/>
          </w:tcPr>
          <w:p>
            <w:pPr>
              <w:spacing w:after="0"/>
              <w:rPr>
                <w:sz w:val="20"/>
                <w:szCs w:val="20"/>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invest in our common stock.</w:t>
            </w:r>
          </w:p>
        </w:tc>
      </w:tr>
      <w:tr>
        <w:trPr>
          <w:trHeight w:val="310"/>
        </w:trPr>
        <w:tc>
          <w:tcPr>
            <w:tcW w:w="4020" w:type="dxa"/>
            <w:vAlign w:val="bottom"/>
          </w:tcPr>
          <w:p>
            <w:pPr>
              <w:spacing w:after="0"/>
              <w:rPr>
                <w:sz w:val="20"/>
                <w:szCs w:val="20"/>
                <w:color w:val="auto"/>
              </w:rPr>
            </w:pPr>
            <w:r>
              <w:rPr>
                <w:rFonts w:ascii="Arial" w:cs="Arial" w:eastAsia="Arial" w:hAnsi="Arial"/>
                <w:sz w:val="18"/>
                <w:szCs w:val="18"/>
                <w:color w:val="auto"/>
              </w:rPr>
              <w:t>Dividend policy</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2"/>
              </w:rPr>
              <w:t>We do not currently anticipate paying any dividends on our common</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stock and currently expect to retain all future earnings for use in the</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0"/>
              </w:rPr>
              <w:t>operation and expansion of our business. Any decision to declare and</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pay dividends in the future will be made at the sole discretion of our</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2"/>
              </w:rPr>
              <w:t>Board of Directors and will depend on various factors. See “Dividend</w:t>
            </w:r>
          </w:p>
        </w:tc>
      </w:tr>
      <w:tr>
        <w:trPr>
          <w:trHeight w:val="230"/>
        </w:trPr>
        <w:tc>
          <w:tcPr>
            <w:tcW w:w="4020" w:type="dxa"/>
            <w:vAlign w:val="bottom"/>
          </w:tcPr>
          <w:p>
            <w:pPr>
              <w:spacing w:after="0"/>
              <w:rPr>
                <w:sz w:val="20"/>
                <w:szCs w:val="20"/>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Policy.”</w:t>
            </w:r>
          </w:p>
        </w:tc>
      </w:tr>
      <w:tr>
        <w:trPr>
          <w:trHeight w:val="310"/>
        </w:trPr>
        <w:tc>
          <w:tcPr>
            <w:tcW w:w="4020" w:type="dxa"/>
            <w:vAlign w:val="bottom"/>
          </w:tcPr>
          <w:p>
            <w:pPr>
              <w:spacing w:after="0"/>
              <w:rPr>
                <w:sz w:val="20"/>
                <w:szCs w:val="20"/>
                <w:color w:val="auto"/>
              </w:rPr>
            </w:pPr>
            <w:r>
              <w:rPr>
                <w:rFonts w:ascii="Arial" w:cs="Arial" w:eastAsia="Arial" w:hAnsi="Arial"/>
                <w:sz w:val="18"/>
                <w:szCs w:val="18"/>
                <w:color w:val="auto"/>
              </w:rPr>
              <w:t>Conflicts of Interest</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7"/>
              </w:rPr>
              <w:t>Affiliates of KKR Sponsor beneficially own (through investment in</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7"/>
              </w:rPr>
              <w:t>KKR Vision Aggregator L.P.) in excess of 10% of our issued and</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outstanding common stock. Because KKR Capital Markets LLC, an</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8"/>
              </w:rPr>
              <w:t>affiliate of KKR Sponsor, is an underwriter in this offering and its</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affiliates own in excess of 10% of our issued and outstanding</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common stock, KKR Capital Markets LLC is deemed to have a</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“conflict of interest” under Rule 5121, or Rule 5121, of the Financial</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Industry Regulatory Authority, Inc., or FINRA. Accordingly, this</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4"/>
              </w:rPr>
              <w:t>offering is being made in compliance with the requirements of Rule</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5121. Pursuant to that rule, the appointment of a “qualified</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independent underwriter” is not required in connection with this</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0"/>
              </w:rPr>
              <w:t>offering as a bona fide public market exists in the shares, as that term</w:t>
            </w:r>
          </w:p>
        </w:tc>
      </w:tr>
      <w:tr>
        <w:trPr>
          <w:trHeight w:val="230"/>
        </w:trPr>
        <w:tc>
          <w:tcPr>
            <w:tcW w:w="4020" w:type="dxa"/>
            <w:vAlign w:val="bottom"/>
          </w:tcPr>
          <w:p>
            <w:pPr>
              <w:spacing w:after="0"/>
              <w:rPr>
                <w:sz w:val="20"/>
                <w:szCs w:val="20"/>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6"/>
              </w:rPr>
              <w:t>is defined in Rule 5121. See “Underwriting (Conflicts of Interest).”</w:t>
            </w:r>
          </w:p>
        </w:tc>
      </w:tr>
      <w:tr>
        <w:trPr>
          <w:trHeight w:val="324"/>
        </w:trPr>
        <w:tc>
          <w:tcPr>
            <w:tcW w:w="4020" w:type="dxa"/>
            <w:vAlign w:val="bottom"/>
          </w:tcPr>
          <w:p>
            <w:pPr>
              <w:spacing w:after="0"/>
              <w:rPr>
                <w:sz w:val="20"/>
                <w:szCs w:val="20"/>
                <w:color w:val="auto"/>
              </w:rPr>
            </w:pPr>
            <w:r>
              <w:rPr>
                <w:rFonts w:ascii="Arial" w:cs="Arial" w:eastAsia="Arial" w:hAnsi="Arial"/>
                <w:sz w:val="18"/>
                <w:szCs w:val="18"/>
                <w:color w:val="auto"/>
              </w:rPr>
              <w:t>NASDAQ ticker symbol</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“EYE”</w:t>
            </w:r>
          </w:p>
        </w:tc>
      </w:tr>
    </w:tbl>
    <w:p>
      <w:pPr>
        <w:spacing w:after="0" w:line="94" w:lineRule="exact"/>
        <w:rPr>
          <w:sz w:val="20"/>
          <w:szCs w:val="20"/>
          <w:color w:val="auto"/>
        </w:rPr>
      </w:pPr>
    </w:p>
    <w:p>
      <w:pPr>
        <w:ind w:left="100" w:right="260" w:firstLine="360"/>
        <w:spacing w:after="0" w:line="277" w:lineRule="auto"/>
        <w:rPr>
          <w:sz w:val="20"/>
          <w:szCs w:val="20"/>
          <w:color w:val="auto"/>
        </w:rPr>
      </w:pPr>
      <w:r>
        <w:rPr>
          <w:rFonts w:ascii="Arial" w:cs="Arial" w:eastAsia="Arial" w:hAnsi="Arial"/>
          <w:sz w:val="18"/>
          <w:szCs w:val="18"/>
          <w:color w:val="auto"/>
        </w:rPr>
        <w:t>Unless we indicate otherwise or the context otherwise requires, all information in this prospectus reflects and assumes no exercise of the underwriters’ option to purchase 1,800,000 additional shares of our common stock.</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2602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92825" cy="2602865"/>
                    </a:xfrm>
                    <a:prstGeom prst="rect">
                      <a:avLst/>
                    </a:prstGeom>
                    <a:noFill/>
                  </pic:spPr>
                </pic:pic>
              </a:graphicData>
            </a:graphic>
          </wp:anchor>
        </w:drawing>
      </w:r>
    </w:p>
    <w:p>
      <w:pPr>
        <w:spacing w:after="0" w:line="246" w:lineRule="exact"/>
        <w:rPr>
          <w:sz w:val="20"/>
          <w:szCs w:val="20"/>
          <w:color w:val="auto"/>
        </w:rPr>
      </w:pPr>
    </w:p>
    <w:p>
      <w:pPr>
        <w:ind w:left="100" w:firstLine="360"/>
        <w:spacing w:after="0" w:line="264" w:lineRule="auto"/>
        <w:rPr>
          <w:sz w:val="20"/>
          <w:szCs w:val="20"/>
          <w:color w:val="auto"/>
        </w:rPr>
      </w:pPr>
      <w:r>
        <w:rPr>
          <w:rFonts w:ascii="Arial" w:cs="Arial" w:eastAsia="Arial" w:hAnsi="Arial"/>
          <w:sz w:val="18"/>
          <w:szCs w:val="18"/>
          <w:color w:val="auto"/>
        </w:rPr>
        <w:t>Additionally, the number of shares of our common stock to be outstanding after this offering is based on 74,656,175 of shares of our common stock outstanding as of February 28, 2018, including 8,720 shares of restricted stock outstanding, and does not reflect:</w:t>
      </w:r>
    </w:p>
    <w:p>
      <w:pPr>
        <w:spacing w:after="0" w:line="73" w:lineRule="exact"/>
        <w:rPr>
          <w:sz w:val="20"/>
          <w:szCs w:val="20"/>
          <w:color w:val="auto"/>
        </w:rPr>
      </w:pPr>
    </w:p>
    <w:p>
      <w:pPr>
        <w:ind w:left="800" w:right="100" w:hanging="342"/>
        <w:spacing w:after="0" w:line="290"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10,608,559 shares of common stock issuable upon the exercise of options outstanding as of February 28, 2018, (1) of which 1,843,550 were then vested and exercisable and (2) of which 4,084,407 were time-based options and 6,524,152 were performance-based options. The performance-based options (other than 217,390 performance-based options held by Jeff McAllister, which have different vesting terms and 43,478 of which have vested), have not previously vested, will not vest upon the consummation of this offering and are eligible to vest only upon affiliates of KKR Sponsor achieving certain internal rate of return threshold and multiples of invested capital. See “Executive Compensation— Narrative to Summary Compensation Table and 2017 Grants of Plan-Based Awards—Equity Awards” in our Annual Report, which is incorporated herein by reference, for additional details around vesting terms;</w:t>
      </w:r>
    </w:p>
    <w:p>
      <w:pPr>
        <w:spacing w:after="0" w:line="58" w:lineRule="exact"/>
        <w:rPr>
          <w:rFonts w:ascii="Arial" w:cs="Arial" w:eastAsia="Arial" w:hAnsi="Arial"/>
          <w:sz w:val="16"/>
          <w:szCs w:val="16"/>
          <w:color w:val="auto"/>
        </w:rPr>
      </w:pPr>
    </w:p>
    <w:p>
      <w:pPr>
        <w:ind w:left="800" w:hanging="34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182,234 restricted stock units outstanding as of February 28, 2018;</w:t>
      </w:r>
    </w:p>
    <w:p>
      <w:pPr>
        <w:spacing w:after="0" w:line="117" w:lineRule="exact"/>
        <w:rPr>
          <w:rFonts w:ascii="Arial" w:cs="Arial" w:eastAsia="Arial" w:hAnsi="Arial"/>
          <w:sz w:val="18"/>
          <w:szCs w:val="18"/>
          <w:color w:val="auto"/>
        </w:rPr>
      </w:pPr>
    </w:p>
    <w:p>
      <w:pPr>
        <w:ind w:left="800" w:right="140" w:hanging="342"/>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3,794,775 shares of common stock available for issuance under our 2014 Stock Incentive Plan and our 2017 Omnibus Incentive Plan; and</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exercises of vested options by the management selling stockholders in connection with this offering.</w:t>
      </w: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9965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92825" cy="7996555"/>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21" w:lineRule="exact"/>
        <w:rPr>
          <w:sz w:val="20"/>
          <w:szCs w:val="20"/>
          <w:color w:val="auto"/>
        </w:rPr>
      </w:pPr>
    </w:p>
    <w:p>
      <w:pPr>
        <w:ind w:left="100" w:firstLine="360"/>
        <w:spacing w:after="0" w:line="271" w:lineRule="auto"/>
        <w:rPr>
          <w:sz w:val="20"/>
          <w:szCs w:val="20"/>
          <w:color w:val="auto"/>
        </w:rPr>
      </w:pPr>
      <w:r>
        <w:rPr>
          <w:rFonts w:ascii="Arial" w:cs="Arial" w:eastAsia="Arial" w:hAnsi="Arial"/>
          <w:sz w:val="17"/>
          <w:szCs w:val="17"/>
          <w:color w:val="auto"/>
        </w:rPr>
        <w:t>Set forth below is our summary historical consolidated financial and other data as of the dates and for the periods indicated. The summary historical financial data as of December 31, 2016 and December 30, 2017 and for the years ended January 2, 2016, December 31, 2016 and December 30, 2017 has been derived from our audited consolidated financial statements and related notes thereto incorporated by reference in this prospectus, and the summary historical financial data as of January 2, 2016 has been derived from our audited consolidated financial statements and related notes thereto not included or incorporated by reference in this prospectus. The results of operations for any period are not necessarily indicative of the results to be expected for any future period. Share and per share data in the table below has been retroactively adjusted to give effect to the 1.96627-for-one reverse stock split, effected on October 24, 2017.</w:t>
      </w:r>
    </w:p>
    <w:p>
      <w:pPr>
        <w:spacing w:after="0" w:line="71" w:lineRule="exact"/>
        <w:rPr>
          <w:sz w:val="20"/>
          <w:szCs w:val="20"/>
          <w:color w:val="auto"/>
        </w:rPr>
      </w:pPr>
    </w:p>
    <w:p>
      <w:pPr>
        <w:ind w:left="100" w:right="40" w:firstLine="360"/>
        <w:spacing w:after="0" w:line="259" w:lineRule="auto"/>
        <w:rPr>
          <w:sz w:val="20"/>
          <w:szCs w:val="20"/>
          <w:color w:val="auto"/>
        </w:rPr>
      </w:pPr>
      <w:r>
        <w:rPr>
          <w:rFonts w:ascii="Arial" w:cs="Arial" w:eastAsia="Arial" w:hAnsi="Arial"/>
          <w:sz w:val="18"/>
          <w:szCs w:val="18"/>
          <w:color w:val="auto"/>
        </w:rPr>
        <w:t>The summary historical consolidated financial and other data should be read in conjunction with, and are qualified by reference to, “Capitalization” in this prospectus, as well as the section entitled “Selected Financial Data,” “Management’s Discussion and Analysis of Financial Condition and Results of Operations” and our audited consolidated financial statements and related notes thereto incorporated by reference in this prospectus.</w:t>
      </w:r>
    </w:p>
    <w:p>
      <w:pPr>
        <w:spacing w:after="0" w:line="4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7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 and store data)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January 2, 2016</w:t>
            </w:r>
          </w:p>
        </w:tc>
        <w:tc>
          <w:tcPr>
            <w:tcW w:w="120" w:type="dxa"/>
            <w:vAlign w:val="bottom"/>
          </w:tcPr>
          <w:p>
            <w:pPr>
              <w:spacing w:after="0"/>
              <w:rPr>
                <w:sz w:val="14"/>
                <w:szCs w:val="14"/>
                <w:color w:val="auto"/>
              </w:rPr>
            </w:pPr>
          </w:p>
        </w:tc>
        <w:tc>
          <w:tcPr>
            <w:tcW w:w="102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3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1,062,528</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1,196,195</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1,375,308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applicable to revenue</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491,100</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544,781</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636,966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2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526,751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585,030</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671,106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44,677</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66,384</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39,092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55,536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Earnings before income taxes</w:t>
            </w:r>
          </w:p>
        </w:tc>
        <w:tc>
          <w:tcPr>
            <w:tcW w:w="2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5,385</w:t>
            </w: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27,292</w:t>
            </w: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7,173</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12,534</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3,617</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14,758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45,820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0.26</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shares outstanding</w:t>
            </w: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55,962</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56,185</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55,962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57,001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Cash Flow Data:</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83,131</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97,588</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90,252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(91,664)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(94,827)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Net cash (used for) provided by financing activities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(4,317)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(6,574)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5,595</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4,945</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1,475,595</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1,531,117</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1,583,791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747,825</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745,625</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569,238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386,230</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401,887</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659,588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 (unaudited)</w:t>
            </w: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stores open at period end</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line="243" w:lineRule="exact"/>
              <w:rPr>
                <w:sz w:val="20"/>
                <w:szCs w:val="20"/>
                <w:color w:val="auto"/>
              </w:rPr>
            </w:pPr>
            <w:r>
              <w:rPr>
                <w:rFonts w:ascii="Arial" w:cs="Arial" w:eastAsia="Arial" w:hAnsi="Arial"/>
                <w:sz w:val="17"/>
                <w:szCs w:val="17"/>
                <w:color w:val="auto"/>
              </w:rPr>
              <w:t>Adjusted EBITDA</w:t>
            </w:r>
            <w:r>
              <w:rPr>
                <w:rFonts w:ascii="Arial" w:cs="Arial" w:eastAsia="Arial" w:hAnsi="Arial"/>
                <w:sz w:val="28"/>
                <w:szCs w:val="28"/>
                <w:color w:val="auto"/>
                <w:vertAlign w:val="superscript"/>
              </w:rPr>
              <w:t>(1)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112,585</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137,774</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159,721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Adjusted Net Income</w:t>
            </w:r>
            <w:r>
              <w:rPr>
                <w:rFonts w:ascii="Arial" w:cs="Arial" w:eastAsia="Arial" w:hAnsi="Arial"/>
                <w:sz w:val="28"/>
                <w:szCs w:val="28"/>
                <w:color w:val="auto"/>
                <w:vertAlign w:val="superscript"/>
              </w:rPr>
              <w:t>(1)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26,184</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33,183</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60" w:right="300" w:hanging="353"/>
        <w:spacing w:after="0" w:line="273"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define EBITDA as net income, plus interest expense, income tax (benefit) provision and depreciation and amortization. We define Adjusted EBITDA as EBITDA, further adjusted to exclude stock compensation expense, costs associated with debt refinancing, asset impairment, non-cash inventory write-offs, management fees, new store pre-opening expenses, non-cash rent, litigation settlement and other expenses. We describe these adjustments reconciling</w:t>
      </w:r>
    </w:p>
    <w:p>
      <w:pPr>
        <w:sectPr>
          <w:pgSz w:w="11900" w:h="16838" w:orient="portrait"/>
          <w:cols w:equalWidth="0" w:num="1">
            <w:col w:w="9480"/>
          </w:cols>
          <w:pgMar w:left="1180" w:top="279" w:right="123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type w:val="continuous"/>
        </w:sectPr>
      </w:pPr>
    </w:p>
    <w:bookmarkStart w:id="22" w:name="page23"/>
    <w:bookmarkEnd w:id="2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2985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92825" cy="6298565"/>
                    </a:xfrm>
                    <a:prstGeom prst="rect">
                      <a:avLst/>
                    </a:prstGeom>
                    <a:noFill/>
                  </pic:spPr>
                </pic:pic>
              </a:graphicData>
            </a:graphic>
          </wp:anchor>
        </w:drawing>
      </w:r>
    </w:p>
    <w:p>
      <w:pPr>
        <w:spacing w:after="0" w:line="251" w:lineRule="exact"/>
        <w:rPr>
          <w:sz w:val="20"/>
          <w:szCs w:val="20"/>
          <w:color w:val="auto"/>
        </w:rPr>
      </w:pPr>
    </w:p>
    <w:p>
      <w:pPr>
        <w:ind w:left="460" w:right="100"/>
        <w:spacing w:after="0" w:line="253" w:lineRule="auto"/>
        <w:rPr>
          <w:sz w:val="20"/>
          <w:szCs w:val="20"/>
          <w:color w:val="auto"/>
        </w:rPr>
      </w:pPr>
      <w:r>
        <w:rPr>
          <w:rFonts w:ascii="Arial" w:cs="Arial" w:eastAsia="Arial" w:hAnsi="Arial"/>
          <w:sz w:val="16"/>
          <w:szCs w:val="16"/>
          <w:color w:val="auto"/>
        </w:rPr>
        <w:t>net income to EBITDA and Adjusted EBITDA in the tables below. We define Adjusted Net Income as net income, plus stock compensation expense, costs associated with debt refinancing, asset impairment, non-cash inventory write-offs, management fees, new store pre-opening expenses, non-cash rent, litigation settlement, amortization of acquisition intangibles and deferred financing costs, tax legislation adjustments and other expenses, less the tax effect of these adjustments. We describe these adjustments reconciling net income to Adjusted Net Income in the tables below.</w:t>
      </w:r>
    </w:p>
    <w:p>
      <w:pPr>
        <w:spacing w:after="0" w:line="84" w:lineRule="exact"/>
        <w:rPr>
          <w:sz w:val="20"/>
          <w:szCs w:val="20"/>
          <w:color w:val="auto"/>
        </w:rPr>
      </w:pPr>
    </w:p>
    <w:p>
      <w:pPr>
        <w:ind w:left="460" w:right="20" w:firstLine="360"/>
        <w:spacing w:after="0" w:line="289" w:lineRule="auto"/>
        <w:rPr>
          <w:sz w:val="20"/>
          <w:szCs w:val="20"/>
          <w:color w:val="auto"/>
        </w:rPr>
      </w:pPr>
      <w:r>
        <w:rPr>
          <w:rFonts w:ascii="Arial" w:cs="Arial" w:eastAsia="Arial" w:hAnsi="Arial"/>
          <w:sz w:val="14"/>
          <w:szCs w:val="14"/>
          <w:color w:val="auto"/>
        </w:rPr>
        <w:t>EBITDA, Adjusted EBITDA and Adjusted Net Income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60" w:lineRule="exact"/>
        <w:rPr>
          <w:sz w:val="20"/>
          <w:szCs w:val="20"/>
          <w:color w:val="auto"/>
        </w:rPr>
      </w:pPr>
    </w:p>
    <w:p>
      <w:pPr>
        <w:ind w:left="460" w:firstLine="360"/>
        <w:spacing w:after="0" w:line="249"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Our presentation of EBITDA, Adjusted EBITDA and Adjusted Net Income should not be construed to imply that our future results will be unaffected by unusual or non-recurring items. In evaluating EBITDA, Adjusted EBITDA and Adjusted Net Income, you should be aware that in the future we may incur expenses that are the same as or similar to some of the adjustments in this presentation. Our presentation of EBITDA, Adjusted EBITDA and Adjusted Net Income should not be construed to imply that our future results will be unaffected by any such adjustments. Management compensates for these limitations by primarily relying on our GAAP results in addition to using EBITDA, Adjusted EBITDA and Adjusted Net Income supplementally.</w:t>
      </w:r>
    </w:p>
    <w:p>
      <w:pPr>
        <w:spacing w:after="0" w:line="88" w:lineRule="exact"/>
        <w:rPr>
          <w:sz w:val="20"/>
          <w:szCs w:val="20"/>
          <w:color w:val="auto"/>
        </w:rPr>
      </w:pPr>
    </w:p>
    <w:p>
      <w:pPr>
        <w:ind w:left="460" w:right="160" w:firstLine="360"/>
        <w:spacing w:after="0" w:line="275" w:lineRule="auto"/>
        <w:rPr>
          <w:sz w:val="20"/>
          <w:szCs w:val="20"/>
          <w:color w:val="auto"/>
        </w:rPr>
      </w:pPr>
      <w:r>
        <w:rPr>
          <w:rFonts w:ascii="Arial" w:cs="Arial" w:eastAsia="Arial" w:hAnsi="Arial"/>
          <w:sz w:val="16"/>
          <w:szCs w:val="16"/>
          <w:color w:val="auto"/>
        </w:rPr>
        <w:t>The presentations of these measures have limitations as analytical tools and should not be considered in isolation, or as a substitute for analysis of our results as reported under GAAP. Some of these limitations are:</w:t>
      </w:r>
    </w:p>
    <w:p>
      <w:pPr>
        <w:spacing w:after="0" w:line="65" w:lineRule="exact"/>
        <w:rPr>
          <w:sz w:val="20"/>
          <w:szCs w:val="20"/>
          <w:color w:val="auto"/>
        </w:rPr>
      </w:pPr>
    </w:p>
    <w:p>
      <w:pPr>
        <w:ind w:left="1180" w:hanging="358"/>
        <w:spacing w:after="0"/>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they do not reflect costs or cash outlays for capital expenditures or contractual commitments;</w:t>
      </w:r>
    </w:p>
    <w:p>
      <w:pPr>
        <w:spacing w:after="0" w:line="126" w:lineRule="exact"/>
        <w:rPr>
          <w:rFonts w:ascii="Arial" w:cs="Arial" w:eastAsia="Arial" w:hAnsi="Arial"/>
          <w:sz w:val="16"/>
          <w:szCs w:val="16"/>
          <w:color w:val="auto"/>
        </w:rPr>
      </w:pPr>
    </w:p>
    <w:p>
      <w:pPr>
        <w:ind w:left="1180" w:hanging="358"/>
        <w:spacing w:after="0"/>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they do not reflect changes in, or cash requirements for, our working capital needs;</w:t>
      </w:r>
    </w:p>
    <w:p>
      <w:pPr>
        <w:spacing w:after="0" w:line="126" w:lineRule="exact"/>
        <w:rPr>
          <w:rFonts w:ascii="Arial" w:cs="Arial" w:eastAsia="Arial" w:hAnsi="Arial"/>
          <w:sz w:val="16"/>
          <w:szCs w:val="16"/>
          <w:color w:val="auto"/>
        </w:rPr>
      </w:pPr>
    </w:p>
    <w:p>
      <w:pPr>
        <w:ind w:left="1180" w:right="260" w:hanging="358"/>
        <w:spacing w:after="0" w:line="293" w:lineRule="auto"/>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EBITDA and Adjusted EBITDA do not reflect the interest expense, or the cash requirements necessary to service interest or principal payments, on our debt;</w:t>
      </w:r>
    </w:p>
    <w:p>
      <w:pPr>
        <w:spacing w:after="0" w:line="63" w:lineRule="exact"/>
        <w:rPr>
          <w:rFonts w:ascii="Arial" w:cs="Arial" w:eastAsia="Arial" w:hAnsi="Arial"/>
          <w:sz w:val="16"/>
          <w:szCs w:val="16"/>
          <w:color w:val="auto"/>
        </w:rPr>
      </w:pPr>
    </w:p>
    <w:p>
      <w:pPr>
        <w:ind w:left="1180" w:right="160" w:hanging="358"/>
        <w:spacing w:after="0" w:line="293" w:lineRule="auto"/>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EBITDA and Adjusted EBITDA do not reflect period to period changes in taxes, income tax expense or the cash necessary to pay income taxes;</w:t>
      </w:r>
    </w:p>
    <w:p>
      <w:pPr>
        <w:spacing w:after="0" w:line="63" w:lineRule="exact"/>
        <w:rPr>
          <w:rFonts w:ascii="Arial" w:cs="Arial" w:eastAsia="Arial" w:hAnsi="Arial"/>
          <w:sz w:val="16"/>
          <w:szCs w:val="16"/>
          <w:color w:val="auto"/>
        </w:rPr>
      </w:pPr>
    </w:p>
    <w:p>
      <w:pPr>
        <w:ind w:left="1180" w:right="340" w:hanging="358"/>
        <w:spacing w:after="0" w:line="278" w:lineRule="auto"/>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spacing w:after="0" w:line="76" w:lineRule="exact"/>
        <w:rPr>
          <w:rFonts w:ascii="Arial" w:cs="Arial" w:eastAsia="Arial" w:hAnsi="Arial"/>
          <w:sz w:val="16"/>
          <w:szCs w:val="16"/>
          <w:color w:val="auto"/>
        </w:rPr>
      </w:pPr>
    </w:p>
    <w:p>
      <w:pPr>
        <w:ind w:left="1180" w:right="140" w:hanging="358"/>
        <w:spacing w:after="0" w:line="369" w:lineRule="auto"/>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will often have to be replaced in the future, and EBITDA and Adjusted EBITDA do not reflect cash requirements for such replacements; and</w:t>
      </w:r>
    </w:p>
    <w:p>
      <w:pPr>
        <w:spacing w:after="0" w:line="18" w:lineRule="exact"/>
        <w:rPr>
          <w:rFonts w:ascii="Arial" w:cs="Arial" w:eastAsia="Arial" w:hAnsi="Arial"/>
          <w:sz w:val="14"/>
          <w:szCs w:val="14"/>
          <w:color w:val="auto"/>
        </w:rPr>
      </w:pPr>
    </w:p>
    <w:p>
      <w:pPr>
        <w:ind w:left="1180" w:right="160" w:hanging="358"/>
        <w:spacing w:after="0" w:line="293" w:lineRule="auto"/>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companies in our industry may calculate these measures differently than we do, limiting their usefulness as comparative measures.</w:t>
      </w:r>
    </w:p>
    <w:p>
      <w:pPr>
        <w:spacing w:after="0" w:line="64" w:lineRule="exact"/>
        <w:rPr>
          <w:sz w:val="20"/>
          <w:szCs w:val="20"/>
          <w:color w:val="auto"/>
        </w:rPr>
      </w:pPr>
    </w:p>
    <w:p>
      <w:pPr>
        <w:ind w:left="460" w:right="500" w:firstLine="360"/>
        <w:spacing w:after="0" w:line="275" w:lineRule="auto"/>
        <w:rPr>
          <w:sz w:val="20"/>
          <w:szCs w:val="20"/>
          <w:color w:val="auto"/>
        </w:rPr>
      </w:pPr>
      <w:r>
        <w:rPr>
          <w:rFonts w:ascii="Arial" w:cs="Arial" w:eastAsia="Arial" w:hAnsi="Arial"/>
          <w:sz w:val="16"/>
          <w:szCs w:val="16"/>
          <w:color w:val="auto"/>
        </w:rPr>
        <w:t>Because of these limitations, EBITDA, Adjusted EBITDA and Adjusted Net Income should not be considered as measures of discretionary cash available to invest in business growth or to reduce indebtedness.</w:t>
      </w: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81851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92825" cy="8185150"/>
                    </a:xfrm>
                    <a:prstGeom prst="rect">
                      <a:avLst/>
                    </a:prstGeom>
                    <a:noFill/>
                  </pic:spPr>
                </pic:pic>
              </a:graphicData>
            </a:graphic>
          </wp:anchor>
        </w:drawing>
      </w:r>
    </w:p>
    <w:p>
      <w:pPr>
        <w:spacing w:after="0" w:line="251" w:lineRule="exact"/>
        <w:rPr>
          <w:sz w:val="20"/>
          <w:szCs w:val="20"/>
          <w:color w:val="auto"/>
        </w:rPr>
      </w:pPr>
    </w:p>
    <w:p>
      <w:pPr>
        <w:ind w:left="820"/>
        <w:spacing w:after="0"/>
        <w:rPr>
          <w:sz w:val="20"/>
          <w:szCs w:val="20"/>
          <w:color w:val="auto"/>
        </w:rPr>
      </w:pPr>
      <w:r>
        <w:rPr>
          <w:rFonts w:ascii="Arial" w:cs="Arial" w:eastAsia="Arial" w:hAnsi="Arial"/>
          <w:sz w:val="15"/>
          <w:szCs w:val="15"/>
          <w:color w:val="auto"/>
        </w:rPr>
        <w:t>The following tables reconcile our net income to EBITDA, Adjusted EBITDA and Adjusted Net Income for the periods presented:</w:t>
      </w:r>
    </w:p>
    <w:p>
      <w:pPr>
        <w:spacing w:after="0" w:line="85" w:lineRule="exact"/>
        <w:rPr>
          <w:sz w:val="20"/>
          <w:szCs w:val="20"/>
          <w:color w:val="auto"/>
        </w:rPr>
      </w:pPr>
    </w:p>
    <w:tbl>
      <w:tblPr>
        <w:tblLayout w:type="fixed"/>
        <w:tblInd w:w="4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Year Ended</w:t>
            </w: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January 2,</w:t>
            </w:r>
          </w:p>
        </w:tc>
        <w:tc>
          <w:tcPr>
            <w:tcW w:w="80" w:type="dxa"/>
            <w:vAlign w:val="bottom"/>
          </w:tcPr>
          <w:p>
            <w:pPr>
              <w:spacing w:after="0"/>
              <w:rPr>
                <w:sz w:val="14"/>
                <w:szCs w:val="14"/>
                <w:color w:val="auto"/>
              </w:rPr>
            </w:pPr>
          </w:p>
        </w:tc>
        <w:tc>
          <w:tcPr>
            <w:tcW w:w="84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31,</w:t>
            </w:r>
          </w:p>
        </w:tc>
        <w:tc>
          <w:tcPr>
            <w:tcW w:w="1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30,</w:t>
            </w:r>
          </w:p>
        </w:tc>
      </w:tr>
      <w:tr>
        <w:trPr>
          <w:trHeight w:val="171"/>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81"/>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3,617</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45,820</w:t>
            </w:r>
          </w:p>
        </w:tc>
        <w:tc>
          <w:tcPr>
            <w:tcW w:w="80" w:type="dxa"/>
            <w:vAlign w:val="bottom"/>
            <w:shd w:val="clear" w:color="auto" w:fill="CCEEFF"/>
          </w:tcPr>
          <w:p>
            <w:pPr>
              <w:spacing w:after="0"/>
              <w:rPr>
                <w:sz w:val="19"/>
                <w:szCs w:val="19"/>
                <w:color w:val="auto"/>
              </w:rPr>
            </w:pPr>
          </w:p>
        </w:tc>
      </w:tr>
      <w:tr>
        <w:trPr>
          <w:trHeight w:val="220"/>
        </w:trPr>
        <w:tc>
          <w:tcPr>
            <w:tcW w:w="5220" w:type="dxa"/>
            <w:vAlign w:val="bottom"/>
            <w:gridSpan w:val="3"/>
          </w:tcPr>
          <w:p>
            <w:pPr>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36,741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39,092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55,536</w:t>
            </w:r>
          </w:p>
        </w:tc>
        <w:tc>
          <w:tcPr>
            <w:tcW w:w="8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(benefit) provision</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(38,647)</w:t>
            </w:r>
          </w:p>
        </w:tc>
      </w:tr>
      <w:tr>
        <w:trPr>
          <w:trHeight w:val="223"/>
        </w:trPr>
        <w:tc>
          <w:tcPr>
            <w:tcW w:w="5220" w:type="dxa"/>
            <w:vAlign w:val="bottom"/>
            <w:gridSpan w:val="3"/>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44,069</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51,993</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61,115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EBITDA</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86,195</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118,377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123,824</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Stock compensation expense</w:t>
            </w:r>
            <w:r>
              <w:rPr>
                <w:rFonts w:ascii="Arial" w:cs="Arial" w:eastAsia="Arial" w:hAnsi="Arial"/>
                <w:sz w:val="26"/>
                <w:szCs w:val="26"/>
                <w:color w:val="auto"/>
                <w:vertAlign w:val="superscript"/>
              </w:rPr>
              <w:t>(a)</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5,152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Debt issuance costs</w:t>
            </w:r>
            <w:r>
              <w:rPr>
                <w:rFonts w:ascii="Arial" w:cs="Arial" w:eastAsia="Arial" w:hAnsi="Arial"/>
                <w:sz w:val="26"/>
                <w:szCs w:val="26"/>
                <w:color w:val="auto"/>
                <w:vertAlign w:val="superscript"/>
              </w:rPr>
              <w:t>(b)</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2,551</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Asset impairment</w:t>
            </w:r>
            <w:r>
              <w:rPr>
                <w:rFonts w:ascii="Arial" w:cs="Arial" w:eastAsia="Arial" w:hAnsi="Arial"/>
                <w:sz w:val="26"/>
                <w:szCs w:val="26"/>
                <w:color w:val="auto"/>
                <w:vertAlign w:val="superscript"/>
              </w:rPr>
              <w:t>(c)</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4,117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Non-cash inventory write-offs</w:t>
            </w:r>
            <w:r>
              <w:rPr>
                <w:rFonts w:ascii="Arial" w:cs="Arial" w:eastAsia="Arial" w:hAnsi="Arial"/>
                <w:sz w:val="26"/>
                <w:szCs w:val="26"/>
                <w:color w:val="auto"/>
                <w:vertAlign w:val="superscript"/>
              </w:rPr>
              <w:t>(d)</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Management fees</w:t>
            </w:r>
            <w:r>
              <w:rPr>
                <w:rFonts w:ascii="Arial" w:cs="Arial" w:eastAsia="Arial" w:hAnsi="Arial"/>
                <w:sz w:val="26"/>
                <w:szCs w:val="26"/>
                <w:color w:val="auto"/>
                <w:vertAlign w:val="superscript"/>
              </w:rPr>
              <w:t>(e)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5,263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New store pre-opening expenses</w:t>
            </w:r>
            <w:r>
              <w:rPr>
                <w:rFonts w:ascii="Arial" w:cs="Arial" w:eastAsia="Arial" w:hAnsi="Arial"/>
                <w:sz w:val="26"/>
                <w:szCs w:val="26"/>
                <w:color w:val="auto"/>
                <w:vertAlign w:val="superscript"/>
              </w:rPr>
              <w:t>(f)</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Non-cash rent</w:t>
            </w:r>
            <w:r>
              <w:rPr>
                <w:rFonts w:ascii="Arial" w:cs="Arial" w:eastAsia="Arial" w:hAnsi="Arial"/>
                <w:sz w:val="26"/>
                <w:szCs w:val="26"/>
                <w:color w:val="auto"/>
                <w:vertAlign w:val="superscript"/>
              </w:rPr>
              <w:t>(g)</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Litigation settlement</w:t>
            </w:r>
            <w:r>
              <w:rPr>
                <w:rFonts w:ascii="Arial" w:cs="Arial" w:eastAsia="Arial" w:hAnsi="Arial"/>
                <w:sz w:val="26"/>
                <w:szCs w:val="26"/>
                <w:color w:val="auto"/>
                <w:vertAlign w:val="superscript"/>
              </w:rPr>
              <w:t>(h)</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80" w:type="dxa"/>
            <w:vAlign w:val="bottom"/>
            <w:shd w:val="clear" w:color="auto" w:fill="CCEEFF"/>
          </w:tcPr>
          <w:p>
            <w:pPr>
              <w:spacing w:after="0"/>
              <w:rPr>
                <w:sz w:val="19"/>
                <w:szCs w:val="19"/>
                <w:color w:val="auto"/>
              </w:rPr>
            </w:pPr>
          </w:p>
        </w:tc>
      </w:tr>
      <w:tr>
        <w:trPr>
          <w:trHeight w:val="223"/>
        </w:trPr>
        <w:tc>
          <w:tcPr>
            <w:tcW w:w="5220" w:type="dxa"/>
            <w:vAlign w:val="bottom"/>
            <w:gridSpan w:val="3"/>
          </w:tcPr>
          <w:p>
            <w:pPr>
              <w:spacing w:after="0" w:line="216" w:lineRule="exact"/>
              <w:rPr>
                <w:sz w:val="20"/>
                <w:szCs w:val="20"/>
                <w:color w:val="auto"/>
              </w:rPr>
            </w:pPr>
            <w:r>
              <w:rPr>
                <w:rFonts w:ascii="Arial" w:cs="Arial" w:eastAsia="Arial" w:hAnsi="Arial"/>
                <w:sz w:val="15"/>
                <w:szCs w:val="15"/>
                <w:color w:val="auto"/>
              </w:rPr>
              <w:t>Other</w:t>
            </w:r>
            <w:r>
              <w:rPr>
                <w:rFonts w:ascii="Arial" w:cs="Arial" w:eastAsia="Arial" w:hAnsi="Arial"/>
                <w:sz w:val="25"/>
                <w:szCs w:val="25"/>
                <w:color w:val="auto"/>
                <w:vertAlign w:val="superscript"/>
              </w:rPr>
              <w:t>(i)</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4,644</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3,924</w:t>
            </w:r>
          </w:p>
        </w:tc>
        <w:tc>
          <w:tcPr>
            <w:tcW w:w="80" w:type="dxa"/>
            <w:vAlign w:val="bottom"/>
          </w:tcPr>
          <w:p>
            <w:pPr>
              <w:spacing w:after="0"/>
              <w:rPr>
                <w:sz w:val="19"/>
                <w:szCs w:val="19"/>
                <w:color w:val="auto"/>
              </w:rPr>
            </w:pPr>
          </w:p>
        </w:tc>
      </w:tr>
      <w:tr>
        <w:trPr>
          <w:trHeight w:val="264"/>
        </w:trPr>
        <w:tc>
          <w:tcPr>
            <w:tcW w:w="20" w:type="dxa"/>
            <w:vAlign w:val="bottom"/>
          </w:tcPr>
          <w:p>
            <w:pPr>
              <w:spacing w:after="0"/>
              <w:rPr>
                <w:sz w:val="22"/>
                <w:szCs w:val="22"/>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Adjusted EBITDA</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112,585</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137,774</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159,721</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20"/>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Year Ended</w:t>
            </w: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January 2,</w:t>
            </w:r>
          </w:p>
        </w:tc>
        <w:tc>
          <w:tcPr>
            <w:tcW w:w="80" w:type="dxa"/>
            <w:vAlign w:val="bottom"/>
          </w:tcPr>
          <w:p>
            <w:pPr>
              <w:spacing w:after="0"/>
              <w:rPr>
                <w:sz w:val="14"/>
                <w:szCs w:val="14"/>
                <w:color w:val="auto"/>
              </w:rPr>
            </w:pPr>
          </w:p>
        </w:tc>
        <w:tc>
          <w:tcPr>
            <w:tcW w:w="84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31,</w:t>
            </w:r>
          </w:p>
        </w:tc>
        <w:tc>
          <w:tcPr>
            <w:tcW w:w="1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30,</w:t>
            </w:r>
          </w:p>
        </w:tc>
      </w:tr>
      <w:tr>
        <w:trPr>
          <w:trHeight w:val="171"/>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81"/>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3,617</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45,820</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Stock compensation expense</w:t>
            </w:r>
            <w:r>
              <w:rPr>
                <w:rFonts w:ascii="Arial" w:cs="Arial" w:eastAsia="Arial" w:hAnsi="Arial"/>
                <w:sz w:val="26"/>
                <w:szCs w:val="26"/>
                <w:color w:val="auto"/>
                <w:vertAlign w:val="superscript"/>
              </w:rPr>
              <w:t>(a)</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5,152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Debt issuance costs</w:t>
            </w:r>
            <w:r>
              <w:rPr>
                <w:rFonts w:ascii="Arial" w:cs="Arial" w:eastAsia="Arial" w:hAnsi="Arial"/>
                <w:sz w:val="26"/>
                <w:szCs w:val="26"/>
                <w:color w:val="auto"/>
                <w:vertAlign w:val="superscript"/>
              </w:rPr>
              <w:t>(b)</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2,551</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Asset impairment</w:t>
            </w:r>
            <w:r>
              <w:rPr>
                <w:rFonts w:ascii="Arial" w:cs="Arial" w:eastAsia="Arial" w:hAnsi="Arial"/>
                <w:sz w:val="26"/>
                <w:szCs w:val="26"/>
                <w:color w:val="auto"/>
                <w:vertAlign w:val="superscript"/>
              </w:rPr>
              <w:t>(c)</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4,117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Non-cash inventory write-offs</w:t>
            </w:r>
            <w:r>
              <w:rPr>
                <w:rFonts w:ascii="Arial" w:cs="Arial" w:eastAsia="Arial" w:hAnsi="Arial"/>
                <w:sz w:val="26"/>
                <w:szCs w:val="26"/>
                <w:color w:val="auto"/>
                <w:vertAlign w:val="superscript"/>
              </w:rPr>
              <w:t>(d)</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Management fees</w:t>
            </w:r>
            <w:r>
              <w:rPr>
                <w:rFonts w:ascii="Arial" w:cs="Arial" w:eastAsia="Arial" w:hAnsi="Arial"/>
                <w:sz w:val="26"/>
                <w:szCs w:val="26"/>
                <w:color w:val="auto"/>
                <w:vertAlign w:val="superscript"/>
              </w:rPr>
              <w:t>(e)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5,263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New store pre-opening expenses</w:t>
            </w:r>
            <w:r>
              <w:rPr>
                <w:rFonts w:ascii="Arial" w:cs="Arial" w:eastAsia="Arial" w:hAnsi="Arial"/>
                <w:sz w:val="26"/>
                <w:szCs w:val="26"/>
                <w:color w:val="auto"/>
                <w:vertAlign w:val="superscript"/>
              </w:rPr>
              <w:t>(f)</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Non-cash rent</w:t>
            </w:r>
            <w:r>
              <w:rPr>
                <w:rFonts w:ascii="Arial" w:cs="Arial" w:eastAsia="Arial" w:hAnsi="Arial"/>
                <w:sz w:val="26"/>
                <w:szCs w:val="26"/>
                <w:color w:val="auto"/>
                <w:vertAlign w:val="superscript"/>
              </w:rPr>
              <w:t>(g)</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Litigation settlement</w:t>
            </w:r>
            <w:r>
              <w:rPr>
                <w:rFonts w:ascii="Arial" w:cs="Arial" w:eastAsia="Arial" w:hAnsi="Arial"/>
                <w:sz w:val="26"/>
                <w:szCs w:val="26"/>
                <w:color w:val="auto"/>
                <w:vertAlign w:val="superscript"/>
              </w:rPr>
              <w:t>(h)</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Other</w:t>
            </w:r>
            <w:r>
              <w:rPr>
                <w:rFonts w:ascii="Arial" w:cs="Arial" w:eastAsia="Arial" w:hAnsi="Arial"/>
                <w:sz w:val="26"/>
                <w:szCs w:val="26"/>
                <w:color w:val="auto"/>
                <w:vertAlign w:val="superscript"/>
              </w:rPr>
              <w:t>(i)</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3,924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Amortization of acquisition intangibles and deferred financing costs</w:t>
            </w:r>
            <w:r>
              <w:rPr>
                <w:rFonts w:ascii="Arial" w:cs="Arial" w:eastAsia="Arial" w:hAnsi="Arial"/>
                <w:sz w:val="26"/>
                <w:szCs w:val="26"/>
                <w:color w:val="auto"/>
                <w:vertAlign w:val="superscript"/>
              </w:rPr>
              <w:t>(j)</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11,221</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14,481</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Tax legislation adjustments</w:t>
            </w:r>
            <w:r>
              <w:rPr>
                <w:rFonts w:ascii="Arial" w:cs="Arial" w:eastAsia="Arial" w:hAnsi="Arial"/>
                <w:sz w:val="26"/>
                <w:szCs w:val="26"/>
                <w:color w:val="auto"/>
                <w:vertAlign w:val="superscript"/>
              </w:rPr>
              <w:t>(k)</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(42,965)</w:t>
            </w: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line="216" w:lineRule="exact"/>
              <w:rPr>
                <w:sz w:val="20"/>
                <w:szCs w:val="20"/>
                <w:color w:val="auto"/>
              </w:rPr>
            </w:pPr>
            <w:r>
              <w:rPr>
                <w:rFonts w:ascii="Arial" w:cs="Arial" w:eastAsia="Arial" w:hAnsi="Arial"/>
                <w:sz w:val="15"/>
                <w:szCs w:val="15"/>
                <w:color w:val="auto"/>
              </w:rPr>
              <w:t>Tax effect of total adjustments</w:t>
            </w:r>
            <w:r>
              <w:rPr>
                <w:rFonts w:ascii="Arial" w:cs="Arial" w:eastAsia="Arial" w:hAnsi="Arial"/>
                <w:sz w:val="25"/>
                <w:szCs w:val="25"/>
                <w:color w:val="auto"/>
                <w:vertAlign w:val="superscript"/>
              </w:rPr>
              <w:t>(l)</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(15,044)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(12,283)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(20,152)</w:t>
            </w:r>
          </w:p>
        </w:tc>
      </w:tr>
      <w:tr>
        <w:trPr>
          <w:trHeight w:val="27"/>
        </w:trPr>
        <w:tc>
          <w:tcPr>
            <w:tcW w:w="20" w:type="dxa"/>
            <w:vAlign w:val="bottom"/>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5220" w:type="dxa"/>
            <w:vAlign w:val="bottom"/>
            <w:gridSpan w:val="3"/>
          </w:tcPr>
          <w:p>
            <w:pPr>
              <w:spacing w:after="0"/>
              <w:rPr>
                <w:sz w:val="20"/>
                <w:szCs w:val="20"/>
                <w:color w:val="auto"/>
              </w:rPr>
            </w:pPr>
            <w:r>
              <w:rPr>
                <w:rFonts w:ascii="Arial" w:cs="Arial" w:eastAsia="Arial" w:hAnsi="Arial"/>
                <w:sz w:val="16"/>
                <w:szCs w:val="16"/>
                <w:b w:val="1"/>
                <w:bCs w:val="1"/>
                <w:color w:val="auto"/>
              </w:rPr>
              <w:t>Adjusted Net Income</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26,184</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33,183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33,081</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03" w:lineRule="exact"/>
        <w:rPr>
          <w:sz w:val="20"/>
          <w:szCs w:val="20"/>
          <w:color w:val="auto"/>
        </w:rPr>
      </w:pPr>
    </w:p>
    <w:p>
      <w:pPr>
        <w:ind w:left="800" w:hanging="342"/>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109" w:lineRule="exact"/>
        <w:rPr>
          <w:rFonts w:ascii="Arial" w:cs="Arial" w:eastAsia="Arial" w:hAnsi="Arial"/>
          <w:sz w:val="14"/>
          <w:szCs w:val="14"/>
          <w:color w:val="auto"/>
        </w:rPr>
      </w:pPr>
    </w:p>
    <w:p>
      <w:pPr>
        <w:ind w:left="800" w:hanging="342"/>
        <w:spacing w:after="0" w:line="252" w:lineRule="auto"/>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$2.6 million of fees associated with the borrowing of $150.0 million in additional principal under our first lien credit agreement during the second fiscal quarter of 2015, $2.7 million of fees associated with the borrowing of $175.0 million in additional principal under our first lien credit agreement in the first quarter of 2017 and $1.8 million of fees associated with the refinancing of our first lien credit agreement in the fourth quarter of 2017.</w:t>
      </w:r>
    </w:p>
    <w:p>
      <w:pPr>
        <w:spacing w:after="0" w:line="80" w:lineRule="exact"/>
        <w:rPr>
          <w:rFonts w:ascii="Arial" w:cs="Arial" w:eastAsia="Arial" w:hAnsi="Arial"/>
          <w:sz w:val="14"/>
          <w:szCs w:val="14"/>
          <w:color w:val="auto"/>
        </w:rPr>
      </w:pPr>
    </w:p>
    <w:p>
      <w:pPr>
        <w:jc w:val="both"/>
        <w:ind w:left="800" w:right="40" w:hanging="342"/>
        <w:spacing w:after="0" w:line="257" w:lineRule="auto"/>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Non-cash charges related to impairment of long-lived assets, primarily goodwill in our Vista Optical in Fred Meyer brand and our AC Lens business during fiscal years 2015 and 2016. Reflects write-off of a cost basis investment, and write-off of capitalized software and property and equipment for the fiscal year 2017.</w:t>
      </w:r>
    </w:p>
    <w:p>
      <w:pPr>
        <w:spacing w:after="0" w:line="77" w:lineRule="exact"/>
        <w:rPr>
          <w:rFonts w:ascii="Arial" w:cs="Arial" w:eastAsia="Arial" w:hAnsi="Arial"/>
          <w:sz w:val="14"/>
          <w:szCs w:val="14"/>
          <w:color w:val="auto"/>
        </w:rPr>
      </w:pPr>
    </w:p>
    <w:p>
      <w:pPr>
        <w:ind w:left="800" w:hanging="342"/>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109" w:lineRule="exact"/>
        <w:rPr>
          <w:rFonts w:ascii="Arial" w:cs="Arial" w:eastAsia="Arial" w:hAnsi="Arial"/>
          <w:sz w:val="14"/>
          <w:szCs w:val="14"/>
          <w:color w:val="auto"/>
        </w:rPr>
      </w:pPr>
    </w:p>
    <w:p>
      <w:pPr>
        <w:ind w:left="800" w:right="120" w:hanging="342"/>
        <w:spacing w:after="0" w:line="257" w:lineRule="auto"/>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 The monitoring agreement was terminated automatically in accordance with its terms upon the consummation of the IPO and we paid termination fees of approximately $3.6 million and $0.8 million to KKR Sponsor and Berkshire, respectively.</w:t>
      </w:r>
    </w:p>
    <w:p>
      <w:pPr>
        <w:spacing w:after="0" w:line="77" w:lineRule="exact"/>
        <w:rPr>
          <w:rFonts w:ascii="Arial" w:cs="Arial" w:eastAsia="Arial" w:hAnsi="Arial"/>
          <w:sz w:val="14"/>
          <w:szCs w:val="14"/>
          <w:color w:val="auto"/>
        </w:rPr>
      </w:pPr>
    </w:p>
    <w:p>
      <w:pPr>
        <w:ind w:left="800" w:right="40" w:hanging="342"/>
        <w:spacing w:after="0" w:line="249" w:lineRule="auto"/>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w:t>
      </w:r>
    </w:p>
    <w:p>
      <w:pPr>
        <w:sectPr>
          <w:pgSz w:w="11900" w:h="16838" w:orient="portrait"/>
          <w:cols w:equalWidth="0" w:num="1">
            <w:col w:w="9440"/>
          </w:cols>
          <w:pgMar w:left="1180" w:top="279" w:right="127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type w:val="continuous"/>
        </w:sectPr>
      </w:pPr>
    </w:p>
    <w:bookmarkStart w:id="24" w:name="page25"/>
    <w:bookmarkEnd w:id="2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33915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92825" cy="3391535"/>
                    </a:xfrm>
                    <a:prstGeom prst="rect">
                      <a:avLst/>
                    </a:prstGeom>
                    <a:noFill/>
                  </pic:spPr>
                </pic:pic>
              </a:graphicData>
            </a:graphic>
          </wp:anchor>
        </w:drawing>
      </w:r>
    </w:p>
    <w:p>
      <w:pPr>
        <w:spacing w:after="0" w:line="255" w:lineRule="exact"/>
        <w:rPr>
          <w:sz w:val="20"/>
          <w:szCs w:val="20"/>
          <w:color w:val="auto"/>
        </w:rPr>
      </w:pPr>
    </w:p>
    <w:p>
      <w:pPr>
        <w:ind w:left="800" w:right="40" w:hanging="342"/>
        <w:spacing w:after="0" w:line="252"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spacing w:after="0" w:line="80" w:lineRule="exact"/>
        <w:rPr>
          <w:rFonts w:ascii="Arial" w:cs="Arial" w:eastAsia="Arial" w:hAnsi="Arial"/>
          <w:sz w:val="14"/>
          <w:szCs w:val="14"/>
          <w:color w:val="auto"/>
        </w:rPr>
      </w:pPr>
    </w:p>
    <w:p>
      <w:pPr>
        <w:ind w:left="800" w:right="220" w:hanging="342"/>
        <w:spacing w:after="0" w:line="273"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“Legal Proceedings” and Note 12 in our audited consolidated financial statements, each in our Annual Report, incorporated by reference in this prospectus, for further details.</w:t>
      </w:r>
    </w:p>
    <w:p>
      <w:pPr>
        <w:spacing w:after="0" w:line="65" w:lineRule="exact"/>
        <w:rPr>
          <w:rFonts w:ascii="Arial" w:cs="Arial" w:eastAsia="Arial" w:hAnsi="Arial"/>
          <w:sz w:val="14"/>
          <w:szCs w:val="14"/>
          <w:color w:val="auto"/>
        </w:rPr>
      </w:pPr>
    </w:p>
    <w:p>
      <w:pPr>
        <w:ind w:left="800" w:right="20" w:hanging="342"/>
        <w:spacing w:after="0" w:line="266" w:lineRule="auto"/>
        <w:tabs>
          <w:tab w:leader="none" w:pos="8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$0.9 million, $1.4 million and $1.0 million for fiscal years 2015, 2016 and 2017, respectively; the amortization impact of the KKR Acquisition-related adjustments (e.g., fair value of leasehold interests) of $(1.3) million, $(0.7) million and $(0.3) million for fiscal years 2015, 2016 and 2017, respectively; expenses related to preparation for being an SEC registrant that were not directly attributable to the IPO and therefore not charged to equity of $0.5 million, $2.0 million and $1.8 million for fiscal years 2015, 2016 and 2017, respectively; differences between the timing of expense versus cash payments related to contributions to charitable organizations of $3.0 million, $(1.0) million and $(1.0) million for fiscal years 2015, 2016 and 2017, respectively; costs of severance and relocation of $0.5 million, $1.1 million and $1.4 million for fiscal years 2015, 2016 and 2017, respectively; non-cash write-down of property and equipment of $0.2 million, $0.2 million and $0.4 million for fiscal years 2015, 2016 and 2017, respectively; and other expenses and adjustments totaling $0.8 million, $0.6 million and $0.6 million for fiscal years 2015, 2016 and 2017, respectively.</w:t>
      </w:r>
    </w:p>
    <w:p>
      <w:pPr>
        <w:spacing w:after="0" w:line="71" w:lineRule="exact"/>
        <w:rPr>
          <w:rFonts w:ascii="Arial" w:cs="Arial" w:eastAsia="Arial" w:hAnsi="Arial"/>
          <w:sz w:val="13"/>
          <w:szCs w:val="13"/>
          <w:color w:val="auto"/>
        </w:rPr>
      </w:pPr>
    </w:p>
    <w:p>
      <w:pPr>
        <w:ind w:left="800" w:hanging="342"/>
        <w:spacing w:after="0" w:line="246"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Amortization of acquisition intangibles related to the increase in the carrying values of definite-lived intangible assets resulting from the application of purchase accounting to the KKR Acquisition of $7.4 million for each of fiscal years 2015, 2016 and 2017. Amortization of deferred financing costs is primarily associated with the March 2014 term loan borrowings in connection with the KKR Acquisition and, to a lesser extent, amortization of debt discounts associated with the May 2015 and February 2017 incremental first lien term loans and the November 2017 first lien refinancing, aggregating to $3.8 million, $3.9 million and $7.1 million for fiscal years 2015, 2016 and 2017, respectively. The $7.1 million amortization of deferred financing costs in 2017 includes $3.3 million of the write-off of debt discounts associated with the repayment of all outstanding $125 million of second lien term loans in November 2017.</w:t>
      </w:r>
    </w:p>
    <w:p>
      <w:pPr>
        <w:spacing w:after="0" w:line="87" w:lineRule="exact"/>
        <w:rPr>
          <w:rFonts w:ascii="Arial" w:cs="Arial" w:eastAsia="Arial" w:hAnsi="Arial"/>
          <w:sz w:val="14"/>
          <w:szCs w:val="14"/>
          <w:color w:val="auto"/>
        </w:rPr>
      </w:pPr>
    </w:p>
    <w:p>
      <w:pPr>
        <w:ind w:left="800" w:right="20" w:hanging="342"/>
        <w:spacing w:after="0" w:line="257"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adjustment represents re-measuring and reassessing the net realizability of our deferred tax assets and liabilities during fiscal year 2017. See Note 6 “Income Taxes” in our audited consolidated financial statements incorporated by reference in this prospectus for additional information regarding the 2017 Tax Cuts and Jobs Act.</w:t>
      </w:r>
    </w:p>
    <w:p>
      <w:pPr>
        <w:spacing w:after="0" w:line="77" w:lineRule="exact"/>
        <w:rPr>
          <w:rFonts w:ascii="Arial" w:cs="Arial" w:eastAsia="Arial" w:hAnsi="Arial"/>
          <w:sz w:val="14"/>
          <w:szCs w:val="14"/>
          <w:color w:val="auto"/>
        </w:rPr>
      </w:pPr>
    </w:p>
    <w:p>
      <w:pPr>
        <w:ind w:left="800" w:hanging="342"/>
        <w:spacing w:after="0"/>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estimated effective tax rate.</w:t>
      </w: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i w:val="1"/>
          <w:iCs w:val="1"/>
          <w:color w:val="auto"/>
        </w:rPr>
        <w:t>An investment in our common stock involves risk. You should carefully consider the risks and uncertainties described below, together with all of the other information included or incorporated by reference in this prospectus, including the risks and uncertainties discussed under the “Summary Historical Consolidated Financial and Other Data” contained elsewhere in this prospectus and “Risk Factors,” “Management’s Discussion and Analysis of Financial Condition and Results of Operations,” and our audited consolidated financial statements and related notes thereto in our Annual Report, which is incorporated by reference in this prospectus, before investing in our common stock. Any of the following risks could materially and adversely affect our business, financial condition, or results of operations. The selected risks described below or incorporated by reference in this prospectus, however,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spacing w:after="0" w:line="357" w:lineRule="auto"/>
        <w:rPr>
          <w:sz w:val="20"/>
          <w:szCs w:val="20"/>
          <w:color w:val="auto"/>
        </w:rPr>
      </w:pPr>
      <w:r>
        <w:rPr>
          <w:rFonts w:ascii="Arial" w:cs="Arial" w:eastAsia="Arial" w:hAnsi="Arial"/>
          <w:sz w:val="15"/>
          <w:szCs w:val="15"/>
          <w:b w:val="1"/>
          <w:bCs w:val="1"/>
          <w:i w:val="1"/>
          <w:iCs w:val="1"/>
          <w:color w:val="auto"/>
        </w:rPr>
        <w:t>Our stock price may be volatile or may decline regardless of our operating performance, and you may not be able to resell shares of our common stock at or above the price you paid or at all, and you could lose all or part of your investment as a result.</w:t>
      </w:r>
    </w:p>
    <w:p>
      <w:pPr>
        <w:ind w:right="80" w:firstLine="360"/>
        <w:spacing w:after="0" w:line="302" w:lineRule="auto"/>
        <w:rPr>
          <w:sz w:val="20"/>
          <w:szCs w:val="20"/>
          <w:color w:val="auto"/>
        </w:rPr>
      </w:pPr>
      <w:r>
        <w:rPr>
          <w:rFonts w:ascii="Arial" w:cs="Arial" w:eastAsia="Arial" w:hAnsi="Arial"/>
          <w:sz w:val="16"/>
          <w:szCs w:val="16"/>
          <w:color w:val="auto"/>
        </w:rPr>
        <w:t>We completed our IPO in October 2017. Since our IPO, the price of our common stock, as reported on NASDAQ, has ranged from a low of $27.19 on October 26, 2017 to a high of $43.80 on January 19, 2018. The trading price of our common stock may be volatile and may be adversely affected due to a number of factors, most of which we cannot control, including those listed under “Risk Factors” in our Annual Report, which is incorporated by reference in this prospectus, and the following:</w:t>
      </w:r>
    </w:p>
    <w:p>
      <w:pPr>
        <w:spacing w:after="0" w:line="46" w:lineRule="exact"/>
        <w:rPr>
          <w:sz w:val="20"/>
          <w:szCs w:val="20"/>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17" w:lineRule="exact"/>
        <w:rPr>
          <w:rFonts w:ascii="Arial" w:cs="Arial" w:eastAsia="Arial" w:hAnsi="Arial"/>
          <w:sz w:val="18"/>
          <w:szCs w:val="18"/>
          <w:color w:val="auto"/>
        </w:rPr>
      </w:pPr>
    </w:p>
    <w:p>
      <w:pPr>
        <w:ind w:left="700" w:right="1040" w:hanging="356"/>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optical retail companies;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17" w:lineRule="exact"/>
        <w:rPr>
          <w:rFonts w:ascii="Arial" w:cs="Arial" w:eastAsia="Arial" w:hAnsi="Arial"/>
          <w:sz w:val="18"/>
          <w:szCs w:val="18"/>
          <w:color w:val="auto"/>
        </w:rPr>
      </w:pPr>
    </w:p>
    <w:p>
      <w:pPr>
        <w:ind w:left="700" w:right="220" w:hanging="356"/>
        <w:spacing w:after="0" w:line="264"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or our host and legacy organizations of significant contracts, price reductions, new products or technologies, acquisitions, joint marketing relationships, joint ventures, other strategic relationships or capital commitments;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preference of our customers;</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consumer spending environment;</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117" w:lineRule="exact"/>
        <w:rPr>
          <w:rFonts w:ascii="Arial" w:cs="Arial" w:eastAsia="Arial" w:hAnsi="Arial"/>
          <w:sz w:val="18"/>
          <w:szCs w:val="18"/>
          <w:color w:val="auto"/>
        </w:rPr>
      </w:pPr>
    </w:p>
    <w:p>
      <w:pPr>
        <w:ind w:left="700" w:right="440" w:hanging="356"/>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investor perceptions of or the investment opportunity associated with our common stock relative to other investment alternatives;</w:t>
      </w:r>
    </w:p>
    <w:p>
      <w:pPr>
        <w:spacing w:after="0" w:line="62"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17" w:lineRule="exact"/>
        <w:rPr>
          <w:rFonts w:ascii="Arial" w:cs="Arial" w:eastAsia="Arial" w:hAnsi="Arial"/>
          <w:sz w:val="18"/>
          <w:szCs w:val="18"/>
          <w:color w:val="auto"/>
        </w:rPr>
      </w:pPr>
    </w:p>
    <w:p>
      <w:pPr>
        <w:ind w:left="700" w:right="24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natural disasters, war, acts of terrorism or responses to these events.</w:t>
      </w:r>
    </w:p>
    <w:p>
      <w:pPr>
        <w:spacing w:after="0" w:line="62" w:lineRule="exact"/>
        <w:rPr>
          <w:sz w:val="20"/>
          <w:szCs w:val="20"/>
          <w:color w:val="auto"/>
        </w:rPr>
      </w:pPr>
    </w:p>
    <w:p>
      <w:pPr>
        <w:jc w:val="both"/>
        <w:ind w:right="100" w:firstLine="360"/>
        <w:spacing w:after="0" w:line="259" w:lineRule="auto"/>
        <w:rPr>
          <w:sz w:val="20"/>
          <w:szCs w:val="20"/>
          <w:color w:val="auto"/>
        </w:rPr>
      </w:pPr>
      <w:r>
        <w:rPr>
          <w:rFonts w:ascii="Arial" w:cs="Arial" w:eastAsia="Arial" w:hAnsi="Arial"/>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79"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16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75" w:lineRule="exact"/>
        <w:rPr>
          <w:sz w:val="20"/>
          <w:szCs w:val="20"/>
          <w:color w:val="auto"/>
        </w:rPr>
      </w:pPr>
    </w:p>
    <w:p>
      <w:pPr>
        <w:ind w:right="220" w:firstLine="360"/>
        <w:spacing w:after="0" w:line="293"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See “Dividend Policy.”</w:t>
      </w:r>
    </w:p>
    <w:p>
      <w:pPr>
        <w:spacing w:after="0" w:line="57"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As a result, you may not receive any return on an investment in our common stock unless you sell our common stock for a price greater than your purchase price.</w:t>
      </w:r>
    </w:p>
    <w:p>
      <w:pPr>
        <w:spacing w:after="0" w:line="15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75"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145"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75"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145"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Maintaining the requirements of being a public company may strain our resources, divert management’s attention and affect our ability to attract and retain qualified board members.</w:t>
      </w:r>
    </w:p>
    <w:p>
      <w:pPr>
        <w:spacing w:after="0" w:line="75"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As a public company, we incur significant legal, accounting, insurance and other expenses that we did not incur as a private company, including costs associated with public company governance and reporting requirements. We also have incurred and will continue to incur costs associated with our compliance with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Sarbanes-Oxley Act of 2002, or the Sarbanes-Oxley Act, and the Dodd-Frank Wall Street Reform and Consumer Protection Act, or the Dodd-Frank Act, as well as rules and regulations implemented by the SEC, and costs in connection with continued listing on NASDAQ. Our efforts to comply with these rules and regulations have significantly increased our legal and financial compliance costs, including costs associated with the hiring of additional personnel, and have made some activities more difficult, time-consuming or costly. Our management devote a substantial amount of time to ensure that we comply with all of these requirements, diverting the attention of management away from revenue-producing activities. The expenses incurred by public companies generally for reporting and corporate governance purposes have been increasing.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74"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b w:val="1"/>
          <w:bCs w:val="1"/>
          <w:i w:val="1"/>
          <w:iCs w:val="1"/>
          <w:color w:val="auto"/>
        </w:rPr>
        <w:t>Failure to comply with requirements to design, implement and maintain effective internal controls could have a material adverse effect on our business and stock price, and any failure to maintain financial controls could result in our financial statements becoming unreliable. We currently have material weaknesses in our internal control over financial reporting.</w:t>
      </w:r>
    </w:p>
    <w:p>
      <w:pPr>
        <w:spacing w:after="0" w:line="54"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As a public company, we have significant requirements for enhanced financial reporting and internal controls. We have made, and will continue to make, changes to our internal controls and procedures for financial reporting and accounting systems to meet our reporting obligations as a public company.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measures we take may not be sufficient to satisfy our obligations as a public company and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404(a) of the Sarbanes-Oxley Act, or Section 404, to furnish a report by management on, among other things, the effectiveness of our internal control over financial reporting in the annual report for the fiscal year ending December 29, 2018.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Our independent registered public accounting firm will be required to issue an attestation report on the effectiveness of our internal controls in the annual report for the fiscal year ending December 29, 2018.</w:t>
      </w:r>
    </w:p>
    <w:p>
      <w:pPr>
        <w:spacing w:after="0" w:line="70"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In connection with the implementation of the necessary procedures and practices related to internal control over financial reporting, we have identified and may identify additional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80"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As disclosed in the final prospectus for our IPO, management concluded that we have material weaknesses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identified a deficiency in the design of controls related to the timely detection of damaged, expired or expiring contact lens inventory for purposes of recording inventory at net realizable value. We also identified a material weakness related to a deficiency in the design of entity level controls to identify and assess changes in our business environment that could significantly impact the system of internal control over financial reporting. As a result of these material weaknesses, we wrote off $2.3 million of inventory related to the expired or expiring contact lens inventory in fiscal year 2017. As a result of the material weakness in our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entity level controls, we overstated net sales of services and plans in our legacy segment and consolidated net sales of services and plans and understated net product sales in our legacy segment and consolidated net product sales by $7.2 million and $7.6 million for fiscal years 2016 and 2015, respectively. We have designed and are implementing controls to remediate these material weaknesses. These remediation measures may be time consuming, costly, and may place significant demands on our financial and operational resources. Our efforts to remediate these material weaknesses may not be effective. If our efforts to remediate these material weaknesses are not successful, the remediated material weaknesses may reoccur or related material weaknesses could occur in the future.</w:t>
      </w:r>
    </w:p>
    <w:p>
      <w:pPr>
        <w:spacing w:after="0" w:line="8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Our testing, or the subsequent testing by our independent registered public accounting firm, may reveal deficiencies in our internal controls over financial reporting that are deemed to be material weaknesses in addition to the material weaknesses described above. The material weaknesses described above or any newly-identified material weaknesses could result in a material misstatement of our annual or quarterly consolidated financial statements or disclosures that may not be prevented or detected.</w:t>
      </w:r>
    </w:p>
    <w:p>
      <w:pPr>
        <w:spacing w:after="0" w:line="46"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59"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75" w:lineRule="exact"/>
        <w:rPr>
          <w:sz w:val="20"/>
          <w:szCs w:val="20"/>
          <w:color w:val="auto"/>
        </w:rPr>
      </w:pPr>
    </w:p>
    <w:p>
      <w:pPr>
        <w:jc w:val="both"/>
        <w:ind w:right="80" w:firstLine="360"/>
        <w:spacing w:after="0" w:line="259" w:lineRule="auto"/>
        <w:rPr>
          <w:sz w:val="20"/>
          <w:szCs w:val="20"/>
          <w:color w:val="auto"/>
        </w:rPr>
      </w:pPr>
      <w:r>
        <w:rPr>
          <w:rFonts w:ascii="Arial" w:cs="Arial" w:eastAsia="Arial" w:hAnsi="Arial"/>
          <w:sz w:val="18"/>
          <w:szCs w:val="18"/>
          <w:color w:val="auto"/>
        </w:rPr>
        <w:t>After this offering, the sale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79"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Upon the consummation of this offering, we will have a total of 74,656,175 shares of our common stock outstanding. Of the outstanding shares, the 30,170,000 shares sold in the IPO and this offering (or 31,970,000 shares if the underwriters exercise in full their option to purchase additional shares in this offering) will be freely tradable without restriction or further registration under the Securities Act of 1933, as amended, or the Securities Act. Additionally, in connection with this offering, our board of directors, or the Board of Directors, will, pursuant to the management stockholder’s agreements, elect to waive the transfer restrictions with respect to the number of shares of our common stock that management stockholders not participating in this offering would have been eligible to sell in this offering if they had exercised their piggyback registration rights. Of these shares, 740,053 shares are held by non-executive officers and as such, may be sold during the 90-day lock-up period after this offering, subject to compliance with our securities trading policy and applicable securities laws.</w:t>
      </w:r>
    </w:p>
    <w:p>
      <w:pPr>
        <w:spacing w:after="0" w:line="74"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The 43,533,321 shares of common stock (or 41,733,321 shares if the underwriters exercise in full their option to purchase additional shares) held by affiliates of KKR Sponsor, affiliates of Berkshire and our directors and executive officers after this offering, representing 58.3% (or 55.9% if the underwriters exercise in full their option to purchase additional shares) of the total outstanding shares of our common stock following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81"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In connection with this offering, we, our directors and executive officers and the selling stockholders have signed lock-up agreements with the underwriters that, subject to certain exceptions, restrict the disposition of, or hedging with respect to, the shares of our common stock or securities convertible into or exchangeable for shares of common stock, each held by them for days following the date of this prospectus, except with the prior written consent of any two of Merrill Lynch, Pierce, Fenner &amp; Smith Incorporated, Citigroup Global Markets Inc. and Goldman Sachs &amp; Co. LLC. See “Underwriting (Conflicts of Interest)” for a description of these lock-up agreements. In addition, holders of substantially all of our common stock outstanding prior to the IPO agreed to not transfer shares of their common stock, except in certain circumstances, until the date that is 180 days from the date of the final prospectus for the IPO. The representatives of the underwriters of the IPO have waived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certain of such initial public offering lock-up agreements to permit the filing of this registration statement by the Company and the sale of our common stock in this offering by the selling stockholders (which include officers of the Company). In addition, at closing of this offering, the representatives of the underwriters of the IPO are expected to waive the restrictions in certain of the initial public offering lock-up agreements to permit officers who are not selling in the offering to sell or otherwise transfer an aggregate of 567,654 shares of common stock (subject, in the case of executive officers, to restrictions in the lock-up agreements entered into in connection with this offering).</w:t>
      </w:r>
    </w:p>
    <w:p>
      <w:pPr>
        <w:spacing w:after="0" w:line="85"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We expect that KKR Sponsor and certain of its affiliates will be considered an affiliate upon the expiration of the lock-up period based on their expected share ownership, as well as their board nomination rights. We also expect that Berkshire and certain of its affiliates will be considered an affiliate upon the expiration of the lock-up period based on their expected share ownership, as well as their board nomination rights. Certain other of our stockholders may also be considered affiliates at that time.</w:t>
      </w:r>
    </w:p>
    <w:p>
      <w:pPr>
        <w:spacing w:after="0" w:line="46"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In addition, pursuant to a registration rights agreement, each of the Sponsors has the right, subject to certain conditions, to require us to register the sale of their shares of our common stock under the Securities Act. By exercising its registration rights and selling a large number of shares, a Sponsor could cause the prevailing market price of our common stock to decline. Certain of our other stockholders have “piggyback” registration rights with respect to future registered offerings of our common stock. Following completion of this offering, the shares covered by registration rights would represent approximately 58.2% of our total common stock outstanding (or 55.6% if the underwriters exercise in full their option to purchase additional shares). Registration of any of these outstanding shares of common stock would result in such shares becoming freely tradable without compliance with Rule 144 upon effectiveness of the registration statement. See “Shares Eligible for Future Sale.”</w:t>
      </w:r>
    </w:p>
    <w:p>
      <w:pPr>
        <w:spacing w:after="0" w:line="58"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14,585,568 shares of our common stock subject to our outstanding options or subject to issuance under our 2013 Equity Incentive Plan, our 2014 Stock Incentive Plan and our 2017 Omnibus Incentive Plan have been registered with a registration statement on Form S-8 and will be available for sale in the open market, subject to limitations in the management stockholder’s agreements. As of February 28, 2018, there were stock options outstanding to purchase a total of 10,608,559 shares of our common stock and 182,234 shares of our common stock subject to restricted stock units. In addition, as of February 28, 2018, 3,794,775 shares of our common stock were reserved for future issuance under our incentive plans.</w:t>
      </w:r>
    </w:p>
    <w:p>
      <w:pPr>
        <w:spacing w:after="0" w:line="70"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79"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In the future, we may also issue our securities in connection with investments or acquisitions. The number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We are a “controlled company” within the meaning of NASDAQ rules and the rules of the SEC and, as a result, qualify for, and rely on, exemptions from certain corporate governance requirements. You will not have the same protections afforded to stockholders of other companies that are subject to such requirements.</w:t>
      </w:r>
    </w:p>
    <w:p>
      <w:pPr>
        <w:spacing w:after="0" w:line="74"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After completion of this offering, the Sponsors will continue to control a majority of the voting power of our outstanding common stock. As a result, we will continue to be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requirements that:</w:t>
      </w:r>
    </w:p>
    <w:p>
      <w:pPr>
        <w:spacing w:after="0" w:line="80" w:lineRule="exact"/>
        <w:rPr>
          <w:sz w:val="20"/>
          <w:szCs w:val="20"/>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rules of NASDAQ;</w:t>
      </w:r>
    </w:p>
    <w:p>
      <w:pPr>
        <w:spacing w:after="0" w:line="117"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Board of Directors have a compensation committee that is composed entirely of independent directors with a written charter addressing the committee purpose and responsibilities;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00" w:right="300" w:hanging="356"/>
        <w:spacing w:after="0" w:line="264"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73"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Because we utilize these exemptions, we do not have a majority of independent directors, our compensation committee does not consist entirely of independent directors and our director nominations are not made, or recommended to the full Board of Directors, by our independent directors and we do not have a nominating/corporate governance committee. Accordingly, you will not have the same protections afforded to stockholders of companies that are subject to all of the corporate governance requirements of NASDAQ.</w:t>
      </w:r>
    </w:p>
    <w:p>
      <w:pPr>
        <w:spacing w:after="0" w:line="80"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addition, Rule 10C-1 under the Securities Exchange Act of 1934, as amended, or the Exchange Act, implements provisions of the Dodd-Frank Act pertaining to compensation committee independence and the role and disclosure of compensation consultants and other advisers to the compensation committee. The listing standards of the national securities exchanges (including NASDAQ) comply with provisions of Rule 10C-1 and require, among others, that:</w:t>
      </w:r>
    </w:p>
    <w:p>
      <w:pPr>
        <w:spacing w:after="0" w:line="79" w:lineRule="exact"/>
        <w:rPr>
          <w:sz w:val="20"/>
          <w:szCs w:val="20"/>
          <w:color w:val="auto"/>
        </w:rPr>
      </w:pPr>
    </w:p>
    <w:p>
      <w:pPr>
        <w:ind w:left="700" w:right="620" w:hanging="356"/>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compensation committees be composed of fully independent directors, as determined pursuant to new and existing independence requirements;</w:t>
      </w:r>
    </w:p>
    <w:p>
      <w:pPr>
        <w:spacing w:after="0" w:line="62" w:lineRule="exact"/>
        <w:rPr>
          <w:rFonts w:ascii="Arial" w:cs="Arial" w:eastAsia="Arial" w:hAnsi="Arial"/>
          <w:sz w:val="18"/>
          <w:szCs w:val="18"/>
          <w:color w:val="auto"/>
        </w:rPr>
      </w:pPr>
    </w:p>
    <w:p>
      <w:pPr>
        <w:ind w:left="700" w:right="240" w:hanging="356"/>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compensation committees be explicitly charged with hiring and overseeing compensation consultants, legal counsel and other committee advisers; and</w:t>
      </w:r>
    </w:p>
    <w:p>
      <w:pPr>
        <w:spacing w:after="0" w:line="62" w:lineRule="exact"/>
        <w:rPr>
          <w:rFonts w:ascii="Arial" w:cs="Arial" w:eastAsia="Arial" w:hAnsi="Arial"/>
          <w:sz w:val="18"/>
          <w:szCs w:val="18"/>
          <w:color w:val="auto"/>
        </w:rPr>
      </w:pPr>
    </w:p>
    <w:p>
      <w:pPr>
        <w:ind w:left="700" w:right="120" w:hanging="356"/>
        <w:spacing w:after="0" w:line="264"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compensation committees be required to consider, when engaging compensation consultants, legal counsel or other advisers, certain independence factors, including factors that examine the relationship between the consultant or adviser’s employer and us.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a “controlled company,” we are not subject to these compensation committee independence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Sponsors control us and their interests may conflict with ours or yours in the future.</w:t>
      </w:r>
    </w:p>
    <w:p>
      <w:pPr>
        <w:spacing w:after="0" w:line="117"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Immediately following this offering, the Sponsors will beneficially own 55.9% of our common stock, or 53.6% if the underwriters exercise in full their option to purchase additional shares. As a result, the Sponsors will be able to continue to control the election and removal of our directors and thereby control our policies and operations, including the appointment of management, future issuances of our common stock or other securities, payment of dividends, if any, on our common stock, the incurrence or modification of indebtedness by us, amendment of our amended and restated certificate of incorporation and amended and restated bylaws and the entering into of extraordinary transactions, and their interests may not in all cases be aligned with your interests. In addition, the Sponsors and their affiliates may have an interest in pursuing acquisitions, divestitures and other transactions that, in their judgment, could enhance their investment, even though such transactions might involve risks to you. For example, the Sponsors could cause us to make acquisitions that increase our indebtedness or cause us to sell revenue-generating assets.</w:t>
      </w:r>
    </w:p>
    <w:p>
      <w:pPr>
        <w:spacing w:after="0" w:line="59"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Our Sponsors and their affiliates are in the business of making investments in companies and may from time to time acquire and hold interests in businesses that compete directly or indirectly with us. Our amended and restated certificate of incorporation provides that none of the Sponsors, any of their affiliates or any director who is not employed by us (including any non-employee director who serves as one of our officers in both his director and officer capacities) or his or her affiliates have any duty to refrain from engaging, directly or indirectly, in the same business activities or similar business activities or lines of business in which we operate. The Sponsors and their affiliates also may pursue acquisition opportunities that may be complementary to our business and, as a result, those acquisition opportunities may not be available to us.</w:t>
      </w:r>
    </w:p>
    <w:p>
      <w:pPr>
        <w:spacing w:after="0" w:line="70"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In addition, the Sponsors and their affiliates will be able to determine the outcome of all matters requiring stockholder approval and will be able to cause or prevent a change of control of our company or a change in the composition of our Board of Directors and could preclude any acquisition of our company. This concentration of voting control could deprive you of an opportunity to receive a premium for your shares of common stock as part of a sale of our company and ultimately might affect the market price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may have an anti-takeover effect and may delay, defer or prevent a merger, acquisition, tender offer, takeover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attempt, or other change of control transaction that a stockholder might consider in its best interest, including those attempts that might result in a premium over the market price for the shares held by our stockholders.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provisions provide for, among other things:</w:t>
      </w:r>
    </w:p>
    <w:p>
      <w:pPr>
        <w:spacing w:after="0" w:line="117" w:lineRule="exact"/>
        <w:rPr>
          <w:sz w:val="20"/>
          <w:szCs w:val="20"/>
          <w:color w:val="auto"/>
        </w:rPr>
      </w:pPr>
    </w:p>
    <w:p>
      <w:pPr>
        <w:ind w:left="700" w:right="34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17" w:lineRule="exact"/>
        <w:rPr>
          <w:rFonts w:ascii="Arial" w:cs="Arial" w:eastAsia="Arial" w:hAnsi="Arial"/>
          <w:sz w:val="18"/>
          <w:szCs w:val="18"/>
          <w:color w:val="auto"/>
        </w:rPr>
      </w:pPr>
    </w:p>
    <w:p>
      <w:pPr>
        <w:ind w:left="700" w:right="30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07" w:lineRule="exact"/>
        <w:rPr>
          <w:rFonts w:ascii="Arial" w:cs="Arial" w:eastAsia="Arial" w:hAnsi="Arial"/>
          <w:sz w:val="18"/>
          <w:szCs w:val="18"/>
          <w:color w:val="auto"/>
        </w:rPr>
      </w:pPr>
    </w:p>
    <w:p>
      <w:pPr>
        <w:jc w:val="both"/>
        <w:ind w:left="700" w:right="20" w:hanging="356"/>
        <w:spacing w:after="0" w:line="233" w:lineRule="auto"/>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removal of directors only for cause and only upon the affirmative vote of the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shares of common stock entitled to vote generally in the election of directors if the Sponsors and their affiliates cease to beneficially own at least 40% of shares of common stock entitled to vote generally in the election of directors; and</w:t>
      </w:r>
    </w:p>
    <w:p>
      <w:pPr>
        <w:spacing w:after="0" w:line="86" w:lineRule="exact"/>
        <w:rPr>
          <w:rFonts w:ascii="Arial" w:cs="Arial" w:eastAsia="Arial" w:hAnsi="Arial"/>
          <w:sz w:val="17"/>
          <w:szCs w:val="17"/>
          <w:color w:val="auto"/>
        </w:rPr>
      </w:pPr>
    </w:p>
    <w:p>
      <w:pPr>
        <w:ind w:left="700" w:right="80" w:hanging="356"/>
        <w:spacing w:after="0" w:line="222"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w:t>
      </w:r>
      <w:r>
        <w:rPr>
          <w:rFonts w:ascii="Arial" w:cs="Arial" w:eastAsia="Arial" w:hAnsi="Arial"/>
          <w:sz w:val="27"/>
          <w:szCs w:val="27"/>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shares of common stock entitled to vote generally in the election of directors if the Sponsors and their affiliates cease to beneficially own at least 40% of shares of common stock entitled to vote generally in the election of directors.</w:t>
      </w:r>
    </w:p>
    <w:p>
      <w:pPr>
        <w:spacing w:after="0" w:line="96"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168"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Our Board of Directors is authorized to issue and designate shares of our preferred stock in additional series without stockholder approval.</w:t>
      </w:r>
    </w:p>
    <w:p>
      <w:pPr>
        <w:spacing w:after="0" w:line="75"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51"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81"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74"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40"/>
          </w:cols>
          <w:pgMar w:left="1180" w:top="279" w:right="13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Certain matters we discuss in this prospectus and in the documents we incorporate by reference herein may constitute forward-looking statements. You can identify forward-looking statements because they contain words such as “believes,” “expects,” “may,” “will,” “should,” “seeks,” “intends,” “plans,” “estimates,” or “anticipates,” or similar expressions which concern our strategy, plans, projections or intentions. These forward-looking statements relate to matters such as our industry, growth strategy, goals and expectations concerning our market position, future operations, margins, profitability, capital expenditures, liquidity and capital resources and other financial and operating information. By their nature, forward-looking statements: speak only as of the date they are made; are not statements of historical fact or guarantees of future performance; and are subject to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or incorporated by reference in this prospectus. Such risks, uncertainties, and other important factors include, among others, the risks, uncertainties and factors set forth under “Risk Factors” in this prospectus and “Risk Factors” in our Annual Report, which is incorporated herein by reference in this prospectus, and the following:</w:t>
      </w:r>
    </w:p>
    <w:p>
      <w:pPr>
        <w:spacing w:after="0" w:line="80" w:lineRule="exact"/>
        <w:rPr>
          <w:sz w:val="20"/>
          <w:szCs w:val="20"/>
          <w:color w:val="auto"/>
        </w:rPr>
      </w:pPr>
    </w:p>
    <w:p>
      <w:pPr>
        <w:ind w:left="700" w:hanging="356"/>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700" w:right="340" w:hanging="35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and our vendors’ ability to safeguard personal information and payment card data;</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growth strategy straining our existing resources and causing the performance of our existing stores to suffer;</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impact of wage rate increases, inflation, cost increases and increases in raw material prices and energy prices;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reliance on third-party reimbursement for a portion of our revenues;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117"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117" w:lineRule="exact"/>
        <w:rPr>
          <w:rFonts w:ascii="Arial" w:cs="Arial" w:eastAsia="Arial" w:hAnsi="Arial"/>
          <w:sz w:val="18"/>
          <w:szCs w:val="18"/>
          <w:color w:val="auto"/>
        </w:rPr>
      </w:pPr>
    </w:p>
    <w:p>
      <w:pPr>
        <w:ind w:left="700" w:right="280" w:hanging="35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generate sufficient cash flow to satisfy our significant debt service obligations.</w:t>
      </w:r>
    </w:p>
    <w:p>
      <w:pPr>
        <w:spacing w:after="0" w:line="11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There may be other factors that could cause our actual results to differ materially from the forward-looking statements, including factors disclosed under “Risk Factors” in this prospectus and under “Risk Factors” and “Management’s Discussion and Analysis of Financial Condition and Results of Operations” in our Annual Report, which is incorporated herein by reference. You should evaluate all forward-looking statements made, or incorporated by reference, in this prospectus in the context of these risks and uncertainties.</w:t>
      </w:r>
    </w:p>
    <w:p>
      <w:pPr>
        <w:spacing w:after="0" w:line="80"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prospectus or in the documents incorporated by reference herein apply only as of the date made and are expressly qualified in their entirety by the cautionary statements included in this prospectus or in the documents incorporated by reference herein. We undertake no obligation to publicly update or revise any forward-looking statements to reflect subsequent events or circumstances.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selling stockholders will receive all of the net proceeds from the sale of shares of our common stock offered pursuant to this prospectus. We will not receive any proceeds from the sale of shares being sold in this offering, including from any exercise by the underwriters of their option to purchase additional shares. The selling stockholders will bear the underwriting commissions and discounts, if any, attributable to their sale of our common stock, and we will bear the remaining expenses. See “Selling Stockholders.”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We do not currently anticipate paying any dividends on our common stock and currently expect to retain all future earnings for use in the operation and expansion of our business.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If we elect to pay such dividends in the future, we may reduce or discontinue entirely the payment of such dividends at any time.</w:t>
      </w:r>
    </w:p>
    <w:p>
      <w:pPr>
        <w:spacing w:after="0" w:line="71"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Because a significant portion of our operations is through our subsidiaries, our ability to pay dividends depends in part on our receipt of cash dividends from our operating subsidiaries, which may further restrict our ability to pay dividends as a result of the laws of their jurisdiction of organization, agreements of our subsidiaries or covenants under any existing and future outstanding indebtedness we or our subsidiaries incur. In addition, our ability to pay dividends is limited by covenants in our credit agreement. See “Management’s Discussion and Analysis of Financial Condition and Results of Operations— Liquidity and Capital Resources —Debt” in our Annual Report, which is incorporated herein by reference in this prospectus, for a description of the restrictions on our ability to pay dividends.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21"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Our common stock began trading publicly on NASDAQ under the symbol “EYE” as of October 26, 2017. Prior to that time, there was no public market for our common stock. As of February 28, 2018, there were 51 holders of record of our common stock. This stockholder figure does not include a substantially greater number of holders whose shares are held of record by banks, brokers, and other financial institutions. The following table sets forth the high and low intra-day sale prices per share for our common stock as reported on the NASDAQ for the period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Stock Price</w:t>
            </w:r>
          </w:p>
        </w:tc>
        <w:tc>
          <w:tcPr>
            <w:tcW w:w="10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119"/>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r>
      <w:tr>
        <w:trPr>
          <w:trHeight w:val="243"/>
        </w:trPr>
        <w:tc>
          <w:tcPr>
            <w:tcW w:w="20" w:type="dxa"/>
            <w:vAlign w:val="bottom"/>
          </w:tcPr>
          <w:p>
            <w:pPr>
              <w:spacing w:after="0"/>
              <w:rPr>
                <w:sz w:val="21"/>
                <w:szCs w:val="21"/>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30, 2017:</w:t>
            </w:r>
          </w:p>
        </w:tc>
        <w:tc>
          <w:tcPr>
            <w:tcW w:w="16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Fourth Quarter ended December 30, 2017 (from October 26, 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40.76</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29, 2018:</w:t>
            </w: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First Quarter ending March 31, 2018 (through March 14,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43.80</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32.62</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closing sale price per share of our common stock, as reported on the NASDAQ, on March 14, 2018 was $33.57.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8" w:name="page39"/>
    <w:bookmarkEnd w:id="38"/>
    <w:p>
      <w:pPr>
        <w:ind w:left="7"/>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4007"/>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30, 2017:</w:t>
      </w:r>
    </w:p>
    <w:p>
      <w:pPr>
        <w:spacing w:after="0" w:line="117" w:lineRule="exact"/>
        <w:rPr>
          <w:sz w:val="20"/>
          <w:szCs w:val="20"/>
          <w:color w:val="auto"/>
        </w:rPr>
      </w:pPr>
    </w:p>
    <w:p>
      <w:pPr>
        <w:jc w:val="both"/>
        <w:ind w:left="7" w:right="180" w:firstLine="360"/>
        <w:spacing w:after="0" w:line="259" w:lineRule="auto"/>
        <w:rPr>
          <w:sz w:val="20"/>
          <w:szCs w:val="20"/>
          <w:color w:val="auto"/>
        </w:rPr>
      </w:pPr>
      <w:r>
        <w:rPr>
          <w:rFonts w:ascii="Arial" w:cs="Arial" w:eastAsia="Arial" w:hAnsi="Arial"/>
          <w:sz w:val="18"/>
          <w:szCs w:val="18"/>
          <w:color w:val="auto"/>
        </w:rPr>
        <w:t>You should read this table in conjunction with the information contained in “Summary Historical Consolidated Financial and Other Data” included elsewhere in this prospectus, as well as “Management’s Discussion and Analysis of Financial Condition and Results of Operations” and our audited consolidated financial statements and related notes thereto in our Annual Report, which is incorporated by reference in the prospectus.</w:t>
      </w:r>
    </w:p>
    <w:p>
      <w:pPr>
        <w:spacing w:after="0" w:line="4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As of</w:t>
            </w: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30,</w:t>
            </w:r>
          </w:p>
        </w:tc>
      </w:tr>
      <w:tr>
        <w:trPr>
          <w:trHeight w:val="178"/>
        </w:trPr>
        <w:tc>
          <w:tcPr>
            <w:tcW w:w="822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par value)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8200" w:type="dxa"/>
            <w:vAlign w:val="bottom"/>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First lien term loans</w:t>
            </w:r>
            <w:r>
              <w:rPr>
                <w:rFonts w:ascii="Arial" w:cs="Arial" w:eastAsia="Arial" w:hAnsi="Arial"/>
                <w:sz w:val="28"/>
                <w:szCs w:val="28"/>
                <w:color w:val="auto"/>
                <w:vertAlign w:val="superscript"/>
              </w:rPr>
              <w:t>(1)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568,575</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200" w:type="dxa"/>
            <w:vAlign w:val="bottom"/>
            <w:gridSpan w:val="2"/>
          </w:tcPr>
          <w:p>
            <w:pPr>
              <w:ind w:left="160"/>
              <w:spacing w:after="0" w:line="243" w:lineRule="exact"/>
              <w:rPr>
                <w:sz w:val="20"/>
                <w:szCs w:val="20"/>
                <w:color w:val="auto"/>
              </w:rPr>
            </w:pPr>
            <w:r>
              <w:rPr>
                <w:rFonts w:ascii="Arial" w:cs="Arial" w:eastAsia="Arial" w:hAnsi="Arial"/>
                <w:sz w:val="17"/>
                <w:szCs w:val="17"/>
                <w:color w:val="auto"/>
              </w:rPr>
              <w:t>Revolving credit facility</w:t>
            </w:r>
            <w:r>
              <w:rPr>
                <w:rFonts w:ascii="Arial" w:cs="Arial" w:eastAsia="Arial" w:hAnsi="Arial"/>
                <w:sz w:val="28"/>
                <w:szCs w:val="28"/>
                <w:color w:val="auto"/>
                <w:vertAlign w:val="superscript"/>
              </w:rPr>
              <w:t>(2)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leases</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Unamortized debt transaction costs and prepayment premiums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(11,322)</w:t>
            </w:r>
          </w:p>
        </w:tc>
      </w:tr>
      <w:tr>
        <w:trPr>
          <w:trHeight w:val="243"/>
        </w:trPr>
        <w:tc>
          <w:tcPr>
            <w:tcW w:w="20" w:type="dxa"/>
            <w:vAlign w:val="bottom"/>
          </w:tcPr>
          <w:p>
            <w:pPr>
              <w:spacing w:after="0"/>
              <w:rPr>
                <w:sz w:val="21"/>
                <w:szCs w:val="21"/>
                <w:color w:val="auto"/>
              </w:rPr>
            </w:pPr>
          </w:p>
        </w:tc>
        <w:tc>
          <w:tcPr>
            <w:tcW w:w="8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spacing w:after="0"/>
              <w:rPr>
                <w:sz w:val="21"/>
                <w:szCs w:val="21"/>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569,238</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8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Common stock, $0.01 par value (200,000 shares authorized and 74,654 shares issued and outstanding)</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631,798</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8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(9,868)</w:t>
            </w:r>
          </w:p>
        </w:tc>
      </w:tr>
      <w:tr>
        <w:trPr>
          <w:trHeight w:val="237"/>
        </w:trPr>
        <w:tc>
          <w:tcPr>
            <w:tcW w:w="20" w:type="dxa"/>
            <w:vAlign w:val="bottom"/>
          </w:tcPr>
          <w:p>
            <w:pPr>
              <w:spacing w:after="0"/>
              <w:rPr>
                <w:sz w:val="20"/>
                <w:szCs w:val="20"/>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37,145</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at cost (28 shares)</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r>
      <w:tr>
        <w:trPr>
          <w:trHeight w:val="237"/>
        </w:trPr>
        <w:tc>
          <w:tcPr>
            <w:tcW w:w="20" w:type="dxa"/>
            <w:vAlign w:val="bottom"/>
          </w:tcPr>
          <w:p>
            <w:pPr>
              <w:spacing w:after="0"/>
              <w:rPr>
                <w:sz w:val="20"/>
                <w:szCs w:val="20"/>
                <w:color w:val="auto"/>
              </w:rPr>
            </w:pPr>
          </w:p>
        </w:tc>
        <w:tc>
          <w:tcPr>
            <w:tcW w:w="820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659,588</w:t>
            </w:r>
          </w:p>
        </w:tc>
        <w:tc>
          <w:tcPr>
            <w:tcW w:w="100" w:type="dxa"/>
            <w:vAlign w:val="bottom"/>
            <w:tcBorders>
              <w:top w:val="single" w:sz="8" w:color="CCEEFF"/>
            </w:tcBorders>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capitalization</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1,228,826</w:t>
            </w:r>
          </w:p>
        </w:tc>
        <w:tc>
          <w:tcPr>
            <w:tcW w:w="100" w:type="dxa"/>
            <w:vAlign w:val="bottom"/>
            <w:shd w:val="clear" w:color="auto" w:fill="CCEEFF"/>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1420" w:type="dxa"/>
            <w:vAlign w:val="bottom"/>
            <w:tcBorders>
              <w:top w:val="single" w:sz="8" w:color="CCEEFF"/>
              <w:bottom w:val="single" w:sz="8" w:color="auto"/>
            </w:tcBorders>
          </w:tcPr>
          <w:p>
            <w:pPr>
              <w:spacing w:after="0"/>
              <w:rPr>
                <w:sz w:val="15"/>
                <w:szCs w:val="15"/>
                <w:color w:val="auto"/>
              </w:rPr>
            </w:pPr>
          </w:p>
        </w:tc>
        <w:tc>
          <w:tcPr>
            <w:tcW w:w="67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03" w:lineRule="exact"/>
        <w:rPr>
          <w:sz w:val="20"/>
          <w:szCs w:val="20"/>
          <w:color w:val="auto"/>
        </w:rPr>
      </w:pPr>
    </w:p>
    <w:p>
      <w:pPr>
        <w:ind w:left="347" w:right="120" w:hanging="347"/>
        <w:spacing w:after="0" w:line="257" w:lineRule="auto"/>
        <w:tabs>
          <w:tab w:leader="none" w:pos="347"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aggregate face amount of our first lien term loans. The first lien term loans mature on November 20, 2024. For a further description of our first lien credit agreement, see “Management’s Discussion and Analysis of Financial Condition and Results of Operations— Liquidity and Capital Resources— Debt” in our Annual Report, which is incorporated herein by reference.</w:t>
      </w:r>
    </w:p>
    <w:p>
      <w:pPr>
        <w:spacing w:after="0" w:line="77" w:lineRule="exact"/>
        <w:rPr>
          <w:rFonts w:ascii="Arial" w:cs="Arial" w:eastAsia="Arial" w:hAnsi="Arial"/>
          <w:sz w:val="14"/>
          <w:szCs w:val="14"/>
          <w:color w:val="auto"/>
        </w:rPr>
      </w:pPr>
    </w:p>
    <w:p>
      <w:pPr>
        <w:ind w:left="347" w:right="320" w:hanging="347"/>
        <w:spacing w:after="0" w:line="286" w:lineRule="auto"/>
        <w:tabs>
          <w:tab w:leader="none" w:pos="347" w:val="left"/>
        </w:tabs>
        <w:numPr>
          <w:ilvl w:val="0"/>
          <w:numId w:val="30"/>
        </w:numPr>
        <w:rPr>
          <w:rFonts w:ascii="Arial" w:cs="Arial" w:eastAsia="Arial" w:hAnsi="Arial"/>
          <w:sz w:val="13"/>
          <w:szCs w:val="13"/>
          <w:color w:val="auto"/>
        </w:rPr>
      </w:pPr>
      <w:r>
        <w:rPr>
          <w:rFonts w:ascii="Arial" w:cs="Arial" w:eastAsia="Arial" w:hAnsi="Arial"/>
          <w:sz w:val="13"/>
          <w:szCs w:val="13"/>
          <w:color w:val="auto"/>
        </w:rPr>
        <w:t>As of December 30, 2017, we had no outstanding borrowings and $11.2 million in outstanding letters of credit under our first lien revolving credit facility, which matures on October 15, 2022. For a further description of our first lien credit agreement, see “Management’s Discussion and Analysis of Financial Condition and Results of Operations— Liquidity and Capital Resources—Debt” in our Annual Report, which is incorporated herein by reference.</w:t>
      </w:r>
    </w:p>
    <w:p>
      <w:pPr>
        <w:spacing w:after="0" w:line="15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39" w:name="page40"/>
    <w:bookmarkEnd w:id="39"/>
    <w:p>
      <w:pPr>
        <w:ind w:left="7"/>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ind w:left="7" w:right="120" w:firstLine="360"/>
        <w:spacing w:after="0" w:line="264" w:lineRule="auto"/>
        <w:rPr>
          <w:sz w:val="20"/>
          <w:szCs w:val="20"/>
          <w:color w:val="auto"/>
        </w:rPr>
      </w:pPr>
      <w:r>
        <w:rPr>
          <w:rFonts w:ascii="Arial" w:cs="Arial" w:eastAsia="Arial" w:hAnsi="Arial"/>
          <w:sz w:val="18"/>
          <w:szCs w:val="18"/>
          <w:color w:val="auto"/>
        </w:rPr>
        <w:t>The following table and accompanying footnotes set forth information with respect to the beneficial ownership of the selling stockholders, the number of shares of our common stock offered hereby by the selling stockholders and information with respect to shares to be beneficially owned by the selling stockholders after completion of this offering.</w:t>
      </w:r>
    </w:p>
    <w:p>
      <w:pPr>
        <w:spacing w:after="0" w:line="73" w:lineRule="exact"/>
        <w:rPr>
          <w:sz w:val="20"/>
          <w:szCs w:val="20"/>
          <w:color w:val="auto"/>
        </w:rPr>
      </w:pPr>
    </w:p>
    <w:p>
      <w:pPr>
        <w:ind w:left="7" w:right="40" w:firstLine="360"/>
        <w:spacing w:after="0" w:line="264" w:lineRule="auto"/>
        <w:rPr>
          <w:sz w:val="20"/>
          <w:szCs w:val="20"/>
          <w:color w:val="auto"/>
        </w:rPr>
      </w:pPr>
      <w:r>
        <w:rPr>
          <w:rFonts w:ascii="Arial" w:cs="Arial" w:eastAsia="Arial" w:hAnsi="Arial"/>
          <w:sz w:val="18"/>
          <w:szCs w:val="18"/>
          <w:color w:val="auto"/>
        </w:rPr>
        <w:t>The number of shares and percentages of beneficial ownership provided in the table below are based on the beneficial ownership as of February 28, 2018 and are based on 74,656,175 shares of our common stock, par value $0.01 per share, outstanding as of February 28, 2018.</w:t>
      </w:r>
    </w:p>
    <w:p>
      <w:pPr>
        <w:spacing w:after="0" w:line="73" w:lineRule="exact"/>
        <w:rPr>
          <w:sz w:val="20"/>
          <w:szCs w:val="20"/>
          <w:color w:val="auto"/>
        </w:rPr>
      </w:pPr>
    </w:p>
    <w:p>
      <w:pPr>
        <w:jc w:val="both"/>
        <w:ind w:left="7" w:right="120" w:firstLine="360"/>
        <w:spacing w:after="0" w:line="264" w:lineRule="auto"/>
        <w:rPr>
          <w:sz w:val="20"/>
          <w:szCs w:val="20"/>
          <w:color w:val="auto"/>
        </w:rPr>
      </w:pPr>
      <w:r>
        <w:rPr>
          <w:rFonts w:ascii="Arial" w:cs="Arial" w:eastAsia="Arial" w:hAnsi="Arial"/>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73" w:lineRule="exact"/>
        <w:rPr>
          <w:sz w:val="20"/>
          <w:szCs w:val="20"/>
          <w:color w:val="auto"/>
        </w:rPr>
      </w:pPr>
    </w:p>
    <w:p>
      <w:pPr>
        <w:ind w:left="7" w:right="60" w:firstLine="360"/>
        <w:spacing w:after="0" w:line="342" w:lineRule="auto"/>
        <w:rPr>
          <w:sz w:val="20"/>
          <w:szCs w:val="20"/>
          <w:color w:val="auto"/>
        </w:rPr>
      </w:pPr>
      <w:r>
        <w:rPr>
          <w:rFonts w:ascii="Arial" w:cs="Arial" w:eastAsia="Arial" w:hAnsi="Arial"/>
          <w:sz w:val="16"/>
          <w:szCs w:val="16"/>
          <w:color w:val="auto"/>
        </w:rPr>
        <w:t>To our knowledge, unless otherwise noted in the footnotes to the table below, and subject to applicable community property laws, the persons named in the table have sole voting and investment power with respect to their beneficially owned common stock.</w:t>
      </w:r>
    </w:p>
    <w:p>
      <w:pPr>
        <w:spacing w:after="0" w:line="16" w:lineRule="exact"/>
        <w:rPr>
          <w:sz w:val="20"/>
          <w:szCs w:val="20"/>
          <w:color w:val="auto"/>
        </w:rPr>
      </w:pPr>
    </w:p>
    <w:p>
      <w:pPr>
        <w:ind w:left="7" w:right="60" w:firstLine="360"/>
        <w:spacing w:after="0" w:line="264" w:lineRule="auto"/>
        <w:rPr>
          <w:sz w:val="20"/>
          <w:szCs w:val="20"/>
          <w:color w:val="auto"/>
        </w:rPr>
      </w:pPr>
      <w:r>
        <w:rPr>
          <w:rFonts w:ascii="Arial" w:cs="Arial" w:eastAsia="Arial" w:hAnsi="Arial"/>
          <w:sz w:val="18"/>
          <w:szCs w:val="18"/>
          <w:color w:val="auto"/>
        </w:rPr>
        <w:t>Securities subject to option grants that have vested or will vest within 60 days are deemed outstanding for calculating the percentage ownership of the person holding the options, but are not deemed outstanding for calculating the percentage ownership of any other person.</w:t>
      </w:r>
    </w:p>
    <w:p>
      <w:pPr>
        <w:spacing w:after="0" w:line="73" w:lineRule="exact"/>
        <w:rPr>
          <w:sz w:val="20"/>
          <w:szCs w:val="20"/>
          <w:color w:val="auto"/>
        </w:rPr>
      </w:pPr>
    </w:p>
    <w:p>
      <w:pPr>
        <w:ind w:left="7" w:right="360" w:firstLine="360"/>
        <w:spacing w:after="0" w:line="277" w:lineRule="auto"/>
        <w:rPr>
          <w:sz w:val="20"/>
          <w:szCs w:val="20"/>
          <w:color w:val="auto"/>
        </w:rPr>
      </w:pPr>
      <w:r>
        <w:rPr>
          <w:rFonts w:ascii="Arial" w:cs="Arial" w:eastAsia="Arial" w:hAnsi="Arial"/>
          <w:sz w:val="18"/>
          <w:szCs w:val="18"/>
          <w:color w:val="auto"/>
        </w:rPr>
        <w:t>Except as otherwise indicated in the footnotes below, the address of each beneficial owner is c/o National Vision Holdings, Inc., 2435 Commerce Avenue, Bldg. 2200, Duluth, Georgia 30096.</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w w:val="96"/>
              </w:rPr>
              <w:t>Shares to be Sold in this Offering</w:t>
            </w:r>
          </w:p>
        </w:tc>
        <w:tc>
          <w:tcPr>
            <w:tcW w:w="180" w:type="dxa"/>
            <w:vAlign w:val="bottom"/>
          </w:tcPr>
          <w:p>
            <w:pPr>
              <w:spacing w:after="0"/>
              <w:rPr>
                <w:sz w:val="14"/>
                <w:szCs w:val="14"/>
                <w:color w:val="auto"/>
              </w:rPr>
            </w:pPr>
          </w:p>
        </w:tc>
        <w:tc>
          <w:tcPr>
            <w:tcW w:w="374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Shares Beneficially Owned After the Offering</w:t>
            </w:r>
          </w:p>
        </w:tc>
      </w:tr>
      <w:tr>
        <w:trPr>
          <w:trHeight w:val="173"/>
        </w:trPr>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Assuming No</w:t>
            </w: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Assuming Full</w:t>
            </w:r>
          </w:p>
        </w:tc>
        <w:tc>
          <w:tcPr>
            <w:tcW w:w="1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Shares Beneficially</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 of the</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 of the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Assuming Full Exercise</w:t>
            </w:r>
          </w:p>
        </w:tc>
      </w:tr>
      <w:tr>
        <w:trPr>
          <w:trHeight w:val="162"/>
        </w:trPr>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Owned Prior to the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Underwriters’</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Underwriters’</w:t>
            </w:r>
          </w:p>
        </w:tc>
        <w:tc>
          <w:tcPr>
            <w:tcW w:w="180" w:type="dxa"/>
            <w:vAlign w:val="bottom"/>
          </w:tcPr>
          <w:p>
            <w:pPr>
              <w:spacing w:after="0"/>
              <w:rPr>
                <w:sz w:val="14"/>
                <w:szCs w:val="14"/>
                <w:color w:val="auto"/>
              </w:rPr>
            </w:pPr>
          </w:p>
        </w:tc>
        <w:tc>
          <w:tcPr>
            <w:tcW w:w="19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Assuming No Exercise of</w:t>
            </w:r>
          </w:p>
        </w:tc>
        <w:tc>
          <w:tcPr>
            <w:tcW w:w="18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of the Underwriters’</w:t>
            </w:r>
          </w:p>
        </w:tc>
      </w:tr>
      <w:tr>
        <w:trPr>
          <w:trHeight w:val="171"/>
        </w:trPr>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1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the Underwriters’ Option</w:t>
            </w:r>
          </w:p>
        </w:tc>
        <w:tc>
          <w:tcPr>
            <w:tcW w:w="180" w:type="dxa"/>
            <w:vAlign w:val="bottom"/>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4"/>
                <w:szCs w:val="14"/>
                <w:color w:val="auto"/>
              </w:rPr>
            </w:pPr>
          </w:p>
        </w:tc>
      </w:tr>
      <w:tr>
        <w:trPr>
          <w:trHeight w:val="173"/>
        </w:trPr>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Percentage</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Percentage</w:t>
            </w:r>
          </w:p>
        </w:tc>
      </w:tr>
      <w:tr>
        <w:trPr>
          <w:trHeight w:val="162"/>
        </w:trPr>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of Total</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of Total</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of Total</w:t>
            </w:r>
          </w:p>
        </w:tc>
      </w:tr>
      <w:tr>
        <w:trPr>
          <w:trHeight w:val="162"/>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Name of Beneficial</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Common</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Common</w:t>
            </w:r>
          </w:p>
        </w:tc>
      </w:tr>
      <w:tr>
        <w:trPr>
          <w:trHeight w:val="178"/>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Owner</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5"/>
                <w:szCs w:val="15"/>
                <w:color w:val="auto"/>
              </w:rPr>
            </w:pPr>
          </w:p>
        </w:tc>
      </w:tr>
      <w:tr>
        <w:trPr>
          <w:trHeight w:val="189"/>
        </w:trPr>
        <w:tc>
          <w:tcPr>
            <w:tcW w:w="1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Selling Stockholders: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53"/>
        </w:trPr>
        <w:tc>
          <w:tcPr>
            <w:tcW w:w="1500" w:type="dxa"/>
            <w:vAlign w:val="bottom"/>
            <w:gridSpan w:val="2"/>
          </w:tcPr>
          <w:p>
            <w:pPr>
              <w:spacing w:after="0" w:line="153" w:lineRule="exact"/>
              <w:rPr>
                <w:sz w:val="20"/>
                <w:szCs w:val="20"/>
                <w:color w:val="auto"/>
              </w:rPr>
            </w:pPr>
            <w:r>
              <w:rPr>
                <w:rFonts w:ascii="Arial" w:cs="Arial" w:eastAsia="Arial" w:hAnsi="Arial"/>
                <w:sz w:val="14"/>
                <w:szCs w:val="14"/>
                <w:color w:val="auto"/>
              </w:rPr>
              <w:t>KKR Vision</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8"/>
        </w:trPr>
        <w:tc>
          <w:tcPr>
            <w:tcW w:w="1500" w:type="dxa"/>
            <w:vAlign w:val="bottom"/>
            <w:gridSpan w:val="2"/>
          </w:tcPr>
          <w:p>
            <w:pPr>
              <w:spacing w:after="0" w:line="198" w:lineRule="exact"/>
              <w:rPr>
                <w:sz w:val="20"/>
                <w:szCs w:val="20"/>
                <w:color w:val="auto"/>
              </w:rPr>
            </w:pPr>
            <w:r>
              <w:rPr>
                <w:rFonts w:ascii="Arial" w:cs="Arial" w:eastAsia="Arial" w:hAnsi="Arial"/>
                <w:sz w:val="13"/>
                <w:szCs w:val="13"/>
                <w:color w:val="auto"/>
              </w:rPr>
              <w:t>Aggregator L.P.</w:t>
            </w:r>
            <w:r>
              <w:rPr>
                <w:rFonts w:ascii="Arial" w:cs="Arial" w:eastAsia="Arial" w:hAnsi="Arial"/>
                <w:sz w:val="22"/>
                <w:szCs w:val="22"/>
                <w:color w:val="auto"/>
                <w:vertAlign w:val="superscript"/>
              </w:rPr>
              <w:t>(1)</w:t>
            </w:r>
          </w:p>
        </w:tc>
        <w:tc>
          <w:tcPr>
            <w:tcW w:w="760" w:type="dxa"/>
            <w:vAlign w:val="bottom"/>
          </w:tcPr>
          <w:p>
            <w:pPr>
              <w:jc w:val="right"/>
              <w:spacing w:after="0"/>
              <w:rPr>
                <w:sz w:val="20"/>
                <w:szCs w:val="20"/>
                <w:color w:val="auto"/>
              </w:rPr>
            </w:pPr>
            <w:r>
              <w:rPr>
                <w:rFonts w:ascii="Arial" w:cs="Arial" w:eastAsia="Arial" w:hAnsi="Arial"/>
                <w:sz w:val="14"/>
                <w:szCs w:val="14"/>
                <w:color w:val="auto"/>
              </w:rPr>
              <w:t>43,475,462</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58.2%</w:t>
            </w:r>
          </w:p>
        </w:tc>
        <w:tc>
          <w:tcPr>
            <w:tcW w:w="1060" w:type="dxa"/>
            <w:vAlign w:val="bottom"/>
          </w:tcPr>
          <w:p>
            <w:pPr>
              <w:jc w:val="right"/>
              <w:spacing w:after="0"/>
              <w:rPr>
                <w:sz w:val="20"/>
                <w:szCs w:val="20"/>
                <w:color w:val="auto"/>
              </w:rPr>
            </w:pPr>
            <w:r>
              <w:rPr>
                <w:rFonts w:ascii="Arial" w:cs="Arial" w:eastAsia="Arial" w:hAnsi="Arial"/>
                <w:sz w:val="14"/>
                <w:szCs w:val="14"/>
                <w:color w:val="auto"/>
              </w:rPr>
              <w:t>9,632,145</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11,076,967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33,843,317</w:t>
            </w: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45.3%</w:t>
            </w:r>
          </w:p>
        </w:tc>
        <w:tc>
          <w:tcPr>
            <w:tcW w:w="760" w:type="dxa"/>
            <w:vAlign w:val="bottom"/>
          </w:tcPr>
          <w:p>
            <w:pPr>
              <w:jc w:val="right"/>
              <w:spacing w:after="0"/>
              <w:rPr>
                <w:sz w:val="20"/>
                <w:szCs w:val="20"/>
                <w:color w:val="auto"/>
              </w:rPr>
            </w:pPr>
            <w:r>
              <w:rPr>
                <w:rFonts w:ascii="Arial" w:cs="Arial" w:eastAsia="Arial" w:hAnsi="Arial"/>
                <w:sz w:val="14"/>
                <w:szCs w:val="14"/>
                <w:color w:val="auto"/>
              </w:rPr>
              <w:t>32,398,495</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43.4%</w:t>
            </w:r>
          </w:p>
        </w:tc>
      </w:tr>
      <w:tr>
        <w:trPr>
          <w:trHeight w:val="170"/>
        </w:trPr>
        <w:tc>
          <w:tcPr>
            <w:tcW w:w="1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Investment funds</w:t>
            </w: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5"/>
        </w:trPr>
        <w:tc>
          <w:tcPr>
            <w:tcW w:w="15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affiliated with</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98"/>
        </w:trPr>
        <w:tc>
          <w:tcPr>
            <w:tcW w:w="1500" w:type="dxa"/>
            <w:vAlign w:val="bottom"/>
            <w:gridSpan w:val="2"/>
            <w:shd w:val="clear" w:color="auto" w:fill="CCEEFF"/>
          </w:tcPr>
          <w:p>
            <w:pPr>
              <w:spacing w:after="0" w:line="198" w:lineRule="exact"/>
              <w:rPr>
                <w:sz w:val="20"/>
                <w:szCs w:val="20"/>
                <w:color w:val="auto"/>
              </w:rPr>
            </w:pPr>
            <w:r>
              <w:rPr>
                <w:rFonts w:ascii="Arial" w:cs="Arial" w:eastAsia="Arial" w:hAnsi="Arial"/>
                <w:sz w:val="13"/>
                <w:szCs w:val="13"/>
                <w:color w:val="auto"/>
              </w:rPr>
              <w:t>Berkshire</w:t>
            </w:r>
            <w:r>
              <w:rPr>
                <w:rFonts w:ascii="Arial" w:cs="Arial" w:eastAsia="Arial" w:hAnsi="Arial"/>
                <w:sz w:val="22"/>
                <w:szCs w:val="22"/>
                <w:color w:val="auto"/>
                <w:vertAlign w:val="superscript"/>
              </w:rPr>
              <w:t>(2)(3)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10,171,541</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13.6%</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2,253,542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2,591,573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7,917,999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7,579,968</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189"/>
        </w:trPr>
        <w:tc>
          <w:tcPr>
            <w:tcW w:w="1500" w:type="dxa"/>
            <w:vAlign w:val="bottom"/>
            <w:gridSpan w:val="2"/>
          </w:tcPr>
          <w:p>
            <w:pPr>
              <w:spacing w:after="0" w:line="189" w:lineRule="exact"/>
              <w:rPr>
                <w:sz w:val="20"/>
                <w:szCs w:val="20"/>
                <w:color w:val="auto"/>
              </w:rPr>
            </w:pPr>
            <w:r>
              <w:rPr>
                <w:rFonts w:ascii="Arial" w:cs="Arial" w:eastAsia="Arial" w:hAnsi="Arial"/>
                <w:sz w:val="13"/>
                <w:szCs w:val="13"/>
                <w:color w:val="auto"/>
              </w:rPr>
              <w:t>Jeff Busbee</w:t>
            </w:r>
            <w:r>
              <w:rPr>
                <w:rFonts w:ascii="Arial" w:cs="Arial" w:eastAsia="Arial" w:hAnsi="Arial"/>
                <w:sz w:val="21"/>
                <w:szCs w:val="21"/>
                <w:color w:val="auto"/>
                <w:vertAlign w:val="superscript"/>
              </w:rPr>
              <w:t>(4)</w:t>
            </w:r>
          </w:p>
        </w:tc>
        <w:tc>
          <w:tcPr>
            <w:tcW w:w="760" w:type="dxa"/>
            <w:vAlign w:val="bottom"/>
          </w:tcPr>
          <w:p>
            <w:pPr>
              <w:jc w:val="right"/>
              <w:spacing w:after="0"/>
              <w:rPr>
                <w:sz w:val="20"/>
                <w:szCs w:val="20"/>
                <w:color w:val="auto"/>
              </w:rPr>
            </w:pPr>
            <w:r>
              <w:rPr>
                <w:rFonts w:ascii="Arial" w:cs="Arial" w:eastAsia="Arial" w:hAnsi="Arial"/>
                <w:sz w:val="14"/>
                <w:szCs w:val="14"/>
                <w:color w:val="auto"/>
              </w:rPr>
              <w:t>169,253</w:t>
            </w: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37,499</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43,124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131,754</w:t>
            </w:r>
          </w:p>
        </w:tc>
        <w:tc>
          <w:tcPr>
            <w:tcW w:w="11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126,129</w:t>
            </w:r>
          </w:p>
        </w:tc>
        <w:tc>
          <w:tcPr>
            <w:tcW w:w="10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r>
      <w:tr>
        <w:trPr>
          <w:trHeight w:val="189"/>
        </w:trPr>
        <w:tc>
          <w:tcPr>
            <w:tcW w:w="15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Charlie Foell</w:t>
            </w:r>
            <w:r>
              <w:rPr>
                <w:rFonts w:ascii="Arial" w:cs="Arial" w:eastAsia="Arial" w:hAnsi="Arial"/>
                <w:sz w:val="21"/>
                <w:szCs w:val="21"/>
                <w:color w:val="auto"/>
                <w:vertAlign w:val="superscript"/>
              </w:rPr>
              <w:t>(4)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63,876</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49,724</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47,601</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89"/>
        </w:trPr>
        <w:tc>
          <w:tcPr>
            <w:tcW w:w="1500" w:type="dxa"/>
            <w:vAlign w:val="bottom"/>
            <w:gridSpan w:val="2"/>
          </w:tcPr>
          <w:p>
            <w:pPr>
              <w:spacing w:after="0" w:line="189" w:lineRule="exact"/>
              <w:rPr>
                <w:sz w:val="20"/>
                <w:szCs w:val="20"/>
                <w:color w:val="auto"/>
              </w:rPr>
            </w:pPr>
            <w:r>
              <w:rPr>
                <w:rFonts w:ascii="Arial" w:cs="Arial" w:eastAsia="Arial" w:hAnsi="Arial"/>
                <w:sz w:val="13"/>
                <w:szCs w:val="13"/>
                <w:color w:val="auto"/>
              </w:rPr>
              <w:t>Mitchell Goodman</w:t>
            </w:r>
            <w:r>
              <w:rPr>
                <w:rFonts w:ascii="Arial" w:cs="Arial" w:eastAsia="Arial" w:hAnsi="Arial"/>
                <w:sz w:val="21"/>
                <w:szCs w:val="21"/>
                <w:color w:val="auto"/>
                <w:vertAlign w:val="superscript"/>
              </w:rPr>
              <w:t>(4)</w:t>
            </w:r>
          </w:p>
        </w:tc>
        <w:tc>
          <w:tcPr>
            <w:tcW w:w="760" w:type="dxa"/>
            <w:vAlign w:val="bottom"/>
          </w:tcPr>
          <w:p>
            <w:pPr>
              <w:jc w:val="right"/>
              <w:spacing w:after="0"/>
              <w:rPr>
                <w:sz w:val="20"/>
                <w:szCs w:val="20"/>
                <w:color w:val="auto"/>
              </w:rPr>
            </w:pPr>
            <w:r>
              <w:rPr>
                <w:rFonts w:ascii="Arial" w:cs="Arial" w:eastAsia="Arial" w:hAnsi="Arial"/>
                <w:sz w:val="14"/>
                <w:szCs w:val="14"/>
                <w:color w:val="auto"/>
              </w:rPr>
              <w:t>215,635</w:t>
            </w: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47,775</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54,941</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167,860</w:t>
            </w:r>
          </w:p>
        </w:tc>
        <w:tc>
          <w:tcPr>
            <w:tcW w:w="11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160,694</w:t>
            </w:r>
          </w:p>
        </w:tc>
        <w:tc>
          <w:tcPr>
            <w:tcW w:w="10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r>
      <w:tr>
        <w:trPr>
          <w:trHeight w:val="189"/>
        </w:trPr>
        <w:tc>
          <w:tcPr>
            <w:tcW w:w="15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John Vaught</w:t>
            </w:r>
            <w:r>
              <w:rPr>
                <w:rFonts w:ascii="Arial" w:cs="Arial" w:eastAsia="Arial" w:hAnsi="Arial"/>
                <w:sz w:val="21"/>
                <w:szCs w:val="21"/>
                <w:color w:val="auto"/>
                <w:vertAlign w:val="superscript"/>
              </w:rPr>
              <w:t>(4)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67,194</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17,120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52,307</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50,074</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909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72" w:lineRule="exact"/>
        <w:rPr>
          <w:sz w:val="20"/>
          <w:szCs w:val="20"/>
          <w:color w:val="auto"/>
        </w:rPr>
      </w:pPr>
    </w:p>
    <w:p>
      <w:pPr>
        <w:ind w:left="347" w:hanging="347"/>
        <w:spacing w:after="0"/>
        <w:tabs>
          <w:tab w:leader="none" w:pos="347" w:val="left"/>
        </w:tabs>
        <w:numPr>
          <w:ilvl w:val="0"/>
          <w:numId w:val="31"/>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09" w:lineRule="exact"/>
        <w:rPr>
          <w:sz w:val="20"/>
          <w:szCs w:val="20"/>
          <w:color w:val="auto"/>
        </w:rPr>
      </w:pPr>
    </w:p>
    <w:p>
      <w:pPr>
        <w:ind w:left="347" w:hanging="347"/>
        <w:spacing w:after="0" w:line="244" w:lineRule="auto"/>
        <w:tabs>
          <w:tab w:leader="none" w:pos="3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43,475,462 shares directly owned by KKR Vision Aggregator L.P. KKR Vision Aggregator GP LLC, as the general partner of KKR Vision Aggregator L.P., KKR North America Fund XI L.P., as the sole member of KKR Vision Aggregator GP LLC, KKR Associates North America XI L.P., as the general partner of KKR North America Fund XI L.P., KKR North America XI Limited, as the general partner of KKR Associates North America XI L.P., KKR Fund Holdings L.P., as the sole shareholder of KKR North America XI Limited, KKR Fund Holdings GP Limited, as a general partner of KKR Fund Holdings L.P., KKR Group Holdings L.P., as the sole shareholder of KKR Fund Holdings GP Limited and a general partner of KKR Fund Holdings L.P., KKR Group Limited, as the general partner of KKR Group Holdings L.P., KKR &amp; Co. L.P., as the sole shareholder of KKR Group Limited, KKR Management LLC, as the general partner of KKR &amp; Co. L.P., and Messrs. Henry R. Kravis and George R. Roberts, as the designated members of KKR Management LLC, may be deemed to be the beneficial owners having shared voting and investment power with respect to the shares described in this footnote. The principal business address of each of the entities and persons identified in this paragraph, except Mr. Roberts, is c/o Kohlberg Kravis Roberts &amp; Co. L.P., 9 West 57th Street, Suite 4200, New York, NY 10019. The principal business address for Mr. Roberts is c/o Kohlberg Kravis Roberts &amp; Co. L.P., 2800 Sand Hill Road, Suite 200, Menlo Park, CA 94025. Each of Messrs. Taylor and Gernburd is a member of our Board of Directors and serves as an executive of Kohlberg Kravis Roberts &amp; Co. L.P. and/or one or more of its affiliates. Each of Messrs. Kravis, Roberts, Taylor and Gernburd disclaims beneficial ownership of the shares held by KKR Vision Aggregator L.P. The principal business address of each of Messrs. Taylor and Gernburd is c/o Kohlberg Kravis Roberts &amp; Co. L.P., 9 West 57th Street, New York, New York 10019.</w:t>
      </w:r>
    </w:p>
    <w:p>
      <w:pPr>
        <w:spacing w:after="0" w:line="18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0" w:name="page41"/>
    <w:bookmarkEnd w:id="40"/>
    <w:p>
      <w:pPr>
        <w:ind w:left="7"/>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47" w:hanging="347"/>
        <w:spacing w:after="0" w:line="265" w:lineRule="auto"/>
        <w:tabs>
          <w:tab w:leader="none" w:pos="347"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(i) 9,988,898 shares of common stock held by Berkshire Fund VI, Limited Partnership, or Fund VI, (ii) 129,780 shares of common stock held by Berkshire Investors LLC, or Berkshire Investors, and (iii) 52,863 shares of common stock held by Berkshire Investors III LLC, or Berkshire Investors III. Sixth Berkshire Associates LLC, or 6BA, is the general partner of Fund VI. 6BA is managed by a number of individuals who are managing directors of Berkshire, including D. Randolph Peeler who serves as one of our directors. Certain of the managing directors of Berkshire, including Mr. Peeler, are also the managing members of Berkshire Investors and Berkshire Investors III. Fund VI, Berkshire Investors and Berkshire Investors III often make acquisitions in, and dispose of, securities of an issuer on the same terms and conditions and at the same time. Berkshire is the investment adviser to Fund VI. Berkshire Partners Holdings LLC, or BPH, is the general partner of BPSP, L.P., or BPSP, which is the managing member of Berkshire. BPH, BPSP, Berkshire, Fund VI, 6BA, Berkshire Investors and Berkshire Investors III may be deemed to constitute a “group” for purposes of Section 13(d) of the Exchange Act although they do not admit to being part of a group nor have they agreed to act as part of a group. By virtue of the relationships described above, each of BPH, BPSP and 6BA may be deemed to share beneficial ownership with respect to the shares of common stock held by Fund VI. The principal business address of each of the entities identified in this paragraph is c/o Berkshire Partners LLC, 200 Clarendon St., 35th Floor, Boston, MA 02116.</w:t>
      </w:r>
    </w:p>
    <w:p>
      <w:pPr>
        <w:spacing w:after="0" w:line="75" w:lineRule="exact"/>
        <w:rPr>
          <w:rFonts w:ascii="Arial" w:cs="Arial" w:eastAsia="Arial" w:hAnsi="Arial"/>
          <w:sz w:val="13"/>
          <w:szCs w:val="13"/>
          <w:color w:val="auto"/>
        </w:rPr>
      </w:pPr>
    </w:p>
    <w:p>
      <w:pPr>
        <w:ind w:left="347" w:right="260" w:hanging="347"/>
        <w:spacing w:after="0" w:line="247" w:lineRule="auto"/>
        <w:tabs>
          <w:tab w:leader="none" w:pos="347" w:val="left"/>
        </w:tabs>
        <w:numPr>
          <w:ilvl w:val="0"/>
          <w:numId w:val="33"/>
        </w:numPr>
        <w:rPr>
          <w:rFonts w:ascii="Arial" w:cs="Arial" w:eastAsia="Arial" w:hAnsi="Arial"/>
          <w:sz w:val="14"/>
          <w:szCs w:val="14"/>
          <w:color w:val="auto"/>
        </w:rPr>
      </w:pPr>
      <w:r>
        <w:rPr>
          <w:rFonts w:ascii="Arial" w:cs="Arial" w:eastAsia="Arial" w:hAnsi="Arial"/>
          <w:sz w:val="14"/>
          <w:szCs w:val="14"/>
          <w:color w:val="auto"/>
        </w:rPr>
        <w:t>Of the shares being offered by the investment funds affiliated with Berkshire: (i) 2,213,077 shares are being sold in this offering by Fund VI, assuming the underwriters’ option is not exercised, and 2,545,038 are being sold in this offering by Fund VI, assuming the underwriters’ option is exercised in full; (ii) 28,753 shares are being sold in this offering by Berkshire Investors, assuming the underwriters’ option is not exercised, 33,066 shares are being sold in this offering by Berkshire Investors, assuming the underwriters’ option is exercised in full; and (iii) 11,712 shares are being sold in this offering by Berkshire Investors III, assuming the underwriters’ option is not exercised, 13,469 shares are being sold in this offering by Berkshire Investors III, assuming the underwriters’ option is exercised in full.</w:t>
      </w:r>
    </w:p>
    <w:p>
      <w:pPr>
        <w:spacing w:after="0" w:line="86" w:lineRule="exact"/>
        <w:rPr>
          <w:rFonts w:ascii="Arial" w:cs="Arial" w:eastAsia="Arial" w:hAnsi="Arial"/>
          <w:sz w:val="14"/>
          <w:szCs w:val="14"/>
          <w:color w:val="auto"/>
        </w:rPr>
      </w:pPr>
    </w:p>
    <w:p>
      <w:pPr>
        <w:ind w:left="347" w:right="180" w:hanging="347"/>
        <w:spacing w:after="0" w:line="273" w:lineRule="auto"/>
        <w:tabs>
          <w:tab w:leader="none" w:pos="347"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number of shares reported includes shares covered by options that are exercisable within 60 days as follows: Mr. Busbee, 65,911, Mr. Foell, 53,705, Mr. Goodman, 113,920; and Mr. Vaught, 67,194.</w:t>
      </w:r>
    </w:p>
    <w:p>
      <w:pPr>
        <w:spacing w:after="0" w:line="165"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following is a description of the material terms of, and is qualified in its entirety by, our amended and restated certificate of incorporation and amended and restated bylaws, each as in effect as of the date of this prospectus, copies of which are incorporated by reference as exhibits to the registration statement of which this prospectus is a part.</w:t>
      </w:r>
    </w:p>
    <w:p>
      <w:pPr>
        <w:spacing w:after="0" w:line="73"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Our purpose is to engage in any lawful act or activity for which corporations may now or hereafter be organized under the DGCL. Our authorized capital stock consists of 200,000,000 shares of common stock, par value $0.01 per share, and 50,000,000 shares of preferred stock, par value $0.01 per share. No shares of preferred stock are issued or outstanding as of the date of this prospectus. Unless our Board of Directors determines otherwise, we will issue all shares of our capital stock in uncertificated form.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Holders of our common stock are entitled to one vote for each share held of record on all matters on which stockholders are entitled to vote generally, including the election or removal of directors, subject to certain limitations. The holders of our common stock do not have cumulative voting rights in the election of directors. Upon our liquidation, dissolution or winding up or the sale of all or substantially all of our assets and after payment in full of all amounts required to be paid to creditors and to the holders of preferred stock having liquidation preferences, if any, the holders of our common stock will be entitled to receive our remaining assets available for distribution on a pro rata basis. Holders of our common stock do not have preemptive, subscription, redemption or conversion rights. The common stock is not subject to further calls or assessment by us. There are no redemption or sinking fund provisions applicable to the common stock. All shares of our common stock outstanding as of the date of this prospectus are fully paid and non-assessable. The rights, powers, preferences and privileges of holders of our common stock will be subject to those of the holders of any shares of our preferred stock we may authorize and issue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Our amended and restated certificate of incorporation authorizes our Board of Directors to establish one or more series of preferred stock (including convertible preferred stock). Unless required by law or by NASDAQ, the authorized shares of preferred stock will be available for issuance without further action by you. Our Board of Directors is able to determine, with respect to any series of preferred stock, the terms and rights of that series, including:</w:t>
      </w:r>
    </w:p>
    <w:p>
      <w:pPr>
        <w:spacing w:after="0" w:line="63" w:lineRule="exact"/>
        <w:rPr>
          <w:sz w:val="20"/>
          <w:szCs w:val="20"/>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7" w:lineRule="exact"/>
        <w:rPr>
          <w:rFonts w:ascii="Arial" w:cs="Arial" w:eastAsia="Arial" w:hAnsi="Arial"/>
          <w:sz w:val="18"/>
          <w:szCs w:val="18"/>
          <w:color w:val="auto"/>
        </w:rPr>
      </w:pPr>
    </w:p>
    <w:p>
      <w:pPr>
        <w:jc w:val="both"/>
        <w:ind w:left="700" w:right="240" w:hanging="356"/>
        <w:spacing w:after="0" w:line="264"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our company;</w:t>
      </w:r>
    </w:p>
    <w:p>
      <w:pPr>
        <w:spacing w:after="0" w:line="62" w:lineRule="exact"/>
        <w:rPr>
          <w:rFonts w:ascii="Arial" w:cs="Arial" w:eastAsia="Arial" w:hAnsi="Arial"/>
          <w:sz w:val="18"/>
          <w:szCs w:val="18"/>
          <w:color w:val="auto"/>
        </w:rPr>
      </w:pPr>
    </w:p>
    <w:p>
      <w:pPr>
        <w:ind w:left="700" w:right="80" w:hanging="356"/>
        <w:spacing w:after="0" w:line="279" w:lineRule="auto"/>
        <w:tabs>
          <w:tab w:leader="none" w:pos="7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our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63" w:lineRule="exact"/>
        <w:rPr>
          <w:rFonts w:ascii="Arial" w:cs="Arial" w:eastAsia="Arial" w:hAnsi="Arial"/>
          <w:sz w:val="17"/>
          <w:szCs w:val="17"/>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common stock over the market price of the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70"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3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7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our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80"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and employee benefit plans.</w:t>
      </w:r>
    </w:p>
    <w:p>
      <w:pPr>
        <w:spacing w:after="0" w:line="79"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Board of Directors and our management and possibly deprive our stockholders of opportunities to sell their shares of common stock at prices higher than prevailing market prices.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340" w:firstLine="360"/>
        <w:spacing w:after="0" w:line="286" w:lineRule="auto"/>
        <w:rPr>
          <w:sz w:val="20"/>
          <w:szCs w:val="20"/>
          <w:color w:val="auto"/>
        </w:rPr>
      </w:pPr>
      <w:r>
        <w:rPr>
          <w:rFonts w:ascii="Arial" w:cs="Arial" w:eastAsia="Arial" w:hAnsi="Arial"/>
          <w:sz w:val="17"/>
          <w:szCs w:val="17"/>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57" w:lineRule="exact"/>
        <w:rPr>
          <w:sz w:val="20"/>
          <w:szCs w:val="20"/>
          <w:color w:val="auto"/>
        </w:rPr>
      </w:pPr>
    </w:p>
    <w:p>
      <w:pPr>
        <w:ind w:left="700" w:right="220" w:hanging="356"/>
        <w:spacing w:after="0" w:line="277"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700" w:right="80" w:hanging="356"/>
        <w:spacing w:after="0" w:line="264"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3" w:lineRule="exact"/>
        <w:rPr>
          <w:rFonts w:ascii="Arial" w:cs="Arial" w:eastAsia="Arial" w:hAnsi="Arial"/>
          <w:sz w:val="18"/>
          <w:szCs w:val="18"/>
          <w:color w:val="auto"/>
        </w:rPr>
      </w:pPr>
    </w:p>
    <w:p>
      <w:pPr>
        <w:ind w:left="700" w:right="100" w:hanging="356"/>
        <w:spacing w:after="0" w:line="269" w:lineRule="auto"/>
        <w:tabs>
          <w:tab w:leader="none" w:pos="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at or subsequent to that time, the business combination is approved by our Board of Directors and by the affirmative vote of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outstanding voting stock that is not owned by the interested stockholder.</w:t>
      </w:r>
    </w:p>
    <w:p>
      <w:pPr>
        <w:spacing w:after="0" w:line="2"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67"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7"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Our amended and restated certificate of incorporation provides that the Sponsors and their affiliates and any of their respective direct or indirect transferees and any group as to which such persons are a party do not constitute “interested stockholders” for purposes of this provision.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7"/>
          <w:szCs w:val="17"/>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 that directors may be removed with or without cause upon the affirmative vote of a majority in voting power of all outstanding shares of stock entitled to vote generally in the election of directors, voting together as a single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at any time when the Sponsors and their affiliates beneficially own, in the aggregate, less than 40% of the voting power of all outstanding shares of stock entitled to vote generally in the election of directors, directors may only be removed for cause and only by the affirmative vote of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in voting power of all the then outstanding shares of stock entitled to vote generally in the election of directors, voting together as a single class. In addition, our amended and restated certificate of incorporation and our amended and restated bylaws also</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provide that, subject to the rights granted to one or more series of preferred stock then outstanding or the rights granted to the Sponsors under the stockholders agreement, any vacancies on our Board of Directors will be filled only by the affirmative vote of a majority of the remaining directors, even if less than a quorum, by a sole remaining director or by the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at any time when the Sponsors and their affiliates beneficially own, in the aggregate, less than 40% of the voting power of</w:t>
      </w:r>
      <w:r>
        <w:rPr>
          <w:rFonts w:ascii="Arial" w:cs="Arial" w:eastAsia="Arial" w:hAnsi="Arial"/>
          <w:sz w:val="18"/>
          <w:szCs w:val="18"/>
          <w:i w:val="1"/>
          <w:iCs w:val="1"/>
          <w:color w:val="auto"/>
        </w:rPr>
        <w:t xml:space="preserve"> </w:t>
      </w:r>
      <w:r>
        <w:rPr>
          <w:rFonts w:ascii="Arial" w:cs="Arial" w:eastAsia="Arial" w:hAnsi="Arial"/>
          <w:sz w:val="18"/>
          <w:szCs w:val="18"/>
          <w:color w:val="auto"/>
        </w:rPr>
        <w:t>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 xml:space="preserve">Our amended and restated certificate of incorporation provides that special meetings of our stockholders may be called at any time only by or at the direction of the Board of Directors or the chairman of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Sponsors and their affiliates are permitted to call special meetings of our stockholders for so long as they hold, in the aggregate, at least 40% of the voting power of all outstanding shares of stock entitled to vote generally in the election of directors. Our amended and restated bylaws prohibits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1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 These notice requirements do not apply to the Sponsors and their affiliates for as long as the stockholders agreement is in effect and/or the Sponsors and their affiliates hold, in the aggregate, at least 40% of the voting power of all outstanding shares of stock entitled to vote generally in the election of directors.</w:t>
      </w:r>
    </w:p>
    <w:p>
      <w:pPr>
        <w:spacing w:after="0" w:line="5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provisions do not apply to the Sponsors and their affiliates for as long as the stockholders agreement is in effect and/or the Sponsors and their affiliates hold, in the aggregate, at least 40% of the voting power of all outstanding shares of stock entitled to vote generally in the election of directors. These provisions may defer, delay or discourage a potential acquirer from conducting a solicitation of proxies to elect the acquirer’s own slate of directors or otherwise attempting to influence or obtain control of our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certificate of incorporation provides otherwise. Our amended and restated certificate of incorporation precludes stockholder action by written consent once the Sponsors and their affiliates beneficially own, in the aggregate, less than 40% of the voting power of all outstanding shares of stock entitled to vote generally in the election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right="20" w:firstLine="360"/>
        <w:spacing w:after="0" w:line="278"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the Sponsors and their affiliates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the Sponsors and their affiliates beneficially own, in the aggregate, less than 40% of the voting power of all outstanding shares of stock entitled to vote generally in the election of directors, any amendment, alteration, change, addition, rescission or repeal of our amended and restated bylaws by our stockholders will require the affirmative vote of the holders of at least 66</w:t>
      </w:r>
      <w:r>
        <w:rPr>
          <w:rFonts w:ascii="Arial" w:cs="Arial" w:eastAsia="Arial" w:hAnsi="Arial"/>
          <w:sz w:val="24"/>
          <w:szCs w:val="24"/>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in voting power of all the then-outstanding shares of stock entitled to vote generally in the election of directors, voting together as a single class.</w:t>
      </w:r>
    </w:p>
    <w:p>
      <w:pPr>
        <w:spacing w:after="0" w:line="51"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73" w:lineRule="exact"/>
        <w:rPr>
          <w:sz w:val="20"/>
          <w:szCs w:val="20"/>
          <w:color w:val="auto"/>
        </w:rPr>
      </w:pPr>
    </w:p>
    <w:p>
      <w:pPr>
        <w:ind w:firstLine="360"/>
        <w:spacing w:after="0" w:line="233" w:lineRule="auto"/>
        <w:rPr>
          <w:sz w:val="20"/>
          <w:szCs w:val="20"/>
          <w:color w:val="auto"/>
        </w:rPr>
      </w:pPr>
      <w:r>
        <w:rPr>
          <w:rFonts w:ascii="Arial" w:cs="Arial" w:eastAsia="Arial" w:hAnsi="Arial"/>
          <w:sz w:val="18"/>
          <w:szCs w:val="18"/>
          <w:color w:val="auto"/>
        </w:rPr>
        <w:t>Our amended and restated certificate of incorporation provides that once the Sponsors and their affiliates own less than 40% of the voting power of all outstanding shares of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27"/>
          <w:szCs w:val="27"/>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the voting power of all outstanding shares of stock entitled to vote generally in the election of directors, voting together as a single class:</w:t>
      </w:r>
    </w:p>
    <w:p>
      <w:pPr>
        <w:spacing w:after="0" w:line="87" w:lineRule="exact"/>
        <w:rPr>
          <w:sz w:val="20"/>
          <w:szCs w:val="20"/>
          <w:color w:val="auto"/>
        </w:rPr>
      </w:pPr>
    </w:p>
    <w:p>
      <w:pPr>
        <w:ind w:left="700" w:hanging="356"/>
        <w:spacing w:after="0"/>
        <w:tabs>
          <w:tab w:leader="none" w:pos="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provision requiring a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supermajority vote for stockholders to amend our amended and restated bylaws;</w:t>
      </w:r>
    </w:p>
    <w:p>
      <w:pPr>
        <w:spacing w:after="0" w:line="51" w:lineRule="exact"/>
        <w:rPr>
          <w:rFonts w:ascii="Arial" w:cs="Arial" w:eastAsia="Arial" w:hAnsi="Arial"/>
          <w:sz w:val="17"/>
          <w:szCs w:val="17"/>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01"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107"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supermajority vote.</w:t>
      </w:r>
    </w:p>
    <w:p>
      <w:pPr>
        <w:spacing w:after="0" w:line="51" w:lineRule="exact"/>
        <w:rPr>
          <w:sz w:val="20"/>
          <w:szCs w:val="20"/>
          <w:color w:val="auto"/>
        </w:rPr>
      </w:pPr>
    </w:p>
    <w:p>
      <w:pPr>
        <w:ind w:right="140" w:firstLine="360"/>
        <w:spacing w:after="0" w:line="252"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86" w:lineRule="exact"/>
        <w:rPr>
          <w:sz w:val="20"/>
          <w:szCs w:val="20"/>
          <w:color w:val="auto"/>
        </w:rPr>
      </w:pPr>
    </w:p>
    <w:p>
      <w:pPr>
        <w:ind w:right="740" w:firstLine="360"/>
        <w:spacing w:after="0" w:line="308" w:lineRule="auto"/>
        <w:rPr>
          <w:sz w:val="20"/>
          <w:szCs w:val="20"/>
          <w:color w:val="auto"/>
        </w:rPr>
      </w:pPr>
      <w:r>
        <w:rPr>
          <w:rFonts w:ascii="Arial" w:cs="Arial" w:eastAsia="Arial" w:hAnsi="Arial"/>
          <w:sz w:val="17"/>
          <w:szCs w:val="17"/>
          <w:color w:val="auto"/>
        </w:rPr>
        <w:t>These provisions may have the effect of deterring hostile takeovers, delaying, or preventing changes in control of our management or our company, such as a merger, reorganization or tender offer. These provisions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our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Sponsors or any of their affiliates or any director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Sponsors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89"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executive officers.</w:t>
      </w:r>
    </w:p>
    <w:p>
      <w:pPr>
        <w:spacing w:after="0" w:line="5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85"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Sales of substantial amounts of common stock, including shares issued upon the exercise of outstanding options,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Stock—Future sales, or the perception of future sales, by us or our existing stockholders in the public market following this offering could cause the market price for our common stock to decline.”</w:t>
      </w:r>
    </w:p>
    <w:p>
      <w:pPr>
        <w:spacing w:after="0" w:line="85"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Upon the consummation of this offering, we will have a total of 74,656,175 shares of common stock outstanding. In addition, options to purchase an aggregate of approximately 10,608,559 shares of our common stock will be outstanding as of the consummation of this offering. Of the outstanding shares, the 30,170,000 shares sold in the IPO and this offering (or 31,970,000 shares if the underwriters exercise in full their option to purchase additional shares in this offering) will be freely tradable without restriction or further registration under the Securities Act. Additionally, in connection with this offering, the Board of Directors will, pursuant to the management stockholder’s agreements, elect to waive the transfer restrictions with respect to the number of shares of our common stock that management stockholders not participating in this offering would have been eligible to sell in this offering if they had exercised their piggyback registration rights. Of these shares, 740,053 shares are held by non-executive officers and as such, may be sold during the 90-day lock-up period after this offering, subject to compliance with our securities trading policy and applicable securities laws.</w:t>
      </w:r>
    </w:p>
    <w:p>
      <w:pPr>
        <w:spacing w:after="0" w:line="70" w:lineRule="exact"/>
        <w:rPr>
          <w:sz w:val="20"/>
          <w:szCs w:val="20"/>
          <w:color w:val="auto"/>
        </w:rPr>
      </w:pPr>
    </w:p>
    <w:p>
      <w:pPr>
        <w:ind w:right="200" w:firstLine="360"/>
        <w:spacing w:after="0" w:line="293" w:lineRule="auto"/>
        <w:rPr>
          <w:sz w:val="20"/>
          <w:szCs w:val="20"/>
          <w:color w:val="auto"/>
        </w:rPr>
      </w:pPr>
      <w:r>
        <w:rPr>
          <w:rFonts w:ascii="Arial" w:cs="Arial" w:eastAsia="Arial" w:hAnsi="Arial"/>
          <w:sz w:val="16"/>
          <w:szCs w:val="16"/>
          <w:color w:val="auto"/>
        </w:rPr>
        <w:t>The 43,533,321 shares of common stock (or 41,733,321 shares if the underwriters exercise in full their option to purchase additional shares) held by affiliates of KKR Sponsor, affiliates of Berkshire and our directors and executive officers after this offering, representing 58.3% (or 55.9% if the underwriters exercise in full their option to purchase additional shares) of the total outstanding shares of our common stock following this offering, will be deemed “restricted securities” under the meaning of Rule 144 and may be sold in the public market only if registered under the Securities Act or if an exemption from registration is available, including the exemptions pursuant to Rule 144 and Rule 701 under the Securities Act, which we summarize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In general, under Rule 144, as currently in effect,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70"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below (but subject to restrictions in management stockholder’s agreements, if applicable), within any three-month period, a number of shares that does not exceed the greater of:</w:t>
      </w:r>
    </w:p>
    <w:p>
      <w:pPr>
        <w:spacing w:after="0" w:line="46" w:lineRule="exact"/>
        <w:rPr>
          <w:sz w:val="20"/>
          <w:szCs w:val="20"/>
          <w:color w:val="auto"/>
        </w:rPr>
      </w:pPr>
    </w:p>
    <w:p>
      <w:pPr>
        <w:ind w:left="700" w:right="540" w:hanging="356"/>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746,562 shares immediately after this offering; or</w:t>
      </w:r>
    </w:p>
    <w:p>
      <w:pPr>
        <w:spacing w:after="0" w:line="62"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average reported weekly trading volume of our common stock on NASDAQ during the four calendar weeks preceding the filing of a notice on Form 144 with respect to such sale.</w:t>
      </w:r>
    </w:p>
    <w:p>
      <w:pPr>
        <w:spacing w:after="0" w:line="62"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received shares from us in connection with a compensatory stock or option plan or other written agreement before the effective date of the registration statement on Form S-1 for the IPO are entitled to sell such shares 90 days after the effective date of the registration statement on Form S-1 for the IPO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60" w:firstLine="360"/>
        <w:spacing w:after="0" w:line="268" w:lineRule="auto"/>
        <w:rPr>
          <w:sz w:val="20"/>
          <w:szCs w:val="20"/>
          <w:color w:val="auto"/>
        </w:rPr>
      </w:pPr>
      <w:r>
        <w:rPr>
          <w:rFonts w:ascii="Arial" w:cs="Arial" w:eastAsia="Arial" w:hAnsi="Arial"/>
          <w:sz w:val="17"/>
          <w:szCs w:val="17"/>
          <w:color w:val="auto"/>
        </w:rPr>
        <w:t>In connection with this offering, we, our directors and executive officers and the selling stockholders have signed lock-up agreements with the underwriters that, subject to certain exceptions, restrict the disposition of, or hedging with respect to, the shares of our common stock or securities convertible into or exchangeable for shares of our common stock, each held by them, during the period ending 90 days after the date of this prospectus, except with the prior written consent of any two of Merrill Lynch, Pierce, Fenner &amp; Smith Incorporated, Citigroup Global Markets Inc. and Goldman Sachs &amp; Co. LLC. See “Underwriting (Conflicts of Interest)” for a description of these lock-up agreements. In addition, holders of substantially all of our common stock outstanding prior to the IPO agreed to not transfer shares of their common stock, except in certain circumstances, until the date that is 180 days from the date of the final prospectus for the IPO. The representatives of the underwriters of the IPO have waived certain of such initial public offering lock-up agreements to permit the filing of this registration statement by the Company and the sale of our common stock in this offering by the selling stockholders (which include officers of the Company). In addition, at closing of this offering, the representatives of the underwriters of the IPO are expected to waive the restrictions in certain of the initial public offering lock-up agreements to permit officers who are not selling in the offering to sell or otherwise transfer an aggregate of 567,654 shares of common stock (subject, in the case of executive officers, to restrictions in the lock-up agreements entered into in connection with this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color w:val="auto"/>
        </w:rPr>
        <w:t>For a description of rights some holders of common stock have to require us to register the shares of common stock they own, see “Certain Relationships and Related Transactions and Director Independence—Registration Rights Agreement” and “Certain Relationships and Related Transactions and Director Independence—Management Stockholder’s Agreements” of our Annual Report, incorporated by reference herein. Registration of these shares under the Securities Act would result in these shares becoming freely tradable immediately upon effectiveness of such registration.</w:t>
      </w:r>
    </w:p>
    <w:p>
      <w:pPr>
        <w:spacing w:after="0" w:line="64" w:lineRule="exact"/>
        <w:rPr>
          <w:sz w:val="20"/>
          <w:szCs w:val="20"/>
          <w:color w:val="auto"/>
        </w:rPr>
      </w:pPr>
    </w:p>
    <w:p>
      <w:pPr>
        <w:ind w:right="240" w:firstLine="360"/>
        <w:spacing w:after="0" w:line="257" w:lineRule="auto"/>
        <w:rPr>
          <w:sz w:val="20"/>
          <w:szCs w:val="20"/>
          <w:color w:val="auto"/>
        </w:rPr>
      </w:pPr>
      <w:r>
        <w:rPr>
          <w:rFonts w:ascii="Arial" w:cs="Arial" w:eastAsia="Arial" w:hAnsi="Arial"/>
          <w:sz w:val="18"/>
          <w:szCs w:val="18"/>
          <w:color w:val="auto"/>
        </w:rPr>
        <w:t>Following completion of this offering, the shares of our common stock covered by registration rights would represent approximately 58.2% of our outstanding common stock (or 55.6%, if the underwriters exercise in full their option to purchase additional shares). These shares also may be sold under Rule 144 under the Securities Act, depending on their holding period and subject to restrictions in the case of shares held by persons deemed to be our affiliates and restrictions in the management stockholder’s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2013 Equity Incentive Plan, 2014 Stock Incentive Plan and 2017 Omnibus Incentive Plan</w:t>
      </w:r>
    </w:p>
    <w:p>
      <w:pPr>
        <w:spacing w:after="0" w:line="12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We have filed a registration statement on Form S-8 to register 14,585,568 shares of common stock subject to outstanding stock options or subject to issuance under our 2013 Equity Incentive Plan, our 2014 Stock Incentive Plan and our 2017 Omnibus Incentive Plan and such shares are available for sale in the open market, unless such shares are subject to Rule 144 limitations applicable to affiliates, vesting restrictions on transfer under the management stockholder’s agreement, or the lock-up restrictions described above. The management stockholder’s agreements impose significant restrictions on transfers of shares of our common stock held by management stockholders. See “Certain Relationships and Related Transactions and Director Independence—Management Stockholder’s Agreements” of our Annual Report, incorporated by reference herein.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UNITED STATES FEDERAL INCOME AND ESTATE TAX CONSEQUENCES TO NON-U.S. HOLDERS</w:t>
      </w:r>
    </w:p>
    <w:p>
      <w:pPr>
        <w:spacing w:after="0" w:line="108"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following is a summary of the material United States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73"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A “non-U.S. holder” means a beneficial owner of our common stock (other than an entity treated as a partnership) that is not for United States federal income tax purposes any of the following:</w:t>
      </w:r>
    </w:p>
    <w:p>
      <w:pPr>
        <w:spacing w:after="0" w:line="62" w:lineRule="exact"/>
        <w:rPr>
          <w:sz w:val="20"/>
          <w:szCs w:val="20"/>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700" w:right="580" w:hanging="356"/>
        <w:spacing w:after="0" w:line="308" w:lineRule="auto"/>
        <w:tabs>
          <w:tab w:leader="none" w:pos="7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corporation (or any other entity treated as a corporation for United States federal income tax purposes) created or organized in or under the laws of the United States, any state thereof or the District of Columbia;</w:t>
      </w:r>
    </w:p>
    <w:p>
      <w:pPr>
        <w:spacing w:after="0" w:line="38" w:lineRule="exact"/>
        <w:rPr>
          <w:rFonts w:ascii="Arial" w:cs="Arial" w:eastAsia="Arial" w:hAnsi="Arial"/>
          <w:sz w:val="17"/>
          <w:szCs w:val="17"/>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17" w:lineRule="exact"/>
        <w:rPr>
          <w:rFonts w:ascii="Arial" w:cs="Arial" w:eastAsia="Arial" w:hAnsi="Arial"/>
          <w:sz w:val="18"/>
          <w:szCs w:val="18"/>
          <w:color w:val="auto"/>
        </w:rPr>
      </w:pPr>
    </w:p>
    <w:p>
      <w:pPr>
        <w:ind w:left="700" w:right="440" w:hanging="356"/>
        <w:spacing w:after="0" w:line="286" w:lineRule="auto"/>
        <w:tabs>
          <w:tab w:leader="none" w:pos="7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57"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This summary is based upon provisions of the Code, and regulations, rulings and judicial decisions as of the date hereof. Those authorities may be changed, perhaps retroactively, so as to result in United States federal income and estate tax consequences different from those summarized below. We cannot assure you that such a change in law will not alter significantly the tax considerations we describe in this summary. This summary does not address all aspects of United States federal income and estate taxes and does not deal with foreign, state, local or other tax considerations that may be relevant to non-U.S. holders in light of their particular circumstances (including the Medicare contribution tax on net investment income). In addition, it does not represent a detailed description of the United States federal income tax consequences applicable to you if you are subject to special treatment under the United States federal income tax laws including, without limitation if you are:</w:t>
      </w:r>
    </w:p>
    <w:p>
      <w:pPr>
        <w:spacing w:after="0" w:line="58" w:lineRule="exact"/>
        <w:rPr>
          <w:sz w:val="20"/>
          <w:szCs w:val="20"/>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United States expatriate;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“controlled foreign corporation”;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“passive foreign investment company”;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bank, insurance company or other financial institution;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tax exempt organization or governmental organization;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broker, dealer or trader in securities;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to the alternative minimum tax;</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partnership or other pass-through entity for U.S. federal income tax purposes;</w:t>
      </w:r>
    </w:p>
    <w:p>
      <w:pPr>
        <w:spacing w:after="0" w:line="117" w:lineRule="exact"/>
        <w:rPr>
          <w:rFonts w:ascii="Arial" w:cs="Arial" w:eastAsia="Arial" w:hAnsi="Arial"/>
          <w:sz w:val="18"/>
          <w:szCs w:val="18"/>
          <w:color w:val="auto"/>
        </w:rPr>
      </w:pPr>
    </w:p>
    <w:p>
      <w:pPr>
        <w:ind w:left="700" w:right="740" w:hanging="356"/>
        <w:spacing w:after="0" w:line="27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person who holds our common stock as part of a hedge, straddle, or other risk reduction strategy or as part of a conversion transaction or other integrated investment;</w:t>
      </w:r>
    </w:p>
    <w:p>
      <w:pPr>
        <w:spacing w:after="0" w:line="62"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person who holds or receives our common stock pursuant to the exercise of any employee stock option or otherwise as compensation;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person deemed to sell our common stock under the constructive sale provisions of the Code.</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If you are considering the purchase of our common stock, you should consult your own tax advisors concerning the particular United States federal income and estate tax consequences to you of the ownership of the common stock, as well as the consequences to you arising under the laws of any other taxing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the event that we make distributions of cash or property (other than certain pro rata distributions of our stock) in respect of our common stock, such distributions generally will constitute dividends for United States federal income tax purposes to the extent paid from our current or accumulated earnings and profits, as determined under United States federal income tax principles. If a distribution exceeds our current and accumulated earnings and profits, the excess generally will be treated first as a tax-free return of capital to the extent of the non-U.S. holder’s adjusted tax basis in our common stock, causing a reduction in the adjusted basis of the non-U.S. holder’s common stock. Any remaining excess will be treated as capital gain and will be treated as described below under “—Gain on Disposition of Common Stock.”</w:t>
      </w:r>
    </w:p>
    <w:p>
      <w:pPr>
        <w:spacing w:after="0" w:line="8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Dividends paid to a non-U.S. holder of our common stock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of the non-U.S. holder) are not subject to such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58"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A non-U.S. holder of our common stock who wishes to claim the benefit of an applicable treaty rate and avoid backup withholding, as discussed below, for dividends will be required (a) to complete the applicable IRS Form W-8 and certify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85"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A non-U.S. holder of our common stock eligible for a reduced rate of United States withholding tax pursuant to an income tax treaty may obtain a refund of any excess amounts withheld by timely filing an appropriate claim for refund with the IRS. Non-U.S. holders are urged to consult their own tax advisors regarding their entitlement to the benefits under any applicable income tax treaty.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Subject to the discussion of backup withholding and FATCA (as defined below) below, any gain realized by a non-U.S. holder on the taxable disposition of our common stock generally will not be subject to United States federal income tax unless:</w:t>
      </w:r>
    </w:p>
    <w:p>
      <w:pPr>
        <w:spacing w:after="0" w:line="16" w:lineRule="exact"/>
        <w:rPr>
          <w:sz w:val="20"/>
          <w:szCs w:val="20"/>
          <w:color w:val="auto"/>
        </w:rPr>
      </w:pPr>
    </w:p>
    <w:p>
      <w:pPr>
        <w:ind w:left="700" w:right="20" w:hanging="356"/>
        <w:spacing w:after="0" w:line="342" w:lineRule="auto"/>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5" w:lineRule="exact"/>
        <w:rPr>
          <w:rFonts w:ascii="Arial" w:cs="Arial" w:eastAsia="Arial" w:hAnsi="Arial"/>
          <w:sz w:val="16"/>
          <w:szCs w:val="16"/>
          <w:color w:val="auto"/>
        </w:rPr>
      </w:pPr>
    </w:p>
    <w:p>
      <w:pPr>
        <w:ind w:left="700" w:right="320" w:hanging="356"/>
        <w:spacing w:after="0" w:line="27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taxable year of the disposition, and certain other conditions are met; or</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United States federal income tax purposes and certain other conditions are met.</w:t>
      </w:r>
    </w:p>
    <w:p>
      <w:pPr>
        <w:spacing w:after="0" w:line="6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An individual non-U.S. holder described in the first bullet point immediately above will be subject to tax on the net gain derived from the sale under regular graduated United States federal income tax rates. An individual non-U.S. holder described in the second bullet point immediately above will be subject to a tax equal to 30% (or such lower rate as may be specified by an applicable income tax treaty) on the gain derived from the sale, which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may be offset by United States source capital losses, even though the individual is not considered a resident of the United States, provided that the individual has timely filed United States federal income tax returns with respect to such losses.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(or such lower rate as may be specified by an applicable income tax treaty) of its effectively connected earnings and profits, subject to adjustments.</w:t>
      </w:r>
    </w:p>
    <w:p>
      <w:pPr>
        <w:spacing w:after="0" w:line="85"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We believe we are not and do not anticipate becoming a “United States real property holding corporation” for United States federal income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right="360" w:firstLine="360"/>
        <w:spacing w:after="0" w:line="308" w:lineRule="auto"/>
        <w:rPr>
          <w:sz w:val="20"/>
          <w:szCs w:val="20"/>
          <w:color w:val="auto"/>
        </w:rPr>
      </w:pPr>
      <w:r>
        <w:rPr>
          <w:rFonts w:ascii="Arial" w:cs="Arial" w:eastAsia="Arial" w:hAnsi="Arial"/>
          <w:sz w:val="17"/>
          <w:szCs w:val="17"/>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79"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5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8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may be allowed as a refund or a credit against a non-U.S. holder’s United States federal income tax liability provided the required information is timely furnished to the IRS.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Under Sections 1471 through 1474 of the Code, or such Sections commonly referred to as FATCA, a 30% United States federal withholding tax may apply to any dividends paid on our common stock and, for a disposition of our common stock occurring after December 31, 2018, the gross proceeds from such disposition, in each case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 regarding these requirements and whether they may be relevant to your ownership and disposition of our common stock.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121"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Subject to the terms and conditions set forth in an underwriting agreement among us, the selling stockholders and the underwriters, the selling stockholders have agreed to sell to the underwriters, and each of the underwriters has agreed, severally and not jointly, to purchase from the selling stockholders, the number of shares of common stock set forth opposite its name below. and Merrill Lynch, Pierce, Fenner &amp; Smith Incorporated, Citigroup Global Markets Inc., Goldman Sachs &amp; Co. LLC and Jefferies LLC are acting as the representatives of the underwriters.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Number</w:t>
            </w:r>
          </w:p>
        </w:tc>
      </w:tr>
      <w:tr>
        <w:trPr>
          <w:trHeight w:val="178"/>
        </w:trPr>
        <w:tc>
          <w:tcPr>
            <w:tcW w:w="822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of Shares</w:t>
            </w:r>
          </w:p>
        </w:tc>
      </w:tr>
      <w:tr>
        <w:trPr>
          <w:trHeight w:val="215"/>
        </w:trPr>
        <w:tc>
          <w:tcPr>
            <w:tcW w:w="20" w:type="dxa"/>
            <w:vAlign w:val="bottom"/>
          </w:tcPr>
          <w:p>
            <w:pPr>
              <w:spacing w:after="0"/>
              <w:rPr>
                <w:sz w:val="18"/>
                <w:szCs w:val="18"/>
                <w:color w:val="auto"/>
              </w:rPr>
            </w:pPr>
          </w:p>
        </w:tc>
        <w:tc>
          <w:tcPr>
            <w:tcW w:w="8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8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Incorporated</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2,040,000</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2,040,000</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2,040,000</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Jefferies LLC</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720,000</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KKR Capital Markets LLC</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2,040,000</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720,000</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720,000</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720,000</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Guggenheim Securities, LLC</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1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Mizuho Securities USA LLC</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360,000</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Macquarie Capital (USA) Inc.</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Total</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79" w:lineRule="exact"/>
        <w:rPr>
          <w:sz w:val="20"/>
          <w:szCs w:val="20"/>
          <w:color w:val="auto"/>
        </w:rPr>
      </w:pPr>
    </w:p>
    <w:p>
      <w:pPr>
        <w:ind w:right="580" w:firstLine="360"/>
        <w:spacing w:after="0" w:line="264" w:lineRule="auto"/>
        <w:rPr>
          <w:sz w:val="20"/>
          <w:szCs w:val="20"/>
          <w:color w:val="auto"/>
        </w:rPr>
      </w:pPr>
      <w:r>
        <w:rPr>
          <w:rFonts w:ascii="Arial" w:cs="Arial" w:eastAsia="Arial" w:hAnsi="Arial"/>
          <w:sz w:val="18"/>
          <w:szCs w:val="18"/>
          <w:color w:val="auto"/>
        </w:rPr>
        <w:t>We and the selling stockholders have agreed to indemnify the several underwriters against certain liabilities, including liabilities under the Securities Act, or to contribute to payments the underwriters may be required to make in respect of those liabilities.</w:t>
      </w:r>
    </w:p>
    <w:p>
      <w:pPr>
        <w:spacing w:after="0" w:line="73"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 forth on the cover page of this prospectus and to dealers at that price less a concession not in excess of $0.79 per share. After the initial offering, the public offering price, concession or any other term of the offering may be changed.</w:t>
      </w:r>
    </w:p>
    <w:p>
      <w:pPr>
        <w:spacing w:after="0" w:line="39"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the selling stockholders. The information assumes either no exercise or full exercise by the underwriters of their option to purchase additional shares.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57"/>
              <w:spacing w:after="0"/>
              <w:rPr>
                <w:sz w:val="20"/>
                <w:szCs w:val="20"/>
                <w:color w:val="auto"/>
              </w:rPr>
            </w:pPr>
            <w:r>
              <w:rPr>
                <w:rFonts w:ascii="Arial" w:cs="Arial" w:eastAsia="Arial" w:hAnsi="Arial"/>
                <w:sz w:val="14"/>
                <w:szCs w:val="14"/>
                <w:b w:val="1"/>
                <w:bCs w:val="1"/>
                <w:color w:val="auto"/>
              </w:rPr>
              <w:t>Per</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77"/>
              <w:spacing w:after="0"/>
              <w:rPr>
                <w:sz w:val="20"/>
                <w:szCs w:val="20"/>
                <w:color w:val="auto"/>
              </w:rPr>
            </w:pPr>
            <w:r>
              <w:rPr>
                <w:rFonts w:ascii="Arial" w:cs="Arial" w:eastAsia="Arial" w:hAnsi="Arial"/>
                <w:sz w:val="14"/>
                <w:szCs w:val="14"/>
                <w:b w:val="1"/>
                <w:bCs w:val="1"/>
                <w:color w:val="auto"/>
              </w:rPr>
              <w:t>Without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With</w:t>
            </w:r>
          </w:p>
        </w:tc>
      </w:tr>
      <w:tr>
        <w:trPr>
          <w:trHeight w:val="178"/>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7"/>
              </w:rPr>
              <w:t>Share</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gridSpan w:val="2"/>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396,000,000</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455,400,000</w:t>
            </w:r>
          </w:p>
        </w:tc>
        <w:tc>
          <w:tcPr>
            <w:tcW w:w="60" w:type="dxa"/>
            <w:vAlign w:val="bottom"/>
            <w:shd w:val="clear" w:color="auto" w:fill="CCEEFF"/>
          </w:tcPr>
          <w:p>
            <w:pPr>
              <w:spacing w:after="0"/>
              <w:rPr>
                <w:sz w:val="21"/>
                <w:szCs w:val="21"/>
                <w:color w:val="auto"/>
              </w:rPr>
            </w:pPr>
          </w:p>
        </w:tc>
      </w:tr>
      <w:tr>
        <w:trPr>
          <w:trHeight w:val="237"/>
        </w:trPr>
        <w:tc>
          <w:tcPr>
            <w:tcW w:w="428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w:t>
            </w:r>
          </w:p>
        </w:tc>
        <w:tc>
          <w:tcPr>
            <w:tcW w:w="1700" w:type="dxa"/>
            <w:vAlign w:val="bottom"/>
          </w:tcPr>
          <w:p>
            <w:pPr>
              <w:spacing w:after="0"/>
              <w:rPr>
                <w:sz w:val="20"/>
                <w:szCs w:val="20"/>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15,840,000</w:t>
            </w:r>
          </w:p>
        </w:tc>
        <w:tc>
          <w:tcPr>
            <w:tcW w:w="1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18,216,000</w:t>
            </w:r>
          </w:p>
        </w:tc>
        <w:tc>
          <w:tcPr>
            <w:tcW w:w="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7"/>
              </w:rPr>
              <w:t>Proceeds, before expenses, to the selling stockholders</w:t>
            </w: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380,160,000</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437,184,000</w:t>
            </w:r>
          </w:p>
        </w:tc>
        <w:tc>
          <w:tcPr>
            <w:tcW w:w="60" w:type="dxa"/>
            <w:vAlign w:val="bottom"/>
            <w:shd w:val="clear" w:color="auto" w:fill="CCEEFF"/>
          </w:tcPr>
          <w:p>
            <w:pPr>
              <w:spacing w:after="0"/>
              <w:rPr>
                <w:sz w:val="21"/>
                <w:szCs w:val="21"/>
                <w:color w:val="auto"/>
              </w:rPr>
            </w:pPr>
          </w:p>
        </w:tc>
      </w:tr>
      <w:tr>
        <w:trPr>
          <w:trHeight w:val="43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700" w:type="dxa"/>
            <w:vAlign w:val="bottom"/>
          </w:tcPr>
          <w:p>
            <w:pPr>
              <w:jc w:val="right"/>
              <w:ind w:right="103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4260" w:type="dxa"/>
            <w:vAlign w:val="bottom"/>
            <w:shd w:val="clear" w:color="auto" w:fill="000000"/>
          </w:tcPr>
          <w:p>
            <w:pPr>
              <w:spacing w:after="0"/>
              <w:rPr>
                <w:sz w:val="5"/>
                <w:szCs w:val="5"/>
                <w:color w:val="auto"/>
              </w:rPr>
            </w:pPr>
          </w:p>
        </w:tc>
        <w:tc>
          <w:tcPr>
            <w:tcW w:w="17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The expenses of the offering, not including the underwriting discounts and commissions for which the selling stockholders are responsible, are estimated at $856,000 and are payable by us. We have agreed to reimburse the underwriters for expenses relating to clearing of this offering with FINRA in an amount up to $25,000.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The underwriters have an option, exercisable for 30 days after the date of this prospectus, to purchase up to 1,800,000 additional shares at the public offering price, less the underwriting discount and commissions, from the selling stockholders.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140" w:firstLine="360"/>
        <w:spacing w:after="0" w:line="286" w:lineRule="auto"/>
        <w:rPr>
          <w:sz w:val="20"/>
          <w:szCs w:val="20"/>
          <w:color w:val="auto"/>
        </w:rPr>
      </w:pPr>
      <w:r>
        <w:rPr>
          <w:rFonts w:ascii="Arial" w:cs="Arial" w:eastAsia="Arial" w:hAnsi="Arial"/>
          <w:sz w:val="17"/>
          <w:szCs w:val="17"/>
          <w:color w:val="auto"/>
        </w:rPr>
        <w:t>We, our directors and executive officers and the selling stockholders have agreed, for 90 days after the date of this prospectus, without first obtaining the written consent of any two of Merrill Lynch, Pierce, Fenner &amp; Smith Incorporated, Citigroup Global Markets Inc. and Goldman Sachs &amp; Co. LLC, not to directly or indirectly, subject to certain exceptions:</w:t>
      </w:r>
    </w:p>
    <w:p>
      <w:pPr>
        <w:spacing w:after="0" w:line="57" w:lineRule="exact"/>
        <w:rPr>
          <w:sz w:val="20"/>
          <w:szCs w:val="20"/>
          <w:color w:val="auto"/>
        </w:rPr>
      </w:pPr>
    </w:p>
    <w:p>
      <w:pPr>
        <w:jc w:val="both"/>
        <w:ind w:left="700" w:right="60" w:hanging="356"/>
        <w:spacing w:after="0" w:line="264"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offer, sell, contract to sell, or otherwise dispose of (or enter into any transaction which is designed to, or might reasonably be expected to, result in the disposition of) any shares of our capital stock or any securities convertible into, or exercisable or exchangeable for such capital stock;</w:t>
      </w:r>
    </w:p>
    <w:p>
      <w:pPr>
        <w:spacing w:after="0" w:line="73" w:lineRule="exact"/>
        <w:rPr>
          <w:rFonts w:ascii="Arial" w:cs="Arial" w:eastAsia="Arial" w:hAnsi="Arial"/>
          <w:sz w:val="18"/>
          <w:szCs w:val="18"/>
          <w:color w:val="auto"/>
        </w:rPr>
      </w:pPr>
    </w:p>
    <w:p>
      <w:pPr>
        <w:ind w:left="700" w:hanging="356"/>
        <w:spacing w:after="0" w:line="259"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publicly file or participate in the public filing of a registration statement with the SEC in respect of, or establish or increase a put equivalent position or liquidate or decrease a call equivalent position within the meaning of Section 16 of the Exchange Act and related rules and regulations, any shares of our capital stock or any securities convertible into, or exercisable or exchangeable for such capital stock; or</w:t>
      </w:r>
    </w:p>
    <w:p>
      <w:pPr>
        <w:spacing w:after="0" w:line="78" w:lineRule="exact"/>
        <w:rPr>
          <w:rFonts w:ascii="Arial" w:cs="Arial" w:eastAsia="Arial" w:hAnsi="Arial"/>
          <w:sz w:val="18"/>
          <w:szCs w:val="18"/>
          <w:color w:val="auto"/>
        </w:rPr>
      </w:pPr>
    </w:p>
    <w:p>
      <w:pPr>
        <w:ind w:left="700" w:hanging="35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publicly announce an intention to effect any such transaction.</w:t>
      </w:r>
    </w:p>
    <w:p>
      <w:pPr>
        <w:spacing w:after="0" w:line="117"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This agreement does not apply to any existing employee benefit plans. Any two of Merrill Lynch, Pierce, Fenner &amp; Smith Incorporated, Citigroup Global Markets Inc. and Goldman Sachs &amp; Co. LLC may, in their sole discretion and at any time or from time to time before the termination of the 90-day period, release all or any portion of the securities subject to lock-up agreements. See “Shares Eligible for Future Sale” for a discussion of certain transfer restrictions.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underwriters may engage in transactions that stabilize the price of the common stock, such as bids or purchases to peg, fix or maintain that price.</w:t>
      </w:r>
    </w:p>
    <w:p>
      <w:pPr>
        <w:spacing w:after="0" w:line="73" w:lineRule="exact"/>
        <w:rPr>
          <w:sz w:val="20"/>
          <w:szCs w:val="20"/>
          <w:color w:val="auto"/>
        </w:rPr>
      </w:pPr>
    </w:p>
    <w:p>
      <w:pPr>
        <w:ind w:right="100" w:firstLine="360"/>
        <w:spacing w:after="0" w:line="288" w:lineRule="auto"/>
        <w:rPr>
          <w:sz w:val="20"/>
          <w:szCs w:val="20"/>
          <w:color w:val="auto"/>
        </w:rPr>
      </w:pPr>
      <w:r>
        <w:rPr>
          <w:rFonts w:ascii="Arial" w:cs="Arial" w:eastAsia="Arial" w:hAnsi="Arial"/>
          <w:sz w:val="16"/>
          <w:szCs w:val="16"/>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73"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other underwriters have repurchased shares sold by or for the account of such underwriter in stabilizing or short covering transactions.</w:t>
      </w:r>
    </w:p>
    <w:p>
      <w:pPr>
        <w:spacing w:after="0" w:line="73"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NASDAQ, in the over-the-counter market or otherwise.</w:t>
      </w:r>
    </w:p>
    <w:p>
      <w:pPr>
        <w:spacing w:after="0" w:line="63"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None of us, the selling stockholders and the underwriters make any representation or prediction as to the direction or magnitude of any effect that the transactions described above may have on the price of our common stock. In addition, none of us, the selling stockholders and the underwriters make any representation that the underwriters will engage in these transactions or that these transactions, once commenced, will not be discontinued without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In connection with the offering, certain of the underwriters or securities dealers may distribute prospectuses by electronic means, such as e-mail.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financial and brokerage activities.</w:t>
      </w:r>
    </w:p>
    <w:p>
      <w:pPr>
        <w:spacing w:after="0" w:line="73"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Certain of the underwriters and their respective affiliates have provided, and may in the future provide, a variety of these services to us and to persons and entities with relationships with us, for which they received or will receive customary fees and expenses. An affiliate of Goldman Sachs &amp; Co. LLC serves as administrative agent, collateral agent, swingline lender and a lender under our first lien credit agreement and Goldman Sachs &amp; Co. LLC, Citigroup Global Markets Inc. and KKR Capital Markets LLC or their respective affiliates serve as joint lead arrangers and joint bookrunners under our first lien credit agreement. As of December 30, 2017, investment funds or accounts managed or advised by the global credit business of KKR &amp; Co. held a portion of the outstanding principal balance of our first lien term loans. Additionally, an affiliate of KKR Capital Markets LLC has been a participating lender under our revolving credit facility. 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Affiliates of KKR Sponsor beneficially own (through investment in KKR Vision Aggregator L.P.) in excess of 10% of our issued and outstanding common stock. Because KKR Capital Markets LLC, an affiliate of KKR Sponsor, is an underwriter in this offering and its affiliates own in excess of 10% of our issued and outstanding common stock, KKR Capital Markets LLC is deemed to have a “conflict of interest” under Rule 5121. Accordingly, this offering is being made in compliance with the requirements of Rule 5121. Pursuant to that rule, the appointment of a “qualified independent underwriter” is not required in connection with this offering, because a bona fide public market exists in the shares, as that term is defined in Rule 5121. KKR Capital Markets LLC will not confirm sales of the securities to any account over which it exercises discretionary authority without the specific written approval of the account holder.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140" w:firstLine="360"/>
        <w:spacing w:after="0" w:line="28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or each, a “</w:t>
      </w:r>
      <w:r>
        <w:rPr>
          <w:rFonts w:ascii="Arial" w:cs="Arial" w:eastAsia="Arial" w:hAnsi="Arial"/>
          <w:sz w:val="17"/>
          <w:szCs w:val="17"/>
          <w:b w:val="1"/>
          <w:bCs w:val="1"/>
          <w:color w:val="auto"/>
        </w:rPr>
        <w:t>Relevant Member State</w:t>
      </w:r>
      <w:r>
        <w:rPr>
          <w:rFonts w:ascii="Arial" w:cs="Arial" w:eastAsia="Arial" w:hAnsi="Arial"/>
          <w:sz w:val="17"/>
          <w:szCs w:val="17"/>
          <w:color w:val="auto"/>
        </w:rPr>
        <w:t>”, with effect from and including the date on which the Prospectus Directive is implemented in that Relevant Member State, no offer of shares may be made to the public in that Relevant Member State other than:</w:t>
      </w:r>
    </w:p>
    <w:p>
      <w:pPr>
        <w:spacing w:after="0" w:line="57" w:lineRule="exact"/>
        <w:rPr>
          <w:sz w:val="20"/>
          <w:szCs w:val="20"/>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17"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provided that no such offer of shares shall require the Company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64"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have been obtained to each such proposed offer or resale.</w:t>
      </w:r>
    </w:p>
    <w:p>
      <w:pPr>
        <w:spacing w:after="0" w:line="66" w:lineRule="exact"/>
        <w:rPr>
          <w:sz w:val="20"/>
          <w:szCs w:val="20"/>
          <w:color w:val="auto"/>
        </w:rPr>
      </w:pPr>
    </w:p>
    <w:p>
      <w:pPr>
        <w:ind w:right="40" w:firstLine="360"/>
        <w:spacing w:after="0" w:line="256" w:lineRule="auto"/>
        <w:rPr>
          <w:sz w:val="20"/>
          <w:szCs w:val="20"/>
          <w:color w:val="auto"/>
        </w:rPr>
      </w:pPr>
      <w:r>
        <w:rPr>
          <w:rFonts w:ascii="Arial" w:cs="Arial" w:eastAsia="Arial" w:hAnsi="Arial"/>
          <w:sz w:val="18"/>
          <w:szCs w:val="18"/>
          <w:color w:val="auto"/>
        </w:rPr>
        <w:t>For the purposes of this provision, the expression an “</w:t>
      </w:r>
      <w:r>
        <w:rPr>
          <w:rFonts w:ascii="Arial" w:cs="Arial" w:eastAsia="Arial" w:hAnsi="Arial"/>
          <w:sz w:val="18"/>
          <w:szCs w:val="18"/>
          <w:b w:val="1"/>
          <w:bCs w:val="1"/>
          <w:color w:val="auto"/>
        </w:rPr>
        <w:t>offer of shares to the public</w:t>
      </w:r>
      <w:r>
        <w:rPr>
          <w:rFonts w:ascii="Arial" w:cs="Arial" w:eastAsia="Arial" w:hAnsi="Arial"/>
          <w:sz w:val="18"/>
          <w:szCs w:val="18"/>
          <w:color w:val="auto"/>
        </w:rPr>
        <w:t>”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140" w:firstLine="360"/>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59"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64" w:lineRule="exact"/>
        <w:rPr>
          <w:sz w:val="20"/>
          <w:szCs w:val="20"/>
          <w:color w:val="auto"/>
        </w:rPr>
      </w:pPr>
    </w:p>
    <w:p>
      <w:pPr>
        <w:jc w:val="both"/>
        <w:ind w:right="40" w:firstLine="360"/>
        <w:spacing w:after="0" w:line="342"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70"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80"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46"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8" w:name="page59"/>
    <w:bookmarkEnd w:id="58"/>
    <w:p>
      <w:pPr>
        <w:ind w:left="7"/>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40" w:firstLine="360"/>
        <w:spacing w:after="0" w:line="279" w:lineRule="auto"/>
        <w:rPr>
          <w:sz w:val="20"/>
          <w:szCs w:val="20"/>
          <w:color w:val="auto"/>
        </w:rPr>
      </w:pPr>
      <w:r>
        <w:rPr>
          <w:rFonts w:ascii="Arial" w:cs="Arial" w:eastAsia="Arial" w:hAnsi="Arial"/>
          <w:sz w:val="17"/>
          <w:szCs w:val="17"/>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w:t>
      </w:r>
    </w:p>
    <w:p>
      <w:pPr>
        <w:spacing w:after="0" w:line="46" w:lineRule="exact"/>
        <w:rPr>
          <w:sz w:val="20"/>
          <w:szCs w:val="20"/>
          <w:color w:val="auto"/>
        </w:rPr>
      </w:pPr>
    </w:p>
    <w:p>
      <w:pPr>
        <w:ind w:left="7" w:right="140" w:hanging="7"/>
        <w:spacing w:after="0" w:line="287" w:lineRule="auto"/>
        <w:tabs>
          <w:tab w:leader="none" w:pos="2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jc w:val="both"/>
        <w:ind w:left="7" w:right="80" w:firstLine="360"/>
        <w:spacing w:after="0" w:line="273" w:lineRule="auto"/>
        <w:rPr>
          <w:sz w:val="20"/>
          <w:szCs w:val="20"/>
          <w:color w:val="auto"/>
        </w:rPr>
      </w:pPr>
      <w:r>
        <w:rPr>
          <w:rFonts w:ascii="Arial" w:cs="Arial" w:eastAsia="Arial" w:hAnsi="Arial"/>
          <w:sz w:val="17"/>
          <w:szCs w:val="17"/>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7" w:firstLine="360"/>
        <w:spacing w:after="0" w:line="272"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70" w:lineRule="exact"/>
        <w:rPr>
          <w:sz w:val="20"/>
          <w:szCs w:val="20"/>
          <w:color w:val="auto"/>
        </w:rPr>
      </w:pPr>
    </w:p>
    <w:p>
      <w:pPr>
        <w:ind w:left="367"/>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707" w:right="40" w:hanging="356"/>
        <w:spacing w:after="0" w:line="264" w:lineRule="auto"/>
        <w:tabs>
          <w:tab w:leader="none" w:pos="70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3" w:lineRule="exact"/>
        <w:rPr>
          <w:rFonts w:ascii="Arial" w:cs="Arial" w:eastAsia="Arial" w:hAnsi="Arial"/>
          <w:sz w:val="18"/>
          <w:szCs w:val="18"/>
          <w:color w:val="auto"/>
        </w:rPr>
      </w:pPr>
    </w:p>
    <w:p>
      <w:pPr>
        <w:ind w:left="707" w:right="160" w:hanging="356"/>
        <w:spacing w:after="0" w:line="277" w:lineRule="auto"/>
        <w:tabs>
          <w:tab w:leader="none" w:pos="70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ind w:left="7" w:right="10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73" w:lineRule="exact"/>
        <w:rPr>
          <w:sz w:val="20"/>
          <w:szCs w:val="20"/>
          <w:color w:val="auto"/>
        </w:rPr>
      </w:pPr>
    </w:p>
    <w:p>
      <w:pPr>
        <w:ind w:left="707" w:right="220" w:hanging="356"/>
        <w:spacing w:after="0" w:line="277" w:lineRule="auto"/>
        <w:tabs>
          <w:tab w:leader="none" w:pos="7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62" w:lineRule="exact"/>
        <w:rPr>
          <w:rFonts w:ascii="Arial" w:cs="Arial" w:eastAsia="Arial" w:hAnsi="Arial"/>
          <w:sz w:val="18"/>
          <w:szCs w:val="18"/>
          <w:color w:val="auto"/>
        </w:rPr>
      </w:pPr>
    </w:p>
    <w:p>
      <w:pPr>
        <w:ind w:left="707" w:hanging="356"/>
        <w:spacing w:after="0"/>
        <w:tabs>
          <w:tab w:leader="none" w:pos="7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Brazil</w:t>
      </w:r>
    </w:p>
    <w:p>
      <w:pPr>
        <w:spacing w:after="0" w:line="12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For purposes of Brazilian law, this offer of securities is addressed to you personally, upon your request and for your sole benefit, and is not to be transmitted to anyone else, to be relied upon elsewhere or for any other purpose either quoted or referred to in any other public or private document or to be filed with anyone, without our prior express and written consent.</w:t>
      </w:r>
    </w:p>
    <w:p>
      <w:pPr>
        <w:spacing w:after="0" w:line="5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This offering does not constitute or form part of any public offering of shares in Brazil and, accordingly, has not been and will not be registered under Brazilian Federal Law No. 6385 of December 7, 1976, as amended, Brazilian Securities Commission (CVM) Rule (Instrução) No. 400 of December 29, 2003, as amended, or under any other Brazilian securities law or regulation. Furthermore, our shares and we have not been and will not be registered before the CVM under CVM Rule (Instrução) No. 480 of December 7, 2009, as amended.</w:t>
      </w:r>
    </w:p>
    <w:p>
      <w:pPr>
        <w:spacing w:after="0" w:line="80" w:lineRule="exact"/>
        <w:rPr>
          <w:sz w:val="20"/>
          <w:szCs w:val="20"/>
          <w:color w:val="auto"/>
        </w:rPr>
      </w:pPr>
    </w:p>
    <w:p>
      <w:pPr>
        <w:ind w:right="260" w:firstLine="360"/>
        <w:spacing w:after="0" w:line="302" w:lineRule="auto"/>
        <w:rPr>
          <w:sz w:val="20"/>
          <w:szCs w:val="20"/>
          <w:color w:val="auto"/>
        </w:rPr>
      </w:pPr>
      <w:r>
        <w:rPr>
          <w:rFonts w:ascii="Arial" w:cs="Arial" w:eastAsia="Arial" w:hAnsi="Arial"/>
          <w:sz w:val="16"/>
          <w:szCs w:val="16"/>
          <w:color w:val="auto"/>
        </w:rPr>
        <w:t>Therefore, the shares offered hereby have not been, will not be and may not be offered for sale or sold in Brazil except in circumstances that do not constitute a public offering or other unauthorized distribution under applicable Brazilian laws and regulations. Documents relating to the shares, as well as the information contained therein, may not be supplied to the public as a public offering in Brazil or be used in connection with any offer for subscription or sale of the shares to the public in Brazil.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Simpson Thacher &amp; Bartlett LLP, New York, New York. Certain legal matters in connection with the offering will be passed upon for the underwriters by Latham &amp; Watkins LLP, New York, New York.</w:t>
      </w:r>
    </w:p>
    <w:p>
      <w:pPr>
        <w:spacing w:after="0" w:line="73"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Certain partners of Simpson Thacher &amp; Bartlett LLP, members of their respective families, related persons, and others have an indirect interest, through limited partnerships that are investors in funds affiliated with KKR &amp; Co., in less than 1% of our common stock.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The consolidated financial statements, and the related financial statement schedule, incorporated in this prospectus by reference from the Company’s Annual Report on Form 10-K for the fiscal year ended December 30, 2017, have been audited by Deloitte &amp; Touche LLP, an independent registered public accounting firm, as stated in their report, which is incorporated herein by reference. Such consolidated financial statements and financial statement schedule have been so incorporated in reliance upon the report of such firm given upon their authority as experts in accounting and auditing.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common stock offered by this prospectus.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about the contents of any contract, agreement or other document are not necessarily complete and in each instance that a copy of such contract, agreement or document has been filed as an exhibit to the registration statement, we refer you to the copy that we have filed as an exhibit.</w:t>
      </w:r>
    </w:p>
    <w:p>
      <w:pPr>
        <w:spacing w:after="0" w:line="70"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 xml:space="preserve">We file annual, quarterly and special reports and other information with the SEC. Our filings with the SEC, including the filings that are incorporated by reference to this prospectus,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Those filings will also be available to the public on, or accessible through, our corporate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we file with the SEC or contained on or accessible through our corporate website or any other website that we may maintain is not part of this prospectus or the registration statement of which this prospectus is a part. You may also read and copy, at SEC prescribed rates, any document we file with the SEC, including the registration statement (and its exhibits) of which this prospectus is a part, at the SEC’s Public Reference Room located at 100 F Street, N.E., Washington, D.C. 20549. You can call the SEC at 1-800-SEC-0330 to obtain information on the operation of the Public Reference Room.</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Securities Exchange Act of 1934, as amended, or the Exchange Act, and applicable SEC rules, are not deemed “filed” under the Exchange Act):</w:t>
      </w:r>
    </w:p>
    <w:p>
      <w:pPr>
        <w:spacing w:after="0" w:line="85" w:lineRule="exact"/>
        <w:rPr>
          <w:sz w:val="20"/>
          <w:szCs w:val="20"/>
          <w:color w:val="auto"/>
        </w:rPr>
      </w:pPr>
    </w:p>
    <w:p>
      <w:pPr>
        <w:ind w:left="700" w:hanging="35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30, 2017, filed on March 8, 2018;</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Current Report on Form 8-K filed on January 23, 2018; and</w:t>
      </w:r>
    </w:p>
    <w:p>
      <w:pPr>
        <w:spacing w:after="0" w:line="117" w:lineRule="exact"/>
        <w:rPr>
          <w:rFonts w:ascii="Arial" w:cs="Arial" w:eastAsia="Arial" w:hAnsi="Arial"/>
          <w:sz w:val="18"/>
          <w:szCs w:val="18"/>
          <w:color w:val="auto"/>
        </w:rPr>
      </w:pPr>
    </w:p>
    <w:p>
      <w:pPr>
        <w:ind w:left="700" w:right="380" w:hanging="356"/>
        <w:spacing w:after="0" w:line="308" w:lineRule="auto"/>
        <w:tabs>
          <w:tab w:leader="none" w:pos="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description of our common stock contained in the Registration Statement on Form 8-A filed on October 24, 2017, including any amendments or reports filed for the purposes of updating such description.</w:t>
      </w:r>
    </w:p>
    <w:p>
      <w:pPr>
        <w:spacing w:after="0" w:line="38"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National Vision Holdings, Inc., 2435 Commerce Avenue, Bldg. 2200, Duluth, Georgia 30096; Attention: Corporate Secretary (telephone: 770-822-3600).</w:t>
      </w:r>
    </w:p>
    <w:p>
      <w:pPr>
        <w:spacing w:after="0" w:line="46"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Exhibits to any documents incorporated by reference in this prospectus will not be sent, however, unless those exhibits have been specifically referenced in this prospectus.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60718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89535</wp:posOffset>
            </wp:positionV>
            <wp:extent cx="1346200" cy="1046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4620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National Vision Holdings,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1014095</wp:posOffset>
            </wp:positionV>
            <wp:extent cx="10375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Prospectus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March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140970</wp:posOffset>
            </wp:positionV>
            <wp:extent cx="10375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0" w:type="dxa"/>
            <w:vAlign w:val="bottom"/>
          </w:tcPr>
          <w:p>
            <w:pPr>
              <w:jc w:val="center"/>
              <w:ind w:right="521"/>
              <w:spacing w:after="0"/>
              <w:rPr>
                <w:sz w:val="20"/>
                <w:szCs w:val="20"/>
                <w:color w:val="auto"/>
              </w:rPr>
            </w:pPr>
            <w:r>
              <w:rPr>
                <w:rFonts w:ascii="Arial" w:cs="Arial" w:eastAsia="Arial" w:hAnsi="Arial"/>
                <w:sz w:val="18"/>
                <w:szCs w:val="18"/>
                <w:i w:val="1"/>
                <w:iCs w:val="1"/>
                <w:color w:val="auto"/>
                <w:w w:val="91"/>
              </w:rPr>
              <w:t>Joint Book-Running Managers</w:t>
            </w:r>
          </w:p>
        </w:tc>
        <w:tc>
          <w:tcPr>
            <w:tcW w:w="2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21"/>
        </w:trPr>
        <w:tc>
          <w:tcPr>
            <w:tcW w:w="2440" w:type="dxa"/>
            <w:vAlign w:val="bottom"/>
          </w:tcPr>
          <w:p>
            <w:pPr>
              <w:spacing w:after="0"/>
              <w:rPr>
                <w:sz w:val="20"/>
                <w:szCs w:val="20"/>
                <w:color w:val="auto"/>
              </w:rPr>
            </w:pPr>
            <w:r>
              <w:rPr>
                <w:rFonts w:ascii="Arial" w:cs="Arial" w:eastAsia="Arial" w:hAnsi="Arial"/>
                <w:sz w:val="22"/>
                <w:szCs w:val="22"/>
                <w:b w:val="1"/>
                <w:bCs w:val="1"/>
                <w:color w:val="auto"/>
              </w:rPr>
              <w:t>BofA Merrill Lynch</w:t>
            </w:r>
          </w:p>
        </w:tc>
        <w:tc>
          <w:tcPr>
            <w:tcW w:w="1040" w:type="dxa"/>
            <w:vAlign w:val="bottom"/>
          </w:tcPr>
          <w:p>
            <w:pPr>
              <w:ind w:left="120"/>
              <w:spacing w:after="0"/>
              <w:rPr>
                <w:sz w:val="20"/>
                <w:szCs w:val="20"/>
                <w:color w:val="auto"/>
              </w:rPr>
            </w:pPr>
            <w:r>
              <w:rPr>
                <w:rFonts w:ascii="Arial" w:cs="Arial" w:eastAsia="Arial" w:hAnsi="Arial"/>
                <w:sz w:val="22"/>
                <w:szCs w:val="22"/>
                <w:b w:val="1"/>
                <w:bCs w:val="1"/>
                <w:color w:val="auto"/>
                <w:w w:val="92"/>
              </w:rPr>
              <w:t>Citigroup</w:t>
            </w:r>
          </w:p>
        </w:tc>
        <w:tc>
          <w:tcPr>
            <w:tcW w:w="3200" w:type="dxa"/>
            <w:vAlign w:val="bottom"/>
          </w:tcPr>
          <w:p>
            <w:pPr>
              <w:ind w:left="720"/>
              <w:spacing w:after="0"/>
              <w:rPr>
                <w:sz w:val="20"/>
                <w:szCs w:val="20"/>
                <w:color w:val="auto"/>
              </w:rPr>
            </w:pPr>
            <w:r>
              <w:rPr>
                <w:rFonts w:ascii="Arial" w:cs="Arial" w:eastAsia="Arial" w:hAnsi="Arial"/>
                <w:sz w:val="22"/>
                <w:szCs w:val="22"/>
                <w:b w:val="1"/>
                <w:bCs w:val="1"/>
                <w:color w:val="auto"/>
                <w:w w:val="95"/>
              </w:rPr>
              <w:t>Goldman Sachs Co. LLC</w:t>
            </w:r>
          </w:p>
        </w:tc>
        <w:tc>
          <w:tcPr>
            <w:tcW w:w="2300" w:type="dxa"/>
            <w:vAlign w:val="bottom"/>
          </w:tcPr>
          <w:p>
            <w:pPr>
              <w:ind w:left="580"/>
              <w:spacing w:after="0"/>
              <w:rPr>
                <w:sz w:val="20"/>
                <w:szCs w:val="20"/>
                <w:color w:val="auto"/>
              </w:rPr>
            </w:pPr>
            <w:r>
              <w:rPr>
                <w:rFonts w:ascii="Arial" w:cs="Arial" w:eastAsia="Arial" w:hAnsi="Arial"/>
                <w:sz w:val="22"/>
                <w:szCs w:val="22"/>
                <w:b w:val="1"/>
                <w:bCs w:val="1"/>
                <w:color w:val="auto"/>
              </w:rPr>
              <w:t>Jefferies</w:t>
            </w:r>
          </w:p>
        </w:tc>
        <w:tc>
          <w:tcPr>
            <w:tcW w:w="580" w:type="dxa"/>
            <w:vAlign w:val="bottom"/>
          </w:tcPr>
          <w:p>
            <w:pPr>
              <w:ind w:left="80"/>
              <w:spacing w:after="0"/>
              <w:rPr>
                <w:sz w:val="20"/>
                <w:szCs w:val="20"/>
                <w:color w:val="auto"/>
              </w:rPr>
            </w:pPr>
            <w:r>
              <w:rPr>
                <w:rFonts w:ascii="Arial" w:cs="Arial" w:eastAsia="Arial" w:hAnsi="Arial"/>
                <w:sz w:val="22"/>
                <w:szCs w:val="22"/>
                <w:b w:val="1"/>
                <w:bCs w:val="1"/>
                <w:color w:val="auto"/>
              </w:rPr>
              <w:t>KKR</w:t>
            </w:r>
          </w:p>
        </w:tc>
      </w:tr>
      <w:tr>
        <w:trPr>
          <w:trHeight w:val="324"/>
        </w:trPr>
        <w:tc>
          <w:tcPr>
            <w:tcW w:w="2440" w:type="dxa"/>
            <w:vAlign w:val="bottom"/>
          </w:tcPr>
          <w:p>
            <w:pPr>
              <w:jc w:val="center"/>
              <w:spacing w:after="0"/>
              <w:rPr>
                <w:sz w:val="20"/>
                <w:szCs w:val="20"/>
                <w:color w:val="auto"/>
              </w:rPr>
            </w:pPr>
            <w:r>
              <w:rPr>
                <w:rFonts w:ascii="Arial" w:cs="Arial" w:eastAsia="Arial" w:hAnsi="Arial"/>
                <w:sz w:val="22"/>
                <w:szCs w:val="22"/>
                <w:b w:val="1"/>
                <w:bCs w:val="1"/>
                <w:color w:val="auto"/>
                <w:w w:val="90"/>
              </w:rPr>
              <w:t>Morgan Stanley</w:t>
            </w:r>
          </w:p>
        </w:tc>
        <w:tc>
          <w:tcPr>
            <w:tcW w:w="4240" w:type="dxa"/>
            <w:vAlign w:val="bottom"/>
            <w:gridSpan w:val="2"/>
          </w:tcPr>
          <w:p>
            <w:pPr>
              <w:jc w:val="center"/>
              <w:ind w:right="361"/>
              <w:spacing w:after="0"/>
              <w:rPr>
                <w:sz w:val="20"/>
                <w:szCs w:val="20"/>
                <w:color w:val="auto"/>
              </w:rPr>
            </w:pPr>
            <w:r>
              <w:rPr>
                <w:rFonts w:ascii="Arial" w:cs="Arial" w:eastAsia="Arial" w:hAnsi="Arial"/>
                <w:sz w:val="22"/>
                <w:szCs w:val="22"/>
                <w:b w:val="1"/>
                <w:bCs w:val="1"/>
                <w:color w:val="auto"/>
                <w:w w:val="90"/>
              </w:rPr>
              <w:t>UBS Investment Bank</w:t>
            </w:r>
          </w:p>
        </w:tc>
        <w:tc>
          <w:tcPr>
            <w:tcW w:w="2300" w:type="dxa"/>
            <w:vAlign w:val="bottom"/>
          </w:tcPr>
          <w:p>
            <w:pPr>
              <w:jc w:val="center"/>
              <w:spacing w:after="0"/>
              <w:rPr>
                <w:sz w:val="20"/>
                <w:szCs w:val="20"/>
                <w:color w:val="auto"/>
              </w:rPr>
            </w:pPr>
            <w:r>
              <w:rPr>
                <w:rFonts w:ascii="Arial" w:cs="Arial" w:eastAsia="Arial" w:hAnsi="Arial"/>
                <w:sz w:val="22"/>
                <w:szCs w:val="22"/>
                <w:b w:val="1"/>
                <w:bCs w:val="1"/>
                <w:color w:val="auto"/>
                <w:w w:val="87"/>
              </w:rPr>
              <w:t>Wells Fargo Securities</w:t>
            </w:r>
          </w:p>
        </w:tc>
        <w:tc>
          <w:tcPr>
            <w:tcW w:w="580" w:type="dxa"/>
            <w:vAlign w:val="bottom"/>
          </w:tcPr>
          <w:p>
            <w:pPr>
              <w:spacing w:after="0"/>
              <w:rPr>
                <w:sz w:val="24"/>
                <w:szCs w:val="24"/>
                <w:color w:val="auto"/>
              </w:rPr>
            </w:pPr>
          </w:p>
        </w:tc>
      </w:tr>
      <w:tr>
        <w:trPr>
          <w:trHeight w:val="328"/>
        </w:trPr>
        <w:tc>
          <w:tcPr>
            <w:tcW w:w="2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0" w:type="dxa"/>
            <w:vAlign w:val="bottom"/>
          </w:tcPr>
          <w:p>
            <w:pPr>
              <w:jc w:val="center"/>
              <w:ind w:right="501"/>
              <w:spacing w:after="0"/>
              <w:rPr>
                <w:sz w:val="20"/>
                <w:szCs w:val="20"/>
                <w:color w:val="auto"/>
              </w:rPr>
            </w:pPr>
            <w:r>
              <w:rPr>
                <w:rFonts w:ascii="Arial" w:cs="Arial" w:eastAsia="Arial" w:hAnsi="Arial"/>
                <w:sz w:val="18"/>
                <w:szCs w:val="18"/>
                <w:i w:val="1"/>
                <w:iCs w:val="1"/>
                <w:color w:val="auto"/>
                <w:w w:val="91"/>
              </w:rPr>
              <w:t>Co-Managers</w:t>
            </w:r>
          </w:p>
        </w:tc>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21"/>
        </w:trPr>
        <w:tc>
          <w:tcPr>
            <w:tcW w:w="2440" w:type="dxa"/>
            <w:vAlign w:val="bottom"/>
          </w:tcPr>
          <w:p>
            <w:pPr>
              <w:jc w:val="center"/>
              <w:spacing w:after="0"/>
              <w:rPr>
                <w:sz w:val="20"/>
                <w:szCs w:val="20"/>
                <w:color w:val="auto"/>
              </w:rPr>
            </w:pPr>
            <w:r>
              <w:rPr>
                <w:rFonts w:ascii="Arial" w:cs="Arial" w:eastAsia="Arial" w:hAnsi="Arial"/>
                <w:sz w:val="22"/>
                <w:szCs w:val="22"/>
                <w:b w:val="1"/>
                <w:bCs w:val="1"/>
                <w:color w:val="auto"/>
                <w:w w:val="86"/>
              </w:rPr>
              <w:t>Guggenheim Securities</w:t>
            </w:r>
          </w:p>
        </w:tc>
        <w:tc>
          <w:tcPr>
            <w:tcW w:w="1040" w:type="dxa"/>
            <w:vAlign w:val="bottom"/>
          </w:tcPr>
          <w:p>
            <w:pPr>
              <w:spacing w:after="0"/>
              <w:rPr>
                <w:sz w:val="24"/>
                <w:szCs w:val="24"/>
                <w:color w:val="auto"/>
              </w:rPr>
            </w:pPr>
          </w:p>
        </w:tc>
        <w:tc>
          <w:tcPr>
            <w:tcW w:w="3200" w:type="dxa"/>
            <w:vAlign w:val="bottom"/>
          </w:tcPr>
          <w:p>
            <w:pPr>
              <w:jc w:val="center"/>
              <w:ind w:right="1401"/>
              <w:spacing w:after="0"/>
              <w:rPr>
                <w:sz w:val="20"/>
                <w:szCs w:val="20"/>
                <w:color w:val="auto"/>
              </w:rPr>
            </w:pPr>
            <w:r>
              <w:rPr>
                <w:rFonts w:ascii="Arial" w:cs="Arial" w:eastAsia="Arial" w:hAnsi="Arial"/>
                <w:sz w:val="22"/>
                <w:szCs w:val="22"/>
                <w:b w:val="1"/>
                <w:bCs w:val="1"/>
                <w:color w:val="auto"/>
                <w:w w:val="88"/>
              </w:rPr>
              <w:t>Mizuho Securities</w:t>
            </w:r>
          </w:p>
        </w:tc>
        <w:tc>
          <w:tcPr>
            <w:tcW w:w="2300" w:type="dxa"/>
            <w:vAlign w:val="bottom"/>
          </w:tcPr>
          <w:p>
            <w:pPr>
              <w:jc w:val="center"/>
              <w:spacing w:after="0"/>
              <w:rPr>
                <w:sz w:val="20"/>
                <w:szCs w:val="20"/>
                <w:color w:val="auto"/>
              </w:rPr>
            </w:pPr>
            <w:r>
              <w:rPr>
                <w:rFonts w:ascii="Arial" w:cs="Arial" w:eastAsia="Arial" w:hAnsi="Arial"/>
                <w:sz w:val="22"/>
                <w:szCs w:val="22"/>
                <w:b w:val="1"/>
                <w:bCs w:val="1"/>
                <w:color w:val="auto"/>
                <w:w w:val="92"/>
              </w:rPr>
              <w:t>Macquarie Capital</w:t>
            </w:r>
          </w:p>
        </w:tc>
        <w:tc>
          <w:tcPr>
            <w:tcW w:w="580" w:type="dxa"/>
            <w:vAlign w:val="bottom"/>
          </w:tcPr>
          <w:p>
            <w:pPr>
              <w:spacing w:after="0"/>
              <w:rPr>
                <w:sz w:val="24"/>
                <w:szCs w:val="24"/>
                <w:color w:val="auto"/>
              </w:rPr>
            </w:pPr>
          </w:p>
        </w:tc>
      </w:tr>
      <w:tr>
        <w:trPr>
          <w:trHeight w:val="220"/>
        </w:trPr>
        <w:tc>
          <w:tcPr>
            <w:tcW w:w="2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r>
      <w:tr>
        <w:trPr>
          <w:trHeight w:val="68"/>
        </w:trPr>
        <w:tc>
          <w:tcPr>
            <w:tcW w:w="2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20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r>
      <w:tr>
        <w:trPr>
          <w:trHeight w:val="446"/>
        </w:trPr>
        <w:tc>
          <w:tcPr>
            <w:tcW w:w="2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8"/>
        </w:trPr>
        <w:tc>
          <w:tcPr>
            <w:tcW w:w="244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3200" w:type="dxa"/>
            <w:vAlign w:val="bottom"/>
            <w:shd w:val="clear" w:color="auto" w:fill="000000"/>
          </w:tcPr>
          <w:p>
            <w:pPr>
              <w:spacing w:after="0"/>
              <w:rPr>
                <w:sz w:val="5"/>
                <w:szCs w:val="5"/>
                <w:color w:val="auto"/>
              </w:rPr>
            </w:pPr>
          </w:p>
        </w:tc>
        <w:tc>
          <w:tcPr>
            <w:tcW w:w="230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9560"/>
      </w:cols>
      <w:pgMar w:left="1180" w:top="279"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bullet"/>
      <w:start w:val="1"/>
    </w:lvl>
  </w:abstractNum>
  <w:abstractNum w:abstractNumId="6">
    <w:nsid w:val="54E49EB4"/>
    <w:multiLevelType w:val="hybridMultilevel"/>
    <w:lvl w:ilvl="0">
      <w:lvlJc w:val="left"/>
      <w:lvlText w:val="2"/>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1)"/>
      <w:numFmt w:val="lowerLetter"/>
      <w:start w:val="7"/>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2"/>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lowerLetter"/>
      <w:start w:val="1"/>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lowerLetter"/>
      <w:start w:val="4"/>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2019-12-08T17:12:36Z</dcterms:created>
  <dcterms:modified xsi:type="dcterms:W3CDTF">2019-12-08T17:12:36Z</dcterms:modified>
</cp:coreProperties>
</file>