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639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6393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PEELER D RANDOLPH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24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10/25/2017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National Vision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EYE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20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BERKSHIRE PARTNERS LLC</w:t>
            </w: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2"/>
              </w:rPr>
              <w:t>200 CLARENDON STREET, 35TH FLOOR</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BOSTON</w:t>
            </w:r>
          </w:p>
        </w:tc>
        <w:tc>
          <w:tcPr>
            <w:tcW w:w="900" w:type="dxa"/>
            <w:vAlign w:val="bottom"/>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ind w:left="380"/>
              <w:spacing w:after="0"/>
              <w:rPr>
                <w:sz w:val="20"/>
                <w:szCs w:val="20"/>
                <w:color w:val="auto"/>
              </w:rPr>
            </w:pPr>
            <w:r>
              <w:rPr>
                <w:rFonts w:ascii="Arial" w:cs="Arial" w:eastAsia="Arial" w:hAnsi="Arial"/>
                <w:sz w:val="18"/>
                <w:szCs w:val="18"/>
                <w:color w:val="0000FF"/>
              </w:rPr>
              <w:t>02116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180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0" w:type="dxa"/>
            <w:vAlign w:val="bottom"/>
            <w:gridSpan w:val="2"/>
          </w:tcPr>
          <w:p>
            <w:pPr>
              <w:ind w:left="6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0" w:type="dxa"/>
            <w:vAlign w:val="bottom"/>
            <w:gridSpan w:val="2"/>
          </w:tcPr>
          <w:p>
            <w:pPr>
              <w:ind w:left="6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0" w:type="dxa"/>
            <w:vAlign w:val="bottom"/>
            <w:vMerge w:val="restart"/>
          </w:tcPr>
          <w:p>
            <w:pPr>
              <w:jc w:val="center"/>
              <w:ind w:right="42"/>
              <w:spacing w:after="0"/>
              <w:rPr>
                <w:sz w:val="20"/>
                <w:szCs w:val="20"/>
                <w:color w:val="auto"/>
              </w:rPr>
            </w:pPr>
            <w:r>
              <w:rPr>
                <w:rFonts w:ascii="Arial" w:cs="Arial" w:eastAsia="Arial" w:hAnsi="Arial"/>
                <w:sz w:val="18"/>
                <w:szCs w:val="18"/>
                <w:color w:val="0000FF"/>
                <w:w w:val="89"/>
              </w:rPr>
              <w:t>9,988,898</w:t>
            </w:r>
          </w:p>
        </w:tc>
        <w:tc>
          <w:tcPr>
            <w:tcW w:w="920" w:type="dxa"/>
            <w:vAlign w:val="bottom"/>
            <w:vMerge w:val="restart"/>
          </w:tcPr>
          <w:p>
            <w:pPr>
              <w:ind w:left="720"/>
              <w:spacing w:after="0"/>
              <w:rPr>
                <w:sz w:val="20"/>
                <w:szCs w:val="20"/>
                <w:color w:val="auto"/>
              </w:rPr>
            </w:pPr>
            <w:r>
              <w:rPr>
                <w:rFonts w:ascii="Arial" w:cs="Arial" w:eastAsia="Arial" w:hAnsi="Arial"/>
                <w:sz w:val="18"/>
                <w:szCs w:val="18"/>
                <w:color w:val="0000FF"/>
              </w:rPr>
              <w:t>I</w:t>
            </w:r>
          </w:p>
        </w:tc>
        <w:tc>
          <w:tcPr>
            <w:tcW w:w="400" w:type="dxa"/>
            <w:vAlign w:val="bottom"/>
          </w:tcPr>
          <w:p>
            <w:pPr>
              <w:spacing w:after="0"/>
              <w:rPr>
                <w:sz w:val="22"/>
                <w:szCs w:val="22"/>
                <w:color w:val="auto"/>
              </w:rPr>
            </w:pPr>
          </w:p>
        </w:tc>
        <w:tc>
          <w:tcPr>
            <w:tcW w:w="3020" w:type="dxa"/>
            <w:vAlign w:val="bottom"/>
            <w:gridSpan w:val="4"/>
          </w:tcPr>
          <w:p>
            <w:pPr>
              <w:ind w:left="120"/>
              <w:spacing w:after="0"/>
              <w:rPr>
                <w:sz w:val="20"/>
                <w:szCs w:val="20"/>
                <w:color w:val="auto"/>
              </w:rPr>
            </w:pPr>
            <w:r>
              <w:rPr>
                <w:rFonts w:ascii="Arial" w:cs="Arial" w:eastAsia="Arial" w:hAnsi="Arial"/>
                <w:sz w:val="18"/>
                <w:szCs w:val="18"/>
                <w:color w:val="0000FF"/>
              </w:rPr>
              <w:t>By Berkshire Fund VI, Limited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8"/>
                <w:szCs w:val="18"/>
                <w:color w:val="0000FF"/>
              </w:rPr>
              <w:t>Partnership</w:t>
            </w:r>
            <w:r>
              <w:rPr>
                <w:rFonts w:ascii="Arial" w:cs="Arial" w:eastAsia="Arial" w:hAnsi="Arial"/>
                <w:sz w:val="22"/>
                <w:szCs w:val="22"/>
                <w:color w:val="008000"/>
                <w:vertAlign w:val="superscript"/>
              </w:rPr>
              <w:t>(1)</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360" w:type="dxa"/>
            <w:vAlign w:val="bottom"/>
            <w:tcBorders>
              <w:bottom w:val="single" w:sz="8" w:color="2C2C2C"/>
            </w:tcBorders>
            <w:gridSpan w:val="2"/>
            <w:vMerge w:val="continue"/>
          </w:tcPr>
          <w:p>
            <w:pPr>
              <w:spacing w:after="0"/>
              <w:rPr>
                <w:sz w:val="14"/>
                <w:szCs w:val="14"/>
                <w:color w:val="auto"/>
              </w:rPr>
            </w:pPr>
          </w:p>
        </w:tc>
        <w:tc>
          <w:tcPr>
            <w:tcW w:w="16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center"/>
              <w:ind w:right="42"/>
              <w:spacing w:after="0"/>
              <w:rPr>
                <w:sz w:val="20"/>
                <w:szCs w:val="20"/>
                <w:color w:val="auto"/>
              </w:rPr>
            </w:pPr>
            <w:r>
              <w:rPr>
                <w:rFonts w:ascii="Arial" w:cs="Arial" w:eastAsia="Arial" w:hAnsi="Arial"/>
                <w:sz w:val="18"/>
                <w:szCs w:val="18"/>
                <w:color w:val="0000FF"/>
                <w:w w:val="86"/>
              </w:rPr>
              <w:t>129,780</w:t>
            </w:r>
          </w:p>
        </w:tc>
        <w:tc>
          <w:tcPr>
            <w:tcW w:w="9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40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3"/>
          </w:tcPr>
          <w:p>
            <w:pPr>
              <w:ind w:left="120"/>
              <w:spacing w:after="0"/>
              <w:rPr>
                <w:sz w:val="20"/>
                <w:szCs w:val="20"/>
                <w:color w:val="auto"/>
              </w:rPr>
            </w:pPr>
            <w:r>
              <w:rPr>
                <w:rFonts w:ascii="Arial" w:cs="Arial" w:eastAsia="Arial" w:hAnsi="Arial"/>
                <w:sz w:val="18"/>
                <w:szCs w:val="18"/>
                <w:color w:val="0000FF"/>
              </w:rPr>
              <w:t>By Berkshire Investors LLC</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center"/>
              <w:ind w:right="42"/>
              <w:spacing w:after="0"/>
              <w:rPr>
                <w:sz w:val="20"/>
                <w:szCs w:val="20"/>
                <w:color w:val="auto"/>
              </w:rPr>
            </w:pPr>
            <w:r>
              <w:rPr>
                <w:rFonts w:ascii="Arial" w:cs="Arial" w:eastAsia="Arial" w:hAnsi="Arial"/>
                <w:sz w:val="18"/>
                <w:szCs w:val="18"/>
                <w:color w:val="0000FF"/>
                <w:w w:val="87"/>
              </w:rPr>
              <w:t>52,863</w:t>
            </w:r>
          </w:p>
        </w:tc>
        <w:tc>
          <w:tcPr>
            <w:tcW w:w="9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40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gridSpan w:val="4"/>
          </w:tcPr>
          <w:p>
            <w:pPr>
              <w:ind w:left="120"/>
              <w:spacing w:after="0"/>
              <w:rPr>
                <w:sz w:val="20"/>
                <w:szCs w:val="20"/>
                <w:color w:val="auto"/>
              </w:rPr>
            </w:pPr>
            <w:r>
              <w:rPr>
                <w:rFonts w:ascii="Arial" w:cs="Arial" w:eastAsia="Arial" w:hAnsi="Arial"/>
                <w:sz w:val="18"/>
                <w:szCs w:val="18"/>
                <w:color w:val="0000FF"/>
              </w:rPr>
              <w:t>By Berkshire Investors III LLC</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4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5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73"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Represents shares held by Berkshire Fund VI, Limited Partnership ("Fund VI"). Sixth Berkshire Associates LLC ("6BA") is the general partner of Fund VI, and Berkshire Partners LLC ("Berkshire Partners") is the investment adviser to Fund VI. Berkshire Partners Holdings LLC ("BPH") is the general partner of BPSP, L.P. ("BPSP"), which is the managing member of Berkshire Partners. The Reporting Person is a managing member of each of BPH, BPSP, Berkshire Partners and 6BA. By virtue of the relationships described above, the Reporting Person may be deemed to share beneficial ownership with respect to the shares of common stock held by Fund VI. The Reporting Person disclaims beneficial ownership of the shares held by Fund VI, except to the extent of his pecuniary interest therein, and the inclusion of these securities in this report shall not be deemed an admission of beneficial ownership of the reported securities for purposes of Section 16 or for any other purpose.</w:t>
      </w:r>
    </w:p>
    <w:p>
      <w:pPr>
        <w:spacing w:after="0" w:line="11" w:lineRule="exact"/>
        <w:rPr>
          <w:rFonts w:ascii="Arial" w:cs="Arial" w:eastAsia="Arial" w:hAnsi="Arial"/>
          <w:sz w:val="12"/>
          <w:szCs w:val="12"/>
          <w:color w:val="008000"/>
        </w:rPr>
      </w:pPr>
    </w:p>
    <w:p>
      <w:pPr>
        <w:ind w:left="40" w:right="6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shares held by Berkshire Investors LLC ("Berkshire Investors"). The Reporting Person is a managing member of Berkshire Investors. By virtue of the relationships described above, the Reporting Person may be deemed to share beneficial ownership with respect to the shares of common stock held by Berkshire Investors. The Reporting Person disclaims beneficial ownership of the shares held by Berkshire Investors, except to the extent of his pecuniary interest therein, and the inclusion of these securities in this report shall not be deemed an admission of beneficial ownership of the reported securities for purposes of Section 16 or for any other purpose.</w:t>
      </w:r>
    </w:p>
    <w:p>
      <w:pPr>
        <w:spacing w:after="0" w:line="31" w:lineRule="exact"/>
        <w:rPr>
          <w:rFonts w:ascii="Arial" w:cs="Arial" w:eastAsia="Arial" w:hAnsi="Arial"/>
          <w:sz w:val="14"/>
          <w:szCs w:val="14"/>
          <w:color w:val="008000"/>
        </w:rPr>
      </w:pPr>
    </w:p>
    <w:p>
      <w:pPr>
        <w:ind w:left="40" w:right="14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shares held by Berkshire Investors III LLC ("Berkshire Investors III"). The Reporting Person is a managing member of Berkshire Investors III. By virtue of the relationships described above, the Reporting Person may be deemed to share beneficial ownership with respect to the shares of common stock held by Berkshire Investors III. The Reporting Person disclaims beneficial ownership of the shares held by Berkshire Investors III, except to the extent of his pecuniary interest therein, and the inclusion of these securities in this report shall not be deemed an admission of beneficial ownership of the reported securities for purposes of Section 16 or for any other purpose.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0000FF"/>
                <w:w w:val="87"/>
              </w:rPr>
              <w:t>/s/ David R. Peeler</w:t>
            </w:r>
          </w:p>
        </w:tc>
        <w:tc>
          <w:tcPr>
            <w:tcW w:w="7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10/25/2017</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25729" TargetMode="External"/><Relationship Id="rId12"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2019-12-23T16:24:40Z</dcterms:created>
  <dcterms:modified xsi:type="dcterms:W3CDTF">2019-12-23T16:24:40Z</dcterms:modified>
</cp:coreProperties>
</file>