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SCHEDULE 13G/A</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(Amendment No. 3)*</w:t>
      </w:r>
    </w:p>
    <w:p>
      <w:pPr>
        <w:spacing w:after="0" w:line="20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1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-158115</wp:posOffset>
            </wp:positionV>
            <wp:extent cx="5460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8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1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-158115</wp:posOffset>
            </wp:positionV>
            <wp:extent cx="5460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8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color w:val="auto"/>
        </w:rPr>
        <w:t>63845R107</w:t>
      </w:r>
    </w:p>
    <w:p>
      <w:pPr>
        <w:spacing w:after="0" w:line="1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-158115</wp:posOffset>
            </wp:positionV>
            <wp:extent cx="5460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December 31, 2020</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-158115</wp:posOffset>
            </wp:positionV>
            <wp:extent cx="5460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680" w:right="8900" w:hanging="6"/>
        <w:spacing w:after="0" w:line="268" w:lineRule="exact"/>
        <w:tabs>
          <w:tab w:leader="none" w:pos="1076"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rPr>
      </w:pPr>
    </w:p>
    <w:p>
      <w:pPr>
        <w:ind w:left="1060" w:hanging="386"/>
        <w:spacing w:after="0"/>
        <w:tabs>
          <w:tab w:leader="none" w:pos="10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(Page 1 of 11 Pages)</w:t>
      </w: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7" w:lineRule="exact"/>
        <w:rPr>
          <w:sz w:val="24"/>
          <w:szCs w:val="24"/>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otherwise subject to the liabilities of that section of the Act but shall be subject to all other provisions of the Act (however, see the Notes).</w:t>
      </w:r>
    </w:p>
    <w:p>
      <w:pPr>
        <w:sectPr>
          <w:pgSz w:w="11900" w:h="16838" w:orient="portrait"/>
          <w:cols w:equalWidth="0" w:num="1">
            <w:col w:w="11180"/>
          </w:cols>
          <w:pgMar w:left="320" w:top="220"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0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2 of 11 Pages</w:t>
            </w:r>
          </w:p>
        </w:tc>
        <w:tc>
          <w:tcPr>
            <w:tcW w:w="0" w:type="dxa"/>
            <w:vAlign w:val="bottom"/>
          </w:tcPr>
          <w:p>
            <w:pPr>
              <w:spacing w:after="0"/>
              <w:rPr>
                <w:sz w:val="1"/>
                <w:szCs w:val="1"/>
                <w:color w:val="auto"/>
              </w:rPr>
            </w:pPr>
          </w:p>
        </w:tc>
      </w:tr>
      <w:tr>
        <w:trPr>
          <w:trHeight w:val="351"/>
        </w:trPr>
        <w:tc>
          <w:tcPr>
            <w:tcW w:w="180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8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Adage Capital Partners, L.P.</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000" w:type="dxa"/>
            <w:vAlign w:val="bottom"/>
            <w:tcBorders>
              <w:bottom w:val="single" w:sz="8" w:color="auto"/>
            </w:tcBorders>
            <w:gridSpan w:val="3"/>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2</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44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2"/>
                <w:szCs w:val="22"/>
                <w:color w:val="auto"/>
                <w:w w:val="96"/>
              </w:rPr>
              <w:t xml:space="preserve">(a) </w:t>
            </w:r>
            <w:r>
              <w:rPr>
                <w:rFonts w:ascii="MS PGothic" w:cs="MS PGothic" w:eastAsia="MS PGothic" w:hAnsi="MS PGothic"/>
                <w:sz w:val="28"/>
                <w:szCs w:val="28"/>
                <w:color w:val="auto"/>
                <w:w w:val="96"/>
              </w:rPr>
              <w:t>☐</w:t>
            </w:r>
          </w:p>
        </w:tc>
        <w:tc>
          <w:tcPr>
            <w:tcW w:w="0" w:type="dxa"/>
            <w:vAlign w:val="bottom"/>
          </w:tcPr>
          <w:p>
            <w:pPr>
              <w:spacing w:after="0"/>
              <w:rPr>
                <w:sz w:val="1"/>
                <w:szCs w:val="1"/>
                <w:color w:val="auto"/>
              </w:rPr>
            </w:pPr>
          </w:p>
        </w:tc>
      </w:tr>
      <w:tr>
        <w:trPr>
          <w:trHeight w:val="403"/>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line="322" w:lineRule="exact"/>
              <w:rPr>
                <w:sz w:val="20"/>
                <w:szCs w:val="20"/>
                <w:color w:val="auto"/>
              </w:rPr>
            </w:pPr>
            <w:r>
              <w:rPr>
                <w:rFonts w:ascii="Times New Roman" w:cs="Times New Roman" w:eastAsia="Times New Roman" w:hAnsi="Times New Roman"/>
                <w:sz w:val="22"/>
                <w:szCs w:val="22"/>
                <w:color w:val="auto"/>
                <w:w w:val="97"/>
              </w:rPr>
              <w:t xml:space="preserve">(b)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316"/>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000" w:type="dxa"/>
            <w:vAlign w:val="bottom"/>
            <w:tcBorders>
              <w:bottom w:val="single" w:sz="8" w:color="auto"/>
            </w:tcBorders>
            <w:gridSpan w:val="3"/>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4</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Delaware</w:t>
            </w:r>
          </w:p>
        </w:tc>
        <w:tc>
          <w:tcPr>
            <w:tcW w:w="670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5</w:t>
            </w:r>
          </w:p>
        </w:tc>
        <w:tc>
          <w:tcPr>
            <w:tcW w:w="100" w:type="dxa"/>
            <w:vAlign w:val="bottom"/>
          </w:tcPr>
          <w:p>
            <w:pPr>
              <w:spacing w:after="0"/>
              <w:rPr>
                <w:sz w:val="22"/>
                <w:szCs w:val="22"/>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6</w:t>
            </w:r>
          </w:p>
        </w:tc>
        <w:tc>
          <w:tcPr>
            <w:tcW w:w="100" w:type="dxa"/>
            <w:vAlign w:val="bottom"/>
          </w:tcPr>
          <w:p>
            <w:pPr>
              <w:spacing w:after="0"/>
              <w:rPr>
                <w:sz w:val="2"/>
                <w:szCs w:val="2"/>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14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SHARES</w:t>
            </w:r>
          </w:p>
        </w:tc>
        <w:tc>
          <w:tcPr>
            <w:tcW w:w="120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2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2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7</w:t>
            </w:r>
          </w:p>
        </w:tc>
        <w:tc>
          <w:tcPr>
            <w:tcW w:w="100" w:type="dxa"/>
            <w:vAlign w:val="bottom"/>
          </w:tcPr>
          <w:p>
            <w:pPr>
              <w:spacing w:after="0"/>
              <w:rPr>
                <w:sz w:val="8"/>
                <w:szCs w:val="8"/>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2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700" w:type="dxa"/>
            <w:vAlign w:val="bottom"/>
            <w:vMerge w:val="continue"/>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PERSON WITH:</w:t>
            </w:r>
          </w:p>
        </w:tc>
        <w:tc>
          <w:tcPr>
            <w:tcW w:w="1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8</w:t>
            </w:r>
          </w:p>
        </w:tc>
        <w:tc>
          <w:tcPr>
            <w:tcW w:w="100" w:type="dxa"/>
            <w:vAlign w:val="bottom"/>
          </w:tcPr>
          <w:p>
            <w:pPr>
              <w:spacing w:after="0"/>
              <w:rPr>
                <w:sz w:val="18"/>
                <w:szCs w:val="18"/>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800" w:type="dxa"/>
            <w:vAlign w:val="bottom"/>
            <w:tcBorders>
              <w:left w:val="single" w:sz="8" w:color="auto"/>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6700" w:type="dxa"/>
            <w:vAlign w:val="bottom"/>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7"/>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7,867,543</w:t>
            </w:r>
          </w:p>
        </w:tc>
        <w:tc>
          <w:tcPr>
            <w:tcW w:w="670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440" w:type="dxa"/>
            <w:vAlign w:val="bottom"/>
            <w:tcBorders>
              <w:right w:val="single" w:sz="8" w:color="auto"/>
            </w:tcBorders>
          </w:tcPr>
          <w:p>
            <w:pPr>
              <w:ind w:left="54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6"/>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Times New Roman" w:cs="Times New Roman" w:eastAsia="Times New Roman" w:hAnsi="Times New Roman"/>
                <w:sz w:val="22"/>
                <w:szCs w:val="22"/>
                <w:color w:val="auto"/>
              </w:rPr>
              <w:t>SHARES</w:t>
            </w:r>
          </w:p>
        </w:tc>
        <w:tc>
          <w:tcPr>
            <w:tcW w:w="6700" w:type="dxa"/>
            <w:vAlign w:val="bottom"/>
            <w:tcBorders>
              <w:bottom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9.71%</w:t>
            </w:r>
          </w:p>
        </w:tc>
        <w:tc>
          <w:tcPr>
            <w:tcW w:w="1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80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PN</w:t>
            </w:r>
          </w:p>
        </w:tc>
        <w:tc>
          <w:tcPr>
            <w:tcW w:w="670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7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11 Pages</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82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8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Adage Capital Partners GP, L.L.C.</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240" w:type="dxa"/>
            <w:vAlign w:val="bottom"/>
            <w:tcBorders>
              <w:right w:val="single" w:sz="8" w:color="auto"/>
            </w:tcBorders>
          </w:tcPr>
          <w:p>
            <w:pPr>
              <w:jc w:val="center"/>
              <w:ind w:right="120"/>
              <w:spacing w:after="0" w:line="320" w:lineRule="exact"/>
              <w:rPr>
                <w:sz w:val="20"/>
                <w:szCs w:val="20"/>
                <w:color w:val="auto"/>
              </w:rPr>
            </w:pPr>
            <w:r>
              <w:rPr>
                <w:rFonts w:ascii="Times New Roman" w:cs="Times New Roman" w:eastAsia="Times New Roman" w:hAnsi="Times New Roman"/>
                <w:sz w:val="22"/>
                <w:szCs w:val="22"/>
                <w:color w:val="auto"/>
                <w:w w:val="96"/>
              </w:rPr>
              <w:t xml:space="preserve">(a) </w:t>
            </w:r>
            <w:r>
              <w:rPr>
                <w:rFonts w:ascii="MS PGothic" w:cs="MS PGothic" w:eastAsia="MS PGothic" w:hAnsi="MS PGothic"/>
                <w:sz w:val="28"/>
                <w:szCs w:val="28"/>
                <w:color w:val="auto"/>
                <w:w w:val="96"/>
              </w:rPr>
              <w:t>☐</w:t>
            </w:r>
          </w:p>
        </w:tc>
        <w:tc>
          <w:tcPr>
            <w:tcW w:w="0" w:type="dxa"/>
            <w:vAlign w:val="bottom"/>
          </w:tcPr>
          <w:p>
            <w:pPr>
              <w:spacing w:after="0"/>
              <w:rPr>
                <w:sz w:val="1"/>
                <w:szCs w:val="1"/>
                <w:color w:val="auto"/>
              </w:rPr>
            </w:pPr>
          </w:p>
        </w:tc>
      </w:tr>
      <w:tr>
        <w:trPr>
          <w:trHeight w:val="403"/>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ind w:right="100"/>
              <w:spacing w:after="0" w:line="322" w:lineRule="exact"/>
              <w:rPr>
                <w:sz w:val="20"/>
                <w:szCs w:val="20"/>
                <w:color w:val="auto"/>
              </w:rPr>
            </w:pPr>
            <w:r>
              <w:rPr>
                <w:rFonts w:ascii="Times New Roman" w:cs="Times New Roman" w:eastAsia="Times New Roman" w:hAnsi="Times New Roman"/>
                <w:sz w:val="22"/>
                <w:szCs w:val="22"/>
                <w:color w:val="auto"/>
                <w:w w:val="97"/>
              </w:rPr>
              <w:t xml:space="preserve">(b)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316"/>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4</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Delaware</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5</w:t>
            </w:r>
          </w:p>
        </w:tc>
        <w:tc>
          <w:tcPr>
            <w:tcW w:w="10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6</w:t>
            </w:r>
          </w:p>
        </w:tc>
        <w:tc>
          <w:tcPr>
            <w:tcW w:w="10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SHARES</w:t>
            </w:r>
          </w:p>
        </w:tc>
        <w:tc>
          <w:tcPr>
            <w:tcW w:w="120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2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2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7</w:t>
            </w:r>
          </w:p>
        </w:tc>
        <w:tc>
          <w:tcPr>
            <w:tcW w:w="100" w:type="dxa"/>
            <w:vAlign w:val="bottom"/>
          </w:tcPr>
          <w:p>
            <w:pPr>
              <w:spacing w:after="0"/>
              <w:rPr>
                <w:sz w:val="8"/>
                <w:szCs w:val="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2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PERSON WITH:</w:t>
            </w:r>
          </w:p>
        </w:tc>
        <w:tc>
          <w:tcPr>
            <w:tcW w:w="1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8</w:t>
            </w:r>
          </w:p>
        </w:tc>
        <w:tc>
          <w:tcPr>
            <w:tcW w:w="100" w:type="dxa"/>
            <w:vAlign w:val="bottom"/>
          </w:tcPr>
          <w:p>
            <w:pPr>
              <w:spacing w:after="0"/>
              <w:rPr>
                <w:sz w:val="18"/>
                <w:szCs w:val="1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800" w:type="dxa"/>
            <w:vAlign w:val="bottom"/>
            <w:tcBorders>
              <w:left w:val="single" w:sz="8" w:color="auto"/>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6900" w:type="dxa"/>
            <w:vAlign w:val="bottom"/>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7,867,543</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240" w:type="dxa"/>
            <w:vAlign w:val="bottom"/>
            <w:tcBorders>
              <w:right w:val="single" w:sz="8" w:color="auto"/>
            </w:tcBorders>
          </w:tcPr>
          <w:p>
            <w:pPr>
              <w:jc w:val="center"/>
              <w:ind w:right="180"/>
              <w:spacing w:after="0" w:line="287"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46"/>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Times New Roman" w:cs="Times New Roman" w:eastAsia="Times New Roman" w:hAnsi="Times New Roman"/>
                <w:sz w:val="22"/>
                <w:szCs w:val="22"/>
                <w:color w:val="auto"/>
              </w:rPr>
              <w:t>SHARES</w:t>
            </w:r>
          </w:p>
        </w:tc>
        <w:tc>
          <w:tcPr>
            <w:tcW w:w="69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9.71%</w:t>
            </w:r>
          </w:p>
        </w:tc>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OO</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11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82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8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Adage Capital Advisors, L.L.C.</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240" w:type="dxa"/>
            <w:vAlign w:val="bottom"/>
            <w:tcBorders>
              <w:right w:val="single" w:sz="8" w:color="auto"/>
            </w:tcBorders>
          </w:tcPr>
          <w:p>
            <w:pPr>
              <w:jc w:val="center"/>
              <w:ind w:right="120"/>
              <w:spacing w:after="0" w:line="320" w:lineRule="exact"/>
              <w:rPr>
                <w:sz w:val="20"/>
                <w:szCs w:val="20"/>
                <w:color w:val="auto"/>
              </w:rPr>
            </w:pPr>
            <w:r>
              <w:rPr>
                <w:rFonts w:ascii="Times New Roman" w:cs="Times New Roman" w:eastAsia="Times New Roman" w:hAnsi="Times New Roman"/>
                <w:sz w:val="22"/>
                <w:szCs w:val="22"/>
                <w:color w:val="auto"/>
                <w:w w:val="96"/>
              </w:rPr>
              <w:t xml:space="preserve">(a) </w:t>
            </w:r>
            <w:r>
              <w:rPr>
                <w:rFonts w:ascii="MS PGothic" w:cs="MS PGothic" w:eastAsia="MS PGothic" w:hAnsi="MS PGothic"/>
                <w:sz w:val="28"/>
                <w:szCs w:val="28"/>
                <w:color w:val="auto"/>
                <w:w w:val="96"/>
              </w:rPr>
              <w:t>☐</w:t>
            </w:r>
          </w:p>
        </w:tc>
        <w:tc>
          <w:tcPr>
            <w:tcW w:w="0" w:type="dxa"/>
            <w:vAlign w:val="bottom"/>
          </w:tcPr>
          <w:p>
            <w:pPr>
              <w:spacing w:after="0"/>
              <w:rPr>
                <w:sz w:val="1"/>
                <w:szCs w:val="1"/>
                <w:color w:val="auto"/>
              </w:rPr>
            </w:pPr>
          </w:p>
        </w:tc>
      </w:tr>
      <w:tr>
        <w:trPr>
          <w:trHeight w:val="403"/>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ind w:right="100"/>
              <w:spacing w:after="0" w:line="322" w:lineRule="exact"/>
              <w:rPr>
                <w:sz w:val="20"/>
                <w:szCs w:val="20"/>
                <w:color w:val="auto"/>
              </w:rPr>
            </w:pPr>
            <w:r>
              <w:rPr>
                <w:rFonts w:ascii="Times New Roman" w:cs="Times New Roman" w:eastAsia="Times New Roman" w:hAnsi="Times New Roman"/>
                <w:sz w:val="22"/>
                <w:szCs w:val="22"/>
                <w:color w:val="auto"/>
                <w:w w:val="97"/>
              </w:rPr>
              <w:t xml:space="preserve">(b)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316"/>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4</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Delaware</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5</w:t>
            </w:r>
          </w:p>
        </w:tc>
        <w:tc>
          <w:tcPr>
            <w:tcW w:w="10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6</w:t>
            </w:r>
          </w:p>
        </w:tc>
        <w:tc>
          <w:tcPr>
            <w:tcW w:w="10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SHARES</w:t>
            </w:r>
          </w:p>
        </w:tc>
        <w:tc>
          <w:tcPr>
            <w:tcW w:w="120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2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2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7</w:t>
            </w:r>
          </w:p>
        </w:tc>
        <w:tc>
          <w:tcPr>
            <w:tcW w:w="100" w:type="dxa"/>
            <w:vAlign w:val="bottom"/>
          </w:tcPr>
          <w:p>
            <w:pPr>
              <w:spacing w:after="0"/>
              <w:rPr>
                <w:sz w:val="8"/>
                <w:szCs w:val="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2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PERSON WITH:</w:t>
            </w:r>
          </w:p>
        </w:tc>
        <w:tc>
          <w:tcPr>
            <w:tcW w:w="1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8</w:t>
            </w:r>
          </w:p>
        </w:tc>
        <w:tc>
          <w:tcPr>
            <w:tcW w:w="100" w:type="dxa"/>
            <w:vAlign w:val="bottom"/>
          </w:tcPr>
          <w:p>
            <w:pPr>
              <w:spacing w:after="0"/>
              <w:rPr>
                <w:sz w:val="18"/>
                <w:szCs w:val="1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800" w:type="dxa"/>
            <w:vAlign w:val="bottom"/>
            <w:tcBorders>
              <w:left w:val="single" w:sz="8" w:color="auto"/>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6900" w:type="dxa"/>
            <w:vAlign w:val="bottom"/>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7,867,543</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240" w:type="dxa"/>
            <w:vAlign w:val="bottom"/>
            <w:tcBorders>
              <w:right w:val="single" w:sz="8" w:color="auto"/>
            </w:tcBorders>
          </w:tcPr>
          <w:p>
            <w:pPr>
              <w:jc w:val="center"/>
              <w:ind w:right="180"/>
              <w:spacing w:after="0" w:line="287"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46"/>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Times New Roman" w:cs="Times New Roman" w:eastAsia="Times New Roman" w:hAnsi="Times New Roman"/>
                <w:sz w:val="22"/>
                <w:szCs w:val="22"/>
                <w:color w:val="auto"/>
              </w:rPr>
              <w:t>SHARES</w:t>
            </w:r>
          </w:p>
        </w:tc>
        <w:tc>
          <w:tcPr>
            <w:tcW w:w="69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9.71%</w:t>
            </w:r>
          </w:p>
        </w:tc>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OO</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8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81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Robert Atchinson</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8180" w:type="dxa"/>
            <w:vAlign w:val="bottom"/>
            <w:tcBorders>
              <w:bottom w:val="single" w:sz="8" w:color="auto"/>
            </w:tcBorders>
            <w:gridSpan w:val="2"/>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2</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120" w:type="dxa"/>
            <w:vAlign w:val="bottom"/>
            <w:tcBorders>
              <w:right w:val="single" w:sz="8" w:color="auto"/>
            </w:tcBorders>
          </w:tcPr>
          <w:p>
            <w:pPr>
              <w:ind w:left="220"/>
              <w:spacing w:after="0" w:line="320"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403"/>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ind w:left="220"/>
              <w:spacing w:after="0" w:line="322"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316"/>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8180" w:type="dxa"/>
            <w:vAlign w:val="bottom"/>
            <w:tcBorders>
              <w:bottom w:val="single" w:sz="8" w:color="auto"/>
            </w:tcBorders>
            <w:gridSpan w:val="2"/>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81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United States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auto"/>
              <w:right w:val="single" w:sz="8" w:color="auto"/>
            </w:tcBorders>
          </w:tcPr>
          <w:p>
            <w:pPr>
              <w:spacing w:after="0"/>
              <w:rPr>
                <w:sz w:val="22"/>
                <w:szCs w:val="22"/>
                <w:color w:val="auto"/>
              </w:rPr>
            </w:pPr>
          </w:p>
        </w:tc>
        <w:tc>
          <w:tcPr>
            <w:tcW w:w="114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5</w:t>
            </w:r>
          </w:p>
        </w:tc>
        <w:tc>
          <w:tcPr>
            <w:tcW w:w="7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VOTING POWER</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140" w:type="dxa"/>
            <w:vAlign w:val="bottom"/>
            <w:tcBorders>
              <w:right w:val="single" w:sz="8" w:color="auto"/>
            </w:tcBorders>
          </w:tcPr>
          <w:p>
            <w:pPr>
              <w:spacing w:after="0"/>
              <w:rPr>
                <w:sz w:val="24"/>
                <w:szCs w:val="24"/>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940" w:type="dxa"/>
            <w:vAlign w:val="bottom"/>
            <w:tcBorders>
              <w:left w:val="single" w:sz="8" w:color="auto"/>
              <w:right w:val="single" w:sz="8" w:color="auto"/>
            </w:tcBorders>
            <w:vMerge w:val="continue"/>
          </w:tcPr>
          <w:p>
            <w:pPr>
              <w:spacing w:after="0"/>
              <w:rPr>
                <w:sz w:val="2"/>
                <w:szCs w:val="2"/>
                <w:color w:val="auto"/>
              </w:rPr>
            </w:pPr>
          </w:p>
        </w:tc>
        <w:tc>
          <w:tcPr>
            <w:tcW w:w="11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2"/>
                <w:szCs w:val="22"/>
                <w:b w:val="1"/>
                <w:bCs w:val="1"/>
                <w:color w:val="auto"/>
              </w:rPr>
              <w:t>6</w:t>
            </w:r>
          </w:p>
        </w:tc>
        <w:tc>
          <w:tcPr>
            <w:tcW w:w="7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SHARED VOTING POWER</w:t>
            </w: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4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SHARES</w:t>
            </w:r>
          </w:p>
        </w:tc>
        <w:tc>
          <w:tcPr>
            <w:tcW w:w="1140" w:type="dxa"/>
            <w:vAlign w:val="bottom"/>
            <w:tcBorders>
              <w:right w:val="single" w:sz="8" w:color="auto"/>
            </w:tcBorders>
            <w:vMerge w:val="continue"/>
          </w:tcPr>
          <w:p>
            <w:pPr>
              <w:spacing w:after="0"/>
              <w:rPr>
                <w:sz w:val="19"/>
                <w:szCs w:val="19"/>
                <w:color w:val="auto"/>
              </w:rPr>
            </w:pPr>
          </w:p>
        </w:tc>
        <w:tc>
          <w:tcPr>
            <w:tcW w:w="7040" w:type="dxa"/>
            <w:vAlign w:val="bottom"/>
            <w:vMerge w:val="continue"/>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140" w:type="dxa"/>
            <w:vAlign w:val="bottom"/>
            <w:tcBorders>
              <w:right w:val="single" w:sz="8" w:color="auto"/>
            </w:tcBorders>
          </w:tcPr>
          <w:p>
            <w:pPr>
              <w:spacing w:after="0"/>
              <w:rPr>
                <w:sz w:val="22"/>
                <w:szCs w:val="22"/>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7,867,543</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140" w:type="dxa"/>
            <w:vAlign w:val="bottom"/>
            <w:tcBorders>
              <w:bottom w:val="single" w:sz="8" w:color="auto"/>
              <w:right w:val="single" w:sz="8" w:color="auto"/>
            </w:tcBorders>
          </w:tcPr>
          <w:p>
            <w:pPr>
              <w:spacing w:after="0"/>
              <w:rPr>
                <w:sz w:val="10"/>
                <w:szCs w:val="10"/>
                <w:color w:val="auto"/>
              </w:rPr>
            </w:pPr>
          </w:p>
        </w:tc>
        <w:tc>
          <w:tcPr>
            <w:tcW w:w="70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9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2"/>
                <w:szCs w:val="22"/>
                <w:b w:val="1"/>
                <w:bCs w:val="1"/>
                <w:color w:val="auto"/>
              </w:rPr>
              <w:t>7</w:t>
            </w:r>
          </w:p>
        </w:tc>
        <w:tc>
          <w:tcPr>
            <w:tcW w:w="7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94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140" w:type="dxa"/>
            <w:vAlign w:val="bottom"/>
            <w:tcBorders>
              <w:right w:val="single" w:sz="8" w:color="auto"/>
            </w:tcBorders>
            <w:vMerge w:val="continue"/>
          </w:tcPr>
          <w:p>
            <w:pPr>
              <w:spacing w:after="0"/>
              <w:rPr>
                <w:sz w:val="16"/>
                <w:szCs w:val="16"/>
                <w:color w:val="auto"/>
              </w:rPr>
            </w:pPr>
          </w:p>
        </w:tc>
        <w:tc>
          <w:tcPr>
            <w:tcW w:w="7040" w:type="dxa"/>
            <w:vAlign w:val="bottom"/>
            <w:vMerge w:val="continue"/>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140" w:type="dxa"/>
            <w:vAlign w:val="bottom"/>
            <w:tcBorders>
              <w:right w:val="single" w:sz="8" w:color="auto"/>
            </w:tcBorders>
          </w:tcPr>
          <w:p>
            <w:pPr>
              <w:spacing w:after="0"/>
              <w:rPr>
                <w:sz w:val="24"/>
                <w:szCs w:val="24"/>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140" w:type="dxa"/>
            <w:vAlign w:val="bottom"/>
            <w:tcBorders>
              <w:bottom w:val="single" w:sz="8" w:color="auto"/>
              <w:right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right w:val="single" w:sz="8" w:color="auto"/>
            </w:tcBorders>
            <w:vMerge w:val="continue"/>
          </w:tcPr>
          <w:p>
            <w:pPr>
              <w:spacing w:after="0"/>
              <w:rPr>
                <w:sz w:val="18"/>
                <w:szCs w:val="18"/>
                <w:color w:val="auto"/>
              </w:rPr>
            </w:pPr>
          </w:p>
        </w:tc>
        <w:tc>
          <w:tcPr>
            <w:tcW w:w="11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22"/>
                <w:szCs w:val="22"/>
                <w:b w:val="1"/>
                <w:bCs w:val="1"/>
                <w:color w:val="auto"/>
              </w:rPr>
              <w:t>8</w:t>
            </w:r>
          </w:p>
        </w:tc>
        <w:tc>
          <w:tcPr>
            <w:tcW w:w="70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9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7040" w:type="dxa"/>
            <w:vAlign w:val="bottom"/>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70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7,867,543</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AGGREGATE AMOUNT BENEFICIALLY OWNED BY EACH REPORTING PERSON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81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7,867,543</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120" w:type="dxa"/>
            <w:vAlign w:val="bottom"/>
            <w:tcBorders>
              <w:right w:val="single" w:sz="8" w:color="auto"/>
            </w:tcBorders>
          </w:tcPr>
          <w:p>
            <w:pPr>
              <w:ind w:left="320"/>
              <w:spacing w:after="0" w:line="287"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SHARES</w:t>
            </w:r>
          </w:p>
        </w:tc>
        <w:tc>
          <w:tcPr>
            <w:tcW w:w="70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9.71%</w:t>
            </w:r>
          </w:p>
        </w:tc>
        <w:tc>
          <w:tcPr>
            <w:tcW w:w="70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8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40" w:type="dxa"/>
            <w:vAlign w:val="bottom"/>
            <w:tcBorders>
              <w:left w:val="single" w:sz="8" w:color="auto"/>
              <w:right w:val="single" w:sz="8" w:color="auto"/>
            </w:tcBorders>
          </w:tcPr>
          <w:p>
            <w:pPr>
              <w:spacing w:after="0"/>
              <w:rPr>
                <w:sz w:val="24"/>
                <w:szCs w:val="24"/>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w:t>
            </w:r>
          </w:p>
        </w:tc>
        <w:tc>
          <w:tcPr>
            <w:tcW w:w="70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94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11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1</w:t>
            </w:r>
          </w:p>
        </w:tc>
        <w:tc>
          <w:tcPr>
            <w:tcW w:w="82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NAME OF REPORTING PERSON</w:t>
            </w:r>
          </w:p>
        </w:tc>
        <w:tc>
          <w:tcPr>
            <w:tcW w:w="1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8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Phillip Gross</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1240" w:type="dxa"/>
            <w:vAlign w:val="bottom"/>
            <w:tcBorders>
              <w:right w:val="single" w:sz="8" w:color="auto"/>
            </w:tcBorders>
          </w:tcPr>
          <w:p>
            <w:pPr>
              <w:jc w:val="center"/>
              <w:ind w:right="120"/>
              <w:spacing w:after="0" w:line="320" w:lineRule="exact"/>
              <w:rPr>
                <w:sz w:val="20"/>
                <w:szCs w:val="20"/>
                <w:color w:val="auto"/>
              </w:rPr>
            </w:pPr>
            <w:r>
              <w:rPr>
                <w:rFonts w:ascii="Times New Roman" w:cs="Times New Roman" w:eastAsia="Times New Roman" w:hAnsi="Times New Roman"/>
                <w:sz w:val="22"/>
                <w:szCs w:val="22"/>
                <w:color w:val="auto"/>
                <w:w w:val="96"/>
              </w:rPr>
              <w:t xml:space="preserve">(a) </w:t>
            </w:r>
            <w:r>
              <w:rPr>
                <w:rFonts w:ascii="MS PGothic" w:cs="MS PGothic" w:eastAsia="MS PGothic" w:hAnsi="MS PGothic"/>
                <w:sz w:val="28"/>
                <w:szCs w:val="28"/>
                <w:color w:val="auto"/>
                <w:w w:val="96"/>
              </w:rPr>
              <w:t>☐</w:t>
            </w:r>
          </w:p>
        </w:tc>
        <w:tc>
          <w:tcPr>
            <w:tcW w:w="0" w:type="dxa"/>
            <w:vAlign w:val="bottom"/>
          </w:tcPr>
          <w:p>
            <w:pPr>
              <w:spacing w:after="0"/>
              <w:rPr>
                <w:sz w:val="1"/>
                <w:szCs w:val="1"/>
                <w:color w:val="auto"/>
              </w:rPr>
            </w:pPr>
          </w:p>
        </w:tc>
      </w:tr>
      <w:tr>
        <w:trPr>
          <w:trHeight w:val="403"/>
        </w:trPr>
        <w:tc>
          <w:tcPr>
            <w:tcW w:w="180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jc w:val="center"/>
              <w:ind w:right="100"/>
              <w:spacing w:after="0" w:line="322" w:lineRule="exact"/>
              <w:rPr>
                <w:sz w:val="20"/>
                <w:szCs w:val="20"/>
                <w:color w:val="auto"/>
              </w:rPr>
            </w:pPr>
            <w:r>
              <w:rPr>
                <w:rFonts w:ascii="Times New Roman" w:cs="Times New Roman" w:eastAsia="Times New Roman" w:hAnsi="Times New Roman"/>
                <w:sz w:val="22"/>
                <w:szCs w:val="22"/>
                <w:color w:val="auto"/>
                <w:w w:val="97"/>
              </w:rPr>
              <w:t xml:space="preserve">(b)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316"/>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3</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gridSpan w:val="3"/>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4</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82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United States</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5</w:t>
            </w:r>
          </w:p>
        </w:tc>
        <w:tc>
          <w:tcPr>
            <w:tcW w:w="100" w:type="dxa"/>
            <w:vAlign w:val="bottom"/>
          </w:tcPr>
          <w:p>
            <w:pPr>
              <w:spacing w:after="0"/>
              <w:rPr>
                <w:sz w:val="22"/>
                <w:szCs w:val="22"/>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22"/>
                <w:szCs w:val="22"/>
                <w:color w:val="auto"/>
              </w:rPr>
              <w:t>SOLE VOTING POWER</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NUMBER OF</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0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6</w:t>
            </w:r>
          </w:p>
        </w:tc>
        <w:tc>
          <w:tcPr>
            <w:tcW w:w="100" w:type="dxa"/>
            <w:vAlign w:val="bottom"/>
          </w:tcPr>
          <w:p>
            <w:pPr>
              <w:spacing w:after="0"/>
              <w:rPr>
                <w:sz w:val="2"/>
                <w:szCs w:val="2"/>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VOTING POWER</w:t>
            </w:r>
          </w:p>
        </w:tc>
        <w:tc>
          <w:tcPr>
            <w:tcW w:w="1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tcBorders>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SHARES</w:t>
            </w:r>
          </w:p>
        </w:tc>
        <w:tc>
          <w:tcPr>
            <w:tcW w:w="120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BENEFICIALLY</w:t>
            </w:r>
          </w:p>
        </w:tc>
        <w:tc>
          <w:tcPr>
            <w:tcW w:w="12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800" w:type="dxa"/>
            <w:vAlign w:val="bottom"/>
            <w:tcBorders>
              <w:left w:val="single" w:sz="8" w:color="auto"/>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2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90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80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7</w:t>
            </w:r>
          </w:p>
        </w:tc>
        <w:tc>
          <w:tcPr>
            <w:tcW w:w="100" w:type="dxa"/>
            <w:vAlign w:val="bottom"/>
          </w:tcPr>
          <w:p>
            <w:pPr>
              <w:spacing w:after="0"/>
              <w:rPr>
                <w:sz w:val="8"/>
                <w:szCs w:val="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SOLE DISPOSITIVE POWER</w:t>
            </w: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8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1"/>
                <w:szCs w:val="21"/>
                <w:color w:val="auto"/>
              </w:rPr>
              <w:t>EACH</w:t>
            </w:r>
          </w:p>
        </w:tc>
        <w:tc>
          <w:tcPr>
            <w:tcW w:w="120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PERSON WITH:</w:t>
            </w:r>
          </w:p>
        </w:tc>
        <w:tc>
          <w:tcPr>
            <w:tcW w:w="1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800" w:type="dxa"/>
            <w:vAlign w:val="bottom"/>
            <w:tcBorders>
              <w:left w:val="single" w:sz="8" w:color="auto"/>
              <w:right w:val="single" w:sz="8" w:color="auto"/>
            </w:tcBorders>
            <w:vMerge w:val="continue"/>
          </w:tcPr>
          <w:p>
            <w:pPr>
              <w:spacing w:after="0"/>
              <w:rPr>
                <w:sz w:val="18"/>
                <w:szCs w:val="18"/>
                <w:color w:val="auto"/>
              </w:rPr>
            </w:pPr>
          </w:p>
        </w:tc>
        <w:tc>
          <w:tcPr>
            <w:tcW w:w="120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8</w:t>
            </w:r>
          </w:p>
        </w:tc>
        <w:tc>
          <w:tcPr>
            <w:tcW w:w="100" w:type="dxa"/>
            <w:vAlign w:val="bottom"/>
          </w:tcPr>
          <w:p>
            <w:pPr>
              <w:spacing w:after="0"/>
              <w:rPr>
                <w:sz w:val="18"/>
                <w:szCs w:val="18"/>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SHARED DISPOSITIVE POWER</w:t>
            </w: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800" w:type="dxa"/>
            <w:vAlign w:val="bottom"/>
            <w:tcBorders>
              <w:left w:val="single" w:sz="8" w:color="auto"/>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6900" w:type="dxa"/>
            <w:vAlign w:val="bottom"/>
            <w:vMerge w:val="continue"/>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7,867,543</w:t>
            </w: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9</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7,867,543</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10</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240" w:type="dxa"/>
            <w:vAlign w:val="bottom"/>
            <w:tcBorders>
              <w:right w:val="single" w:sz="8" w:color="auto"/>
            </w:tcBorders>
          </w:tcPr>
          <w:p>
            <w:pPr>
              <w:jc w:val="center"/>
              <w:ind w:right="180"/>
              <w:spacing w:after="0" w:line="287"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46"/>
        </w:trPr>
        <w:tc>
          <w:tcPr>
            <w:tcW w:w="1800" w:type="dxa"/>
            <w:vAlign w:val="bottom"/>
            <w:tcBorders>
              <w:left w:val="single" w:sz="8" w:color="auto"/>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100"/>
              <w:spacing w:after="0" w:line="246" w:lineRule="exact"/>
              <w:rPr>
                <w:sz w:val="20"/>
                <w:szCs w:val="20"/>
                <w:color w:val="auto"/>
              </w:rPr>
            </w:pPr>
            <w:r>
              <w:rPr>
                <w:rFonts w:ascii="Times New Roman" w:cs="Times New Roman" w:eastAsia="Times New Roman" w:hAnsi="Times New Roman"/>
                <w:sz w:val="22"/>
                <w:szCs w:val="22"/>
                <w:color w:val="auto"/>
              </w:rPr>
              <w:t>SHARES</w:t>
            </w:r>
          </w:p>
        </w:tc>
        <w:tc>
          <w:tcPr>
            <w:tcW w:w="69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11</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9.71%</w:t>
            </w:r>
          </w:p>
        </w:tc>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12</w:t>
            </w:r>
          </w:p>
        </w:tc>
        <w:tc>
          <w:tcPr>
            <w:tcW w:w="82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Borders>
              <w:left w:val="single" w:sz="8" w:color="auto"/>
              <w:right w:val="single" w:sz="8" w:color="auto"/>
            </w:tcBorders>
          </w:tcPr>
          <w:p>
            <w:pPr>
              <w:spacing w:after="0"/>
              <w:rPr>
                <w:sz w:val="24"/>
                <w:szCs w:val="24"/>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IN</w:t>
            </w:r>
          </w:p>
        </w:tc>
        <w:tc>
          <w:tcPr>
            <w:tcW w:w="690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11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name of the issuer is National Vision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ADDRESS OF ISSUER’S PRINCIPAL EXECUTIVE OFFICES</w:t>
      </w:r>
    </w:p>
    <w:p>
      <w:pPr>
        <w:spacing w:after="0" w:line="18" w:lineRule="exact"/>
        <w:rPr>
          <w:sz w:val="20"/>
          <w:szCs w:val="20"/>
          <w:color w:val="auto"/>
        </w:rPr>
      </w:pPr>
    </w:p>
    <w:p>
      <w:pPr>
        <w:ind w:left="1800" w:right="460"/>
        <w:spacing w:after="0" w:line="237" w:lineRule="auto"/>
        <w:rPr>
          <w:sz w:val="20"/>
          <w:szCs w:val="20"/>
          <w:color w:val="auto"/>
        </w:rPr>
      </w:pPr>
      <w:r>
        <w:rPr>
          <w:rFonts w:ascii="Times New Roman" w:cs="Times New Roman" w:eastAsia="Times New Roman" w:hAnsi="Times New Roman"/>
          <w:sz w:val="22"/>
          <w:szCs w:val="22"/>
          <w:color w:val="auto"/>
        </w:rPr>
        <w:t>The Company’s principal executive offices are located at 2435 Commerce Ave., Building 2200, Duluth, Georgia 30096.</w:t>
      </w:r>
    </w:p>
    <w:p>
      <w:pPr>
        <w:spacing w:after="0" w:line="20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This statement is filed by:</w:t>
      </w:r>
    </w:p>
    <w:p>
      <w:pPr>
        <w:spacing w:after="0" w:line="209" w:lineRule="exact"/>
        <w:rPr>
          <w:sz w:val="20"/>
          <w:szCs w:val="20"/>
          <w:color w:val="auto"/>
        </w:rPr>
      </w:pPr>
    </w:p>
    <w:p>
      <w:pPr>
        <w:ind w:left="2360" w:right="360" w:hanging="561"/>
        <w:spacing w:after="0" w:line="258" w:lineRule="auto"/>
        <w:tabs>
          <w:tab w:leader="none" w:pos="2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Partners, L.P., a Delaware limited partnership (“</w:t>
      </w:r>
      <w:r>
        <w:rPr>
          <w:rFonts w:ascii="Times New Roman" w:cs="Times New Roman" w:eastAsia="Times New Roman" w:hAnsi="Times New Roman"/>
          <w:sz w:val="22"/>
          <w:szCs w:val="22"/>
          <w:u w:val="single" w:color="auto"/>
          <w:color w:val="auto"/>
        </w:rPr>
        <w:t>ACP</w:t>
      </w:r>
      <w:r>
        <w:rPr>
          <w:rFonts w:ascii="Times New Roman" w:cs="Times New Roman" w:eastAsia="Times New Roman" w:hAnsi="Times New Roman"/>
          <w:sz w:val="22"/>
          <w:szCs w:val="22"/>
          <w:color w:val="auto"/>
        </w:rPr>
        <w:t>”) with respect to the shares of Common Stock directly owned by it;</w:t>
      </w:r>
    </w:p>
    <w:p>
      <w:pPr>
        <w:spacing w:after="0" w:line="185" w:lineRule="exact"/>
        <w:rPr>
          <w:rFonts w:ascii="Times New Roman" w:cs="Times New Roman" w:eastAsia="Times New Roman" w:hAnsi="Times New Roman"/>
          <w:sz w:val="22"/>
          <w:szCs w:val="22"/>
          <w:color w:val="auto"/>
        </w:rPr>
      </w:pPr>
    </w:p>
    <w:p>
      <w:pPr>
        <w:ind w:left="2360" w:right="200" w:hanging="561"/>
        <w:spacing w:after="0" w:line="244" w:lineRule="auto"/>
        <w:tabs>
          <w:tab w:leader="none" w:pos="2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Partners GP, L.L.C., a limited liability company organized under the laws of the State of Delaware (“</w:t>
      </w:r>
      <w:r>
        <w:rPr>
          <w:rFonts w:ascii="Times New Roman" w:cs="Times New Roman" w:eastAsia="Times New Roman" w:hAnsi="Times New Roman"/>
          <w:sz w:val="22"/>
          <w:szCs w:val="22"/>
          <w:u w:val="single" w:color="auto"/>
          <w:color w:val="auto"/>
        </w:rPr>
        <w:t>ACPGP</w:t>
      </w:r>
      <w:r>
        <w:rPr>
          <w:rFonts w:ascii="Times New Roman" w:cs="Times New Roman" w:eastAsia="Times New Roman" w:hAnsi="Times New Roman"/>
          <w:sz w:val="22"/>
          <w:szCs w:val="22"/>
          <w:color w:val="auto"/>
        </w:rPr>
        <w:t>”), as general partner of ACP with respect to the shares of Common Stock directly owned by ACP;</w:t>
      </w:r>
    </w:p>
    <w:p>
      <w:pPr>
        <w:spacing w:after="0" w:line="200" w:lineRule="exact"/>
        <w:rPr>
          <w:rFonts w:ascii="Times New Roman" w:cs="Times New Roman" w:eastAsia="Times New Roman" w:hAnsi="Times New Roman"/>
          <w:sz w:val="22"/>
          <w:szCs w:val="22"/>
          <w:color w:val="auto"/>
        </w:rPr>
      </w:pPr>
    </w:p>
    <w:p>
      <w:pPr>
        <w:ind w:left="2360" w:right="200" w:hanging="561"/>
        <w:spacing w:after="0" w:line="244" w:lineRule="auto"/>
        <w:tabs>
          <w:tab w:leader="none" w:pos="2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Advisors, L.L.C., a limited liability company organized under the laws of the State of Delaware (“</w:t>
      </w:r>
      <w:r>
        <w:rPr>
          <w:rFonts w:ascii="Times New Roman" w:cs="Times New Roman" w:eastAsia="Times New Roman" w:hAnsi="Times New Roman"/>
          <w:sz w:val="22"/>
          <w:szCs w:val="22"/>
          <w:u w:val="single" w:color="auto"/>
          <w:color w:val="auto"/>
        </w:rPr>
        <w:t>ACA</w:t>
      </w:r>
      <w:r>
        <w:rPr>
          <w:rFonts w:ascii="Times New Roman" w:cs="Times New Roman" w:eastAsia="Times New Roman" w:hAnsi="Times New Roman"/>
          <w:sz w:val="22"/>
          <w:szCs w:val="22"/>
          <w:color w:val="auto"/>
        </w:rPr>
        <w:t>”), as managing member of ACPGP, general partner of ACP, with respect to the shares of Common Stock directly owned by ACP;</w:t>
      </w:r>
    </w:p>
    <w:p>
      <w:pPr>
        <w:spacing w:after="0" w:line="200" w:lineRule="exact"/>
        <w:rPr>
          <w:rFonts w:ascii="Times New Roman" w:cs="Times New Roman" w:eastAsia="Times New Roman" w:hAnsi="Times New Roman"/>
          <w:sz w:val="22"/>
          <w:szCs w:val="22"/>
          <w:color w:val="auto"/>
        </w:rPr>
      </w:pPr>
    </w:p>
    <w:p>
      <w:pPr>
        <w:ind w:left="2360" w:right="280" w:hanging="561"/>
        <w:spacing w:after="0" w:line="282" w:lineRule="auto"/>
        <w:tabs>
          <w:tab w:leader="none" w:pos="23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Robert Atchinson (“</w:t>
      </w:r>
      <w:r>
        <w:rPr>
          <w:rFonts w:ascii="Times New Roman" w:cs="Times New Roman" w:eastAsia="Times New Roman" w:hAnsi="Times New Roman"/>
          <w:sz w:val="21"/>
          <w:szCs w:val="21"/>
          <w:u w:val="single" w:color="auto"/>
          <w:color w:val="auto"/>
        </w:rPr>
        <w:t>Mr. Atchinson</w:t>
      </w:r>
      <w:r>
        <w:rPr>
          <w:rFonts w:ascii="Times New Roman" w:cs="Times New Roman" w:eastAsia="Times New Roman" w:hAnsi="Times New Roman"/>
          <w:sz w:val="21"/>
          <w:szCs w:val="21"/>
          <w:color w:val="auto"/>
        </w:rPr>
        <w:t>”), as managing member of ACA, managing member of ACPGP, general partner of ACP with respect to the shares of Common Stock directly owned by ACP; and</w:t>
      </w:r>
    </w:p>
    <w:p>
      <w:pPr>
        <w:spacing w:after="0" w:line="161" w:lineRule="exact"/>
        <w:rPr>
          <w:rFonts w:ascii="Times New Roman" w:cs="Times New Roman" w:eastAsia="Times New Roman" w:hAnsi="Times New Roman"/>
          <w:sz w:val="21"/>
          <w:szCs w:val="21"/>
          <w:color w:val="auto"/>
        </w:rPr>
      </w:pPr>
    </w:p>
    <w:p>
      <w:pPr>
        <w:ind w:left="2360" w:right="360" w:hanging="561"/>
        <w:spacing w:after="0" w:line="258" w:lineRule="auto"/>
        <w:tabs>
          <w:tab w:leader="none" w:pos="2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Phillip Gross (“</w:t>
      </w:r>
      <w:r>
        <w:rPr>
          <w:rFonts w:ascii="Times New Roman" w:cs="Times New Roman" w:eastAsia="Times New Roman" w:hAnsi="Times New Roman"/>
          <w:sz w:val="22"/>
          <w:szCs w:val="22"/>
          <w:u w:val="single" w:color="auto"/>
          <w:color w:val="auto"/>
        </w:rPr>
        <w:t>Mr. Gross</w:t>
      </w:r>
      <w:r>
        <w:rPr>
          <w:rFonts w:ascii="Times New Roman" w:cs="Times New Roman" w:eastAsia="Times New Roman" w:hAnsi="Times New Roman"/>
          <w:sz w:val="22"/>
          <w:szCs w:val="22"/>
          <w:color w:val="auto"/>
        </w:rPr>
        <w:t>”), as managing member of ACA, managing member of ACPGP, general partner of ACP with respect to the shares of Common Stock directly owned by ACP.</w:t>
      </w:r>
    </w:p>
    <w:p>
      <w:pPr>
        <w:spacing w:after="0" w:line="200" w:lineRule="exact"/>
        <w:rPr>
          <w:sz w:val="20"/>
          <w:szCs w:val="20"/>
          <w:color w:val="auto"/>
        </w:rPr>
      </w:pPr>
    </w:p>
    <w:p>
      <w:pPr>
        <w:spacing w:after="0" w:line="228" w:lineRule="exact"/>
        <w:rPr>
          <w:sz w:val="20"/>
          <w:szCs w:val="20"/>
          <w:color w:val="auto"/>
        </w:rPr>
      </w:pPr>
    </w:p>
    <w:p>
      <w:pPr>
        <w:ind w:left="1800" w:right="280"/>
        <w:spacing w:after="0" w:line="244" w:lineRule="auto"/>
        <w:rPr>
          <w:sz w:val="20"/>
          <w:szCs w:val="20"/>
          <w:color w:val="auto"/>
        </w:rPr>
      </w:pPr>
      <w:r>
        <w:rPr>
          <w:rFonts w:ascii="Times New Roman" w:cs="Times New Roman" w:eastAsia="Times New Roman" w:hAnsi="Times New Roman"/>
          <w:sz w:val="22"/>
          <w:szCs w:val="22"/>
          <w:color w:val="auto"/>
        </w:rPr>
        <w:t>The foregoing persons are hereinafter sometimes collectively referred to as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Any disclosures herein with respect to persons other than the Reporting Persons are made on information and belief after making inquiry to the appropriate party.</w:t>
      </w:r>
    </w:p>
    <w:p>
      <w:pPr>
        <w:spacing w:after="0" w:line="200" w:lineRule="exact"/>
        <w:rPr>
          <w:sz w:val="20"/>
          <w:szCs w:val="20"/>
          <w:color w:val="auto"/>
        </w:rPr>
      </w:pPr>
    </w:p>
    <w:p>
      <w:pPr>
        <w:ind w:left="1800" w:right="700"/>
        <w:spacing w:after="0" w:line="258" w:lineRule="auto"/>
        <w:rPr>
          <w:sz w:val="20"/>
          <w:szCs w:val="20"/>
          <w:color w:val="auto"/>
        </w:rPr>
      </w:pPr>
      <w:r>
        <w:rPr>
          <w:rFonts w:ascii="Times New Roman" w:cs="Times New Roman" w:eastAsia="Times New Roman" w:hAnsi="Times New Roman"/>
          <w:sz w:val="22"/>
          <w:szCs w:val="22"/>
          <w:color w:val="auto"/>
        </w:rPr>
        <w:t>The filing of this statement should not be construed in and of itself as an admission by any Reporting Person as to beneficial ownership of the securities reported herein.</w:t>
      </w:r>
    </w:p>
    <w:p>
      <w:pPr>
        <w:spacing w:after="0" w:line="18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 OR, IF NONE, RESIDENCE</w:t>
      </w:r>
    </w:p>
    <w:p>
      <w:pPr>
        <w:spacing w:after="0" w:line="18" w:lineRule="exact"/>
        <w:rPr>
          <w:sz w:val="20"/>
          <w:szCs w:val="20"/>
          <w:color w:val="auto"/>
        </w:rPr>
      </w:pPr>
    </w:p>
    <w:p>
      <w:pPr>
        <w:ind w:left="1800" w:right="480"/>
        <w:spacing w:after="0" w:line="237"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line="201"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b w:val="1"/>
          <w:bCs w:val="1"/>
          <w:color w:val="auto"/>
        </w:rPr>
        <w:t>CITIZENSHIP</w:t>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11 Pages</w:t>
      </w:r>
    </w:p>
    <w:p>
      <w:pPr>
        <w:sectPr>
          <w:pgSz w:w="11900" w:h="16838" w:orient="portrait"/>
          <w:cols w:equalWidth="0" w:num="1">
            <w:col w:w="11240"/>
          </w:cols>
          <w:pgMar w:left="320" w:top="225" w:right="339" w:bottom="1440" w:gutter="0" w:footer="0" w:header="0"/>
        </w:sectPr>
      </w:pPr>
    </w:p>
    <w:p>
      <w:pPr>
        <w:spacing w:after="0" w:line="355" w:lineRule="exact"/>
        <w:rPr>
          <w:sz w:val="20"/>
          <w:szCs w:val="20"/>
          <w:color w:val="auto"/>
        </w:rPr>
      </w:pPr>
    </w:p>
    <w:p>
      <w:pPr>
        <w:ind w:left="1800" w:right="580"/>
        <w:spacing w:after="0" w:line="244" w:lineRule="auto"/>
        <w:rPr>
          <w:sz w:val="20"/>
          <w:szCs w:val="20"/>
          <w:color w:val="auto"/>
        </w:rPr>
      </w:pPr>
      <w:r>
        <w:rPr>
          <w:rFonts w:ascii="Times New Roman" w:cs="Times New Roman" w:eastAsia="Times New Roman" w:hAnsi="Times New Roman"/>
          <w:sz w:val="22"/>
          <w:szCs w:val="22"/>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2(d).</w:t>
            </w:r>
          </w:p>
        </w:tc>
        <w:tc>
          <w:tcPr>
            <w:tcW w:w="9740" w:type="dxa"/>
            <w:vAlign w:val="bottom"/>
            <w:gridSpan w:val="5"/>
          </w:tcPr>
          <w:p>
            <w:pPr>
              <w:ind w:left="40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tc>
      </w:tr>
      <w:tr>
        <w:trPr>
          <w:trHeight w:val="230"/>
        </w:trPr>
        <w:tc>
          <w:tcPr>
            <w:tcW w:w="1280" w:type="dxa"/>
            <w:vAlign w:val="bottom"/>
          </w:tcPr>
          <w:p>
            <w:pPr>
              <w:spacing w:after="0"/>
              <w:rPr>
                <w:sz w:val="19"/>
                <w:szCs w:val="19"/>
                <w:color w:val="auto"/>
              </w:rPr>
            </w:pPr>
          </w:p>
        </w:tc>
        <w:tc>
          <w:tcPr>
            <w:tcW w:w="9740" w:type="dxa"/>
            <w:vAlign w:val="bottom"/>
            <w:gridSpan w:val="5"/>
          </w:tcPr>
          <w:p>
            <w:pPr>
              <w:ind w:left="400"/>
              <w:spacing w:after="0" w:line="230" w:lineRule="exact"/>
              <w:rPr>
                <w:sz w:val="20"/>
                <w:szCs w:val="20"/>
                <w:color w:val="auto"/>
              </w:rPr>
            </w:pPr>
            <w:r>
              <w:rPr>
                <w:rFonts w:ascii="Times New Roman" w:cs="Times New Roman" w:eastAsia="Times New Roman" w:hAnsi="Times New Roman"/>
                <w:sz w:val="22"/>
                <w:szCs w:val="22"/>
                <w:color w:val="auto"/>
              </w:rPr>
              <w:t>Common Stock, par value $0.01 (the “Common Stock”).</w:t>
            </w:r>
          </w:p>
        </w:tc>
      </w:tr>
      <w:tr>
        <w:trPr>
          <w:trHeight w:val="479"/>
        </w:trPr>
        <w:tc>
          <w:tcPr>
            <w:tcW w:w="1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2(e).</w:t>
            </w:r>
          </w:p>
        </w:tc>
        <w:tc>
          <w:tcPr>
            <w:tcW w:w="3740" w:type="dxa"/>
            <w:vAlign w:val="bottom"/>
            <w:gridSpan w:val="3"/>
          </w:tcPr>
          <w:p>
            <w:pPr>
              <w:ind w:left="400"/>
              <w:spacing w:after="0"/>
              <w:rPr>
                <w:sz w:val="20"/>
                <w:szCs w:val="20"/>
                <w:color w:val="auto"/>
              </w:rPr>
            </w:pPr>
            <w:r>
              <w:rPr>
                <w:rFonts w:ascii="Times New Roman" w:cs="Times New Roman" w:eastAsia="Times New Roman" w:hAnsi="Times New Roman"/>
                <w:sz w:val="22"/>
                <w:szCs w:val="22"/>
                <w:b w:val="1"/>
                <w:bCs w:val="1"/>
                <w:color w:val="auto"/>
              </w:rPr>
              <w:t>CUSIP NUMBER</w:t>
            </w:r>
          </w:p>
        </w:tc>
        <w:tc>
          <w:tcPr>
            <w:tcW w:w="134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r>
      <w:tr>
        <w:trPr>
          <w:trHeight w:val="282"/>
        </w:trPr>
        <w:tc>
          <w:tcPr>
            <w:tcW w:w="1280" w:type="dxa"/>
            <w:vAlign w:val="bottom"/>
          </w:tcPr>
          <w:p>
            <w:pPr>
              <w:spacing w:after="0"/>
              <w:rPr>
                <w:sz w:val="24"/>
                <w:szCs w:val="24"/>
                <w:color w:val="auto"/>
              </w:rPr>
            </w:pPr>
          </w:p>
        </w:tc>
        <w:tc>
          <w:tcPr>
            <w:tcW w:w="15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63845R107</w:t>
            </w: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3"/>
        </w:trPr>
        <w:tc>
          <w:tcPr>
            <w:tcW w:w="1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3.</w:t>
            </w:r>
          </w:p>
        </w:tc>
        <w:tc>
          <w:tcPr>
            <w:tcW w:w="9740" w:type="dxa"/>
            <w:vAlign w:val="bottom"/>
            <w:gridSpan w:val="5"/>
          </w:tcPr>
          <w:p>
            <w:pPr>
              <w:ind w:left="400"/>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Rules 13d-1(b), OR 13d-2(b) OR (c), CHECK</w:t>
            </w:r>
          </w:p>
        </w:tc>
      </w:tr>
      <w:tr>
        <w:trPr>
          <w:trHeight w:val="286"/>
        </w:trPr>
        <w:tc>
          <w:tcPr>
            <w:tcW w:w="1280" w:type="dxa"/>
            <w:vAlign w:val="bottom"/>
          </w:tcPr>
          <w:p>
            <w:pPr>
              <w:spacing w:after="0"/>
              <w:rPr>
                <w:sz w:val="24"/>
                <w:szCs w:val="24"/>
                <w:color w:val="auto"/>
              </w:rPr>
            </w:pPr>
          </w:p>
        </w:tc>
        <w:tc>
          <w:tcPr>
            <w:tcW w:w="9740" w:type="dxa"/>
            <w:vAlign w:val="bottom"/>
            <w:gridSpan w:val="5"/>
          </w:tcPr>
          <w:p>
            <w:pPr>
              <w:ind w:left="400"/>
              <w:spacing w:after="0"/>
              <w:rPr>
                <w:sz w:val="20"/>
                <w:szCs w:val="20"/>
                <w:color w:val="auto"/>
              </w:rPr>
            </w:pPr>
            <w:r>
              <w:rPr>
                <w:rFonts w:ascii="Times New Roman" w:cs="Times New Roman" w:eastAsia="Times New Roman" w:hAnsi="Times New Roman"/>
                <w:sz w:val="22"/>
                <w:szCs w:val="22"/>
                <w:b w:val="1"/>
                <w:bCs w:val="1"/>
                <w:color w:val="auto"/>
              </w:rPr>
              <w:t>WHETHER THE PERSON FILING IS A:</w:t>
            </w:r>
          </w:p>
        </w:tc>
      </w:tr>
      <w:tr>
        <w:trPr>
          <w:trHeight w:val="346"/>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Bank as defined in Section 3(a)(6) of the Act;</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(d)</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(e)</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An investment adviser in accordance with Rule 13d-1(b)(1)(ii)(E);</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Rule 13d-1(b)(1)(ii)(F);</w:t>
            </w:r>
          </w:p>
        </w:tc>
      </w:tr>
      <w:tr>
        <w:trPr>
          <w:trHeight w:val="486"/>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(g)</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Rule 13d-1(b)(1)(ii)(G);</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(h)</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w:t>
            </w:r>
          </w:p>
        </w:tc>
      </w:tr>
      <w:tr>
        <w:trPr>
          <w:trHeight w:val="411"/>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(i)</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A church plan that is excluded from the definition of an investment company under Section</w:t>
            </w:r>
          </w:p>
        </w:tc>
      </w:tr>
      <w:tr>
        <w:trPr>
          <w:trHeight w:val="28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3(c)(14) of the Investment Company Act;</w:t>
            </w:r>
          </w:p>
        </w:tc>
      </w:tr>
      <w:tr>
        <w:trPr>
          <w:trHeight w:val="521"/>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(j)</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 non-U.S. institution in accordance with Rule 13d-1(b)(1)(ii)(J);</w:t>
            </w:r>
          </w:p>
        </w:tc>
      </w:tr>
      <w:tr>
        <w:trPr>
          <w:trHeight w:val="473"/>
        </w:trPr>
        <w:tc>
          <w:tcPr>
            <w:tcW w:w="128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w:t>
            </w:r>
          </w:p>
        </w:tc>
        <w:tc>
          <w:tcPr>
            <w:tcW w:w="660" w:type="dxa"/>
            <w:vAlign w:val="bottom"/>
          </w:tcPr>
          <w:p>
            <w:pPr>
              <w:jc w:val="right"/>
              <w:ind w:right="72"/>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Group, in accordance with Rule 13d-1(b)(1)(ii)(K).</w:t>
            </w:r>
          </w:p>
        </w:tc>
      </w:tr>
    </w:tbl>
    <w:p>
      <w:pPr>
        <w:spacing w:after="0" w:line="398" w:lineRule="exact"/>
        <w:rPr>
          <w:sz w:val="20"/>
          <w:szCs w:val="20"/>
          <w:color w:val="auto"/>
        </w:rPr>
      </w:pPr>
    </w:p>
    <w:p>
      <w:pPr>
        <w:ind w:left="1800" w:right="2280"/>
        <w:spacing w:after="0" w:line="258" w:lineRule="auto"/>
        <w:rPr>
          <w:sz w:val="20"/>
          <w:szCs w:val="20"/>
          <w:color w:val="auto"/>
        </w:rPr>
      </w:pPr>
      <w:r>
        <w:rPr>
          <w:rFonts w:ascii="Times New Roman" w:cs="Times New Roman" w:eastAsia="Times New Roman" w:hAnsi="Times New Roman"/>
          <w:sz w:val="22"/>
          <w:szCs w:val="22"/>
          <w:color w:val="auto"/>
        </w:rPr>
        <w:t xml:space="preserve">If filing as a non-U.S. institution in accordance with Rule 13d-1(b)(1)(ii)(J), please specify the type of institution: </w:t>
      </w:r>
      <w:r>
        <w:rPr>
          <w:rFonts w:ascii="Times New Roman" w:cs="Times New Roman" w:eastAsia="Times New Roman" w:hAnsi="Times New Roman"/>
          <w:sz w:val="22"/>
          <w:szCs w:val="22"/>
          <w:u w:val="single" w:color="auto"/>
          <w:color w:val="auto"/>
        </w:rPr>
        <w:t>Not applicable.</w:t>
      </w:r>
    </w:p>
    <w:p>
      <w:pPr>
        <w:spacing w:after="0" w:line="18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62" w:lineRule="exact"/>
        <w:rPr>
          <w:sz w:val="20"/>
          <w:szCs w:val="20"/>
          <w:color w:val="auto"/>
        </w:rPr>
      </w:pPr>
    </w:p>
    <w:p>
      <w:pPr>
        <w:ind w:left="1800" w:hanging="892"/>
        <w:spacing w:after="0"/>
        <w:tabs>
          <w:tab w:leader="none" w:pos="18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Adage Capital Partners, L.P., Adage Capital Partners GP, L.L.C. and Adage Capital Advisors, L.L.C.</w:t>
      </w:r>
    </w:p>
    <w:p>
      <w:pPr>
        <w:spacing w:after="0" w:line="57" w:lineRule="exact"/>
        <w:rPr>
          <w:rFonts w:ascii="Times New Roman" w:cs="Times New Roman" w:eastAsia="Times New Roman" w:hAnsi="Times New Roman"/>
          <w:sz w:val="22"/>
          <w:szCs w:val="22"/>
          <w:color w:val="auto"/>
        </w:rPr>
      </w:pPr>
    </w:p>
    <w:p>
      <w:pPr>
        <w:ind w:left="2360" w:hanging="548"/>
        <w:spacing w:after="0"/>
        <w:tabs>
          <w:tab w:leader="none" w:pos="23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7,867,543</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11 Pages</w:t>
      </w:r>
    </w:p>
    <w:p>
      <w:pPr>
        <w:sectPr>
          <w:pgSz w:w="11900" w:h="16838" w:orient="portrait"/>
          <w:cols w:equalWidth="0" w:num="1">
            <w:col w:w="11240"/>
          </w:cols>
          <w:pgMar w:left="320" w:top="225" w:right="339" w:bottom="1440" w:gutter="0" w:footer="0" w:header="0"/>
        </w:sectPr>
      </w:pPr>
    </w:p>
    <w:p>
      <w:pPr>
        <w:spacing w:after="0" w:line="355" w:lineRule="exact"/>
        <w:rPr>
          <w:sz w:val="20"/>
          <w:szCs w:val="20"/>
          <w:color w:val="auto"/>
        </w:rPr>
      </w:pPr>
    </w:p>
    <w:p>
      <w:pPr>
        <w:ind w:left="2360" w:right="160" w:hanging="548"/>
        <w:spacing w:after="0" w:line="239" w:lineRule="auto"/>
        <w:tabs>
          <w:tab w:leader="none" w:pos="2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9.71%. The percentages set forth in this Schedule 13G/A are calculated based upon the 81,020,333 shares of Common Stock reported to be issued and outstanding as of October 30, 2020, in the Company’s Quarterly Report on Form 10-Q for the quarterly period ended September 26, 2019, filed with the Securities and Exchange Commission on November 5, 2020.</w:t>
      </w:r>
    </w:p>
    <w:p>
      <w:pPr>
        <w:spacing w:after="0" w:line="31" w:lineRule="exact"/>
        <w:rPr>
          <w:rFonts w:ascii="Times New Roman" w:cs="Times New Roman" w:eastAsia="Times New Roman" w:hAnsi="Times New Roman"/>
          <w:sz w:val="22"/>
          <w:szCs w:val="22"/>
          <w:color w:val="auto"/>
        </w:rPr>
      </w:pPr>
    </w:p>
    <w:p>
      <w:pPr>
        <w:ind w:left="2380" w:hanging="568"/>
        <w:spacing w:after="0"/>
        <w:tabs>
          <w:tab w:leader="none" w:pos="2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Sole power to vote or direct the vote: 0</w:t>
      </w:r>
    </w:p>
    <w:p>
      <w:pPr>
        <w:spacing w:after="0" w:line="14" w:lineRule="exact"/>
        <w:rPr>
          <w:rFonts w:ascii="Times New Roman" w:cs="Times New Roman" w:eastAsia="Times New Roman" w:hAnsi="Times New Roman"/>
          <w:sz w:val="22"/>
          <w:szCs w:val="22"/>
          <w:color w:val="auto"/>
        </w:rPr>
      </w:pPr>
    </w:p>
    <w:p>
      <w:pPr>
        <w:ind w:left="3040" w:hanging="661"/>
        <w:spacing w:after="0" w:line="230" w:lineRule="auto"/>
        <w:tabs>
          <w:tab w:leader="none" w:pos="3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direct the vote: 7,867,543</w:t>
      </w:r>
    </w:p>
    <w:p>
      <w:pPr>
        <w:ind w:left="3040" w:hanging="661"/>
        <w:spacing w:after="0" w:line="230" w:lineRule="auto"/>
        <w:tabs>
          <w:tab w:leader="none" w:pos="3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direct the disposition: 0</w:t>
      </w:r>
    </w:p>
    <w:p>
      <w:pPr>
        <w:ind w:left="3040" w:hanging="661"/>
        <w:spacing w:after="0"/>
        <w:tabs>
          <w:tab w:leader="none" w:pos="3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direct the disposition of: 7,867,543</w:t>
      </w:r>
    </w:p>
    <w:p>
      <w:pPr>
        <w:spacing w:after="0" w:line="209" w:lineRule="exact"/>
        <w:rPr>
          <w:sz w:val="20"/>
          <w:szCs w:val="20"/>
          <w:color w:val="auto"/>
        </w:rPr>
      </w:pPr>
    </w:p>
    <w:p>
      <w:pPr>
        <w:ind w:left="120" w:right="160"/>
        <w:spacing w:after="0" w:line="239" w:lineRule="auto"/>
        <w:rPr>
          <w:sz w:val="20"/>
          <w:szCs w:val="20"/>
          <w:color w:val="auto"/>
        </w:rPr>
      </w:pPr>
      <w:r>
        <w:rPr>
          <w:rFonts w:ascii="Times New Roman" w:cs="Times New Roman" w:eastAsia="Times New Roman" w:hAnsi="Times New Roman"/>
          <w:sz w:val="22"/>
          <w:szCs w:val="22"/>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pacing w:after="0" w:line="207" w:lineRule="exact"/>
        <w:rPr>
          <w:sz w:val="20"/>
          <w:szCs w:val="20"/>
          <w:color w:val="auto"/>
        </w:rPr>
      </w:pPr>
    </w:p>
    <w:p>
      <w:pPr>
        <w:ind w:left="1700" w:hanging="792"/>
        <w:spacing w:after="0"/>
        <w:tabs>
          <w:tab w:leader="none" w:pos="17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Robert Atchinson and Phillip Gross</w:t>
      </w:r>
    </w:p>
    <w:p>
      <w:pPr>
        <w:spacing w:after="0" w:line="57" w:lineRule="exact"/>
        <w:rPr>
          <w:rFonts w:ascii="Times New Roman" w:cs="Times New Roman" w:eastAsia="Times New Roman" w:hAnsi="Times New Roman"/>
          <w:sz w:val="22"/>
          <w:szCs w:val="22"/>
          <w:color w:val="auto"/>
        </w:rPr>
      </w:pPr>
    </w:p>
    <w:p>
      <w:pPr>
        <w:ind w:left="2260" w:hanging="556"/>
        <w:spacing w:after="0"/>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7,867,543</w:t>
      </w:r>
    </w:p>
    <w:p>
      <w:pPr>
        <w:spacing w:after="0" w:line="14" w:lineRule="exact"/>
        <w:rPr>
          <w:rFonts w:ascii="Times New Roman" w:cs="Times New Roman" w:eastAsia="Times New Roman" w:hAnsi="Times New Roman"/>
          <w:sz w:val="22"/>
          <w:szCs w:val="22"/>
          <w:color w:val="auto"/>
        </w:rPr>
      </w:pPr>
    </w:p>
    <w:p>
      <w:pPr>
        <w:ind w:left="2260" w:hanging="556"/>
        <w:spacing w:after="0" w:line="230" w:lineRule="auto"/>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9.71%</w:t>
      </w:r>
    </w:p>
    <w:p>
      <w:pPr>
        <w:ind w:left="2260" w:hanging="556"/>
        <w:spacing w:after="0"/>
        <w:tabs>
          <w:tab w:leader="none" w:pos="22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Sole power to vote or direct the vote: 0</w:t>
      </w:r>
    </w:p>
    <w:p>
      <w:pPr>
        <w:ind w:left="3040" w:hanging="782"/>
        <w:spacing w:after="0" w:line="230" w:lineRule="auto"/>
        <w:tabs>
          <w:tab w:leader="none" w:pos="304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direct the vote: 7,867,543</w:t>
      </w:r>
    </w:p>
    <w:p>
      <w:pPr>
        <w:ind w:left="3040" w:hanging="782"/>
        <w:spacing w:after="0" w:line="230" w:lineRule="auto"/>
        <w:tabs>
          <w:tab w:leader="none" w:pos="304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direct the disposition: 0</w:t>
      </w:r>
    </w:p>
    <w:p>
      <w:pPr>
        <w:ind w:left="3040" w:hanging="782"/>
        <w:spacing w:after="0"/>
        <w:tabs>
          <w:tab w:leader="none" w:pos="304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direct the disposition: 7,867,543</w:t>
      </w:r>
    </w:p>
    <w:p>
      <w:pPr>
        <w:spacing w:after="0" w:line="277"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21"/>
          <w:szCs w:val="21"/>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80"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ind w:left="1800" w:right="940" w:hanging="1686"/>
        <w:spacing w:after="0" w:line="262" w:lineRule="auto"/>
        <w:tabs>
          <w:tab w:leader="none" w:pos="178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2"/>
          <w:szCs w:val="22"/>
          <w:b w:val="1"/>
          <w:bCs w:val="1"/>
          <w:color w:val="auto"/>
        </w:rPr>
        <w:t xml:space="preserve">OWNERSHIP OF MORE THAN FIVE PERCENT ON BEHALF OF ANOTHER PERSON </w:t>
      </w:r>
      <w:r>
        <w:rPr>
          <w:rFonts w:ascii="Times New Roman" w:cs="Times New Roman" w:eastAsia="Times New Roman" w:hAnsi="Times New Roman"/>
          <w:sz w:val="22"/>
          <w:szCs w:val="22"/>
          <w:color w:val="auto"/>
        </w:rPr>
        <w:t>Not applicable.</w:t>
      </w:r>
    </w:p>
    <w:p>
      <w:pPr>
        <w:spacing w:after="0" w:line="177" w:lineRule="exact"/>
        <w:rPr>
          <w:sz w:val="20"/>
          <w:szCs w:val="20"/>
          <w:color w:val="auto"/>
        </w:rPr>
      </w:pPr>
    </w:p>
    <w:p>
      <w:pPr>
        <w:jc w:val="both"/>
        <w:ind w:left="1800" w:right="120" w:hanging="1686"/>
        <w:spacing w:after="0" w:line="239" w:lineRule="auto"/>
        <w:tabs>
          <w:tab w:leader="none" w:pos="178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ind w:left="1800" w:right="1960" w:hanging="1686"/>
        <w:spacing w:after="0" w:line="262" w:lineRule="auto"/>
        <w:tabs>
          <w:tab w:leader="none" w:pos="178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2"/>
          <w:szCs w:val="22"/>
          <w:b w:val="1"/>
          <w:bCs w:val="1"/>
          <w:color w:val="auto"/>
        </w:rPr>
        <w:t xml:space="preserve">IDENTIFICATION AND CLASSIFICATION OF MEMBERS OF THE GROUP </w:t>
      </w: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11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Each of the Reporting Persons hereby makes the following certification:</w:t>
      </w:r>
    </w:p>
    <w:p>
      <w:pPr>
        <w:spacing w:after="0" w:line="209" w:lineRule="exact"/>
        <w:rPr>
          <w:sz w:val="20"/>
          <w:szCs w:val="20"/>
          <w:color w:val="auto"/>
        </w:rPr>
      </w:pPr>
    </w:p>
    <w:p>
      <w:pPr>
        <w:ind w:left="1800" w:right="240"/>
        <w:spacing w:after="0" w:line="239" w:lineRule="auto"/>
        <w:rPr>
          <w:sz w:val="20"/>
          <w:szCs w:val="20"/>
          <w:color w:val="auto"/>
        </w:rPr>
      </w:pPr>
      <w:r>
        <w:rPr>
          <w:rFonts w:ascii="Times New Roman" w:cs="Times New Roman" w:eastAsia="Times New Roman" w:hAnsi="Times New Roman"/>
          <w:sz w:val="22"/>
          <w:szCs w:val="22"/>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63845R107</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11 of 11 Pages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each of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11,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Partners GP, L.L.C.,</w:t>
      </w: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PARTNERS GP,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Adage Capital Advisors, L.L.C.,</w:t>
      </w:r>
    </w:p>
    <w:p>
      <w:pPr>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Robert Atchinson</w:t>
      </w:r>
    </w:p>
    <w:p>
      <w:pPr>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Robert Atchinson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ATCHINSON, individually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PHILLIP GROSS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Phillip Gross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upperLetter"/>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2"/>
    </w:lvl>
    <w:lvl w:ilvl="1">
      <w:lvlJc w:val="left"/>
      <w:lvlText w:val="(%2)"/>
      <w:numFmt w:val="lowerRoman"/>
      <w:start w:val="2"/>
    </w:lvl>
  </w:abstractNum>
  <w:abstractNum w:abstractNumId="4">
    <w:nsid w:val="46E87CC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2021-02-11T06:44:17Z</dcterms:created>
  <dcterms:modified xsi:type="dcterms:W3CDTF">2021-02-11T06:44:17Z</dcterms:modified>
</cp:coreProperties>
</file>