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KKR Vision Aggregator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80"/>
        <w:spacing w:after="0" w:line="331" w:lineRule="auto"/>
        <w:rPr>
          <w:sz w:val="20"/>
          <w:szCs w:val="20"/>
          <w:color w:val="auto"/>
        </w:rPr>
      </w:pPr>
      <w:r>
        <w:rPr>
          <w:rFonts w:ascii="Arial" w:cs="Arial" w:eastAsia="Arial" w:hAnsi="Arial"/>
          <w:sz w:val="18"/>
          <w:szCs w:val="18"/>
          <w:color w:val="0000FF"/>
        </w:rPr>
        <w:t>C/O KOHLBERG KRAVIS ROBERTS &amp; CO. L.P. 9 WEST 57TH STREET, SUITE 4200</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20" w:type="dxa"/>
            <w:vAlign w:val="bottom"/>
            <w:gridSpan w:val="3"/>
          </w:tcPr>
          <w:p>
            <w:pPr>
              <w:ind w:left="80"/>
              <w:spacing w:after="0"/>
              <w:rPr>
                <w:sz w:val="20"/>
                <w:szCs w:val="20"/>
                <w:color w:val="auto"/>
              </w:rPr>
            </w:pPr>
            <w:r>
              <w:rPr>
                <w:rFonts w:ascii="Arial" w:cs="Arial" w:eastAsia="Arial" w:hAnsi="Arial"/>
                <w:sz w:val="18"/>
                <w:szCs w:val="18"/>
                <w:color w:val="0000FF"/>
              </w:rPr>
              <w:t>08/12/2019</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4"/>
          <w:szCs w:val="24"/>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8" w:lineRule="exact"/>
        <w:rPr>
          <w:sz w:val="24"/>
          <w:szCs w:val="24"/>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4"/>
          </w:tcPr>
          <w:p>
            <w:pPr>
              <w:ind w:left="220"/>
              <w:spacing w:after="0"/>
              <w:rPr>
                <w:sz w:val="20"/>
                <w:szCs w:val="20"/>
                <w:color w:val="auto"/>
              </w:rPr>
            </w:pPr>
            <w:r>
              <w:rPr>
                <w:rFonts w:ascii="Arial" w:cs="Arial" w:eastAsia="Arial" w:hAnsi="Arial"/>
                <w:sz w:val="12"/>
                <w:szCs w:val="12"/>
                <w:b w:val="1"/>
                <w:bCs w:val="1"/>
                <w:color w:val="auto"/>
                <w:w w:val="98"/>
              </w:rPr>
              <w:t>2A. Deemed</w:t>
            </w:r>
          </w:p>
        </w:tc>
        <w:tc>
          <w:tcPr>
            <w:tcW w:w="38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22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7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1260" w:type="dxa"/>
            <w:vAlign w:val="bottom"/>
            <w:gridSpan w:val="2"/>
          </w:tcPr>
          <w:p>
            <w:pPr>
              <w:jc w:val="center"/>
              <w:ind w:left="237"/>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60" w:type="dxa"/>
            <w:vAlign w:val="bottom"/>
            <w:gridSpan w:val="2"/>
          </w:tcPr>
          <w:p>
            <w:pPr>
              <w:jc w:val="center"/>
              <w:ind w:left="197"/>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6"/>
          </w:tcPr>
          <w:p>
            <w:pPr>
              <w:ind w:left="220"/>
              <w:spacing w:after="0" w:line="135" w:lineRule="exact"/>
              <w:rPr>
                <w:sz w:val="20"/>
                <w:szCs w:val="20"/>
                <w:color w:val="auto"/>
              </w:rPr>
            </w:pPr>
            <w:r>
              <w:rPr>
                <w:rFonts w:ascii="Arial" w:cs="Arial" w:eastAsia="Arial" w:hAnsi="Arial"/>
                <w:sz w:val="12"/>
                <w:szCs w:val="12"/>
                <w:b w:val="1"/>
                <w:bCs w:val="1"/>
                <w:color w:val="auto"/>
              </w:rPr>
              <w:t>(Month/Day/Year)  if any</w:t>
            </w:r>
          </w:p>
        </w:tc>
        <w:tc>
          <w:tcPr>
            <w:tcW w:w="3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260" w:type="dxa"/>
            <w:vAlign w:val="bottom"/>
            <w:gridSpan w:val="2"/>
          </w:tcPr>
          <w:p>
            <w:pPr>
              <w:jc w:val="center"/>
              <w:ind w:left="277"/>
              <w:spacing w:after="0" w:line="135" w:lineRule="exact"/>
              <w:rPr>
                <w:sz w:val="20"/>
                <w:szCs w:val="20"/>
                <w:color w:val="auto"/>
              </w:rPr>
            </w:pPr>
            <w:r>
              <w:rPr>
                <w:rFonts w:ascii="Arial" w:cs="Arial" w:eastAsia="Arial" w:hAnsi="Arial"/>
                <w:sz w:val="12"/>
                <w:szCs w:val="12"/>
                <w:b w:val="1"/>
                <w:bCs w:val="1"/>
                <w:color w:val="auto"/>
              </w:rPr>
              <w:t>(D) or Indirect</w:t>
            </w: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0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 Following  (I) (Instr. 4)</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8"/>
                <w:szCs w:val="18"/>
                <w:color w:val="0000FF"/>
                <w:w w:val="86"/>
              </w:rPr>
              <w:t>08/12/2019</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420" w:type="dxa"/>
            <w:vAlign w:val="bottom"/>
          </w:tcPr>
          <w:p>
            <w:pPr>
              <w:spacing w:after="0"/>
              <w:rPr>
                <w:sz w:val="22"/>
                <w:szCs w:val="22"/>
                <w:color w:val="auto"/>
              </w:rPr>
            </w:pPr>
          </w:p>
        </w:tc>
        <w:tc>
          <w:tcPr>
            <w:tcW w:w="960" w:type="dxa"/>
            <w:vAlign w:val="bottom"/>
            <w:vMerge w:val="restart"/>
          </w:tcPr>
          <w:p>
            <w:pPr>
              <w:ind w:left="100"/>
              <w:spacing w:after="0"/>
              <w:rPr>
                <w:sz w:val="20"/>
                <w:szCs w:val="20"/>
                <w:color w:val="auto"/>
              </w:rPr>
            </w:pPr>
            <w:r>
              <w:rPr>
                <w:rFonts w:ascii="Arial" w:cs="Arial" w:eastAsia="Arial" w:hAnsi="Arial"/>
                <w:sz w:val="18"/>
                <w:szCs w:val="18"/>
                <w:color w:val="0000FF"/>
              </w:rPr>
              <w:t>9,149,908</w:t>
            </w:r>
          </w:p>
        </w:tc>
        <w:tc>
          <w:tcPr>
            <w:tcW w:w="8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30.52</w:t>
            </w:r>
            <w:r>
              <w:rPr>
                <w:rFonts w:ascii="Arial" w:cs="Arial" w:eastAsia="Arial" w:hAnsi="Arial"/>
                <w:sz w:val="22"/>
                <w:szCs w:val="22"/>
                <w:color w:val="008000"/>
                <w:w w:val="93"/>
                <w:vertAlign w:val="superscript"/>
              </w:rPr>
              <w:t>(1)</w:t>
            </w:r>
          </w:p>
        </w:tc>
        <w:tc>
          <w:tcPr>
            <w:tcW w:w="60" w:type="dxa"/>
            <w:vAlign w:val="bottom"/>
          </w:tcPr>
          <w:p>
            <w:pPr>
              <w:spacing w:after="0"/>
              <w:rPr>
                <w:sz w:val="22"/>
                <w:szCs w:val="22"/>
                <w:color w:val="auto"/>
              </w:rPr>
            </w:pPr>
          </w:p>
        </w:tc>
        <w:tc>
          <w:tcPr>
            <w:tcW w:w="760" w:type="dxa"/>
            <w:vAlign w:val="bottom"/>
            <w:vMerge w:val="restart"/>
          </w:tcPr>
          <w:p>
            <w:pPr>
              <w:ind w:left="460"/>
              <w:spacing w:after="0"/>
              <w:rPr>
                <w:sz w:val="20"/>
                <w:szCs w:val="20"/>
                <w:color w:val="auto"/>
              </w:rPr>
            </w:pPr>
            <w:r>
              <w:rPr>
                <w:rFonts w:ascii="Arial" w:cs="Arial" w:eastAsia="Arial" w:hAnsi="Arial"/>
                <w:sz w:val="18"/>
                <w:szCs w:val="18"/>
                <w:color w:val="0000FF"/>
              </w:rPr>
              <w:t>0</w:t>
            </w:r>
          </w:p>
        </w:tc>
        <w:tc>
          <w:tcPr>
            <w:tcW w:w="940" w:type="dxa"/>
            <w:vAlign w:val="bottom"/>
            <w:vMerge w:val="restart"/>
          </w:tcPr>
          <w:p>
            <w:pPr>
              <w:jc w:val="center"/>
              <w:ind w:left="577"/>
              <w:spacing w:after="0"/>
              <w:rPr>
                <w:sz w:val="20"/>
                <w:szCs w:val="20"/>
                <w:color w:val="auto"/>
              </w:rPr>
            </w:pPr>
            <w:r>
              <w:rPr>
                <w:rFonts w:ascii="Arial" w:cs="Arial" w:eastAsia="Arial" w:hAnsi="Arial"/>
                <w:sz w:val="18"/>
                <w:szCs w:val="18"/>
                <w:color w:val="0000FF"/>
              </w:rPr>
              <w:t>I</w:t>
            </w:r>
          </w:p>
        </w:tc>
        <w:tc>
          <w:tcPr>
            <w:tcW w:w="320" w:type="dxa"/>
            <w:vAlign w:val="bottom"/>
          </w:tcPr>
          <w:p>
            <w:pPr>
              <w:spacing w:after="0"/>
              <w:rPr>
                <w:sz w:val="22"/>
                <w:szCs w:val="22"/>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0000FF"/>
              </w:rPr>
              <w:t>See</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(2)(3)(4)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7"/>
          </w:tcPr>
          <w:p>
            <w:pPr>
              <w:jc w:val="center"/>
              <w:ind w:left="8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20" w:type="dxa"/>
            <w:vAlign w:val="bottom"/>
            <w:gridSpan w:val="13"/>
          </w:tcPr>
          <w:p>
            <w:pPr>
              <w:jc w:val="center"/>
              <w:ind w:left="1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tcPr>
          <w:p>
            <w:pPr>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w w:val="95"/>
              </w:rPr>
            </w:pPr>
            <w:hyperlink r:id="rId12">
              <w:r>
                <w:rPr>
                  <w:rFonts w:ascii="Arial" w:cs="Arial" w:eastAsia="Arial" w:hAnsi="Arial"/>
                  <w:sz w:val="22"/>
                  <w:szCs w:val="22"/>
                  <w:color w:val="0000EE"/>
                  <w:w w:val="95"/>
                </w:rPr>
                <w:t>KKR Vision Aggregator L.P.</w:t>
              </w:r>
            </w:hyperlink>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5"/>
              </w:rPr>
              <w:t>C/O KOHLBERG KRAVIS ROBERTS &amp; CO.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9 WEST 57TH STREET, SUITE 4200</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10019</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KKR Vision Aggregator GP LLC</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5"/>
              </w:rPr>
              <w:t>C/O KOHLBERG KRAVIS ROBERTS &amp; CO.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9 WEST 57TH STREET, SUITE 4200</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10019</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KKR North America Fund XI L.P.</w:t>
        </w:r>
      </w:hyperlink>
    </w:p>
    <w:p>
      <w:pPr>
        <w:sectPr>
          <w:pgSz w:w="11900" w:h="16838"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4754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475488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KKR Associates North America XI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KKR North America XI Ltd</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amount represents the secondary public offering price per share of common stock of National Vision Holdings, Inc., less the underwriting discount of $0.48 per share.</w:t>
      </w:r>
    </w:p>
    <w:p>
      <w:pPr>
        <w:spacing w:after="0" w:line="41" w:lineRule="exact"/>
        <w:rPr>
          <w:rFonts w:ascii="Arial" w:cs="Arial" w:eastAsia="Arial" w:hAnsi="Arial"/>
          <w:sz w:val="14"/>
          <w:szCs w:val="14"/>
          <w:color w:val="008000"/>
        </w:rPr>
      </w:pPr>
    </w:p>
    <w:p>
      <w:pPr>
        <w:ind w:left="20" w:right="2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of National Vision Holdings, Inc. are held by KKR Vision Aggregator L.P. The general partner of KKR Vision Aggregator L.P. is KKR Vision Aggregator GP LLC. The sole member of KKR Vision Aggregator GP LLC is KKR North America Fund XI L.P. The general partner of KKR North America Fund XI L.P. is KKR Associates North America XI L.P. The general partner of KKR Associates North America XI L.P. is KKR North America XI Limited. The sole shareholder of KKR North America XI Limited is KKR Fund Holdings L.P.</w:t>
      </w:r>
    </w:p>
    <w:p>
      <w:pPr>
        <w:spacing w:after="0" w:line="2" w:lineRule="exact"/>
        <w:rPr>
          <w:rFonts w:ascii="Arial" w:cs="Arial" w:eastAsia="Arial" w:hAnsi="Arial"/>
          <w:sz w:val="12"/>
          <w:szCs w:val="12"/>
          <w:color w:val="008000"/>
        </w:rPr>
      </w:pPr>
    </w:p>
    <w:p>
      <w:pPr>
        <w:ind w:left="20" w:right="26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KKR Fund Holdings GP Limited is a general partner of KKR Fund Holdings L.P. KKR Group Holdings Corp. is a general partner of KKR Fund Holdings L.P. and the sole shareholder of KKR Fund Holdings GP Limited. KKR &amp; Co. Inc. is the sole shareholder of KKR Group Holdings Corp. KKR Management LLC is the Class B common stockholder of KKR &amp; Co. Inc. Messrs. Henry R. Kravis and George R. Roberts are the designated members of KKR Management LLC.</w:t>
      </w:r>
    </w:p>
    <w:p>
      <w:pPr>
        <w:spacing w:after="0" w:line="30" w:lineRule="exact"/>
        <w:rPr>
          <w:rFonts w:ascii="Arial" w:cs="Arial" w:eastAsia="Arial" w:hAnsi="Arial"/>
          <w:sz w:val="14"/>
          <w:szCs w:val="14"/>
          <w:color w:val="008000"/>
        </w:rPr>
      </w:pPr>
    </w:p>
    <w:p>
      <w:pPr>
        <w:ind w:left="20" w:right="20" w:firstLine="9"/>
        <w:spacing w:after="0" w:line="29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Because no more than 10 reporting persons can file any one Form 4 through the Securities and Exchange Commission's EDGAR system, certain affiliates of the Reporting Persons have filed a separate Form 4.</w:t>
      </w:r>
    </w:p>
    <w:p>
      <w:pPr>
        <w:sectPr>
          <w:pgSz w:w="11900" w:h="16838" w:orient="portrait"/>
          <w:cols w:equalWidth="0" w:num="1">
            <w:col w:w="11320"/>
          </w:cols>
          <w:pgMar w:left="260" w:top="131" w:right="319" w:bottom="0" w:gutter="0" w:footer="0" w:header="0"/>
        </w:sectPr>
      </w:pPr>
    </w:p>
    <w:p>
      <w:pPr>
        <w:spacing w:after="0" w:line="9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KKR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641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6413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AGGREGATOR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4071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Vision Aggregator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95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9573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general partner By: /s/ Terence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2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728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P. 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44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89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12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6464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64643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KKR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6413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6413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AGGREGATOR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12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/s/ 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81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81760"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893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Attorney-in-fact for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96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Janetschek,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849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8491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KKR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823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823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FUND XI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023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Associates North America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20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230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KKR North America XI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909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27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271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Terence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3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14363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Terence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39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8394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Attorney-in-fact for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96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Janetschek,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099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90995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KKR ASSOCIATES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09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AMERICA XI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3131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3131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North America XI Limited,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89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general partner By: /s/ Terence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2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3728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P. 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44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896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0000FF"/>
        </w:rPr>
        <w:t>08/14/2019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08/14/2019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0000FF"/>
        </w:rPr>
        <w:t>08/14/2019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0000FF"/>
        </w:rPr>
        <w:t>08/14/2019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9060" w:space="80"/>
            <w:col w:w="2180"/>
          </w:cols>
          <w:pgMar w:left="260" w:top="131" w:right="319" w:bottom="0" w:gutter="0" w:footer="0" w:header="0"/>
          <w:type w:val="continuous"/>
        </w:sectPr>
      </w:pPr>
    </w:p>
    <w:bookmarkStart w:id="2" w:name="page3"/>
    <w:bookmarkEnd w:id="2"/>
    <w:p>
      <w:pPr>
        <w:ind w:left="682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512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KKR NORTH AMERICA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277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13277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LIMITED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49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2649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96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12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000FF"/>
        </w:rPr>
        <w:t>08/14/2019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60" w:space="16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12" Type="http://schemas.openxmlformats.org/officeDocument/2006/relationships/hyperlink" Target="http://www.sec.gov/cgi-bin/browse-edgar?action=getcompany&amp;CIK=0001719992" TargetMode="External"/><Relationship Id="rId13" Type="http://schemas.openxmlformats.org/officeDocument/2006/relationships/hyperlink" Target="http://www.sec.gov/cgi-bin/browse-edgar?action=getcompany&amp;CIK=0001710155" TargetMode="External"/><Relationship Id="rId14" Type="http://schemas.openxmlformats.org/officeDocument/2006/relationships/hyperlink" Target="http://www.sec.gov/cgi-bin/browse-edgar?action=getcompany&amp;CIK=0001719991" TargetMode="External"/><Relationship Id="rId15" Type="http://schemas.openxmlformats.org/officeDocument/2006/relationships/hyperlink" Target="http://www.sec.gov/cgi-bin/browse-edgar?action=getcompany&amp;CIK=0001541293" TargetMode="External"/><Relationship Id="rId17" Type="http://schemas.openxmlformats.org/officeDocument/2006/relationships/hyperlink" Target="http://www.sec.gov/cgi-bin/browse-edgar?action=getcompany&amp;CIK=0001619837" TargetMode="External"/><Relationship Id="rId18" Type="http://schemas.openxmlformats.org/officeDocument/2006/relationships/hyperlink" Target="http://www.sec.gov/cgi-bin/browse-edgar?action=getcompany&amp;CIK=00015524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2019-12-23T21:50:46Z</dcterms:created>
  <dcterms:modified xsi:type="dcterms:W3CDTF">2019-12-23T21:50:46Z</dcterms:modified>
</cp:coreProperties>
</file>