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756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Rasmussen Melissa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 w:right="520"/>
        <w:spacing w:after="0" w:line="37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 2435 COMMERCE AVENUE, BLDG. 2200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30096-4980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6"/>
                  <w:szCs w:val="16"/>
                  <w:u w:val="single" w:color="auto"/>
                  <w:color w:val="0000EE"/>
                </w:rPr>
                <w:t>National Vision Holdings, Inc.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03/05/2021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0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-2435225</wp:posOffset>
            </wp:positionH>
            <wp:positionV relativeFrom="paragraph">
              <wp:posOffset>210820</wp:posOffset>
            </wp:positionV>
            <wp:extent cx="6967220" cy="8820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88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-15875</wp:posOffset>
            </wp:positionV>
            <wp:extent cx="7033260" cy="254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54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03/05/2021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8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12,702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45.66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03/05/2021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1,890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03/05/2031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1,890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1,890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NVHI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will vest in three equal annual installments beginning on the first anniversary of the grant date.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three equal annual installments beginning on the first anniversary of the grant date.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Jared Brandman,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-10795</wp:posOffset>
            </wp:positionV>
            <wp:extent cx="9702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7200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3175</wp:posOffset>
            </wp:positionV>
            <wp:extent cx="4883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480" w:space="320"/>
            <w:col w:w="228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82487" TargetMode="External"/><Relationship Id="rId14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2021-03-09T15:54:02Z</dcterms:created>
  <dcterms:modified xsi:type="dcterms:W3CDTF">2021-03-09T15:54:02Z</dcterms:modified>
</cp:coreProperties>
</file>