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54"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88"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August 6, 2025</w:t>
      </w:r>
    </w:p>
    <w:p>
      <w:pPr>
        <w:spacing w:after="0" w:line="100"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1"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001-38257</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147" w:lineRule="exact"/>
        <w:rPr>
          <w:sz w:val="24"/>
          <w:szCs w:val="24"/>
          <w:color w:val="auto"/>
        </w:rPr>
      </w:pPr>
    </w:p>
    <w:tbl>
      <w:tblPr>
        <w:tblLayout w:type="fixed"/>
        <w:tblInd w:w="2160" w:type="dxa"/>
        <w:tblCellMar>
          <w:top w:w="0" w:type="dxa"/>
          <w:left w:w="0" w:type="dxa"/>
          <w:bottom w:w="0" w:type="dxa"/>
          <w:right w:w="0" w:type="dxa"/>
        </w:tblCellMar>
      </w:tblPr>
      <w:tr>
        <w:trPr>
          <w:trHeight w:val="223"/>
        </w:trPr>
        <w:tc>
          <w:tcPr>
            <w:tcW w:w="3660" w:type="dxa"/>
            <w:vAlign w:val="bottom"/>
          </w:tcPr>
          <w:p>
            <w:pPr>
              <w:jc w:val="center"/>
              <w:ind w:right="1559"/>
              <w:spacing w:after="0"/>
              <w:rPr>
                <w:sz w:val="20"/>
                <w:szCs w:val="20"/>
                <w:color w:val="auto"/>
              </w:rPr>
            </w:pPr>
            <w:r>
              <w:rPr>
                <w:rFonts w:ascii="Arial" w:cs="Arial" w:eastAsia="Arial" w:hAnsi="Arial"/>
                <w:sz w:val="16"/>
                <w:szCs w:val="16"/>
                <w:b w:val="1"/>
                <w:bCs w:val="1"/>
                <w:color w:val="auto"/>
                <w:w w:val="99"/>
              </w:rPr>
              <w:t>Delaware</w:t>
            </w:r>
          </w:p>
        </w:tc>
        <w:tc>
          <w:tcPr>
            <w:tcW w:w="288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196"/>
        </w:trPr>
        <w:tc>
          <w:tcPr>
            <w:tcW w:w="3660" w:type="dxa"/>
            <w:vAlign w:val="bottom"/>
          </w:tcPr>
          <w:p>
            <w:pPr>
              <w:jc w:val="center"/>
              <w:ind w:right="1559"/>
              <w:spacing w:after="0"/>
              <w:rPr>
                <w:sz w:val="20"/>
                <w:szCs w:val="20"/>
                <w:color w:val="auto"/>
              </w:rPr>
            </w:pPr>
            <w:r>
              <w:rPr>
                <w:rFonts w:ascii="Arial" w:cs="Arial" w:eastAsia="Arial" w:hAnsi="Arial"/>
                <w:sz w:val="16"/>
                <w:szCs w:val="16"/>
                <w:color w:val="auto"/>
              </w:rPr>
              <w:t>(State or other jurisdiction of</w:t>
            </w:r>
          </w:p>
        </w:tc>
        <w:tc>
          <w:tcPr>
            <w:tcW w:w="2880" w:type="dxa"/>
            <w:vAlign w:val="bottom"/>
          </w:tcPr>
          <w:p>
            <w:pPr>
              <w:jc w:val="center"/>
              <w:ind w:left="1539"/>
              <w:spacing w:after="0"/>
              <w:rPr>
                <w:sz w:val="20"/>
                <w:szCs w:val="20"/>
                <w:color w:val="auto"/>
              </w:rPr>
            </w:pPr>
            <w:r>
              <w:rPr>
                <w:rFonts w:ascii="Arial" w:cs="Arial" w:eastAsia="Arial" w:hAnsi="Arial"/>
                <w:sz w:val="16"/>
                <w:szCs w:val="16"/>
                <w:color w:val="auto"/>
              </w:rPr>
              <w:t>(I.R.S. Employer</w:t>
            </w:r>
          </w:p>
        </w:tc>
      </w:tr>
      <w:tr>
        <w:trPr>
          <w:trHeight w:val="215"/>
        </w:trPr>
        <w:tc>
          <w:tcPr>
            <w:tcW w:w="3660" w:type="dxa"/>
            <w:vAlign w:val="bottom"/>
          </w:tcPr>
          <w:p>
            <w:pPr>
              <w:jc w:val="center"/>
              <w:ind w:right="1559"/>
              <w:spacing w:after="0"/>
              <w:rPr>
                <w:sz w:val="20"/>
                <w:szCs w:val="20"/>
                <w:color w:val="auto"/>
              </w:rPr>
            </w:pPr>
            <w:r>
              <w:rPr>
                <w:rFonts w:ascii="Arial" w:cs="Arial" w:eastAsia="Arial" w:hAnsi="Arial"/>
                <w:sz w:val="16"/>
                <w:szCs w:val="16"/>
                <w:color w:val="auto"/>
              </w:rPr>
              <w:t>incorporation)</w:t>
            </w:r>
          </w:p>
        </w:tc>
        <w:tc>
          <w:tcPr>
            <w:tcW w:w="2880" w:type="dxa"/>
            <w:vAlign w:val="bottom"/>
          </w:tcPr>
          <w:p>
            <w:pPr>
              <w:jc w:val="center"/>
              <w:ind w:left="1539"/>
              <w:spacing w:after="0"/>
              <w:rPr>
                <w:sz w:val="20"/>
                <w:szCs w:val="20"/>
                <w:color w:val="auto"/>
              </w:rPr>
            </w:pPr>
            <w:r>
              <w:rPr>
                <w:rFonts w:ascii="Arial" w:cs="Arial" w:eastAsia="Arial" w:hAnsi="Arial"/>
                <w:sz w:val="16"/>
                <w:szCs w:val="16"/>
                <w:color w:val="auto"/>
              </w:rPr>
              <w:t>Identification No.)</w:t>
            </w:r>
          </w:p>
        </w:tc>
      </w:tr>
      <w:tr>
        <w:trPr>
          <w:trHeight w:val="271"/>
        </w:trPr>
        <w:tc>
          <w:tcPr>
            <w:tcW w:w="3660" w:type="dxa"/>
            <w:vAlign w:val="bottom"/>
          </w:tcPr>
          <w:p>
            <w:pPr>
              <w:jc w:val="center"/>
              <w:ind w:right="1559"/>
              <w:spacing w:after="0"/>
              <w:rPr>
                <w:sz w:val="20"/>
                <w:szCs w:val="20"/>
                <w:color w:val="auto"/>
              </w:rPr>
            </w:pPr>
            <w:r>
              <w:rPr>
                <w:rFonts w:ascii="Arial" w:cs="Arial" w:eastAsia="Arial" w:hAnsi="Arial"/>
                <w:sz w:val="16"/>
                <w:szCs w:val="16"/>
                <w:b w:val="1"/>
                <w:bCs w:val="1"/>
                <w:color w:val="auto"/>
              </w:rPr>
              <w:t>2435 Commerce Ave.</w:t>
            </w:r>
          </w:p>
        </w:tc>
        <w:tc>
          <w:tcPr>
            <w:tcW w:w="2880" w:type="dxa"/>
            <w:vAlign w:val="bottom"/>
          </w:tcPr>
          <w:p>
            <w:pPr>
              <w:spacing w:after="0"/>
              <w:rPr>
                <w:sz w:val="23"/>
                <w:szCs w:val="23"/>
                <w:color w:val="auto"/>
              </w:rPr>
            </w:pPr>
          </w:p>
        </w:tc>
      </w:tr>
      <w:tr>
        <w:trPr>
          <w:trHeight w:val="216"/>
        </w:trPr>
        <w:tc>
          <w:tcPr>
            <w:tcW w:w="3660" w:type="dxa"/>
            <w:vAlign w:val="bottom"/>
          </w:tcPr>
          <w:p>
            <w:pPr>
              <w:jc w:val="center"/>
              <w:ind w:right="1559"/>
              <w:spacing w:after="0"/>
              <w:rPr>
                <w:sz w:val="20"/>
                <w:szCs w:val="20"/>
                <w:color w:val="auto"/>
              </w:rPr>
            </w:pPr>
            <w:r>
              <w:rPr>
                <w:rFonts w:ascii="Arial" w:cs="Arial" w:eastAsia="Arial" w:hAnsi="Arial"/>
                <w:sz w:val="16"/>
                <w:szCs w:val="16"/>
                <w:b w:val="1"/>
                <w:bCs w:val="1"/>
                <w:color w:val="auto"/>
              </w:rPr>
              <w:t>Building 2200</w:t>
            </w:r>
          </w:p>
        </w:tc>
        <w:tc>
          <w:tcPr>
            <w:tcW w:w="288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23"/>
        </w:trPr>
        <w:tc>
          <w:tcPr>
            <w:tcW w:w="3660" w:type="dxa"/>
            <w:vAlign w:val="bottom"/>
          </w:tcPr>
          <w:p>
            <w:pPr>
              <w:jc w:val="center"/>
              <w:ind w:right="1559"/>
              <w:spacing w:after="0"/>
              <w:rPr>
                <w:sz w:val="20"/>
                <w:szCs w:val="20"/>
                <w:color w:val="auto"/>
              </w:rPr>
            </w:pPr>
            <w:r>
              <w:rPr>
                <w:rFonts w:ascii="Arial" w:cs="Arial" w:eastAsia="Arial" w:hAnsi="Arial"/>
                <w:sz w:val="16"/>
                <w:szCs w:val="16"/>
                <w:b w:val="1"/>
                <w:bCs w:val="1"/>
                <w:color w:val="auto"/>
              </w:rPr>
              <w:t>Duluth, Georgia</w:t>
            </w:r>
          </w:p>
        </w:tc>
        <w:tc>
          <w:tcPr>
            <w:tcW w:w="2880" w:type="dxa"/>
            <w:vAlign w:val="bottom"/>
          </w:tcPr>
          <w:p>
            <w:pPr>
              <w:jc w:val="center"/>
              <w:ind w:left="1539"/>
              <w:spacing w:after="0"/>
              <w:rPr>
                <w:sz w:val="20"/>
                <w:szCs w:val="20"/>
                <w:color w:val="auto"/>
              </w:rPr>
            </w:pPr>
            <w:r>
              <w:rPr>
                <w:rFonts w:ascii="Arial" w:cs="Arial" w:eastAsia="Arial" w:hAnsi="Arial"/>
                <w:sz w:val="16"/>
                <w:szCs w:val="16"/>
                <w:color w:val="auto"/>
              </w:rPr>
              <w:t>(Zip Code)</w:t>
            </w:r>
          </w:p>
        </w:tc>
      </w:tr>
    </w:tbl>
    <w:p>
      <w:pPr>
        <w:ind w:left="1780"/>
        <w:spacing w:after="0"/>
        <w:rPr>
          <w:sz w:val="20"/>
          <w:szCs w:val="20"/>
          <w:color w:val="auto"/>
        </w:rPr>
      </w:pPr>
      <w:r>
        <w:rPr>
          <w:rFonts w:ascii="Arial" w:cs="Arial" w:eastAsia="Arial" w:hAnsi="Arial"/>
          <w:sz w:val="16"/>
          <w:szCs w:val="16"/>
          <w:color w:val="auto"/>
        </w:rPr>
        <w:t>(Address of principal executive offices)</w:t>
      </w:r>
    </w:p>
    <w:p>
      <w:pPr>
        <w:spacing w:after="0" w:line="57"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color w:val="auto"/>
          <w:strike w:val="1"/>
        </w:rPr>
        <w:t>‑</w:t>
      </w:r>
      <w:r>
        <w:rPr>
          <w:rFonts w:ascii="Arial" w:cs="Arial" w:eastAsia="Arial" w:hAnsi="Arial"/>
          <w:sz w:val="16"/>
          <w:szCs w:val="16"/>
          <w:b w:val="1"/>
          <w:bCs w:val="1"/>
          <w:color w:val="auto"/>
        </w:rPr>
        <w:t>3600</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98"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97" w:lineRule="exact"/>
        <w:rPr>
          <w:sz w:val="24"/>
          <w:szCs w:val="24"/>
          <w:color w:val="auto"/>
        </w:rPr>
      </w:pPr>
    </w:p>
    <w:p>
      <w:pPr>
        <w:ind w:right="80"/>
        <w:spacing w:after="0" w:line="28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5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360"/>
        </w:trPr>
        <w:tc>
          <w:tcPr>
            <w:tcW w:w="4560" w:type="dxa"/>
            <w:vAlign w:val="bottom"/>
            <w:gridSpan w:val="3"/>
          </w:tcPr>
          <w:p>
            <w:pPr>
              <w:jc w:val="center"/>
              <w:ind w:right="640"/>
              <w:spacing w:after="0"/>
              <w:rPr>
                <w:sz w:val="20"/>
                <w:szCs w:val="20"/>
                <w:color w:val="auto"/>
              </w:rPr>
            </w:pPr>
            <w:r>
              <w:rPr>
                <w:rFonts w:ascii="Arial" w:cs="Arial" w:eastAsia="Arial" w:hAnsi="Arial"/>
                <w:sz w:val="18"/>
                <w:szCs w:val="18"/>
                <w:color w:val="auto"/>
                <w:w w:val="99"/>
              </w:rPr>
              <w:t>Title of each class</w:t>
            </w:r>
          </w:p>
        </w:tc>
        <w:tc>
          <w:tcPr>
            <w:tcW w:w="2140" w:type="dxa"/>
            <w:vAlign w:val="bottom"/>
            <w:gridSpan w:val="2"/>
          </w:tcPr>
          <w:p>
            <w:pPr>
              <w:jc w:val="center"/>
              <w:ind w:right="640"/>
              <w:spacing w:after="0"/>
              <w:rPr>
                <w:sz w:val="20"/>
                <w:szCs w:val="20"/>
                <w:color w:val="auto"/>
              </w:rPr>
            </w:pPr>
            <w:r>
              <w:rPr>
                <w:rFonts w:ascii="Arial" w:cs="Arial" w:eastAsia="Arial" w:hAnsi="Arial"/>
                <w:sz w:val="18"/>
                <w:szCs w:val="18"/>
                <w:color w:val="auto"/>
                <w:w w:val="99"/>
              </w:rPr>
              <w:t>Trading Symbol(s)</w:t>
            </w:r>
          </w:p>
        </w:tc>
        <w:tc>
          <w:tcPr>
            <w:tcW w:w="392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32"/>
        </w:trPr>
        <w:tc>
          <w:tcPr>
            <w:tcW w:w="3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center"/>
              <w:ind w:right="450"/>
              <w:spacing w:after="0"/>
              <w:rPr>
                <w:sz w:val="20"/>
                <w:szCs w:val="20"/>
                <w:color w:val="auto"/>
              </w:rPr>
            </w:pPr>
            <w:r>
              <w:rPr>
                <w:rFonts w:ascii="Arial" w:cs="Arial" w:eastAsia="Arial" w:hAnsi="Arial"/>
                <w:sz w:val="18"/>
                <w:szCs w:val="18"/>
                <w:color w:val="auto"/>
                <w:w w:val="99"/>
              </w:rPr>
              <w:t>EYE</w:t>
            </w:r>
          </w:p>
        </w:tc>
        <w:tc>
          <w:tcPr>
            <w:tcW w:w="120" w:type="dxa"/>
            <w:vAlign w:val="bottom"/>
          </w:tcPr>
          <w:p>
            <w:pPr>
              <w:spacing w:after="0"/>
              <w:rPr>
                <w:sz w:val="20"/>
                <w:szCs w:val="20"/>
                <w:color w:val="auto"/>
              </w:rPr>
            </w:pPr>
          </w:p>
        </w:tc>
        <w:tc>
          <w:tcPr>
            <w:tcW w:w="3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w:t>
            </w:r>
          </w:p>
        </w:tc>
      </w:tr>
    </w:tbl>
    <w:p>
      <w:pPr>
        <w:spacing w:after="0" w:line="174"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1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On August 6, 2025, National Vision Holdings, Inc. (“National Vision”) issued a press release announcing financial results for the quarter ended June 28, 2025.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release is furnished herewith as Exhibit 99.1 and incorporated by reference herein.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9"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88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93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210"/>
        </w:trPr>
        <w:tc>
          <w:tcPr>
            <w:tcW w:w="900" w:type="dxa"/>
            <w:vAlign w:val="bottom"/>
            <w:gridSpan w:val="3"/>
          </w:tcPr>
          <w:p>
            <w:pPr>
              <w:ind w:left="40"/>
              <w:spacing w:after="0"/>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10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National Vision Holdings, Inc. Press Release dated August 6, 2025.</w:t>
            </w: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320" w:type="dxa"/>
            <w:vAlign w:val="bottom"/>
            <w:gridSpan w:val="2"/>
          </w:tcPr>
          <w:p>
            <w:pPr>
              <w:spacing w:after="0" w:line="20" w:lineRule="exact"/>
              <w:rPr>
                <w:sz w:val="1"/>
                <w:szCs w:val="1"/>
                <w:color w:val="auto"/>
              </w:rPr>
            </w:pPr>
          </w:p>
        </w:tc>
      </w:tr>
      <w:tr>
        <w:trPr>
          <w:trHeight w:val="254"/>
        </w:trPr>
        <w:tc>
          <w:tcPr>
            <w:tcW w:w="38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18"/>
        </w:trPr>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239"/>
        </w:trPr>
        <w:tc>
          <w:tcPr>
            <w:tcW w:w="29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387"/>
        </w:trPr>
        <w:tc>
          <w:tcPr>
            <w:tcW w:w="2900" w:type="dxa"/>
            <w:vAlign w:val="bottom"/>
          </w:tcPr>
          <w:p>
            <w:pPr>
              <w:spacing w:after="0"/>
              <w:rPr>
                <w:sz w:val="20"/>
                <w:szCs w:val="20"/>
                <w:color w:val="auto"/>
              </w:rPr>
            </w:pPr>
            <w:r>
              <w:rPr>
                <w:rFonts w:ascii="Arial" w:cs="Arial" w:eastAsia="Arial" w:hAnsi="Arial"/>
                <w:sz w:val="18"/>
                <w:szCs w:val="18"/>
                <w:color w:val="auto"/>
              </w:rPr>
              <w:t>Date: August 6, 2025</w:t>
            </w:r>
          </w:p>
        </w:tc>
        <w:tc>
          <w:tcPr>
            <w:tcW w:w="2560" w:type="dxa"/>
            <w:vAlign w:val="bottom"/>
          </w:tcPr>
          <w:p>
            <w:pPr>
              <w:ind w:left="12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Jared Brandman</w:t>
            </w:r>
          </w:p>
        </w:tc>
      </w:tr>
      <w:tr>
        <w:trPr>
          <w:trHeight w:val="218"/>
        </w:trPr>
        <w:tc>
          <w:tcPr>
            <w:tcW w:w="2900" w:type="dxa"/>
            <w:vAlign w:val="bottom"/>
          </w:tcPr>
          <w:p>
            <w:pPr>
              <w:spacing w:after="0"/>
              <w:rPr>
                <w:sz w:val="18"/>
                <w:szCs w:val="18"/>
                <w:color w:val="auto"/>
              </w:rPr>
            </w:pPr>
          </w:p>
        </w:tc>
        <w:tc>
          <w:tcPr>
            <w:tcW w:w="2560" w:type="dxa"/>
            <w:vAlign w:val="bottom"/>
          </w:tcPr>
          <w:p>
            <w:pPr>
              <w:ind w:left="1220"/>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39"/>
        </w:trPr>
        <w:tc>
          <w:tcPr>
            <w:tcW w:w="2900" w:type="dxa"/>
            <w:vAlign w:val="bottom"/>
          </w:tcPr>
          <w:p>
            <w:pPr>
              <w:spacing w:after="0"/>
              <w:rPr>
                <w:sz w:val="20"/>
                <w:szCs w:val="20"/>
                <w:color w:val="auto"/>
              </w:rPr>
            </w:pPr>
          </w:p>
        </w:tc>
        <w:tc>
          <w:tcPr>
            <w:tcW w:w="2560" w:type="dxa"/>
            <w:vAlign w:val="bottom"/>
          </w:tcPr>
          <w:p>
            <w:pPr>
              <w:ind w:left="1220"/>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Chief Legal &amp; Strategy Officer, Corporate Secretary</w:t>
            </w:r>
          </w:p>
        </w:tc>
      </w:tr>
    </w:tbl>
    <w:p>
      <w:pPr>
        <w:sectPr>
          <w:pgSz w:w="11900" w:h="16838" w:orient="portrait"/>
          <w:cols w:equalWidth="0" w:num="1">
            <w:col w:w="11120"/>
          </w:cols>
          <w:pgMar w:left="320" w:top="89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68880" cy="754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6888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National Vision Holdings, Inc. Reports Second Quarter 2025 Financial Results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Accelerated Initiatives Drive Comparable Store Sales Growth and Improved Profitability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Raises Fiscal 2025 Outlook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2025 highlights compared to second quarter 2024:</w:t>
      </w:r>
    </w:p>
    <w:p>
      <w:pPr>
        <w:spacing w:after="0" w:line="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from continuing operations increased 7.7% to $486.4 million</w:t>
      </w:r>
    </w:p>
    <w:p>
      <w:pPr>
        <w:spacing w:after="0" w:line="36" w:lineRule="exact"/>
        <w:rPr>
          <w:rFonts w:ascii="Arial" w:cs="Arial" w:eastAsia="Arial" w:hAnsi="Arial"/>
          <w:sz w:val="18"/>
          <w:szCs w:val="18"/>
          <w:i w:val="1"/>
          <w:iCs w:val="1"/>
          <w:color w:val="auto"/>
        </w:rPr>
      </w:pPr>
    </w:p>
    <w:p>
      <w:pPr>
        <w:ind w:left="660" w:right="32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Comparable store sales growth of 6.5% and Adjusted Comparable Store Sales Growth of 5.9% represented the 10th consecutive quarter of positive growth</w:t>
      </w: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Income from continuing operations of $8.7 million, Diluted EPS from continuing operations of $0.11</w:t>
      </w:r>
    </w:p>
    <w:p>
      <w:pPr>
        <w:spacing w:after="0" w:line="49" w:lineRule="exact"/>
        <w:rPr>
          <w:rFonts w:ascii="Arial" w:cs="Arial" w:eastAsia="Arial" w:hAnsi="Arial"/>
          <w:sz w:val="18"/>
          <w:szCs w:val="18"/>
          <w:i w:val="1"/>
          <w:iCs w:val="1"/>
          <w:color w:val="auto"/>
        </w:rPr>
      </w:pPr>
    </w:p>
    <w:p>
      <w:pPr>
        <w:ind w:left="660" w:right="20" w:hanging="328"/>
        <w:spacing w:after="0" w:line="258"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Operating Income from continuing operations of $23.8 million, up 69.1%, with Adjusted Operating Margin improving to 4.9% from 3.1%</w:t>
      </w: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Diluted EPS from continuing operations increased to $0.18 from $0.15</w:t>
      </w:r>
    </w:p>
    <w:p>
      <w:pPr>
        <w:spacing w:after="0" w:line="200" w:lineRule="exact"/>
        <w:rPr>
          <w:sz w:val="20"/>
          <w:szCs w:val="20"/>
          <w:color w:val="auto"/>
        </w:rPr>
      </w:pPr>
    </w:p>
    <w:p>
      <w:pPr>
        <w:spacing w:after="0" w:line="29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 xml:space="preserve">Duluth, Ga. </w:t>
      </w:r>
      <w:r>
        <w:rPr>
          <w:rFonts w:ascii="Arial" w:cs="Arial" w:eastAsia="Arial" w:hAnsi="Arial"/>
          <w:sz w:val="18"/>
          <w:szCs w:val="18"/>
          <w:color w:val="auto"/>
        </w:rPr>
        <w:t>--</w:t>
      </w:r>
      <w:r>
        <w:rPr>
          <w:rFonts w:ascii="Arial" w:cs="Arial" w:eastAsia="Arial" w:hAnsi="Arial"/>
          <w:sz w:val="18"/>
          <w:szCs w:val="18"/>
          <w:b w:val="1"/>
          <w:bCs w:val="1"/>
          <w:color w:val="auto"/>
        </w:rPr>
        <w:t xml:space="preserve"> August 6, 2025 </w:t>
      </w:r>
      <w:r>
        <w:rPr>
          <w:rFonts w:ascii="Arial" w:cs="Arial" w:eastAsia="Arial" w:hAnsi="Arial"/>
          <w:sz w:val="18"/>
          <w:szCs w:val="18"/>
          <w:color w:val="auto"/>
        </w:rPr>
        <w:t>-- National Vision Holdings, Inc. (NASDAQ: EYE) (“National Vision,” “we,” “our,” “us” or the “Company”) today</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its financial results for the second quarter ended June 28, 2025.</w:t>
      </w:r>
    </w:p>
    <w:p>
      <w:pPr>
        <w:spacing w:after="0" w:line="5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"Our strong performance this quarter reflects the continued successful execution of our transformation program and the dedicated efforts of our entire National Vision team,” said Alex Wilkes, National Vision’s CEO. “The implementation of our lifestyle selling approach, combined with strategic refinements to our assortment and pricing architecture, has supported solid positive comparable sales growth across our brands. We are particularly encouraged by the customer response to our enhanced product offerings and elevated shopping experience at America’s Best, which complement our new brand promise that ‘Every Eye Deserves Better.’ This upcoming campaign is more than a message, it’s a tangible symbol of the modernization of our business while remaining rooted in our mission to deliver affordable, accessible, high-quality eye care and eyewear."</w:t>
      </w:r>
    </w:p>
    <w:p>
      <w:pPr>
        <w:spacing w:after="0" w:line="20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Mr. Wilkes continued, “Looking ahead, we remain confident in our strategic direction as reflected in our improved outlook for the year. We will continue to build on this momentum by leveraging our modernized brand advertising, personalized marketing, further optimization of our merchandise mix, and disciplined cost management. We have a robust pipeline of initiatives, an experienced leadership team, and a renewed commitment to delivering excellence in eye care, which position us well to deliver sustainable growth and long-term value creation for our shareholders.”</w:t>
      </w:r>
    </w:p>
    <w:p>
      <w:pPr>
        <w:spacing w:after="0" w:line="219" w:lineRule="exact"/>
        <w:rPr>
          <w:sz w:val="20"/>
          <w:szCs w:val="20"/>
          <w:color w:val="auto"/>
        </w:rPr>
      </w:pPr>
    </w:p>
    <w:p>
      <w:pPr>
        <w:ind w:right="460"/>
        <w:spacing w:after="0" w:line="267" w:lineRule="auto"/>
        <w:rPr>
          <w:sz w:val="20"/>
          <w:szCs w:val="20"/>
          <w:color w:val="auto"/>
        </w:rPr>
      </w:pPr>
      <w:r>
        <w:rPr>
          <w:rFonts w:ascii="Arial" w:cs="Arial" w:eastAsia="Arial" w:hAnsi="Arial"/>
          <w:sz w:val="18"/>
          <w:szCs w:val="18"/>
          <w:i w:val="1"/>
          <w:iCs w:val="1"/>
          <w:color w:val="auto"/>
        </w:rPr>
        <w:t>This release includes certain Non-GAAP Financial Measures that are not recognized under generally accepted accounting principles (“GAAP”). Please see “Non-GAAP Financial Measures” and “Reconciliation of Non-GAAP to GAAP Financial Measures” below for more information.</w:t>
      </w:r>
    </w:p>
    <w:p>
      <w:pPr>
        <w:spacing w:after="0" w:line="65" w:lineRule="exact"/>
        <w:rPr>
          <w:sz w:val="20"/>
          <w:szCs w:val="20"/>
          <w:color w:val="auto"/>
        </w:rPr>
      </w:pPr>
    </w:p>
    <w:p>
      <w:pPr>
        <w:jc w:val="both"/>
        <w:ind w:right="120"/>
        <w:spacing w:after="0" w:line="285" w:lineRule="auto"/>
        <w:rPr>
          <w:sz w:val="20"/>
          <w:szCs w:val="20"/>
          <w:color w:val="auto"/>
        </w:rPr>
      </w:pPr>
      <w:r>
        <w:rPr>
          <w:rFonts w:ascii="Arial" w:cs="Arial" w:eastAsia="Arial" w:hAnsi="Arial"/>
          <w:sz w:val="18"/>
          <w:szCs w:val="18"/>
          <w:i w:val="1"/>
          <w:iCs w:val="1"/>
          <w:color w:val="auto"/>
        </w:rPr>
        <w:t>Results for all periods presented are reported on a continuing operations basis and reflect the results of our former Legacy segment and the substantial majority of AC Lens operations as discontinued operations. Unless otherwise noted, all comparisons are to the prior year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2025 Summary</w:t>
      </w:r>
    </w:p>
    <w:p>
      <w:pPr>
        <w:spacing w:after="0" w:line="50"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 increased 7.7% to $486.4 million, and includes a positive 0.6% impact from the timing of unearned revenue.</w:t>
      </w:r>
    </w:p>
    <w:p>
      <w:pPr>
        <w:spacing w:after="0" w:line="103" w:lineRule="exact"/>
        <w:rPr>
          <w:rFonts w:ascii="Arial" w:cs="Arial" w:eastAsia="Arial" w:hAnsi="Arial"/>
          <w:sz w:val="18"/>
          <w:szCs w:val="18"/>
          <w:color w:val="auto"/>
        </w:rPr>
      </w:pPr>
    </w:p>
    <w:p>
      <w:pPr>
        <w:ind w:left="260" w:right="20" w:hanging="252"/>
        <w:spacing w:after="0" w:line="256"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store sales growth was 6.5% and Adjusted Comparable Store Sales Growth was 5.9%, both reflecting a higher average ticket and continued strength in the managed care cohort, partially offset by a slight decrease in customer traffic.</w:t>
      </w:r>
    </w:p>
    <w:p>
      <w:pPr>
        <w:spacing w:after="0" w:line="57" w:lineRule="exact"/>
        <w:rPr>
          <w:rFonts w:ascii="Arial" w:cs="Arial" w:eastAsia="Arial" w:hAnsi="Arial"/>
          <w:sz w:val="18"/>
          <w:szCs w:val="18"/>
          <w:color w:val="auto"/>
        </w:rPr>
      </w:pPr>
    </w:p>
    <w:p>
      <w:pPr>
        <w:ind w:left="260" w:hanging="252"/>
        <w:spacing w:after="0" w:line="271"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opened eight new America’s Best stores and closed five America’s Best stores, ending the quarter with 1,240 stores. Overall, store count grew 2.0%.</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4" w:name="page5"/>
    <w:bookmarkEnd w:id="4"/>
    <w:p>
      <w:pPr>
        <w:jc w:val="both"/>
        <w:ind w:left="260" w:hanging="252"/>
        <w:spacing w:after="0" w:line="245"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applicable to revenue increased 3.5% to $200.4 million. As a percentage of net revenue, costs applicable to revenue decreased 170 basis points to 41.2%, primarily driven by the successful execution of pricing and product mix initiatives and the leveraging of optometrist-related costs.</w:t>
      </w:r>
    </w:p>
    <w:p>
      <w:pPr>
        <w:spacing w:after="0" w:line="68" w:lineRule="exact"/>
        <w:rPr>
          <w:rFonts w:ascii="Arial" w:cs="Arial" w:eastAsia="Arial" w:hAnsi="Arial"/>
          <w:sz w:val="18"/>
          <w:szCs w:val="18"/>
          <w:color w:val="auto"/>
        </w:rPr>
      </w:pPr>
    </w:p>
    <w:p>
      <w:pPr>
        <w:ind w:left="260" w:right="20" w:hanging="252"/>
        <w:spacing w:after="0" w:line="265"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Selling, general and administrative expenses (SG&amp;A) increased 6.8% to $247.2 million. As a percentage of net revenue, SG&amp;A decreased 40 basis points to 50.8%, driven by lower expenses and fees, partially offset by higher variable incentive compensation expenses related to revenue and profitability growth. Adjusted SG&amp;A increased 8.2% to $240.0 million and represented 49.3% of net revenue, an increase of 20 basis points. The prior year comparison is impacted by fewer adjustments this year compared to the prior year.</w:t>
      </w:r>
    </w:p>
    <w:p>
      <w:pPr>
        <w:ind w:left="260" w:hanging="252"/>
        <w:spacing w:after="0" w:line="256" w:lineRule="auto"/>
        <w:tabs>
          <w:tab w:leader="none" w:pos="255"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Income (loss) from continuing operations increased to $8.7 million, compared to $(1.0) million in the prior-year period. Income (loss) from continuing operations margin improved to 1.8% from (0.2)%.</w:t>
      </w:r>
    </w:p>
    <w:p>
      <w:pPr>
        <w:spacing w:after="0" w:line="57" w:lineRule="exact"/>
        <w:rPr>
          <w:rFonts w:ascii="Arial" w:cs="Arial" w:eastAsia="Arial" w:hAnsi="Arial"/>
          <w:sz w:val="18"/>
          <w:szCs w:val="18"/>
          <w:i w:val="1"/>
          <w:iCs w:val="1"/>
          <w:color w:val="auto"/>
        </w:rPr>
      </w:pPr>
    </w:p>
    <w:p>
      <w:pPr>
        <w:jc w:val="both"/>
        <w:ind w:left="260" w:hanging="252"/>
        <w:spacing w:after="0" w:line="245" w:lineRule="auto"/>
        <w:tabs>
          <w:tab w:leader="none" w:pos="255"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Diluted earnings (loss) per share (EPS) from continuing operations increased to $0.11, compared to $(0.01). Adjusted Diluted EPS increased to $0.18 from $0.15. The net change in margin on unearned revenue benefited both Diluted EPS and Adjusted Diluted EPS by $0.02.</w:t>
      </w:r>
    </w:p>
    <w:p>
      <w:pPr>
        <w:spacing w:after="0" w:line="68" w:lineRule="exact"/>
        <w:rPr>
          <w:rFonts w:ascii="Arial" w:cs="Arial" w:eastAsia="Arial" w:hAnsi="Arial"/>
          <w:sz w:val="18"/>
          <w:szCs w:val="18"/>
          <w:i w:val="1"/>
          <w:iCs w:val="1"/>
          <w:color w:val="auto"/>
        </w:rPr>
      </w:pPr>
    </w:p>
    <w:p>
      <w:pPr>
        <w:jc w:val="both"/>
        <w:ind w:left="260" w:hanging="252"/>
        <w:spacing w:after="0" w:line="245"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Operating Income increased 69.1% to $23.8 million. Adjusted Operating Margin improved to 4.9% from 3.1%. The net change in margin on unearned revenue benefited income (loss) from continuing operations, by $1.4 million and Adjusted Operating Income by $1.9 million.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2025 Summary</w:t>
      </w:r>
    </w:p>
    <w:p>
      <w:pPr>
        <w:spacing w:after="0" w:line="50"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 increased 6.7% to $996.7 million and includes a negative (0.5)% impact from the timing of unearned revenue.</w:t>
      </w:r>
    </w:p>
    <w:p>
      <w:pPr>
        <w:spacing w:after="0" w:line="90" w:lineRule="exact"/>
        <w:rPr>
          <w:rFonts w:ascii="Arial" w:cs="Arial" w:eastAsia="Arial" w:hAnsi="Arial"/>
          <w:sz w:val="18"/>
          <w:szCs w:val="18"/>
          <w:color w:val="auto"/>
        </w:rPr>
      </w:pPr>
    </w:p>
    <w:p>
      <w:pPr>
        <w:ind w:left="260" w:right="520" w:hanging="252"/>
        <w:spacing w:after="0" w:line="271"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Comparable store sales growth was 5.2% and Adjusted Comparable Store Sales Growth was 5.7%, primarily due to higher average ticket, a slight increase in customer traffic and continued strength in the managed care cohort.</w:t>
      </w:r>
    </w:p>
    <w:p>
      <w:pPr>
        <w:spacing w:after="0" w:line="45" w:lineRule="exact"/>
        <w:rPr>
          <w:rFonts w:ascii="Arial" w:cs="Arial" w:eastAsia="Arial" w:hAnsi="Arial"/>
          <w:sz w:val="18"/>
          <w:szCs w:val="18"/>
          <w:color w:val="auto"/>
        </w:rPr>
      </w:pPr>
    </w:p>
    <w:p>
      <w:pPr>
        <w:ind w:left="260" w:right="180" w:hanging="252"/>
        <w:spacing w:after="0" w:line="271"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opened 17 new America’s Best stores, closed nine Fred Meyer stores and closed eight America’s Best stores, ending the period with 1,240 stores. Overall, store count grew 2.0%.</w:t>
      </w:r>
    </w:p>
    <w:p>
      <w:pPr>
        <w:spacing w:after="0" w:line="32" w:lineRule="exact"/>
        <w:rPr>
          <w:rFonts w:ascii="Arial" w:cs="Arial" w:eastAsia="Arial" w:hAnsi="Arial"/>
          <w:sz w:val="18"/>
          <w:szCs w:val="18"/>
          <w:color w:val="auto"/>
        </w:rPr>
      </w:pPr>
    </w:p>
    <w:p>
      <w:pPr>
        <w:jc w:val="both"/>
        <w:ind w:left="260" w:right="100" w:hanging="252"/>
        <w:spacing w:after="0" w:line="253"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applicable to revenue increased 4.2% to $405.6 million. As a percentage of net revenue, costs applicable to revenue decreased 90 basis points to 40.7%, mainly due to the successful execution of pricing and product mix initiatives, partially offset by a slight decrease in product margins of contact lenses.</w:t>
      </w:r>
    </w:p>
    <w:p>
      <w:pPr>
        <w:spacing w:after="0" w:line="60" w:lineRule="exact"/>
        <w:rPr>
          <w:rFonts w:ascii="Arial" w:cs="Arial" w:eastAsia="Arial" w:hAnsi="Arial"/>
          <w:sz w:val="18"/>
          <w:szCs w:val="18"/>
          <w:color w:val="auto"/>
        </w:rPr>
      </w:pPr>
    </w:p>
    <w:p>
      <w:pPr>
        <w:ind w:left="260" w:right="40" w:hanging="252"/>
        <w:spacing w:after="0" w:line="287"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SG&amp;A increased 6.6% to $502.7 million. As a percentage of net revenue, SG&amp;A decreased 10 basis points to 50.4% of revenue. Adjusted SG&amp;A increased 6.4% to $481.0 million and represented 48.3% of net revenue, a decrease of 10 basis points.</w:t>
      </w:r>
    </w:p>
    <w:p>
      <w:pPr>
        <w:spacing w:after="0" w:line="31" w:lineRule="exact"/>
        <w:rPr>
          <w:rFonts w:ascii="Arial" w:cs="Arial" w:eastAsia="Arial" w:hAnsi="Arial"/>
          <w:sz w:val="18"/>
          <w:szCs w:val="18"/>
          <w:color w:val="auto"/>
        </w:rPr>
      </w:pPr>
    </w:p>
    <w:p>
      <w:pPr>
        <w:ind w:left="260" w:right="580" w:hanging="252"/>
        <w:spacing w:after="0" w:line="271"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from continuing operations increased to $22.9 million compared to $10.7 million. Income from continuing operations margin increased to 2.3% compared to 1.1%.</w:t>
      </w:r>
    </w:p>
    <w:p>
      <w:pPr>
        <w:spacing w:after="0" w:line="45" w:lineRule="exact"/>
        <w:rPr>
          <w:rFonts w:ascii="Arial" w:cs="Arial" w:eastAsia="Arial" w:hAnsi="Arial"/>
          <w:sz w:val="18"/>
          <w:szCs w:val="18"/>
          <w:color w:val="auto"/>
        </w:rPr>
      </w:pPr>
    </w:p>
    <w:p>
      <w:pPr>
        <w:ind w:left="260" w:right="380" w:hanging="252"/>
        <w:spacing w:after="0" w:line="285" w:lineRule="auto"/>
        <w:tabs>
          <w:tab w:leader="none" w:pos="255" w:val="left"/>
        </w:tabs>
        <w:numPr>
          <w:ilvl w:val="0"/>
          <w:numId w:val="6"/>
        </w:numPr>
        <w:rPr>
          <w:rFonts w:ascii="Arial" w:cs="Arial" w:eastAsia="Arial" w:hAnsi="Arial"/>
          <w:sz w:val="17"/>
          <w:szCs w:val="17"/>
          <w:i w:val="1"/>
          <w:iCs w:val="1"/>
          <w:color w:val="auto"/>
        </w:rPr>
      </w:pPr>
      <w:r>
        <w:rPr>
          <w:rFonts w:ascii="Arial" w:cs="Arial" w:eastAsia="Arial" w:hAnsi="Arial"/>
          <w:sz w:val="17"/>
          <w:szCs w:val="17"/>
          <w:color w:val="auto"/>
        </w:rPr>
        <w:t>Diluted EPS from continuing operations increased to $0.29 compared to $0.14. Adjusted Diluted EPS increased to $0.52 compared to $0.44. The net change in margin on unearned revenue negatively impacted both Diluted EPS and Adjusted Diluted EPS by $(0.03).</w:t>
      </w:r>
    </w:p>
    <w:p>
      <w:pPr>
        <w:spacing w:after="0" w:line="35" w:lineRule="exact"/>
        <w:rPr>
          <w:rFonts w:ascii="Arial" w:cs="Arial" w:eastAsia="Arial" w:hAnsi="Arial"/>
          <w:sz w:val="17"/>
          <w:szCs w:val="17"/>
          <w:i w:val="1"/>
          <w:iCs w:val="1"/>
          <w:color w:val="auto"/>
        </w:rPr>
      </w:pPr>
    </w:p>
    <w:p>
      <w:pPr>
        <w:jc w:val="both"/>
        <w:ind w:left="260" w:right="140" w:hanging="252"/>
        <w:spacing w:after="0" w:line="245"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Operating Income increased 35.7% to $65.1 million. Adjusted Operating Margin increased to 6.5% compared to 5.1% . The net change in margin on unearned revenue negatively impacted income from continuing operations by $(2.8) million and Adjusted Operating Income by $(3.7) million.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 Highlights as of June 28, 2025</w:t>
      </w:r>
    </w:p>
    <w:p>
      <w:pPr>
        <w:spacing w:after="0" w:line="50" w:lineRule="exact"/>
        <w:rPr>
          <w:sz w:val="20"/>
          <w:szCs w:val="20"/>
          <w:color w:val="auto"/>
        </w:rPr>
      </w:pPr>
    </w:p>
    <w:p>
      <w:pPr>
        <w:ind w:left="260" w:right="420" w:hanging="252"/>
        <w:spacing w:after="0" w:line="245"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May 15, 2025, the Company settled the remaining $84.8 million aggregate principal amount of 2.5% unsecured convertible senior notes due May 15, 2025. The settlement was made with $59.8 million from cash on hand and the remaining borrowed under the Company’s revolving credit facility.</w:t>
      </w:r>
    </w:p>
    <w:p>
      <w:pPr>
        <w:spacing w:after="0" w:line="68" w:lineRule="exact"/>
        <w:rPr>
          <w:rFonts w:ascii="Arial" w:cs="Arial" w:eastAsia="Arial" w:hAnsi="Arial"/>
          <w:sz w:val="18"/>
          <w:szCs w:val="18"/>
          <w:color w:val="auto"/>
        </w:rPr>
      </w:pPr>
    </w:p>
    <w:p>
      <w:pPr>
        <w:ind w:left="260" w:right="540" w:hanging="252"/>
        <w:spacing w:after="0" w:line="256"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National Vision’s cash balance was $48.5 million as of June 28, 2025. The Company has $15.0 million outstanding under its $300.0 million first lien revolving credit facility, exclusive of letters of credit of $6.4 million.</w:t>
      </w:r>
    </w:p>
    <w:p>
      <w:pPr>
        <w:spacing w:after="0" w:line="57" w:lineRule="exact"/>
        <w:rPr>
          <w:rFonts w:ascii="Arial" w:cs="Arial" w:eastAsia="Arial" w:hAnsi="Arial"/>
          <w:sz w:val="18"/>
          <w:szCs w:val="18"/>
          <w:color w:val="auto"/>
        </w:rPr>
      </w:pPr>
    </w:p>
    <w:p>
      <w:pPr>
        <w:ind w:left="260" w:right="660" w:hanging="252"/>
        <w:spacing w:after="0" w:line="27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debt was $272.4 million as of June 28, 2025, consisting of outstanding first lien term loans, revolving loans and finance lease obligations, net of unamortized discounts.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2025 Outlook</w:t>
      </w:r>
    </w:p>
    <w:p>
      <w:pPr>
        <w:spacing w:after="0" w:line="27"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The Company is raising certain elements of its fiscal 2025 outlook for the 53 weeks ending January 3, 2026, as set forth below. The Company estimates the 53rd week of fiscal 2025 will contribute approximately $35 million to net revenue, and approximately $3 million to Adjusted Operating Income.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09"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13"/>
        </w:trPr>
        <w:tc>
          <w:tcPr>
            <w:tcW w:w="4380" w:type="dxa"/>
            <w:vAlign w:val="bottom"/>
            <w:tcBorders>
              <w:top w:val="single" w:sz="8" w:color="BFBFBF"/>
              <w:left w:val="single" w:sz="8" w:color="BFBFBF"/>
              <w:right w:val="single" w:sz="8" w:color="BFBFBF"/>
            </w:tcBorders>
          </w:tcPr>
          <w:p>
            <w:pPr>
              <w:spacing w:after="0"/>
              <w:rPr>
                <w:sz w:val="18"/>
                <w:szCs w:val="18"/>
                <w:color w:val="auto"/>
              </w:rPr>
            </w:pPr>
          </w:p>
        </w:tc>
        <w:tc>
          <w:tcPr>
            <w:tcW w:w="3440" w:type="dxa"/>
            <w:vAlign w:val="bottom"/>
            <w:tcBorders>
              <w:top w:val="single" w:sz="8" w:color="BFBFBF"/>
              <w:right w:val="single" w:sz="8" w:color="BFBFBF"/>
            </w:tcBorders>
            <w:gridSpan w:val="2"/>
          </w:tcPr>
          <w:p>
            <w:pPr>
              <w:jc w:val="right"/>
              <w:ind w:right="570"/>
              <w:spacing w:after="0"/>
              <w:rPr>
                <w:sz w:val="20"/>
                <w:szCs w:val="20"/>
                <w:color w:val="auto"/>
              </w:rPr>
            </w:pPr>
            <w:r>
              <w:rPr>
                <w:rFonts w:ascii="Arial" w:cs="Arial" w:eastAsia="Arial" w:hAnsi="Arial"/>
                <w:sz w:val="18"/>
                <w:szCs w:val="18"/>
                <w:b w:val="1"/>
                <w:bCs w:val="1"/>
                <w:color w:val="auto"/>
              </w:rPr>
              <w:t>Prior Fiscal 2025 Outlook</w:t>
            </w:r>
          </w:p>
        </w:tc>
        <w:tc>
          <w:tcPr>
            <w:tcW w:w="3440" w:type="dxa"/>
            <w:vAlign w:val="bottom"/>
            <w:tcBorders>
              <w:top w:val="single" w:sz="8" w:color="BFBFBF"/>
              <w:right w:val="single" w:sz="8" w:color="BFBFBF"/>
            </w:tcBorders>
            <w:gridSpan w:val="2"/>
          </w:tcPr>
          <w:p>
            <w:pPr>
              <w:jc w:val="right"/>
              <w:ind w:right="410"/>
              <w:spacing w:after="0"/>
              <w:rPr>
                <w:sz w:val="20"/>
                <w:szCs w:val="20"/>
                <w:color w:val="auto"/>
              </w:rPr>
            </w:pPr>
            <w:r>
              <w:rPr>
                <w:rFonts w:ascii="Arial" w:cs="Arial" w:eastAsia="Arial" w:hAnsi="Arial"/>
                <w:sz w:val="18"/>
                <w:szCs w:val="18"/>
                <w:b w:val="1"/>
                <w:bCs w:val="1"/>
                <w:color w:val="auto"/>
              </w:rPr>
              <w:t>Updated Fiscal 2025 Outlook</w:t>
            </w:r>
          </w:p>
        </w:tc>
      </w:tr>
      <w:tr>
        <w:trPr>
          <w:trHeight w:val="237"/>
        </w:trPr>
        <w:tc>
          <w:tcPr>
            <w:tcW w:w="4380" w:type="dxa"/>
            <w:vAlign w:val="bottom"/>
            <w:tcBorders>
              <w:left w:val="single" w:sz="8" w:color="BFBFBF"/>
              <w:right w:val="single" w:sz="8" w:color="BFBFBF"/>
            </w:tcBorders>
          </w:tcPr>
          <w:p>
            <w:pPr>
              <w:spacing w:after="0"/>
              <w:rPr>
                <w:sz w:val="20"/>
                <w:szCs w:val="20"/>
                <w:color w:val="auto"/>
              </w:rPr>
            </w:pPr>
          </w:p>
        </w:tc>
        <w:tc>
          <w:tcPr>
            <w:tcW w:w="3440" w:type="dxa"/>
            <w:vAlign w:val="bottom"/>
            <w:tcBorders>
              <w:right w:val="single" w:sz="8" w:color="BFBFBF"/>
            </w:tcBorders>
            <w:gridSpan w:val="2"/>
          </w:tcPr>
          <w:p>
            <w:pPr>
              <w:jc w:val="right"/>
              <w:ind w:right="870"/>
              <w:spacing w:after="0"/>
              <w:rPr>
                <w:sz w:val="20"/>
                <w:szCs w:val="20"/>
                <w:color w:val="auto"/>
              </w:rPr>
            </w:pPr>
            <w:r>
              <w:rPr>
                <w:rFonts w:ascii="Arial" w:cs="Arial" w:eastAsia="Arial" w:hAnsi="Arial"/>
                <w:sz w:val="18"/>
                <w:szCs w:val="18"/>
                <w:i w:val="1"/>
                <w:iCs w:val="1"/>
                <w:color w:val="auto"/>
              </w:rPr>
              <w:t>(As of May 7, 2025)</w:t>
            </w:r>
          </w:p>
        </w:tc>
        <w:tc>
          <w:tcPr>
            <w:tcW w:w="3440" w:type="dxa"/>
            <w:vAlign w:val="bottom"/>
            <w:tcBorders>
              <w:right w:val="single" w:sz="8" w:color="BFBFBF"/>
            </w:tcBorders>
            <w:gridSpan w:val="2"/>
          </w:tcPr>
          <w:p>
            <w:pPr>
              <w:jc w:val="right"/>
              <w:ind w:right="750"/>
              <w:spacing w:after="0"/>
              <w:rPr>
                <w:sz w:val="20"/>
                <w:szCs w:val="20"/>
                <w:color w:val="auto"/>
              </w:rPr>
            </w:pPr>
            <w:r>
              <w:rPr>
                <w:rFonts w:ascii="Arial" w:cs="Arial" w:eastAsia="Arial" w:hAnsi="Arial"/>
                <w:sz w:val="18"/>
                <w:szCs w:val="18"/>
                <w:i w:val="1"/>
                <w:iCs w:val="1"/>
                <w:color w:val="auto"/>
              </w:rPr>
              <w:t>(As of August 6, 2025)</w:t>
            </w:r>
          </w:p>
        </w:tc>
      </w:tr>
      <w:tr>
        <w:trPr>
          <w:trHeight w:val="23"/>
        </w:trPr>
        <w:tc>
          <w:tcPr>
            <w:tcW w:w="4380" w:type="dxa"/>
            <w:vAlign w:val="bottom"/>
            <w:tcBorders>
              <w:left w:val="single" w:sz="8" w:color="BFBFBF"/>
              <w:bottom w:val="single" w:sz="8" w:color="BFBFBF"/>
              <w:right w:val="single" w:sz="8" w:color="BFBFBF"/>
            </w:tcBorders>
          </w:tcPr>
          <w:p>
            <w:pPr>
              <w:spacing w:after="0"/>
              <w:rPr>
                <w:sz w:val="2"/>
                <w:szCs w:val="2"/>
                <w:color w:val="auto"/>
              </w:rPr>
            </w:pPr>
          </w:p>
        </w:tc>
        <w:tc>
          <w:tcPr>
            <w:tcW w:w="3440" w:type="dxa"/>
            <w:vAlign w:val="bottom"/>
            <w:tcBorders>
              <w:bottom w:val="single" w:sz="8" w:color="BFBFBF"/>
              <w:right w:val="single" w:sz="8" w:color="BFBFBF"/>
            </w:tcBorders>
            <w:gridSpan w:val="2"/>
          </w:tcPr>
          <w:p>
            <w:pPr>
              <w:spacing w:after="0"/>
              <w:rPr>
                <w:sz w:val="2"/>
                <w:szCs w:val="2"/>
                <w:color w:val="auto"/>
              </w:rPr>
            </w:pPr>
          </w:p>
        </w:tc>
        <w:tc>
          <w:tcPr>
            <w:tcW w:w="3440" w:type="dxa"/>
            <w:vAlign w:val="bottom"/>
            <w:tcBorders>
              <w:bottom w:val="single" w:sz="8" w:color="BFBFBF"/>
              <w:right w:val="single" w:sz="8" w:color="BFBFBF"/>
            </w:tcBorders>
            <w:gridSpan w:val="2"/>
          </w:tcPr>
          <w:p>
            <w:pPr>
              <w:spacing w:after="0"/>
              <w:rPr>
                <w:sz w:val="2"/>
                <w:szCs w:val="2"/>
                <w:color w:val="auto"/>
              </w:rPr>
            </w:pPr>
          </w:p>
        </w:tc>
      </w:tr>
      <w:tr>
        <w:trPr>
          <w:trHeight w:val="243"/>
        </w:trPr>
        <w:tc>
          <w:tcPr>
            <w:tcW w:w="438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8"/>
                <w:szCs w:val="18"/>
                <w:color w:val="auto"/>
              </w:rPr>
              <w:t>New Stores</w:t>
            </w:r>
          </w:p>
        </w:tc>
        <w:tc>
          <w:tcPr>
            <w:tcW w:w="3440" w:type="dxa"/>
            <w:vAlign w:val="bottom"/>
            <w:tcBorders>
              <w:bottom w:val="single" w:sz="8" w:color="BFBFBF"/>
              <w:right w:val="single" w:sz="8" w:color="BFBFBF"/>
            </w:tcBorders>
            <w:gridSpan w:val="2"/>
            <w:shd w:val="clear" w:color="auto" w:fill="CCEEFF"/>
          </w:tcPr>
          <w:p>
            <w:pPr>
              <w:jc w:val="right"/>
              <w:ind w:right="1410"/>
              <w:spacing w:after="0"/>
              <w:rPr>
                <w:sz w:val="20"/>
                <w:szCs w:val="20"/>
                <w:color w:val="auto"/>
              </w:rPr>
            </w:pPr>
            <w:r>
              <w:rPr>
                <w:rFonts w:ascii="Arial" w:cs="Arial" w:eastAsia="Arial" w:hAnsi="Arial"/>
                <w:sz w:val="18"/>
                <w:szCs w:val="18"/>
                <w:color w:val="auto"/>
              </w:rPr>
              <w:t>30-35</w:t>
            </w:r>
          </w:p>
        </w:tc>
        <w:tc>
          <w:tcPr>
            <w:tcW w:w="3440" w:type="dxa"/>
            <w:vAlign w:val="bottom"/>
            <w:tcBorders>
              <w:bottom w:val="single" w:sz="8" w:color="BFBFBF"/>
              <w:right w:val="single" w:sz="8" w:color="BFBFBF"/>
            </w:tcBorders>
            <w:gridSpan w:val="2"/>
            <w:shd w:val="clear" w:color="auto" w:fill="CCEEFF"/>
          </w:tcPr>
          <w:p>
            <w:pPr>
              <w:jc w:val="right"/>
              <w:ind w:right="1490"/>
              <w:spacing w:after="0"/>
              <w:rPr>
                <w:sz w:val="20"/>
                <w:szCs w:val="20"/>
                <w:color w:val="auto"/>
              </w:rPr>
            </w:pPr>
            <w:r>
              <w:rPr>
                <w:rFonts w:ascii="Arial" w:cs="Arial" w:eastAsia="Arial" w:hAnsi="Arial"/>
                <w:sz w:val="18"/>
                <w:szCs w:val="18"/>
                <w:color w:val="auto"/>
              </w:rPr>
              <w:t>~32</w:t>
            </w:r>
          </w:p>
        </w:tc>
      </w:tr>
      <w:tr>
        <w:trPr>
          <w:trHeight w:val="257"/>
        </w:trPr>
        <w:tc>
          <w:tcPr>
            <w:tcW w:w="4380" w:type="dxa"/>
            <w:vAlign w:val="bottom"/>
            <w:tcBorders>
              <w:left w:val="single" w:sz="8" w:color="BFBFBF"/>
              <w:bottom w:val="single" w:sz="8" w:color="BFBFBF"/>
              <w:right w:val="single" w:sz="8" w:color="BFBFBF"/>
            </w:tcBorders>
          </w:tcPr>
          <w:p>
            <w:pPr>
              <w:ind w:left="40"/>
              <w:spacing w:after="0" w:line="256" w:lineRule="exact"/>
              <w:rPr>
                <w:sz w:val="20"/>
                <w:szCs w:val="20"/>
                <w:color w:val="auto"/>
              </w:rPr>
            </w:pPr>
            <w:r>
              <w:rPr>
                <w:rFonts w:ascii="Arial" w:cs="Arial" w:eastAsia="Arial" w:hAnsi="Arial"/>
                <w:sz w:val="18"/>
                <w:szCs w:val="18"/>
                <w:color w:val="auto"/>
              </w:rPr>
              <w:t>Adjusted Comparable Store Sales Growth</w:t>
            </w:r>
            <w:r>
              <w:rPr>
                <w:rFonts w:ascii="Arial" w:cs="Arial" w:eastAsia="Arial" w:hAnsi="Arial"/>
                <w:sz w:val="23"/>
                <w:szCs w:val="23"/>
                <w:color w:val="auto"/>
                <w:vertAlign w:val="superscript"/>
              </w:rPr>
              <w:t>(1)(2)</w:t>
            </w:r>
          </w:p>
        </w:tc>
        <w:tc>
          <w:tcPr>
            <w:tcW w:w="1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1.5%</w:t>
            </w:r>
          </w:p>
        </w:tc>
        <w:tc>
          <w:tcPr>
            <w:tcW w:w="1800" w:type="dxa"/>
            <w:vAlign w:val="bottom"/>
            <w:tcBorders>
              <w:bottom w:val="single" w:sz="8" w:color="BFBFBF"/>
              <w:right w:val="single" w:sz="8" w:color="BFBFBF"/>
            </w:tcBorders>
          </w:tcPr>
          <w:p>
            <w:pPr>
              <w:ind w:left="40"/>
              <w:spacing w:after="0"/>
              <w:rPr>
                <w:sz w:val="20"/>
                <w:szCs w:val="20"/>
                <w:color w:val="auto"/>
              </w:rPr>
            </w:pPr>
            <w:r>
              <w:rPr>
                <w:rFonts w:ascii="Arial" w:cs="Arial" w:eastAsia="Arial" w:hAnsi="Arial"/>
                <w:sz w:val="18"/>
                <w:szCs w:val="18"/>
                <w:color w:val="auto"/>
              </w:rPr>
              <w:t>- 3.5%</w:t>
            </w:r>
          </w:p>
        </w:tc>
        <w:tc>
          <w:tcPr>
            <w:tcW w:w="16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3.0%</w:t>
            </w:r>
          </w:p>
        </w:tc>
        <w:tc>
          <w:tcPr>
            <w:tcW w:w="17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- 5.0%</w:t>
            </w:r>
          </w:p>
        </w:tc>
      </w:tr>
      <w:tr>
        <w:trPr>
          <w:trHeight w:val="243"/>
        </w:trPr>
        <w:tc>
          <w:tcPr>
            <w:tcW w:w="438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1640" w:type="dxa"/>
            <w:vAlign w:val="bottom"/>
            <w:tcBorders>
              <w:bottom w:val="single" w:sz="8" w:color="BFBFBF"/>
            </w:tcBorders>
            <w:shd w:val="clear" w:color="auto" w:fill="CCEEFF"/>
          </w:tcPr>
          <w:p>
            <w:pPr>
              <w:jc w:val="right"/>
              <w:spacing w:after="0"/>
              <w:rPr>
                <w:sz w:val="20"/>
                <w:szCs w:val="20"/>
                <w:color w:val="auto"/>
              </w:rPr>
            </w:pPr>
            <w:r>
              <w:rPr>
                <w:rFonts w:ascii="Arial" w:cs="Arial" w:eastAsia="Arial" w:hAnsi="Arial"/>
                <w:sz w:val="18"/>
                <w:szCs w:val="18"/>
                <w:color w:val="auto"/>
              </w:rPr>
              <w:t>$1.919 billion</w:t>
            </w:r>
          </w:p>
        </w:tc>
        <w:tc>
          <w:tcPr>
            <w:tcW w:w="1800" w:type="dxa"/>
            <w:vAlign w:val="bottom"/>
            <w:tcBorders>
              <w:bottom w:val="single" w:sz="8" w:color="BFBFBF"/>
              <w:right w:val="single" w:sz="8" w:color="BFBFBF"/>
            </w:tcBorders>
            <w:shd w:val="clear" w:color="auto" w:fill="CCEEFF"/>
          </w:tcPr>
          <w:p>
            <w:pPr>
              <w:jc w:val="right"/>
              <w:ind w:right="510"/>
              <w:spacing w:after="0"/>
              <w:rPr>
                <w:sz w:val="20"/>
                <w:szCs w:val="20"/>
                <w:color w:val="auto"/>
              </w:rPr>
            </w:pPr>
            <w:r>
              <w:rPr>
                <w:rFonts w:ascii="Arial" w:cs="Arial" w:eastAsia="Arial" w:hAnsi="Arial"/>
                <w:sz w:val="18"/>
                <w:szCs w:val="18"/>
                <w:color w:val="auto"/>
              </w:rPr>
              <w:t>- $1.955 billion</w:t>
            </w:r>
          </w:p>
        </w:tc>
        <w:tc>
          <w:tcPr>
            <w:tcW w:w="1660" w:type="dxa"/>
            <w:vAlign w:val="bottom"/>
            <w:tcBorders>
              <w:bottom w:val="single" w:sz="8" w:color="BFBFBF"/>
            </w:tcBorders>
            <w:shd w:val="clear" w:color="auto" w:fill="CCEEFF"/>
          </w:tcPr>
          <w:p>
            <w:pPr>
              <w:jc w:val="right"/>
              <w:spacing w:after="0"/>
              <w:rPr>
                <w:sz w:val="20"/>
                <w:szCs w:val="20"/>
                <w:color w:val="auto"/>
              </w:rPr>
            </w:pPr>
            <w:r>
              <w:rPr>
                <w:rFonts w:ascii="Arial" w:cs="Arial" w:eastAsia="Arial" w:hAnsi="Arial"/>
                <w:sz w:val="18"/>
                <w:szCs w:val="18"/>
                <w:color w:val="auto"/>
              </w:rPr>
              <w:t>$1.934 billion</w:t>
            </w:r>
          </w:p>
        </w:tc>
        <w:tc>
          <w:tcPr>
            <w:tcW w:w="1780" w:type="dxa"/>
            <w:vAlign w:val="bottom"/>
            <w:tcBorders>
              <w:bottom w:val="single" w:sz="8" w:color="BFBFBF"/>
              <w:right w:val="single" w:sz="8" w:color="BFBFB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 $1.970 billion</w:t>
            </w:r>
          </w:p>
        </w:tc>
      </w:tr>
      <w:tr>
        <w:trPr>
          <w:trHeight w:val="257"/>
        </w:trPr>
        <w:tc>
          <w:tcPr>
            <w:tcW w:w="4380" w:type="dxa"/>
            <w:vAlign w:val="bottom"/>
            <w:tcBorders>
              <w:left w:val="single" w:sz="8" w:color="BFBFBF"/>
              <w:bottom w:val="single" w:sz="8" w:color="BFBFBF"/>
              <w:right w:val="single" w:sz="8" w:color="BFBFBF"/>
            </w:tcBorders>
          </w:tcPr>
          <w:p>
            <w:pPr>
              <w:ind w:left="40"/>
              <w:spacing w:after="0" w:line="256" w:lineRule="exact"/>
              <w:rPr>
                <w:sz w:val="20"/>
                <w:szCs w:val="20"/>
                <w:color w:val="auto"/>
              </w:rPr>
            </w:pPr>
            <w:r>
              <w:rPr>
                <w:rFonts w:ascii="Arial" w:cs="Arial" w:eastAsia="Arial" w:hAnsi="Arial"/>
                <w:sz w:val="18"/>
                <w:szCs w:val="18"/>
                <w:color w:val="auto"/>
              </w:rPr>
              <w:t>Adjusted Operating Income</w:t>
            </w:r>
            <w:r>
              <w:rPr>
                <w:rFonts w:ascii="Arial" w:cs="Arial" w:eastAsia="Arial" w:hAnsi="Arial"/>
                <w:sz w:val="23"/>
                <w:szCs w:val="23"/>
                <w:color w:val="auto"/>
                <w:vertAlign w:val="superscript"/>
              </w:rPr>
              <w:t>(2)</w:t>
            </w:r>
          </w:p>
        </w:tc>
        <w:tc>
          <w:tcPr>
            <w:tcW w:w="1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$81 million</w:t>
            </w:r>
          </w:p>
        </w:tc>
        <w:tc>
          <w:tcPr>
            <w:tcW w:w="1800" w:type="dxa"/>
            <w:vAlign w:val="bottom"/>
            <w:tcBorders>
              <w:bottom w:val="single" w:sz="8" w:color="BFBFBF"/>
              <w:right w:val="single" w:sz="8" w:color="BFBFBF"/>
            </w:tcBorders>
          </w:tcPr>
          <w:p>
            <w:pPr>
              <w:jc w:val="right"/>
              <w:ind w:right="710"/>
              <w:spacing w:after="0"/>
              <w:rPr>
                <w:sz w:val="20"/>
                <w:szCs w:val="20"/>
                <w:color w:val="auto"/>
              </w:rPr>
            </w:pPr>
            <w:r>
              <w:rPr>
                <w:rFonts w:ascii="Arial" w:cs="Arial" w:eastAsia="Arial" w:hAnsi="Arial"/>
                <w:sz w:val="18"/>
                <w:szCs w:val="18"/>
                <w:color w:val="auto"/>
              </w:rPr>
              <w:t>- $92 million</w:t>
            </w:r>
          </w:p>
        </w:tc>
        <w:tc>
          <w:tcPr>
            <w:tcW w:w="16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$85 million</w:t>
            </w:r>
          </w:p>
        </w:tc>
        <w:tc>
          <w:tcPr>
            <w:tcW w:w="1780" w:type="dxa"/>
            <w:vAlign w:val="bottom"/>
            <w:tcBorders>
              <w:bottom w:val="single" w:sz="8" w:color="BFBFBF"/>
              <w:right w:val="single" w:sz="8" w:color="BFBFBF"/>
            </w:tcBorders>
          </w:tcPr>
          <w:p>
            <w:pPr>
              <w:jc w:val="right"/>
              <w:ind w:right="710"/>
              <w:spacing w:after="0"/>
              <w:rPr>
                <w:sz w:val="20"/>
                <w:szCs w:val="20"/>
                <w:color w:val="auto"/>
              </w:rPr>
            </w:pPr>
            <w:r>
              <w:rPr>
                <w:rFonts w:ascii="Arial" w:cs="Arial" w:eastAsia="Arial" w:hAnsi="Arial"/>
                <w:sz w:val="18"/>
                <w:szCs w:val="18"/>
                <w:color w:val="auto"/>
                <w:w w:val="98"/>
              </w:rPr>
              <w:t>- $95 million</w:t>
            </w:r>
          </w:p>
        </w:tc>
      </w:tr>
      <w:tr>
        <w:trPr>
          <w:trHeight w:val="250"/>
        </w:trPr>
        <w:tc>
          <w:tcPr>
            <w:tcW w:w="4380" w:type="dxa"/>
            <w:vAlign w:val="bottom"/>
            <w:tcBorders>
              <w:left w:val="single" w:sz="8" w:color="BFBFBF"/>
              <w:bottom w:val="single" w:sz="8" w:color="BFBFBF"/>
              <w:right w:val="single" w:sz="8" w:color="BFBFBF"/>
            </w:tcBorders>
            <w:shd w:val="clear" w:color="auto" w:fill="CCEEFF"/>
          </w:tcPr>
          <w:p>
            <w:pPr>
              <w:ind w:left="40"/>
              <w:spacing w:after="0" w:line="250"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3"/>
                <w:szCs w:val="23"/>
                <w:color w:val="auto"/>
                <w:vertAlign w:val="superscript"/>
              </w:rPr>
              <w:t>(2)(3)</w:t>
            </w:r>
          </w:p>
        </w:tc>
        <w:tc>
          <w:tcPr>
            <w:tcW w:w="1640" w:type="dxa"/>
            <w:vAlign w:val="bottom"/>
            <w:tcBorders>
              <w:bottom w:val="single" w:sz="8" w:color="BFBFBF"/>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800" w:type="dxa"/>
            <w:vAlign w:val="bottom"/>
            <w:tcBorders>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8"/>
                <w:szCs w:val="18"/>
                <w:color w:val="auto"/>
              </w:rPr>
              <w:t>- $0.67</w:t>
            </w:r>
          </w:p>
        </w:tc>
        <w:tc>
          <w:tcPr>
            <w:tcW w:w="1660" w:type="dxa"/>
            <w:vAlign w:val="bottom"/>
            <w:tcBorders>
              <w:bottom w:val="single" w:sz="8" w:color="BFBFBF"/>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7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 $0.70</w:t>
            </w:r>
          </w:p>
        </w:tc>
      </w:tr>
      <w:tr>
        <w:trPr>
          <w:trHeight w:val="250"/>
        </w:trPr>
        <w:tc>
          <w:tcPr>
            <w:tcW w:w="4380" w:type="dxa"/>
            <w:vAlign w:val="bottom"/>
            <w:tcBorders>
              <w:left w:val="single" w:sz="8" w:color="BFBFBF"/>
              <w:bottom w:val="single" w:sz="8" w:color="BFBFBF"/>
              <w:right w:val="single" w:sz="8" w:color="BFBFBF"/>
            </w:tcBorders>
          </w:tcPr>
          <w:p>
            <w:pPr>
              <w:ind w:left="40"/>
              <w:spacing w:after="0" w:line="25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(4)</w:t>
            </w:r>
          </w:p>
        </w:tc>
        <w:tc>
          <w:tcPr>
            <w:tcW w:w="1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$93 million</w:t>
            </w:r>
          </w:p>
        </w:tc>
        <w:tc>
          <w:tcPr>
            <w:tcW w:w="1800" w:type="dxa"/>
            <w:vAlign w:val="bottom"/>
            <w:tcBorders>
              <w:bottom w:val="single" w:sz="8" w:color="BFBFBF"/>
              <w:right w:val="single" w:sz="8" w:color="BFBFBF"/>
            </w:tcBorders>
          </w:tcPr>
          <w:p>
            <w:pPr>
              <w:jc w:val="right"/>
              <w:ind w:right="710"/>
              <w:spacing w:after="0"/>
              <w:rPr>
                <w:sz w:val="20"/>
                <w:szCs w:val="20"/>
                <w:color w:val="auto"/>
              </w:rPr>
            </w:pPr>
            <w:r>
              <w:rPr>
                <w:rFonts w:ascii="Arial" w:cs="Arial" w:eastAsia="Arial" w:hAnsi="Arial"/>
                <w:sz w:val="18"/>
                <w:szCs w:val="18"/>
                <w:color w:val="auto"/>
              </w:rPr>
              <w:t>- $96 million</w:t>
            </w:r>
          </w:p>
        </w:tc>
        <w:tc>
          <w:tcPr>
            <w:tcW w:w="16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$93 million</w:t>
            </w:r>
          </w:p>
        </w:tc>
        <w:tc>
          <w:tcPr>
            <w:tcW w:w="1780" w:type="dxa"/>
            <w:vAlign w:val="bottom"/>
            <w:tcBorders>
              <w:bottom w:val="single" w:sz="8" w:color="BFBFBF"/>
              <w:right w:val="single" w:sz="8" w:color="BFBFBF"/>
            </w:tcBorders>
          </w:tcPr>
          <w:p>
            <w:pPr>
              <w:jc w:val="right"/>
              <w:ind w:right="710"/>
              <w:spacing w:after="0"/>
              <w:rPr>
                <w:sz w:val="20"/>
                <w:szCs w:val="20"/>
                <w:color w:val="auto"/>
              </w:rPr>
            </w:pPr>
            <w:r>
              <w:rPr>
                <w:rFonts w:ascii="Arial" w:cs="Arial" w:eastAsia="Arial" w:hAnsi="Arial"/>
                <w:sz w:val="18"/>
                <w:szCs w:val="18"/>
                <w:color w:val="auto"/>
                <w:w w:val="98"/>
              </w:rPr>
              <w:t>- $96 million</w:t>
            </w:r>
          </w:p>
        </w:tc>
      </w:tr>
      <w:tr>
        <w:trPr>
          <w:trHeight w:val="250"/>
        </w:trPr>
        <w:tc>
          <w:tcPr>
            <w:tcW w:w="4380" w:type="dxa"/>
            <w:vAlign w:val="bottom"/>
            <w:tcBorders>
              <w:left w:val="single" w:sz="8" w:color="BFBFBF"/>
              <w:bottom w:val="single" w:sz="8" w:color="BFBFBF"/>
              <w:right w:val="single" w:sz="8" w:color="BFBFBF"/>
            </w:tcBorders>
            <w:shd w:val="clear" w:color="auto" w:fill="CCEEFF"/>
          </w:tcPr>
          <w:p>
            <w:pPr>
              <w:ind w:left="40"/>
              <w:spacing w:after="0" w:line="250" w:lineRule="exact"/>
              <w:rPr>
                <w:sz w:val="20"/>
                <w:szCs w:val="20"/>
                <w:color w:val="auto"/>
              </w:rPr>
            </w:pPr>
            <w:r>
              <w:rPr>
                <w:rFonts w:ascii="Arial" w:cs="Arial" w:eastAsia="Arial" w:hAnsi="Arial"/>
                <w:sz w:val="18"/>
                <w:szCs w:val="18"/>
                <w:color w:val="auto"/>
              </w:rPr>
              <w:t>Interest</w:t>
            </w:r>
            <w:r>
              <w:rPr>
                <w:rFonts w:ascii="Arial" w:cs="Arial" w:eastAsia="Arial" w:hAnsi="Arial"/>
                <w:sz w:val="23"/>
                <w:szCs w:val="23"/>
                <w:color w:val="auto"/>
                <w:vertAlign w:val="superscript"/>
              </w:rPr>
              <w:t>(5)</w:t>
            </w:r>
          </w:p>
        </w:tc>
        <w:tc>
          <w:tcPr>
            <w:tcW w:w="3440" w:type="dxa"/>
            <w:vAlign w:val="bottom"/>
            <w:tcBorders>
              <w:bottom w:val="single" w:sz="8" w:color="BFBFBF"/>
              <w:right w:val="single" w:sz="8" w:color="BFBFBF"/>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$17 million - $19 million</w:t>
            </w:r>
          </w:p>
        </w:tc>
        <w:tc>
          <w:tcPr>
            <w:tcW w:w="3440" w:type="dxa"/>
            <w:vAlign w:val="bottom"/>
            <w:tcBorders>
              <w:bottom w:val="single" w:sz="8" w:color="BFBFBF"/>
              <w:right w:val="single" w:sz="8" w:color="BFBFBF"/>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$17 million - $19 million</w:t>
            </w:r>
          </w:p>
        </w:tc>
      </w:tr>
      <w:tr>
        <w:trPr>
          <w:trHeight w:val="250"/>
        </w:trPr>
        <w:tc>
          <w:tcPr>
            <w:tcW w:w="4380" w:type="dxa"/>
            <w:vAlign w:val="bottom"/>
            <w:tcBorders>
              <w:left w:val="single" w:sz="8" w:color="BFBFBF"/>
              <w:bottom w:val="single" w:sz="8" w:color="BFBFBF"/>
              <w:right w:val="single" w:sz="8" w:color="BFBFBF"/>
            </w:tcBorders>
          </w:tcPr>
          <w:p>
            <w:pPr>
              <w:ind w:left="40"/>
              <w:spacing w:after="0" w:line="250" w:lineRule="exact"/>
              <w:rPr>
                <w:sz w:val="20"/>
                <w:szCs w:val="20"/>
                <w:color w:val="auto"/>
              </w:rPr>
            </w:pPr>
            <w:r>
              <w:rPr>
                <w:rFonts w:ascii="Arial" w:cs="Arial" w:eastAsia="Arial" w:hAnsi="Arial"/>
                <w:sz w:val="18"/>
                <w:szCs w:val="18"/>
                <w:color w:val="auto"/>
              </w:rPr>
              <w:t>Tax Rate</w:t>
            </w:r>
            <w:r>
              <w:rPr>
                <w:rFonts w:ascii="Arial" w:cs="Arial" w:eastAsia="Arial" w:hAnsi="Arial"/>
                <w:sz w:val="23"/>
                <w:szCs w:val="23"/>
                <w:color w:val="auto"/>
                <w:vertAlign w:val="superscript"/>
              </w:rPr>
              <w:t>(6)</w:t>
            </w:r>
          </w:p>
        </w:tc>
        <w:tc>
          <w:tcPr>
            <w:tcW w:w="3440" w:type="dxa"/>
            <w:vAlign w:val="bottom"/>
            <w:tcBorders>
              <w:bottom w:val="single" w:sz="8" w:color="BFBFBF"/>
              <w:right w:val="single" w:sz="8" w:color="BFBFBF"/>
            </w:tcBorders>
            <w:gridSpan w:val="2"/>
          </w:tcPr>
          <w:p>
            <w:pPr>
              <w:jc w:val="right"/>
              <w:ind w:right="1470"/>
              <w:spacing w:after="0"/>
              <w:rPr>
                <w:sz w:val="20"/>
                <w:szCs w:val="20"/>
                <w:color w:val="auto"/>
              </w:rPr>
            </w:pPr>
            <w:r>
              <w:rPr>
                <w:rFonts w:ascii="Arial" w:cs="Arial" w:eastAsia="Arial" w:hAnsi="Arial"/>
                <w:sz w:val="18"/>
                <w:szCs w:val="18"/>
                <w:color w:val="auto"/>
              </w:rPr>
              <w:t>27%</w:t>
            </w:r>
          </w:p>
        </w:tc>
        <w:tc>
          <w:tcPr>
            <w:tcW w:w="3440" w:type="dxa"/>
            <w:vAlign w:val="bottom"/>
            <w:tcBorders>
              <w:bottom w:val="single" w:sz="8" w:color="BFBFBF"/>
              <w:right w:val="single" w:sz="8" w:color="BFBFBF"/>
            </w:tcBorders>
            <w:gridSpan w:val="2"/>
          </w:tcPr>
          <w:p>
            <w:pPr>
              <w:jc w:val="right"/>
              <w:ind w:right="1470"/>
              <w:spacing w:after="0"/>
              <w:rPr>
                <w:sz w:val="20"/>
                <w:szCs w:val="20"/>
                <w:color w:val="auto"/>
              </w:rPr>
            </w:pPr>
            <w:r>
              <w:rPr>
                <w:rFonts w:ascii="Arial" w:cs="Arial" w:eastAsia="Arial" w:hAnsi="Arial"/>
                <w:sz w:val="18"/>
                <w:szCs w:val="18"/>
                <w:color w:val="auto"/>
              </w:rPr>
              <w:t>27%</w:t>
            </w:r>
          </w:p>
        </w:tc>
      </w:tr>
      <w:tr>
        <w:trPr>
          <w:trHeight w:val="243"/>
        </w:trPr>
        <w:tc>
          <w:tcPr>
            <w:tcW w:w="438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440" w:type="dxa"/>
            <w:vAlign w:val="bottom"/>
            <w:tcBorders>
              <w:bottom w:val="single" w:sz="8" w:color="BFBFBF"/>
              <w:right w:val="single" w:sz="8" w:color="BFBFBF"/>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$90 million - $95 million</w:t>
            </w:r>
          </w:p>
        </w:tc>
        <w:tc>
          <w:tcPr>
            <w:tcW w:w="3440" w:type="dxa"/>
            <w:vAlign w:val="bottom"/>
            <w:tcBorders>
              <w:bottom w:val="single" w:sz="8" w:color="BFBFBF"/>
              <w:right w:val="single" w:sz="8" w:color="BFBFBF"/>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$87 million - $90 million</w:t>
            </w:r>
          </w:p>
        </w:tc>
      </w:tr>
    </w:tbl>
    <w:p>
      <w:pPr>
        <w:spacing w:after="0" w:line="143" w:lineRule="exact"/>
        <w:rPr>
          <w:sz w:val="20"/>
          <w:szCs w:val="20"/>
          <w:color w:val="auto"/>
        </w:rPr>
      </w:pPr>
    </w:p>
    <w:p>
      <w:pPr>
        <w:ind w:left="100" w:hanging="92"/>
        <w:spacing w:after="0"/>
        <w:tabs>
          <w:tab w:leader="none" w:pos="100" w:val="left"/>
        </w:tabs>
        <w:numPr>
          <w:ilvl w:val="0"/>
          <w:numId w:val="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For the 52 weeks ending December 27, 2025.</w:t>
      </w:r>
    </w:p>
    <w:p>
      <w:pPr>
        <w:ind w:left="100" w:hanging="92"/>
        <w:spacing w:after="0" w:line="205" w:lineRule="auto"/>
        <w:tabs>
          <w:tab w:leader="none" w:pos="100" w:val="left"/>
        </w:tabs>
        <w:numPr>
          <w:ilvl w:val="0"/>
          <w:numId w:val="9"/>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Refer to “Non-GAAP Financial Measures” below for more information.</w:t>
      </w:r>
    </w:p>
    <w:p>
      <w:pPr>
        <w:spacing w:after="0" w:line="196" w:lineRule="auto"/>
        <w:rPr>
          <w:rFonts w:ascii="Arial" w:cs="Arial" w:eastAsia="Arial" w:hAnsi="Arial"/>
          <w:sz w:val="23"/>
          <w:szCs w:val="23"/>
          <w:i w:val="1"/>
          <w:iCs w:val="1"/>
          <w:color w:val="auto"/>
          <w:vertAlign w:val="superscript"/>
        </w:rPr>
      </w:pPr>
      <w:r>
        <w:rPr>
          <w:rFonts w:ascii="Arial" w:cs="Arial" w:eastAsia="Arial" w:hAnsi="Arial"/>
          <w:sz w:val="23"/>
          <w:szCs w:val="23"/>
          <w:i w:val="1"/>
          <w:iCs w:val="1"/>
          <w:color w:val="auto"/>
          <w:vertAlign w:val="superscript"/>
        </w:rPr>
        <w:t>3</w:t>
      </w:r>
      <w:r>
        <w:rPr>
          <w:rFonts w:ascii="Arial" w:cs="Arial" w:eastAsia="Arial" w:hAnsi="Arial"/>
          <w:sz w:val="18"/>
          <w:szCs w:val="18"/>
          <w:i w:val="1"/>
          <w:iCs w:val="1"/>
          <w:color w:val="auto"/>
        </w:rPr>
        <w:t xml:space="preserve"> Assumes approximately 80 million shares.</w:t>
      </w:r>
    </w:p>
    <w:p>
      <w:pPr>
        <w:ind w:left="180" w:right="20" w:hanging="162"/>
        <w:spacing w:after="0" w:line="219" w:lineRule="auto"/>
        <w:rPr>
          <w:rFonts w:ascii="Arial" w:cs="Arial" w:eastAsia="Arial" w:hAnsi="Arial"/>
          <w:sz w:val="23"/>
          <w:szCs w:val="23"/>
          <w:i w:val="1"/>
          <w:iCs w:val="1"/>
          <w:color w:val="auto"/>
          <w:vertAlign w:val="superscript"/>
        </w:rPr>
      </w:pPr>
      <w:r>
        <w:rPr>
          <w:rFonts w:ascii="Arial" w:cs="Arial" w:eastAsia="Arial" w:hAnsi="Arial"/>
          <w:sz w:val="23"/>
          <w:szCs w:val="23"/>
          <w:i w:val="1"/>
          <w:iCs w:val="1"/>
          <w:color w:val="auto"/>
          <w:vertAlign w:val="superscript"/>
        </w:rPr>
        <w:t>4</w:t>
      </w:r>
      <w:r>
        <w:rPr>
          <w:rFonts w:ascii="Arial" w:cs="Arial" w:eastAsia="Arial" w:hAnsi="Arial"/>
          <w:sz w:val="18"/>
          <w:szCs w:val="18"/>
          <w:i w:val="1"/>
          <w:iCs w:val="1"/>
          <w:color w:val="auto"/>
        </w:rPr>
        <w:t xml:space="preserve"> Includes amortization of acquisition intangibles of approximately $0.7 million, which is excluded in the definition of Adjusted Operating Income.</w:t>
      </w:r>
    </w:p>
    <w:p>
      <w:pPr>
        <w:spacing w:after="0" w:line="1" w:lineRule="exact"/>
        <w:rPr>
          <w:rFonts w:ascii="Arial" w:cs="Arial" w:eastAsia="Arial" w:hAnsi="Arial"/>
          <w:sz w:val="23"/>
          <w:szCs w:val="23"/>
          <w:i w:val="1"/>
          <w:iCs w:val="1"/>
          <w:color w:val="auto"/>
          <w:vertAlign w:val="superscript"/>
        </w:rPr>
      </w:pPr>
    </w:p>
    <w:p>
      <w:pPr>
        <w:ind w:left="180" w:right="20" w:hanging="162"/>
        <w:spacing w:after="0" w:line="219" w:lineRule="auto"/>
        <w:rPr>
          <w:rFonts w:ascii="Arial" w:cs="Arial" w:eastAsia="Arial" w:hAnsi="Arial"/>
          <w:sz w:val="23"/>
          <w:szCs w:val="23"/>
          <w:i w:val="1"/>
          <w:iCs w:val="1"/>
          <w:color w:val="auto"/>
          <w:vertAlign w:val="superscript"/>
        </w:rPr>
      </w:pPr>
      <w:r>
        <w:rPr>
          <w:rFonts w:ascii="Arial" w:cs="Arial" w:eastAsia="Arial" w:hAnsi="Arial"/>
          <w:sz w:val="23"/>
          <w:szCs w:val="23"/>
          <w:i w:val="1"/>
          <w:iCs w:val="1"/>
          <w:color w:val="auto"/>
          <w:vertAlign w:val="superscript"/>
        </w:rPr>
        <w:t>5</w:t>
      </w:r>
      <w:r>
        <w:rPr>
          <w:rFonts w:ascii="Arial" w:cs="Arial" w:eastAsia="Arial" w:hAnsi="Arial"/>
          <w:sz w:val="18"/>
          <w:szCs w:val="18"/>
          <w:i w:val="1"/>
          <w:iCs w:val="1"/>
          <w:color w:val="auto"/>
        </w:rPr>
        <w:t xml:space="preserve"> Before the impact of gains or losses on change in fair value of derivatives and charges related to debt discounts and deferred financing costs.</w:t>
      </w:r>
    </w:p>
    <w:p>
      <w:pPr>
        <w:spacing w:after="0" w:line="1" w:lineRule="exact"/>
        <w:rPr>
          <w:rFonts w:ascii="Arial" w:cs="Arial" w:eastAsia="Arial" w:hAnsi="Arial"/>
          <w:sz w:val="23"/>
          <w:szCs w:val="23"/>
          <w:i w:val="1"/>
          <w:iCs w:val="1"/>
          <w:color w:val="auto"/>
          <w:vertAlign w:val="superscript"/>
        </w:rPr>
      </w:pPr>
    </w:p>
    <w:p>
      <w:pPr>
        <w:spacing w:after="0"/>
        <w:rPr>
          <w:rFonts w:ascii="Arial" w:cs="Arial" w:eastAsia="Arial" w:hAnsi="Arial"/>
          <w:sz w:val="23"/>
          <w:szCs w:val="23"/>
          <w:i w:val="1"/>
          <w:iCs w:val="1"/>
          <w:color w:val="auto"/>
          <w:vertAlign w:val="superscript"/>
        </w:rPr>
      </w:pPr>
      <w:r>
        <w:rPr>
          <w:rFonts w:ascii="Arial" w:cs="Arial" w:eastAsia="Arial" w:hAnsi="Arial"/>
          <w:sz w:val="23"/>
          <w:szCs w:val="23"/>
          <w:i w:val="1"/>
          <w:iCs w:val="1"/>
          <w:color w:val="auto"/>
          <w:vertAlign w:val="superscript"/>
        </w:rPr>
        <w:t>6</w:t>
      </w:r>
      <w:r>
        <w:rPr>
          <w:rFonts w:ascii="Arial" w:cs="Arial" w:eastAsia="Arial" w:hAnsi="Arial"/>
          <w:sz w:val="18"/>
          <w:szCs w:val="18"/>
          <w:i w:val="1"/>
          <w:iCs w:val="1"/>
          <w:color w:val="auto"/>
        </w:rPr>
        <w:t xml:space="preserve"> Excluding the impact of vesting of restricted stock units and stock option exercises.</w:t>
      </w:r>
    </w:p>
    <w:p>
      <w:pPr>
        <w:spacing w:after="0" w:line="4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i w:val="1"/>
          <w:iCs w:val="1"/>
          <w:color w:val="auto"/>
        </w:rPr>
        <w:t>The fiscal 2025 outlook information provided in this release includes Adjusted Operating Income and Adjusted Diluted EPS guidance. The Company is not able to reconcile these forward -looking non-GAAP measures to GAAP without unreasonable efforts because it is not possible to predict with a reasonable degree of certainty the actual impact of certain items and unanticipated events, including taxes and non-recurring items, which would be included in GAAP results.</w:t>
      </w:r>
    </w:p>
    <w:p>
      <w:pPr>
        <w:spacing w:after="0" w:line="6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The fiscal 2025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These uncertainties include, but are not limited to, dynamic market conditions, unexpected disruptions including additional regulatory actions impacting international trade such as tariffs, and other macroeconomic risks and uncertainties. Actual results may vary and those variations may be material. As such, the Company’s results may not fall within the ranges contained in its fiscal 2025 outlook. The Company uses these forward-looking measures internally to assess and benchmark its results and strategic plans. See “Forward-Looking Statements” below.</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Announces Investor and Analyst Day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announced today that it will host an Investor and Analyst Day in New York on November 17, 2025. The presentation and live</w:t>
      </w:r>
    </w:p>
    <w:p>
      <w:pPr>
        <w:spacing w:after="0" w:line="32" w:lineRule="exact"/>
        <w:rPr>
          <w:sz w:val="20"/>
          <w:szCs w:val="20"/>
          <w:color w:val="auto"/>
        </w:rPr>
      </w:pPr>
    </w:p>
    <w:p>
      <w:pPr>
        <w:ind w:right="640"/>
        <w:spacing w:after="0" w:line="318" w:lineRule="auto"/>
        <w:rPr>
          <w:sz w:val="20"/>
          <w:szCs w:val="20"/>
          <w:color w:val="auto"/>
        </w:rPr>
      </w:pPr>
      <w:r>
        <w:rPr>
          <w:rFonts w:ascii="Arial" w:cs="Arial" w:eastAsia="Arial" w:hAnsi="Arial"/>
          <w:sz w:val="17"/>
          <w:szCs w:val="17"/>
          <w:color w:val="auto"/>
        </w:rPr>
        <w:t>webcast will be available at www.ir.nationalvision.com. Due to limited capacity, in-person attendance is by invitation only and advance registration is required. Additional details regarding event registration will be provided by Investor Relations in the coming weeks.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Company will host a conference call to discuss the second quarter 2025 financial results and fiscal-year 2025 guidance today, August 6, 2025, at 8:30 a.m. Eastern Time. To pre-register for the conference call and obtain a dial-in number and passcode please refer to the “Investors” section of the Company’s website at </w:t>
      </w:r>
      <w:r>
        <w:rPr>
          <w:rFonts w:ascii="Arial" w:cs="Arial" w:eastAsia="Arial" w:hAnsi="Arial"/>
          <w:sz w:val="18"/>
          <w:szCs w:val="18"/>
          <w:u w:val="single" w:color="auto"/>
          <w:color w:val="0E32E1"/>
        </w:rPr>
        <w:t>www.ir.nationalvision.com</w:t>
      </w:r>
      <w:r>
        <w:rPr>
          <w:rFonts w:ascii="Arial" w:cs="Arial" w:eastAsia="Arial" w:hAnsi="Arial"/>
          <w:sz w:val="18"/>
          <w:szCs w:val="18"/>
          <w:color w:val="auto"/>
        </w:rPr>
        <w:t xml:space="preserve">. A live audio webcast of the conference call will be available on the “Investors” section of the Company’s website at </w:t>
      </w:r>
      <w:r>
        <w:rPr>
          <w:rFonts w:ascii="Arial" w:cs="Arial" w:eastAsia="Arial" w:hAnsi="Arial"/>
          <w:sz w:val="18"/>
          <w:szCs w:val="18"/>
          <w:u w:val="single" w:color="auto"/>
          <w:color w:val="0E32E1"/>
        </w:rPr>
        <w:t>www.ir.nationalvision.com</w:t>
      </w:r>
      <w:r>
        <w:rPr>
          <w:rFonts w:ascii="Arial" w:cs="Arial" w:eastAsia="Arial" w:hAnsi="Arial"/>
          <w:sz w:val="18"/>
          <w:szCs w:val="18"/>
          <w:color w:val="auto"/>
        </w:rPr>
        <w:t>, where presentation materials will be posted prior to the conference call. A replay of the audio webcast will also be archived on the “Investors” section of the Company’s website.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5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National Vision Holdings, Inc. (NASDAQ: EYE) is one of the largest optical retail companies in the United States with over 1,200 stores in 38 states and Puerto Rico. With a mission of helping people by making quality eye care and eyewear more affordable and accessible, the company operates four retail brands: America’s Best Contacts &amp; Eyeglasses, Eyeglass World, and Vista Opticals inside select Fred Meyer stores and on select military bases, and an e-commerce website DiscountContacts.com, offering a variety of products and services for customers’ eye care needs. For more information, please visit www.nationalvision.com.</w:t>
      </w:r>
    </w:p>
    <w:p>
      <w:pPr>
        <w:sectPr>
          <w:pgSz w:w="11900" w:h="16838" w:orient="portrait"/>
          <w:cols w:equalWidth="0" w:num="1">
            <w:col w:w="11260"/>
          </w:cols>
          <w:pgMar w:left="320" w:top="90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60"/>
          </w:cols>
          <w:pgMar w:left="320" w:top="902" w:right="3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50"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w:t>
      </w:r>
    </w:p>
    <w:p>
      <w:pPr>
        <w:spacing w:after="0" w:line="235" w:lineRule="auto"/>
        <w:rPr>
          <w:sz w:val="20"/>
          <w:szCs w:val="20"/>
          <w:color w:val="auto"/>
        </w:rPr>
      </w:pPr>
      <w:r>
        <w:rPr>
          <w:rFonts w:ascii="Arial" w:cs="Arial" w:eastAsia="Arial" w:hAnsi="Arial"/>
          <w:sz w:val="18"/>
          <w:szCs w:val="18"/>
          <w:color w:val="auto"/>
        </w:rPr>
        <w:t>contained under “Fiscal 2025 Outlook” as well as other statements related to our current beliefs and expectations regarding the performance</w:t>
      </w:r>
    </w:p>
    <w:p>
      <w:pPr>
        <w:ind w:right="120"/>
        <w:spacing w:after="0"/>
        <w:rPr>
          <w:sz w:val="20"/>
          <w:szCs w:val="20"/>
          <w:color w:val="auto"/>
        </w:rPr>
      </w:pPr>
      <w:r>
        <w:rPr>
          <w:rFonts w:ascii="Arial" w:cs="Arial" w:eastAsia="Arial" w:hAnsi="Arial"/>
          <w:sz w:val="17"/>
          <w:szCs w:val="17"/>
          <w:color w:val="auto"/>
        </w:rPr>
        <w:t>of our industry, the Company’s strategic direction, market position, prospects including remote medicine and optometrist recruiting and retention initiatives, and future results. You can identify these forward-looking statements by the use of words such as “outlook,” “guidance,”</w:t>
      </w:r>
    </w:p>
    <w:p>
      <w:pPr>
        <w:spacing w:after="0" w:line="235" w:lineRule="auto"/>
        <w:rPr>
          <w:sz w:val="20"/>
          <w:szCs w:val="20"/>
          <w:color w:val="auto"/>
        </w:rPr>
      </w:pPr>
      <w:r>
        <w:rPr>
          <w:rFonts w:ascii="Arial" w:cs="Arial" w:eastAsia="Arial" w:hAnsi="Arial"/>
          <w:sz w:val="18"/>
          <w:szCs w:val="18"/>
          <w:color w:val="auto"/>
        </w:rPr>
        <w:t>“believes,” “expects,” “potential,” “continues,” “may,” “will,” “should,” “could,” “seeks,” “projects,” “predicts,” “intends,” “plans,” “estimates,”</w:t>
      </w:r>
    </w:p>
    <w:p>
      <w:pPr>
        <w:ind w:right="220"/>
        <w:spacing w:after="0" w:line="226" w:lineRule="auto"/>
        <w:rPr>
          <w:sz w:val="20"/>
          <w:szCs w:val="20"/>
          <w:color w:val="auto"/>
        </w:rPr>
      </w:pPr>
      <w:r>
        <w:rPr>
          <w:rFonts w:ascii="Arial" w:cs="Arial" w:eastAsia="Arial" w:hAnsi="Arial"/>
          <w:sz w:val="18"/>
          <w:szCs w:val="18"/>
          <w:color w:val="auto"/>
        </w:rPr>
        <w:t>“anticipates” or variations of these words or other comparable words. Caution should be taken not to place undue reliance on any forward-looking statement as such statements speak only as of the date when made. We undertake no obligation to publicly update or review any</w:t>
      </w:r>
    </w:p>
    <w:p>
      <w:pPr>
        <w:spacing w:after="0" w:line="236" w:lineRule="auto"/>
        <w:rPr>
          <w:sz w:val="20"/>
          <w:szCs w:val="20"/>
          <w:color w:val="auto"/>
        </w:rPr>
      </w:pPr>
      <w:r>
        <w:rPr>
          <w:rFonts w:ascii="Arial" w:cs="Arial" w:eastAsia="Arial" w:hAnsi="Arial"/>
          <w:sz w:val="18"/>
          <w:szCs w:val="18"/>
          <w:color w:val="auto"/>
        </w:rPr>
        <w:t>forward-looking statement, whether as a result of new information, future developments or otherwise, except as required by law. Forward-</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looking statements are not guarantees and are subject to various risks and uncertainties, which may cause actual results to differ materially from those implied in forward-looking statements. Such factors include, but are not limited to, market volatility, an overall decline in the health</w:t>
      </w:r>
    </w:p>
    <w:p>
      <w:pPr>
        <w:spacing w:after="0" w:line="235" w:lineRule="auto"/>
        <w:rPr>
          <w:sz w:val="20"/>
          <w:szCs w:val="20"/>
          <w:color w:val="auto"/>
        </w:rPr>
      </w:pPr>
      <w:r>
        <w:rPr>
          <w:rFonts w:ascii="Arial" w:cs="Arial" w:eastAsia="Arial" w:hAnsi="Arial"/>
          <w:sz w:val="18"/>
          <w:szCs w:val="18"/>
          <w:color w:val="auto"/>
        </w:rPr>
        <w:t>of the economy, global macroeconomic conditions and other factors that may affect consumer spending or behavior; our ability to</w:t>
      </w:r>
    </w:p>
    <w:p>
      <w:pPr>
        <w:ind w:right="100"/>
        <w:spacing w:after="0"/>
        <w:rPr>
          <w:sz w:val="20"/>
          <w:szCs w:val="20"/>
          <w:color w:val="auto"/>
        </w:rPr>
      </w:pPr>
      <w:r>
        <w:rPr>
          <w:rFonts w:ascii="Arial" w:cs="Arial" w:eastAsia="Arial" w:hAnsi="Arial"/>
          <w:sz w:val="17"/>
          <w:szCs w:val="17"/>
          <w:color w:val="auto"/>
        </w:rPr>
        <w:t>successfully implement our transformation initiatives, or anticipate the impact of important strategic initiatives; our ability to recruit and retain vision care professionals for in-store roles or to provide remote care offerings; our ability to compete in the highly competitive optical retail</w:t>
      </w:r>
    </w:p>
    <w:p>
      <w:pPr>
        <w:spacing w:after="0" w:line="235" w:lineRule="auto"/>
        <w:rPr>
          <w:sz w:val="20"/>
          <w:szCs w:val="20"/>
          <w:color w:val="auto"/>
        </w:rPr>
      </w:pPr>
      <w:r>
        <w:rPr>
          <w:rFonts w:ascii="Arial" w:cs="Arial" w:eastAsia="Arial" w:hAnsi="Arial"/>
          <w:sz w:val="18"/>
          <w:szCs w:val="18"/>
          <w:color w:val="auto"/>
        </w:rPr>
        <w:t>industry; the success of our marketing, advertising and promotional efforts; our ability to maintain, protect, and enhance the value of our</w:t>
      </w:r>
    </w:p>
    <w:p>
      <w:pPr>
        <w:spacing w:after="0" w:line="226" w:lineRule="auto"/>
        <w:rPr>
          <w:sz w:val="20"/>
          <w:szCs w:val="20"/>
          <w:color w:val="auto"/>
        </w:rPr>
      </w:pPr>
      <w:r>
        <w:rPr>
          <w:rFonts w:ascii="Arial" w:cs="Arial" w:eastAsia="Arial" w:hAnsi="Arial"/>
          <w:sz w:val="18"/>
          <w:szCs w:val="18"/>
          <w:color w:val="auto"/>
        </w:rPr>
        <w:t>owned brands; our ability to open and operate new stores (including as a result of store conversions) in a timely and cost-effective manner or to successfully enter new markets; our ability to increase sales in existing stores and to successfully reinvest in existing stores; our ability to</w:t>
      </w:r>
    </w:p>
    <w:p>
      <w:pPr>
        <w:spacing w:after="0" w:line="2" w:lineRule="exact"/>
        <w:rPr>
          <w:sz w:val="20"/>
          <w:szCs w:val="20"/>
          <w:color w:val="auto"/>
        </w:rPr>
      </w:pPr>
    </w:p>
    <w:p>
      <w:pPr>
        <w:ind w:right="700"/>
        <w:spacing w:after="0" w:line="226" w:lineRule="auto"/>
        <w:rPr>
          <w:sz w:val="20"/>
          <w:szCs w:val="20"/>
          <w:color w:val="auto"/>
        </w:rPr>
      </w:pPr>
      <w:r>
        <w:rPr>
          <w:rFonts w:ascii="Arial" w:cs="Arial" w:eastAsia="Arial" w:hAnsi="Arial"/>
          <w:sz w:val="18"/>
          <w:szCs w:val="18"/>
          <w:color w:val="auto"/>
        </w:rPr>
        <w:t>successfully implement our pricing strategies; changes in the cost of inputs, and factors such as wage rate increases, inflation, cost increases, increases in the price of raw materials and energy prices; significant capital requirements to fund our expanding business</w:t>
      </w:r>
    </w:p>
    <w:p>
      <w:pPr>
        <w:spacing w:after="0" w:line="236" w:lineRule="auto"/>
        <w:rPr>
          <w:sz w:val="20"/>
          <w:szCs w:val="20"/>
          <w:color w:val="auto"/>
        </w:rPr>
      </w:pPr>
      <w:r>
        <w:rPr>
          <w:rFonts w:ascii="Arial" w:cs="Arial" w:eastAsia="Arial" w:hAnsi="Arial"/>
          <w:sz w:val="18"/>
          <w:szCs w:val="18"/>
          <w:color w:val="auto"/>
        </w:rPr>
        <w:t>including updating our Enterprise Resource Planning (“ERP”) and Customer Relationship Management (“CRM”), and other technological,</w:t>
      </w:r>
    </w:p>
    <w:p>
      <w:pPr>
        <w:spacing w:after="0" w:line="1"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systems and capabilities; the potential for our growth strategy to strain our existing resources and cause the performance of our existing stores to suffer; risks associated with leasing substantial amounts of space, including future increases in occupancy costs; our ability to</w:t>
      </w:r>
    </w:p>
    <w:p>
      <w:pPr>
        <w:spacing w:after="0" w:line="236" w:lineRule="auto"/>
        <w:rPr>
          <w:sz w:val="20"/>
          <w:szCs w:val="20"/>
          <w:color w:val="auto"/>
        </w:rPr>
      </w:pPr>
      <w:r>
        <w:rPr>
          <w:rFonts w:ascii="Arial" w:cs="Arial" w:eastAsia="Arial" w:hAnsi="Arial"/>
          <w:sz w:val="18"/>
          <w:szCs w:val="18"/>
          <w:color w:val="auto"/>
        </w:rPr>
        <w:t>successfully manage the distinct risks faced by our e-commerce and omni-channel business; our ability to retain our existing senior</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management team or attract qualified new personnel; seasonal fluctuations in our operating results and inventory levels fluctuate; the potential impacts of catastrophic events, including changing climate and weather patterns leading to severe weather and natural disasters;</w:t>
      </w:r>
    </w:p>
    <w:p>
      <w:pPr>
        <w:spacing w:after="0" w:line="236" w:lineRule="auto"/>
        <w:rPr>
          <w:sz w:val="20"/>
          <w:szCs w:val="20"/>
          <w:color w:val="auto"/>
        </w:rPr>
      </w:pPr>
      <w:r>
        <w:rPr>
          <w:rFonts w:ascii="Arial" w:cs="Arial" w:eastAsia="Arial" w:hAnsi="Arial"/>
          <w:sz w:val="18"/>
          <w:szCs w:val="18"/>
          <w:color w:val="auto"/>
        </w:rPr>
        <w:t>the potential for certain technological advances, greater availability of, or increased consumer preferences for, vision correction alternatives</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to prescription eyeglasses or contact lenses, or future drug development for the correction of vision-related problems to reduce the demand for our products; our ability to successfully manage our inventory balances and inventory shrinkage; the potential for the loss of, or disruption</w:t>
      </w:r>
    </w:p>
    <w:p>
      <w:pPr>
        <w:spacing w:after="0" w:line="236" w:lineRule="auto"/>
        <w:rPr>
          <w:sz w:val="20"/>
          <w:szCs w:val="20"/>
          <w:color w:val="auto"/>
        </w:rPr>
      </w:pPr>
      <w:r>
        <w:rPr>
          <w:rFonts w:ascii="Arial" w:cs="Arial" w:eastAsia="Arial" w:hAnsi="Arial"/>
          <w:sz w:val="18"/>
          <w:szCs w:val="18"/>
          <w:color w:val="auto"/>
        </w:rPr>
        <w:t>in the operations of, one or more of our distribution centers or optical laboratories, which would impact our ability to process and fulfill</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customer orders and deliver our products in a timely manner, or at all, or result in quality issues; the performance of our Host brands and our ability to maintain or extend our operating relationships with our Host partners; impacts resulting from the termination of our partnership with</w:t>
      </w:r>
    </w:p>
    <w:p>
      <w:pPr>
        <w:spacing w:after="0" w:line="235" w:lineRule="auto"/>
        <w:rPr>
          <w:sz w:val="20"/>
          <w:szCs w:val="20"/>
          <w:color w:val="auto"/>
        </w:rPr>
      </w:pPr>
      <w:r>
        <w:rPr>
          <w:rFonts w:ascii="Arial" w:cs="Arial" w:eastAsia="Arial" w:hAnsi="Arial"/>
          <w:sz w:val="18"/>
          <w:szCs w:val="18"/>
          <w:color w:val="auto"/>
        </w:rPr>
        <w:t>Walmart; our investments in technological innovators in the optical retail industry, including artificial intelligence; sustainability issues,</w:t>
      </w:r>
    </w:p>
    <w:p>
      <w:pPr>
        <w:ind w:right="340"/>
        <w:spacing w:after="0" w:line="226" w:lineRule="auto"/>
        <w:rPr>
          <w:sz w:val="20"/>
          <w:szCs w:val="20"/>
          <w:color w:val="auto"/>
        </w:rPr>
      </w:pPr>
      <w:r>
        <w:rPr>
          <w:rFonts w:ascii="Arial" w:cs="Arial" w:eastAsia="Arial" w:hAnsi="Arial"/>
          <w:sz w:val="18"/>
          <w:szCs w:val="18"/>
          <w:color w:val="auto"/>
        </w:rPr>
        <w:t>including those related to climate change; our ability to develop, maintain and extend relationships with managed vision care companies, vision insurance providers and other third-party payors; risks associated with vendors from whom our products are sourced and our</w:t>
      </w:r>
    </w:p>
    <w:p>
      <w:pPr>
        <w:spacing w:after="0" w:line="236" w:lineRule="auto"/>
        <w:rPr>
          <w:sz w:val="20"/>
          <w:szCs w:val="20"/>
          <w:color w:val="auto"/>
        </w:rPr>
      </w:pPr>
      <w:r>
        <w:rPr>
          <w:rFonts w:ascii="Arial" w:cs="Arial" w:eastAsia="Arial" w:hAnsi="Arial"/>
          <w:sz w:val="18"/>
          <w:szCs w:val="18"/>
          <w:color w:val="auto"/>
        </w:rPr>
        <w:t>dependence on a limited number of suppliers; the impact of any significant failure, inadequacy, interruption or security breach affecting our</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information technology systems, or those of our vendors; our reliance on third-party coverage and reimbursement, including government programs, for an increasing portion of our revenues; our ability to comply with state, local and federal vision care and healthcare laws and</w:t>
      </w:r>
    </w:p>
    <w:p>
      <w:pPr>
        <w:spacing w:after="0" w:line="235" w:lineRule="auto"/>
        <w:rPr>
          <w:sz w:val="20"/>
          <w:szCs w:val="20"/>
          <w:color w:val="auto"/>
        </w:rPr>
      </w:pPr>
      <w:r>
        <w:rPr>
          <w:rFonts w:ascii="Arial" w:cs="Arial" w:eastAsia="Arial" w:hAnsi="Arial"/>
          <w:sz w:val="18"/>
          <w:szCs w:val="18"/>
          <w:color w:val="auto"/>
        </w:rPr>
        <w:t>regulations, as well as managed vision care laws and regulations; liability stemming from rapidly changing and increasingly stringent laws,</w:t>
      </w:r>
    </w:p>
    <w:p>
      <w:pPr>
        <w:jc w:val="both"/>
        <w:ind w:right="360"/>
        <w:spacing w:after="0"/>
        <w:rPr>
          <w:sz w:val="20"/>
          <w:szCs w:val="20"/>
          <w:color w:val="auto"/>
        </w:rPr>
      </w:pPr>
      <w:r>
        <w:rPr>
          <w:rFonts w:ascii="Arial" w:cs="Arial" w:eastAsia="Arial" w:hAnsi="Arial"/>
          <w:sz w:val="17"/>
          <w:szCs w:val="17"/>
          <w:color w:val="auto"/>
        </w:rPr>
        <w:t>regulations, contractual obligations, and industry standards relating to privacy, data security and data protection; product liability, product recall or personal injury issues; our ability to comply with laws, regulations and enforcement activities or changes in statutory, regulatory,</w:t>
      </w:r>
    </w:p>
    <w:p>
      <w:pPr>
        <w:spacing w:after="0" w:line="235" w:lineRule="auto"/>
        <w:rPr>
          <w:sz w:val="20"/>
          <w:szCs w:val="20"/>
          <w:color w:val="auto"/>
        </w:rPr>
      </w:pPr>
      <w:r>
        <w:rPr>
          <w:rFonts w:ascii="Arial" w:cs="Arial" w:eastAsia="Arial" w:hAnsi="Arial"/>
          <w:sz w:val="18"/>
          <w:szCs w:val="18"/>
          <w:color w:val="auto"/>
        </w:rPr>
        <w:t>accounting and other legal requirements; the outcome of legal proceedings relating to our business operations; the protection and validity of</w:t>
      </w:r>
    </w:p>
    <w:p>
      <w:pPr>
        <w:ind w:right="120"/>
        <w:spacing w:after="0" w:line="226" w:lineRule="auto"/>
        <w:rPr>
          <w:sz w:val="20"/>
          <w:szCs w:val="20"/>
          <w:color w:val="auto"/>
        </w:rPr>
      </w:pPr>
      <w:r>
        <w:rPr>
          <w:rFonts w:ascii="Arial" w:cs="Arial" w:eastAsia="Arial" w:hAnsi="Arial"/>
          <w:sz w:val="18"/>
          <w:szCs w:val="18"/>
          <w:color w:val="auto"/>
        </w:rPr>
        <w:t>our intellectual property; risks related to our indebtedness; changes in interest rates; restrictions in our credit agreement that limit our flexibility in operating our business; and risks related to owning our common stock. Additional information about these and other factors that</w:t>
      </w:r>
    </w:p>
    <w:p>
      <w:pPr>
        <w:spacing w:after="0" w:line="236" w:lineRule="auto"/>
        <w:rPr>
          <w:sz w:val="20"/>
          <w:szCs w:val="20"/>
          <w:color w:val="auto"/>
        </w:rPr>
      </w:pPr>
      <w:r>
        <w:rPr>
          <w:rFonts w:ascii="Arial" w:cs="Arial" w:eastAsia="Arial" w:hAnsi="Arial"/>
          <w:sz w:val="18"/>
          <w:szCs w:val="18"/>
          <w:color w:val="auto"/>
        </w:rPr>
        <w:t>could cause National Vision’s results to differ materially from those described in the forward-looking statements can be found in filings by</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National Vision with the Securities and Exchange Commission (“SEC”), including our latest Annual Report on Form 10-K and subsequent Quarterly Reports on Form 10-Q, which are accessible on the SEC’s website at www.sec.gov. These factors should not be construed as</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exhaustive and should be read in conjunction with the other cautionary statements that are included in this release and in our filings with the SEC.</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755"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Non-GAAP Financial Measures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supplement the Company’s financial information presented in accordance with GAAP and aid understanding of the Company’s business performance, the Company uses certain non-GAAP financial measures, namely “EBITDA,” “Adjusted Operating Income,” “Adjusted Operating Margin,” “Adjusted EBITDA,” “Adjusted EBITDA Margin,” “Adjusted Diluted EPS,” “Adjusted Comparable Stores Sales Growth,” “Adjusted SG&amp;A,” and “Adjusted SG&amp;A Percent of Net Revenue.” We believe EBITDA, Adjusted Operating Income, Adjusted Operating Margin, Adjusted EBITDA, Adjusted EBITDA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210" w:lineRule="exact"/>
        <w:rPr>
          <w:sz w:val="20"/>
          <w:szCs w:val="20"/>
          <w:color w:val="auto"/>
        </w:rPr>
      </w:pPr>
    </w:p>
    <w:p>
      <w:pPr>
        <w:ind w:right="100"/>
        <w:spacing w:after="0" w:line="281" w:lineRule="auto"/>
        <w:rPr>
          <w:sz w:val="20"/>
          <w:szCs w:val="20"/>
          <w:color w:val="auto"/>
        </w:rPr>
      </w:pPr>
      <w:r>
        <w:rPr>
          <w:rFonts w:ascii="Arial" w:cs="Arial" w:eastAsia="Arial" w:hAnsi="Arial"/>
          <w:sz w:val="18"/>
          <w:szCs w:val="18"/>
          <w:b w:val="1"/>
          <w:bCs w:val="1"/>
          <w:i w:val="1"/>
          <w:iCs w:val="1"/>
          <w:color w:val="auto"/>
        </w:rPr>
        <w:t xml:space="preserve">EBITDA: </w:t>
      </w:r>
      <w:r>
        <w:rPr>
          <w:rFonts w:ascii="Arial" w:cs="Arial" w:eastAsia="Arial" w:hAnsi="Arial"/>
          <w:sz w:val="18"/>
          <w:szCs w:val="18"/>
          <w:color w:val="auto"/>
        </w:rPr>
        <w:t>We define EBITDA from continuing operations as net income (loss), minus income (loss) from discontinued operations, net of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plus interest expense (income), net, income tax provision (benefit), and depreciation and amortization.</w:t>
      </w:r>
    </w:p>
    <w:p>
      <w:pPr>
        <w:spacing w:after="0" w:line="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i w:val="1"/>
          <w:iCs w:val="1"/>
          <w:color w:val="auto"/>
        </w:rPr>
        <w:t xml:space="preserve">Adjusted Operating Income: </w:t>
      </w:r>
      <w:r>
        <w:rPr>
          <w:rFonts w:ascii="Arial" w:cs="Arial" w:eastAsia="Arial" w:hAnsi="Arial"/>
          <w:sz w:val="18"/>
          <w:szCs w:val="18"/>
          <w:color w:val="auto"/>
        </w:rPr>
        <w:t>We define Adjusted Operating Income from continuing operations as net income (loss), minus income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discontinued operations, net of tax, plus interest expense (income), net and income tax provision (benefit), further adjusted to exclude stock-based compensation expense, (gain) loss on extinguishment of debt, asset impairment, litigation settlement, secondary offering expenses, management realignment expenses, long-term incentive plan expenses, amortization of acquisition intangibles, Enterprise Resource Planning (“ERP”) and Customer Relationship Management (“CRM”) implementation expenses, shareholder activism costs, severance and employee-related costs associated with organizational restructuring and certain other expenses.</w:t>
      </w:r>
    </w:p>
    <w:p>
      <w:pPr>
        <w:spacing w:after="0" w:line="20" w:lineRule="exact"/>
        <w:rPr>
          <w:sz w:val="20"/>
          <w:szCs w:val="20"/>
          <w:color w:val="auto"/>
        </w:rPr>
      </w:pPr>
    </w:p>
    <w:p>
      <w:pPr>
        <w:ind w:right="700"/>
        <w:spacing w:after="0" w:line="281" w:lineRule="auto"/>
        <w:rPr>
          <w:sz w:val="20"/>
          <w:szCs w:val="20"/>
          <w:color w:val="auto"/>
        </w:rPr>
      </w:pPr>
      <w:r>
        <w:rPr>
          <w:rFonts w:ascii="Arial" w:cs="Arial" w:eastAsia="Arial" w:hAnsi="Arial"/>
          <w:sz w:val="18"/>
          <w:szCs w:val="18"/>
          <w:b w:val="1"/>
          <w:bCs w:val="1"/>
          <w:i w:val="1"/>
          <w:iCs w:val="1"/>
          <w:color w:val="auto"/>
        </w:rPr>
        <w:t xml:space="preserve">Adjusted Operating Margin: </w:t>
      </w:r>
      <w:r>
        <w:rPr>
          <w:rFonts w:ascii="Arial" w:cs="Arial" w:eastAsia="Arial" w:hAnsi="Arial"/>
          <w:sz w:val="18"/>
          <w:szCs w:val="18"/>
          <w:color w:val="auto"/>
        </w:rPr>
        <w:t>We define Adjusted Operating Margin from continuing operations as Adjusted Operating Income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continuing operations as a percentage of total net revenue.</w:t>
      </w:r>
    </w:p>
    <w:p>
      <w:pPr>
        <w:spacing w:after="0" w:line="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We define Adjusted EBITDA from continuing operations as net income (loss), minus income (loss) from discontinued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net of tax, plus interest expense (income), net, income tax provision and depreciation and amortization, further adjusted to exclude stock-based compensation expense, (gain) loss on extinguishment of debt, asset impairment, litigation settlement, secondary offering expenses, management realignment expenses, long-term incentive plan expenses, ERP and CRM implementation expenses, shareholder activism, severance and employee-related costs associated with restructuring and certain other expenses.</w:t>
      </w:r>
    </w:p>
    <w:p>
      <w:pPr>
        <w:spacing w:after="0" w:line="17"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We define Adjusted EBITDA Margin from continuing operations as Adjusted EBITDA from continuing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percentage of total net revenue.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Adjusted Diluted EPS: </w:t>
      </w:r>
      <w:r>
        <w:rPr>
          <w:rFonts w:ascii="Arial" w:cs="Arial" w:eastAsia="Arial" w:hAnsi="Arial"/>
          <w:sz w:val="18"/>
          <w:szCs w:val="18"/>
          <w:color w:val="auto"/>
        </w:rPr>
        <w:t>We define Adjusted Diluted EPS from continuing operations as diluted earnings (loss) per share, minus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(loss) per share from discontinued operations, adjusted for the per share impact of stock-based compensation expense, (gain) loss on extinguishment of debt, asset impairment, litigation settlement, secondary offering expenses, management realignment expenses, long-term incentive plan expenses, amortization of acquisition intangibles, amortization of debt discounts and deferred financing costs of our term loan borrowings, amortization of the conversion feature and deferred financing costs related to our 2025 Notes when not required under U.S. GAAP to be added back for diluted earnings (loss) per share, derivative fair value adjustments, ERP and CRM implementation expenses, shareholder activism, severance and employee-related costs associated with restructuring and certain other expenses, and related tax effects.</w:t>
      </w:r>
    </w:p>
    <w:p>
      <w:pPr>
        <w:spacing w:after="0" w:line="2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 xml:space="preserve">Adjusted SG&amp;A: </w:t>
      </w:r>
      <w:r>
        <w:rPr>
          <w:rFonts w:ascii="Arial" w:cs="Arial" w:eastAsia="Arial" w:hAnsi="Arial"/>
          <w:sz w:val="18"/>
          <w:szCs w:val="18"/>
          <w:color w:val="auto"/>
        </w:rPr>
        <w:t>We define Adjusted SG&amp;A from continuing operations as SG&amp;A from continuing operations adjusted to exclude stock-based compensation expense, litigation settlement, secondary offering expenses, management realignment</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320" w:top="769" w:right="399" w:bottom="1440" w:gutter="0" w:footer="0" w:header="0"/>
        </w:sectPr>
      </w:pPr>
    </w:p>
    <w:bookmarkStart w:id="8" w:name="page9"/>
    <w:bookmarkEnd w:id="8"/>
    <w:p>
      <w:pPr>
        <w:ind w:right="420"/>
        <w:spacing w:after="0" w:line="281" w:lineRule="auto"/>
        <w:rPr>
          <w:sz w:val="20"/>
          <w:szCs w:val="20"/>
          <w:color w:val="auto"/>
        </w:rPr>
      </w:pPr>
      <w:r>
        <w:rPr>
          <w:rFonts w:ascii="Arial" w:cs="Arial" w:eastAsia="Arial" w:hAnsi="Arial"/>
          <w:sz w:val="18"/>
          <w:szCs w:val="18"/>
          <w:color w:val="auto"/>
        </w:rPr>
        <w:t>expenses, long-term incentive plan expense, ERP and CRM implementation expenses, shareholder activism, severance and employee-related costs associated with restructuring and certain other expenses.</w:t>
      </w:r>
    </w:p>
    <w:p>
      <w:pPr>
        <w:spacing w:after="0" w:line="1" w:lineRule="exact"/>
        <w:rPr>
          <w:sz w:val="20"/>
          <w:szCs w:val="20"/>
          <w:color w:val="auto"/>
        </w:rPr>
      </w:pPr>
    </w:p>
    <w:p>
      <w:pPr>
        <w:ind w:right="460"/>
        <w:spacing w:after="0" w:line="281" w:lineRule="auto"/>
        <w:rPr>
          <w:sz w:val="20"/>
          <w:szCs w:val="20"/>
          <w:color w:val="auto"/>
        </w:rPr>
      </w:pPr>
      <w:r>
        <w:rPr>
          <w:rFonts w:ascii="Arial" w:cs="Arial" w:eastAsia="Arial" w:hAnsi="Arial"/>
          <w:sz w:val="18"/>
          <w:szCs w:val="18"/>
          <w:b w:val="1"/>
          <w:bCs w:val="1"/>
          <w:i w:val="1"/>
          <w:iCs w:val="1"/>
          <w:color w:val="auto"/>
        </w:rPr>
        <w:t xml:space="preserve">Adjusted SG&amp;A Percent of Net Revenue: </w:t>
      </w:r>
      <w:r>
        <w:rPr>
          <w:rFonts w:ascii="Arial" w:cs="Arial" w:eastAsia="Arial" w:hAnsi="Arial"/>
          <w:sz w:val="18"/>
          <w:szCs w:val="18"/>
          <w:color w:val="auto"/>
        </w:rPr>
        <w:t>We define Adjusted SG&amp;A Percent of Net Revenue from continuing operations as Adjusted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from continuing operations as a percentage of total net revenue.</w:t>
      </w:r>
    </w:p>
    <w:p>
      <w:pPr>
        <w:spacing w:after="0" w:line="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Adjusted Comparable Store Sales Growth: </w:t>
      </w:r>
      <w:r>
        <w:rPr>
          <w:rFonts w:ascii="Arial" w:cs="Arial" w:eastAsia="Arial" w:hAnsi="Arial"/>
          <w:sz w:val="17"/>
          <w:szCs w:val="17"/>
          <w:color w:val="auto"/>
        </w:rPr>
        <w:t>We measure Adjusted Comparable Store Sales Growth as the increase or decrease in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EBITDA, Adjusted Operating Income, Adjusted Operating Margin, Adjusted EBITDA, Adjusted EBITDA Margin, Adjusted Diluted EPS, Adjusted SG&amp;A, Adjusted SG&amp;A Percent of Net Revenue and Adjusted Comparable Store Sales Growth are not recognized terms under U.S. GAAP and should not be considered as an alternative to net income or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U.S. GAAP. Because not all companies use identical calculations, the presentations of these measures may not be comparable to other similarly titled measures of other companies and can differ significantly from company to company.</w:t>
      </w:r>
    </w:p>
    <w:p>
      <w:pPr>
        <w:spacing w:after="0" w:line="22"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i w:val="1"/>
          <w:iCs w:val="1"/>
          <w:color w:val="auto"/>
        </w:rPr>
        <w:t>Please see “Reconciliation of Non-GAAP to GAAP Financial Measures” below for reconciliations of non-GAAP financial measures used in this release to their most directly comparable GAAP financial measures.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769"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Par Value</w:t>
            </w:r>
          </w:p>
        </w:tc>
        <w:tc>
          <w:tcPr>
            <w:tcW w:w="240" w:type="dxa"/>
            <w:vAlign w:val="bottom"/>
          </w:tcPr>
          <w:p>
            <w:pPr>
              <w:spacing w:after="0"/>
              <w:rPr>
                <w:sz w:val="17"/>
                <w:szCs w:val="17"/>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As of</w:t>
            </w:r>
          </w:p>
        </w:tc>
        <w:tc>
          <w:tcPr>
            <w:tcW w:w="160" w:type="dxa"/>
            <w:vAlign w:val="bottom"/>
          </w:tcPr>
          <w:p>
            <w:pPr>
              <w:spacing w:after="0"/>
              <w:rPr>
                <w:sz w:val="17"/>
                <w:szCs w:val="17"/>
                <w:color w:val="auto"/>
              </w:rPr>
            </w:pPr>
          </w:p>
        </w:tc>
        <w:tc>
          <w:tcPr>
            <w:tcW w:w="1820" w:type="dxa"/>
            <w:vAlign w:val="bottom"/>
          </w:tcPr>
          <w:p>
            <w:pPr>
              <w:jc w:val="right"/>
              <w:ind w:right="6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43"/>
        </w:trPr>
        <w:tc>
          <w:tcPr>
            <w:tcW w:w="72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June 28, 2025</w:t>
            </w:r>
          </w:p>
        </w:tc>
        <w:tc>
          <w:tcPr>
            <w:tcW w:w="160" w:type="dxa"/>
            <w:vAlign w:val="bottom"/>
          </w:tcPr>
          <w:p>
            <w:pPr>
              <w:spacing w:after="0"/>
              <w:rPr>
                <w:sz w:val="21"/>
                <w:szCs w:val="21"/>
                <w:color w:val="auto"/>
              </w:rPr>
            </w:pPr>
          </w:p>
        </w:tc>
        <w:tc>
          <w:tcPr>
            <w:tcW w:w="1820" w:type="dxa"/>
            <w:vAlign w:val="bottom"/>
          </w:tcPr>
          <w:p>
            <w:pPr>
              <w:jc w:val="right"/>
              <w:ind w:right="110"/>
              <w:spacing w:after="0"/>
              <w:rPr>
                <w:sz w:val="20"/>
                <w:szCs w:val="20"/>
                <w:color w:val="auto"/>
              </w:rPr>
            </w:pPr>
            <w:r>
              <w:rPr>
                <w:rFonts w:ascii="Arial" w:cs="Arial" w:eastAsia="Arial" w:hAnsi="Arial"/>
                <w:sz w:val="18"/>
                <w:szCs w:val="18"/>
                <w:color w:val="auto"/>
              </w:rPr>
              <w:t>December 28, 2024</w:t>
            </w:r>
          </w:p>
        </w:tc>
        <w:tc>
          <w:tcPr>
            <w:tcW w:w="0" w:type="dxa"/>
            <w:vAlign w:val="bottom"/>
          </w:tcPr>
          <w:p>
            <w:pPr>
              <w:spacing w:after="0"/>
              <w:rPr>
                <w:sz w:val="1"/>
                <w:szCs w:val="1"/>
                <w:color w:val="auto"/>
              </w:rPr>
            </w:pPr>
          </w:p>
        </w:tc>
      </w:tr>
      <w:tr>
        <w:trPr>
          <w:trHeight w:val="210"/>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73,948</w:t>
            </w:r>
          </w:p>
        </w:tc>
        <w:tc>
          <w:tcPr>
            <w:tcW w:w="0" w:type="dxa"/>
            <w:vAlign w:val="bottom"/>
          </w:tcPr>
          <w:p>
            <w:pPr>
              <w:spacing w:after="0"/>
              <w:rPr>
                <w:sz w:val="1"/>
                <w:szCs w:val="1"/>
                <w:color w:val="auto"/>
              </w:rPr>
            </w:pP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45,958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49,938</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93,918</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32,024</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249,828</w:t>
            </w:r>
          </w:p>
        </w:tc>
        <w:tc>
          <w:tcPr>
            <w:tcW w:w="0" w:type="dxa"/>
            <w:vAlign w:val="bottom"/>
          </w:tcPr>
          <w:p>
            <w:pPr>
              <w:spacing w:after="0"/>
              <w:rPr>
                <w:sz w:val="1"/>
                <w:szCs w:val="1"/>
                <w:color w:val="auto"/>
              </w:rPr>
            </w:pPr>
          </w:p>
        </w:tc>
      </w:tr>
      <w:tr>
        <w:trPr>
          <w:trHeight w:val="148"/>
        </w:trPr>
        <w:tc>
          <w:tcPr>
            <w:tcW w:w="7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assets: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350,803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362,175</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698,305</w:t>
            </w:r>
          </w:p>
        </w:tc>
        <w:tc>
          <w:tcPr>
            <w:tcW w:w="0" w:type="dxa"/>
            <w:vAlign w:val="bottom"/>
          </w:tcPr>
          <w:p>
            <w:pPr>
              <w:spacing w:after="0"/>
              <w:rPr>
                <w:sz w:val="1"/>
                <w:szCs w:val="1"/>
                <w:color w:val="auto"/>
              </w:rPr>
            </w:pP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Trademarks and trade names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240,547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intangible assets, net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30"/>
        </w:trPr>
        <w:tc>
          <w:tcPr>
            <w:tcW w:w="7280" w:type="dxa"/>
            <w:vAlign w:val="bottom"/>
          </w:tcPr>
          <w:p>
            <w:pPr>
              <w:ind w:left="240"/>
              <w:spacing w:after="0"/>
              <w:rPr>
                <w:sz w:val="20"/>
                <w:szCs w:val="20"/>
                <w:color w:val="auto"/>
              </w:rPr>
            </w:pPr>
            <w:r>
              <w:rPr>
                <w:rFonts w:ascii="Arial" w:cs="Arial" w:eastAsia="Arial" w:hAnsi="Arial"/>
                <w:sz w:val="18"/>
                <w:szCs w:val="18"/>
                <w:color w:val="auto"/>
              </w:rPr>
              <w:t>Right of use assets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391,632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408,589</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40,058</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noncurrent assets</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1,750,651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1,757,943</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1,968,352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2,007,771</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7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53,643</w:t>
            </w:r>
          </w:p>
        </w:tc>
        <w:tc>
          <w:tcPr>
            <w:tcW w:w="0" w:type="dxa"/>
            <w:vAlign w:val="bottom"/>
          </w:tcPr>
          <w:p>
            <w:pPr>
              <w:spacing w:after="0"/>
              <w:rPr>
                <w:sz w:val="1"/>
                <w:szCs w:val="1"/>
                <w:color w:val="auto"/>
              </w:rPr>
            </w:pPr>
          </w:p>
        </w:tc>
      </w:tr>
      <w:tr>
        <w:trPr>
          <w:trHeight w:val="230"/>
        </w:trPr>
        <w:tc>
          <w:tcPr>
            <w:tcW w:w="7280" w:type="dxa"/>
            <w:vAlign w:val="bottom"/>
          </w:tcPr>
          <w:p>
            <w:pPr>
              <w:ind w:left="240"/>
              <w:spacing w:after="0"/>
              <w:rPr>
                <w:sz w:val="20"/>
                <w:szCs w:val="20"/>
                <w:color w:val="auto"/>
              </w:rPr>
            </w:pPr>
            <w:r>
              <w:rPr>
                <w:rFonts w:ascii="Arial" w:cs="Arial" w:eastAsia="Arial" w:hAnsi="Arial"/>
                <w:sz w:val="18"/>
                <w:szCs w:val="18"/>
                <w:color w:val="auto"/>
              </w:rPr>
              <w:t>Other payables and accrued expenses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126,730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109,036</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Unearned revenue</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42,002</w:t>
            </w:r>
          </w:p>
        </w:tc>
        <w:tc>
          <w:tcPr>
            <w:tcW w:w="0" w:type="dxa"/>
            <w:vAlign w:val="bottom"/>
          </w:tcPr>
          <w:p>
            <w:pPr>
              <w:spacing w:after="0"/>
              <w:rPr>
                <w:sz w:val="1"/>
                <w:szCs w:val="1"/>
                <w:color w:val="auto"/>
              </w:rPr>
            </w:pP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64,733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62,507</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101,392</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Current operating lease obligations</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99,694</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468,274</w:t>
            </w:r>
          </w:p>
        </w:tc>
        <w:tc>
          <w:tcPr>
            <w:tcW w:w="0" w:type="dxa"/>
            <w:vAlign w:val="bottom"/>
          </w:tcPr>
          <w:p>
            <w:pPr>
              <w:spacing w:after="0"/>
              <w:rPr>
                <w:sz w:val="1"/>
                <w:szCs w:val="1"/>
                <w:color w:val="auto"/>
              </w:rPr>
            </w:pPr>
          </w:p>
        </w:tc>
      </w:tr>
      <w:tr>
        <w:trPr>
          <w:trHeight w:val="148"/>
        </w:trPr>
        <w:tc>
          <w:tcPr>
            <w:tcW w:w="7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2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255,620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248,610</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 operating lease obligations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366,335</w:t>
            </w:r>
          </w:p>
        </w:tc>
        <w:tc>
          <w:tcPr>
            <w:tcW w:w="0" w:type="dxa"/>
            <w:vAlign w:val="bottom"/>
          </w:tcPr>
          <w:p>
            <w:pPr>
              <w:spacing w:after="0"/>
              <w:rPr>
                <w:sz w:val="1"/>
                <w:szCs w:val="1"/>
                <w:color w:val="auto"/>
              </w:rPr>
            </w:pP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22,778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22,082</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Deferred income taxes, net</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77,909</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non-current liabilities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723,164</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80" w:type="dxa"/>
            <w:vAlign w:val="bottom"/>
          </w:tcPr>
          <w:p>
            <w:pPr>
              <w:ind w:left="20"/>
              <w:spacing w:after="0" w:line="176" w:lineRule="exact"/>
              <w:rPr>
                <w:sz w:val="20"/>
                <w:szCs w:val="20"/>
                <w:color w:val="auto"/>
              </w:rPr>
            </w:pPr>
            <w:r>
              <w:rPr>
                <w:rFonts w:ascii="Arial" w:cs="Arial" w:eastAsia="Arial" w:hAnsi="Arial"/>
                <w:sz w:val="18"/>
                <w:szCs w:val="18"/>
                <w:color w:val="auto"/>
              </w:rPr>
              <w:t>Common stock, $0.01 par value; 200,000 shares authorized; 85,977 and 85,444 shares</w:t>
            </w: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80" w:type="dxa"/>
            <w:vAlign w:val="bottom"/>
          </w:tcPr>
          <w:p>
            <w:pPr>
              <w:ind w:left="20"/>
              <w:spacing w:after="0" w:line="176" w:lineRule="exact"/>
              <w:rPr>
                <w:sz w:val="20"/>
                <w:szCs w:val="20"/>
                <w:color w:val="auto"/>
              </w:rPr>
            </w:pPr>
            <w:r>
              <w:rPr>
                <w:rFonts w:ascii="Arial" w:cs="Arial" w:eastAsia="Arial" w:hAnsi="Arial"/>
                <w:sz w:val="18"/>
                <w:szCs w:val="18"/>
                <w:color w:val="auto"/>
              </w:rPr>
              <w:t>issued as of June 28, 2025 and December 28, 2024, respectively; 79,175 and 78,775</w:t>
            </w:r>
          </w:p>
        </w:tc>
        <w:tc>
          <w:tcPr>
            <w:tcW w:w="24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shares outstanding as of June 28, 2025 and December 28, 2024, respectively</w:t>
            </w:r>
          </w:p>
        </w:tc>
        <w:tc>
          <w:tcPr>
            <w:tcW w:w="240" w:type="dxa"/>
            <w:vAlign w:val="bottom"/>
          </w:tcPr>
          <w:p>
            <w:pPr>
              <w:spacing w:after="0"/>
              <w:rPr>
                <w:sz w:val="21"/>
                <w:szCs w:val="21"/>
                <w:color w:val="auto"/>
              </w:rPr>
            </w:pPr>
          </w:p>
        </w:tc>
        <w:tc>
          <w:tcPr>
            <w:tcW w:w="16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807,048</w:t>
            </w:r>
          </w:p>
        </w:tc>
        <w:tc>
          <w:tcPr>
            <w:tcW w:w="0" w:type="dxa"/>
            <w:vAlign w:val="bottom"/>
          </w:tcPr>
          <w:p>
            <w:pPr>
              <w:spacing w:after="0"/>
              <w:rPr>
                <w:sz w:val="1"/>
                <w:szCs w:val="1"/>
                <w:color w:val="auto"/>
              </w:rPr>
            </w:pPr>
          </w:p>
        </w:tc>
      </w:tr>
      <w:tr>
        <w:trPr>
          <w:trHeight w:val="230"/>
        </w:trPr>
        <w:tc>
          <w:tcPr>
            <w:tcW w:w="728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249,028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226,117</w:t>
            </w:r>
          </w:p>
        </w:tc>
        <w:tc>
          <w:tcPr>
            <w:tcW w:w="0" w:type="dxa"/>
            <w:vAlign w:val="bottom"/>
          </w:tcPr>
          <w:p>
            <w:pPr>
              <w:spacing w:after="0"/>
              <w:rPr>
                <w:sz w:val="1"/>
                <w:szCs w:val="1"/>
                <w:color w:val="auto"/>
              </w:rPr>
            </w:pPr>
          </w:p>
        </w:tc>
      </w:tr>
      <w:tr>
        <w:trPr>
          <w:trHeight w:val="175"/>
        </w:trPr>
        <w:tc>
          <w:tcPr>
            <w:tcW w:w="7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Treasury stock, at cost; 6,802 and 6,669 shares as of June 28, 2025 and December 28,</w:t>
            </w:r>
          </w:p>
        </w:tc>
        <w:tc>
          <w:tcPr>
            <w:tcW w:w="24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(219,365)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(217,686)</w:t>
            </w:r>
          </w:p>
        </w:tc>
        <w:tc>
          <w:tcPr>
            <w:tcW w:w="0" w:type="dxa"/>
            <w:vAlign w:val="bottom"/>
          </w:tcPr>
          <w:p>
            <w:pPr>
              <w:spacing w:after="0"/>
              <w:rPr>
                <w:sz w:val="1"/>
                <w:szCs w:val="1"/>
                <w:color w:val="auto"/>
              </w:rPr>
            </w:pPr>
          </w:p>
        </w:tc>
      </w:tr>
      <w:tr>
        <w:trPr>
          <w:trHeight w:val="24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respectively</w:t>
            </w:r>
          </w:p>
        </w:tc>
        <w:tc>
          <w:tcPr>
            <w:tcW w:w="2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850,581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816,333</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1,968,352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2,007,771</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7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ind w:left="48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0"/>
                <w:szCs w:val="20"/>
                <w:color w:val="auto"/>
              </w:rPr>
            </w:pPr>
          </w:p>
        </w:tc>
        <w:tc>
          <w:tcPr>
            <w:tcW w:w="2880" w:type="dxa"/>
            <w:vAlign w:val="bottom"/>
            <w:gridSpan w:val="4"/>
          </w:tcPr>
          <w:p>
            <w:pPr>
              <w:jc w:val="right"/>
              <w:ind w:right="690"/>
              <w:spacing w:after="0"/>
              <w:rPr>
                <w:sz w:val="20"/>
                <w:szCs w:val="20"/>
                <w:color w:val="auto"/>
              </w:rPr>
            </w:pPr>
            <w:r>
              <w:rPr>
                <w:rFonts w:ascii="Arial" w:cs="Arial" w:eastAsia="Arial" w:hAnsi="Arial"/>
                <w:sz w:val="18"/>
                <w:szCs w:val="18"/>
                <w:color w:val="auto"/>
              </w:rPr>
              <w:t>Six Months Ended</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June 28, 2025</w:t>
            </w: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June 29, 2024</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June 28, 2025</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June 29, 2024</w:t>
            </w:r>
          </w:p>
        </w:tc>
      </w:tr>
      <w:tr>
        <w:trPr>
          <w:trHeight w:val="209"/>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30"/>
        </w:trPr>
        <w:tc>
          <w:tcPr>
            <w:tcW w:w="528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394,589</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361,967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807,354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750,050</w:t>
            </w:r>
          </w:p>
        </w:tc>
      </w:tr>
      <w:tr>
        <w:trPr>
          <w:trHeight w:val="229"/>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91,834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89,766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189,393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184,477</w:t>
            </w:r>
          </w:p>
        </w:tc>
      </w:tr>
      <w:tr>
        <w:trPr>
          <w:trHeight w:val="223"/>
        </w:trPr>
        <w:tc>
          <w:tcPr>
            <w:tcW w:w="5280" w:type="dxa"/>
            <w:vAlign w:val="bottom"/>
          </w:tcPr>
          <w:p>
            <w:pPr>
              <w:ind w:left="360"/>
              <w:spacing w:after="0"/>
              <w:rPr>
                <w:sz w:val="20"/>
                <w:szCs w:val="20"/>
                <w:color w:val="auto"/>
              </w:rPr>
            </w:pPr>
            <w:r>
              <w:rPr>
                <w:rFonts w:ascii="Arial" w:cs="Arial" w:eastAsia="Arial" w:hAnsi="Arial"/>
                <w:sz w:val="18"/>
                <w:szCs w:val="18"/>
                <w:color w:val="auto"/>
              </w:rPr>
              <w:t>Total net revenue</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486,423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451,733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996,747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934,527</w:t>
            </w:r>
          </w:p>
        </w:tc>
      </w:tr>
      <w:tr>
        <w:trPr>
          <w:trHeight w:val="175"/>
        </w:trPr>
        <w:tc>
          <w:tcPr>
            <w:tcW w:w="5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Costs applicable to revenue (exclusive of depreciation and</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Products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114,686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111,213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231,600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224,417</w:t>
            </w:r>
          </w:p>
        </w:tc>
      </w:tr>
      <w:tr>
        <w:trPr>
          <w:trHeight w:val="230"/>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85,685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82,367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173,961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164,709</w:t>
            </w:r>
          </w:p>
        </w:tc>
      </w:tr>
      <w:tr>
        <w:trPr>
          <w:trHeight w:val="223"/>
        </w:trPr>
        <w:tc>
          <w:tcPr>
            <w:tcW w:w="5280" w:type="dxa"/>
            <w:vAlign w:val="bottom"/>
          </w:tcPr>
          <w:p>
            <w:pPr>
              <w:ind w:left="36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200,371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193,580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405,561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389,126</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247,167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231,353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502,699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471,481</w:t>
            </w:r>
          </w:p>
        </w:tc>
      </w:tr>
      <w:tr>
        <w:trPr>
          <w:trHeight w:val="229"/>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45,913</w:t>
            </w:r>
          </w:p>
        </w:tc>
      </w:tr>
      <w:tr>
        <w:trPr>
          <w:trHeight w:val="230"/>
        </w:trPr>
        <w:tc>
          <w:tcPr>
            <w:tcW w:w="528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3,975</w:t>
            </w:r>
          </w:p>
        </w:tc>
      </w:tr>
      <w:tr>
        <w:trPr>
          <w:trHeight w:val="229"/>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269,603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257,562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521,368</w:t>
            </w: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24,033</w:t>
            </w:r>
          </w:p>
        </w:tc>
      </w:tr>
      <w:tr>
        <w:trPr>
          <w:trHeight w:val="230"/>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7,452</w:t>
            </w: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 before income taxes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16,581</w:t>
            </w: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5,869</w:t>
            </w: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10,712</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(2,152)</w:t>
            </w:r>
          </w:p>
        </w:tc>
      </w:tr>
      <w:tr>
        <w:trPr>
          <w:trHeight w:val="248"/>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Arial" w:cs="Arial" w:eastAsia="Arial" w:hAnsi="Arial"/>
                <w:sz w:val="18"/>
                <w:szCs w:val="18"/>
                <w:color w:val="auto"/>
              </w:rPr>
              <w:t>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30"/>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Arial" w:cs="Arial" w:eastAsia="Arial" w:hAnsi="Arial"/>
                <w:sz w:val="18"/>
                <w:szCs w:val="18"/>
                <w:color w:val="auto"/>
              </w:rPr>
              <w:t>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30"/>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70"/>
        </w:trPr>
        <w:tc>
          <w:tcPr>
            <w:tcW w:w="5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78,480</w:t>
            </w:r>
          </w:p>
        </w:tc>
      </w:tr>
      <w:tr>
        <w:trPr>
          <w:trHeight w:val="230"/>
        </w:trPr>
        <w:tc>
          <w:tcPr>
            <w:tcW w:w="52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80,057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78,575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79,658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78,774</w:t>
            </w:r>
          </w:p>
        </w:tc>
      </w:tr>
      <w:tr>
        <w:trPr>
          <w:trHeight w:val="270"/>
        </w:trPr>
        <w:tc>
          <w:tcPr>
            <w:tcW w:w="5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w:t>
            </w:r>
          </w:p>
        </w:tc>
      </w:tr>
      <w:tr>
        <w:trPr>
          <w:trHeight w:val="230"/>
        </w:trPr>
        <w:tc>
          <w:tcPr>
            <w:tcW w:w="5280" w:type="dxa"/>
            <w:vAlign w:val="bottom"/>
          </w:tcPr>
          <w:p>
            <w:pPr>
              <w:ind w:left="220"/>
              <w:spacing w:after="0"/>
              <w:rPr>
                <w:sz w:val="20"/>
                <w:szCs w:val="20"/>
                <w:color w:val="auto"/>
              </w:rPr>
            </w:pPr>
            <w:r>
              <w:rPr>
                <w:rFonts w:ascii="Arial" w:cs="Arial" w:eastAsia="Arial" w:hAnsi="Arial"/>
                <w:sz w:val="18"/>
                <w:szCs w:val="18"/>
                <w:color w:val="auto"/>
              </w:rPr>
              <w:t>Unrealized gain on hedge instruments</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30"/>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provision of unrealized gain on hedge instruments</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8,915</w:t>
            </w: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26"/>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89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Six Months Ended</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June 28, 2025</w:t>
            </w:r>
          </w:p>
        </w:tc>
        <w:tc>
          <w:tcPr>
            <w:tcW w:w="16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w w:val="99"/>
              </w:rPr>
              <w:t>June 29, 2024</w:t>
            </w:r>
          </w:p>
        </w:tc>
      </w:tr>
      <w:tr>
        <w:trPr>
          <w:trHeight w:val="210"/>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22,911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8,560</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45,499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47,244</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debt discount and deferred financing costs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r>
      <w:tr>
        <w:trPr>
          <w:trHeight w:val="229"/>
        </w:trPr>
        <w:tc>
          <w:tcPr>
            <w:tcW w:w="8180" w:type="dxa"/>
            <w:vAlign w:val="bottom"/>
          </w:tcPr>
          <w:p>
            <w:pPr>
              <w:ind w:left="220"/>
              <w:spacing w:after="0"/>
              <w:rPr>
                <w:sz w:val="20"/>
                <w:szCs w:val="20"/>
                <w:color w:val="auto"/>
              </w:rPr>
            </w:pPr>
            <w:r>
              <w:rPr>
                <w:rFonts w:ascii="Arial" w:cs="Arial" w:eastAsia="Arial" w:hAnsi="Arial"/>
                <w:sz w:val="18"/>
                <w:szCs w:val="18"/>
                <w:color w:val="auto"/>
              </w:rPr>
              <w:t>Amortization of cloud computing implementation costs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2,330</w:t>
            </w: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impairment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r>
      <w:tr>
        <w:trPr>
          <w:trHeight w:val="229"/>
        </w:trPr>
        <w:tc>
          <w:tcPr>
            <w:tcW w:w="8180" w:type="dxa"/>
            <w:vAlign w:val="bottom"/>
          </w:tcPr>
          <w:p>
            <w:pPr>
              <w:ind w:left="220"/>
              <w:spacing w:after="0"/>
              <w:rPr>
                <w:sz w:val="20"/>
                <w:szCs w:val="20"/>
                <w:color w:val="auto"/>
              </w:rPr>
            </w:pPr>
            <w:r>
              <w:rPr>
                <w:rFonts w:ascii="Arial" w:cs="Arial" w:eastAsia="Arial" w:hAnsi="Arial"/>
                <w:sz w:val="18"/>
                <w:szCs w:val="18"/>
                <w:color w:val="auto"/>
              </w:rPr>
              <w:t>Deferred income tax expense (benefit)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(5,425)</w:t>
            </w: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w:t>
            </w:r>
          </w:p>
        </w:tc>
      </w:tr>
      <w:tr>
        <w:trPr>
          <w:trHeight w:val="229"/>
        </w:trPr>
        <w:tc>
          <w:tcPr>
            <w:tcW w:w="8180" w:type="dxa"/>
            <w:vAlign w:val="bottom"/>
          </w:tcPr>
          <w:p>
            <w:pPr>
              <w:ind w:left="220"/>
              <w:spacing w:after="0"/>
              <w:rPr>
                <w:sz w:val="20"/>
                <w:szCs w:val="20"/>
                <w:color w:val="auto"/>
              </w:rPr>
            </w:pPr>
            <w:r>
              <w:rPr>
                <w:rFonts w:ascii="Arial" w:cs="Arial" w:eastAsia="Arial" w:hAnsi="Arial"/>
                <w:sz w:val="18"/>
                <w:szCs w:val="18"/>
                <w:color w:val="auto"/>
              </w:rPr>
              <w:t>(Gains) on change in fair value of derivatives</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adjustments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1,218</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24,351</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r>
      <w:tr>
        <w:trPr>
          <w:trHeight w:val="229"/>
        </w:trPr>
        <w:tc>
          <w:tcPr>
            <w:tcW w:w="8180" w:type="dxa"/>
            <w:vAlign w:val="bottom"/>
          </w:tcPr>
          <w:p>
            <w:pPr>
              <w:ind w:left="220"/>
              <w:spacing w:after="0"/>
              <w:rPr>
                <w:sz w:val="20"/>
                <w:szCs w:val="20"/>
                <w:color w:val="auto"/>
              </w:rPr>
            </w:pPr>
            <w:r>
              <w:rPr>
                <w:rFonts w:ascii="Arial" w:cs="Arial" w:eastAsia="Arial" w:hAnsi="Arial"/>
                <w:sz w:val="18"/>
                <w:szCs w:val="18"/>
                <w:color w:val="auto"/>
              </w:rPr>
              <w:t>Operating lease right of use assets and lease liabilities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(1,722)</w:t>
            </w: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r>
      <w:tr>
        <w:trPr>
          <w:trHeight w:val="229"/>
        </w:trPr>
        <w:tc>
          <w:tcPr>
            <w:tcW w:w="81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(17,587)</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and unearned revenue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r>
      <w:tr>
        <w:trPr>
          <w:trHeight w:val="230"/>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(19,415)</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75,448</w:t>
            </w:r>
          </w:p>
        </w:tc>
      </w:tr>
      <w:tr>
        <w:trPr>
          <w:trHeight w:val="209"/>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(39,620)</w:t>
            </w:r>
          </w:p>
        </w:tc>
      </w:tr>
      <w:tr>
        <w:trPr>
          <w:trHeight w:val="230"/>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(38,043)</w:t>
            </w:r>
          </w:p>
        </w:tc>
      </w:tr>
      <w:tr>
        <w:trPr>
          <w:trHeight w:val="21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on long-term debt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r>
      <w:tr>
        <w:trPr>
          <w:trHeight w:val="229"/>
        </w:trPr>
        <w:tc>
          <w:tcPr>
            <w:tcW w:w="8180" w:type="dxa"/>
            <w:vAlign w:val="bottom"/>
          </w:tcPr>
          <w:p>
            <w:pPr>
              <w:ind w:left="220"/>
              <w:spacing w:after="0"/>
              <w:rPr>
                <w:sz w:val="20"/>
                <w:szCs w:val="20"/>
                <w:color w:val="auto"/>
              </w:rPr>
            </w:pPr>
            <w:r>
              <w:rPr>
                <w:rFonts w:ascii="Arial" w:cs="Arial" w:eastAsia="Arial" w:hAnsi="Arial"/>
                <w:sz w:val="18"/>
                <w:szCs w:val="18"/>
                <w:color w:val="auto"/>
              </w:rPr>
              <w:t>Borrowings on long-term debt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Purchase of treasury stock</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(2,775)</w:t>
            </w: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finance lease obligations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for financing activities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29,965</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151,027</w:t>
            </w:r>
          </w:p>
        </w:tc>
      </w:tr>
      <w:tr>
        <w:trPr>
          <w:trHeight w:val="248"/>
        </w:trPr>
        <w:tc>
          <w:tcPr>
            <w:tcW w:w="81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Cash, cash equivalents and restricted cash, end of period </w:t>
            </w:r>
            <w:r>
              <w:rPr>
                <w:rFonts w:ascii="Arial" w:cs="Arial" w:eastAsia="Arial" w:hAnsi="Arial"/>
                <w:sz w:val="23"/>
                <w:szCs w:val="23"/>
                <w:color w:val="auto"/>
                <w:vertAlign w:val="superscript"/>
              </w:rPr>
              <w:t>(i)</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180,992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firstLine="8"/>
        <w:spacing w:after="0" w:line="258" w:lineRule="auto"/>
        <w:tabs>
          <w:tab w:leader="none" w:pos="145" w:val="left"/>
        </w:tabs>
        <w:numPr>
          <w:ilvl w:val="0"/>
          <w:numId w:val="10"/>
        </w:numPr>
        <w:rPr>
          <w:rFonts w:ascii="Arial" w:cs="Arial" w:eastAsia="Arial" w:hAnsi="Arial"/>
          <w:sz w:val="12"/>
          <w:szCs w:val="12"/>
          <w:color w:val="auto"/>
        </w:rPr>
      </w:pPr>
      <w:r>
        <w:rPr>
          <w:rFonts w:ascii="Arial" w:cs="Arial" w:eastAsia="Arial" w:hAnsi="Arial"/>
          <w:sz w:val="12"/>
          <w:szCs w:val="12"/>
          <w:color w:val="auto"/>
        </w:rPr>
        <w:t>Cash balance includes restricted cash of $1.5 million and $1.5 million for the six months ended June 28, 2025 and June 29, 2024, respectively, that are not reflected in cash and cash equivalents shown on the Condensed Consolidated Balance Sheets.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7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 (Unaudited)</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Adjusted Operating Income from Continuing Operations to Net Income (Loss)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ind w:left="48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8"/>
                <w:szCs w:val="18"/>
                <w:color w:val="auto"/>
              </w:rPr>
            </w:pPr>
          </w:p>
        </w:tc>
        <w:tc>
          <w:tcPr>
            <w:tcW w:w="3000" w:type="dxa"/>
            <w:vAlign w:val="bottom"/>
            <w:gridSpan w:val="4"/>
          </w:tcPr>
          <w:p>
            <w:pPr>
              <w:jc w:val="right"/>
              <w:ind w:right="750"/>
              <w:spacing w:after="0"/>
              <w:rPr>
                <w:sz w:val="20"/>
                <w:szCs w:val="20"/>
                <w:color w:val="auto"/>
              </w:rPr>
            </w:pPr>
            <w:r>
              <w:rPr>
                <w:rFonts w:ascii="Arial" w:cs="Arial" w:eastAsia="Arial" w:hAnsi="Arial"/>
                <w:sz w:val="18"/>
                <w:szCs w:val="18"/>
                <w:color w:val="auto"/>
              </w:rPr>
              <w:t>Six Months Ended</w:t>
            </w: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June 28, 2025</w:t>
            </w: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8"/>
              </w:rPr>
              <w:t>June 29, 2024</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June 28, 2025</w:t>
            </w: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June 29, 2024</w:t>
            </w: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8,725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(3,125)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22,911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8,560</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1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(2,084)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(2,152)</w:t>
            </w: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continuing operations</w:t>
            </w: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8,725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22,911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10,712</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4,210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3,196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8,782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7,452</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10,893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5,869</w:t>
            </w:r>
          </w:p>
        </w:tc>
      </w:tr>
      <w:tr>
        <w:trPr>
          <w:trHeight w:val="229"/>
        </w:trPr>
        <w:tc>
          <w:tcPr>
            <w:tcW w:w="5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12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5,306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4,750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12,335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7,164</w:t>
            </w: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3,975</w:t>
            </w:r>
          </w:p>
        </w:tc>
      </w:tr>
      <w:tr>
        <w:trPr>
          <w:trHeight w:val="229"/>
        </w:trPr>
        <w:tc>
          <w:tcPr>
            <w:tcW w:w="5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1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4,450</w:t>
            </w: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763</w:t>
            </w:r>
          </w:p>
        </w:tc>
      </w:tr>
      <w:tr>
        <w:trPr>
          <w:trHeight w:val="229"/>
        </w:trPr>
        <w:tc>
          <w:tcPr>
            <w:tcW w:w="5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ERP and CRM implementation expenses </w:t>
            </w:r>
            <w:r>
              <w:rPr>
                <w:rFonts w:ascii="Arial" w:cs="Arial" w:eastAsia="Arial" w:hAnsi="Arial"/>
                <w:sz w:val="23"/>
                <w:szCs w:val="23"/>
                <w:color w:val="auto"/>
                <w:vertAlign w:val="superscript"/>
              </w:rPr>
              <w:t>(g)</w:t>
            </w:r>
          </w:p>
        </w:tc>
        <w:tc>
          <w:tcPr>
            <w:tcW w:w="12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1,846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2,141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4,161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2,657</w:t>
            </w: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(h)</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2,690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5,154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4,925</w:t>
            </w:r>
          </w:p>
        </w:tc>
      </w:tr>
      <w:tr>
        <w:trPr>
          <w:trHeight w:val="223"/>
        </w:trPr>
        <w:tc>
          <w:tcPr>
            <w:tcW w:w="5140" w:type="dxa"/>
            <w:vAlign w:val="bottom"/>
          </w:tcPr>
          <w:p>
            <w:pPr>
              <w:ind w:left="140"/>
              <w:spacing w:after="0"/>
              <w:rPr>
                <w:sz w:val="20"/>
                <w:szCs w:val="20"/>
                <w:color w:val="auto"/>
              </w:rPr>
            </w:pPr>
            <w:r>
              <w:rPr>
                <w:rFonts w:ascii="Arial" w:cs="Arial" w:eastAsia="Arial" w:hAnsi="Arial"/>
                <w:sz w:val="18"/>
                <w:szCs w:val="18"/>
                <w:b w:val="1"/>
                <w:bCs w:val="1"/>
                <w:color w:val="auto"/>
              </w:rPr>
              <w:t>Adjusted Operating Income from continuing operations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23,801</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14,073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65,076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47,967</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29"/>
        </w:trPr>
        <w:tc>
          <w:tcPr>
            <w:tcW w:w="5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r>
      <w:tr>
        <w:trPr>
          <w:trHeight w:val="229"/>
        </w:trPr>
        <w:tc>
          <w:tcPr>
            <w:tcW w:w="5140" w:type="dxa"/>
            <w:vAlign w:val="bottom"/>
          </w:tcPr>
          <w:p>
            <w:pPr>
              <w:ind w:left="140"/>
              <w:spacing w:after="0"/>
              <w:rPr>
                <w:sz w:val="20"/>
                <w:szCs w:val="20"/>
                <w:color w:val="auto"/>
              </w:rPr>
            </w:pPr>
            <w:r>
              <w:rPr>
                <w:rFonts w:ascii="Arial" w:cs="Arial" w:eastAsia="Arial" w:hAnsi="Arial"/>
                <w:sz w:val="18"/>
                <w:szCs w:val="18"/>
                <w:b w:val="1"/>
                <w:bCs w:val="1"/>
                <w:color w:val="auto"/>
              </w:rPr>
              <w:t>Income (loss) from continuing operations margin</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Adjusted Operating Margin from continuing operations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bl>
    <w:p>
      <w:pPr>
        <w:spacing w:after="0" w:line="15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Note: Percentages reflect line item as a percentage of total net revenue, adjusted for rounding.</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EBITDA from Continuing Operations and Adjusted EBITDA from Continuing Operations to Net Income (Loss)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80" w:type="dxa"/>
            <w:vAlign w:val="bottom"/>
            <w:gridSpan w:val="5"/>
          </w:tcPr>
          <w:p>
            <w:pPr>
              <w:ind w:left="50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18"/>
                <w:szCs w:val="18"/>
                <w:color w:val="auto"/>
              </w:rPr>
            </w:pPr>
          </w:p>
        </w:tc>
        <w:tc>
          <w:tcPr>
            <w:tcW w:w="3020" w:type="dxa"/>
            <w:vAlign w:val="bottom"/>
            <w:gridSpan w:val="4"/>
          </w:tcPr>
          <w:p>
            <w:pPr>
              <w:jc w:val="right"/>
              <w:ind w:right="770"/>
              <w:spacing w:after="0"/>
              <w:rPr>
                <w:sz w:val="20"/>
                <w:szCs w:val="20"/>
                <w:color w:val="auto"/>
              </w:rPr>
            </w:pPr>
            <w:r>
              <w:rPr>
                <w:rFonts w:ascii="Arial" w:cs="Arial" w:eastAsia="Arial" w:hAnsi="Arial"/>
                <w:sz w:val="18"/>
                <w:szCs w:val="18"/>
                <w:color w:val="auto"/>
              </w:rPr>
              <w:t>Six Months Ended</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June 28, 2025</w:t>
            </w: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June 29, 2024</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June 28, 2025</w:t>
            </w: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June 29, 2024</w:t>
            </w: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8,725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(3,125)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22,911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8,560</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14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(2,084)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(2,152)</w:t>
            </w: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continuing operations</w:t>
            </w:r>
          </w:p>
        </w:tc>
        <w:tc>
          <w:tcPr>
            <w:tcW w:w="1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8,725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(1,041)</w:t>
            </w:r>
          </w:p>
        </w:tc>
        <w:tc>
          <w:tcPr>
            <w:tcW w:w="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22,911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10,712</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4,210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3,196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8,782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7,452</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10,893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5,869</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22,536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22,692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45,499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45,913</w:t>
            </w:r>
          </w:p>
        </w:tc>
      </w:tr>
      <w:tr>
        <w:trPr>
          <w:trHeight w:val="223"/>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EBITDA from continuing operations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38,985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23,283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88,085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69,946</w:t>
            </w:r>
          </w:p>
        </w:tc>
      </w:tr>
      <w:tr>
        <w:trPr>
          <w:trHeight w:val="162"/>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0"/>
        </w:trPr>
        <w:tc>
          <w:tcPr>
            <w:tcW w:w="5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5,306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4,750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12,335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7,164</w:t>
            </w:r>
          </w:p>
        </w:tc>
      </w:tr>
      <w:tr>
        <w:trPr>
          <w:trHeight w:val="230"/>
        </w:trPr>
        <w:tc>
          <w:tcPr>
            <w:tcW w:w="5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14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3,519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3,975</w:t>
            </w:r>
          </w:p>
        </w:tc>
      </w:tr>
      <w:tr>
        <w:trPr>
          <w:trHeight w:val="229"/>
        </w:trPr>
        <w:tc>
          <w:tcPr>
            <w:tcW w:w="5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4,450</w:t>
            </w:r>
          </w:p>
        </w:tc>
      </w:tr>
      <w:tr>
        <w:trPr>
          <w:trHeight w:val="230"/>
        </w:trPr>
        <w:tc>
          <w:tcPr>
            <w:tcW w:w="5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ERP and CRM implementation expenses </w:t>
            </w:r>
            <w:r>
              <w:rPr>
                <w:rFonts w:ascii="Arial" w:cs="Arial" w:eastAsia="Arial" w:hAnsi="Arial"/>
                <w:sz w:val="23"/>
                <w:szCs w:val="23"/>
                <w:color w:val="auto"/>
                <w:vertAlign w:val="superscript"/>
              </w:rPr>
              <w:t>(g)</w:t>
            </w:r>
          </w:p>
        </w:tc>
        <w:tc>
          <w:tcPr>
            <w:tcW w:w="14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1,846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2,141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4,161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2,657</w:t>
            </w:r>
          </w:p>
        </w:tc>
      </w:tr>
      <w:tr>
        <w:trPr>
          <w:trHeight w:val="230"/>
        </w:trPr>
        <w:tc>
          <w:tcPr>
            <w:tcW w:w="5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(h)</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2,690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5,154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4,925</w:t>
            </w:r>
          </w:p>
        </w:tc>
      </w:tr>
      <w:tr>
        <w:trPr>
          <w:trHeight w:val="223"/>
        </w:trPr>
        <w:tc>
          <w:tcPr>
            <w:tcW w:w="5040" w:type="dxa"/>
            <w:vAlign w:val="bottom"/>
          </w:tcPr>
          <w:p>
            <w:pPr>
              <w:ind w:left="140"/>
              <w:spacing w:after="0"/>
              <w:rPr>
                <w:sz w:val="20"/>
                <w:szCs w:val="20"/>
                <w:color w:val="auto"/>
              </w:rPr>
            </w:pPr>
            <w:r>
              <w:rPr>
                <w:rFonts w:ascii="Arial" w:cs="Arial" w:eastAsia="Arial" w:hAnsi="Arial"/>
                <w:sz w:val="18"/>
                <w:szCs w:val="18"/>
                <w:b w:val="1"/>
                <w:bCs w:val="1"/>
                <w:color w:val="auto"/>
              </w:rPr>
              <w:t>Adjusted EBITDA from continuing operations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46,168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36,383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110,237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93,117</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29"/>
        </w:trPr>
        <w:tc>
          <w:tcPr>
            <w:tcW w:w="5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r>
      <w:tr>
        <w:trPr>
          <w:trHeight w:val="229"/>
        </w:trPr>
        <w:tc>
          <w:tcPr>
            <w:tcW w:w="5040" w:type="dxa"/>
            <w:vAlign w:val="bottom"/>
          </w:tcPr>
          <w:p>
            <w:pPr>
              <w:ind w:left="140"/>
              <w:spacing w:after="0"/>
              <w:rPr>
                <w:sz w:val="20"/>
                <w:szCs w:val="20"/>
                <w:color w:val="auto"/>
              </w:rPr>
            </w:pPr>
            <w:r>
              <w:rPr>
                <w:rFonts w:ascii="Arial" w:cs="Arial" w:eastAsia="Arial" w:hAnsi="Arial"/>
                <w:sz w:val="18"/>
                <w:szCs w:val="18"/>
                <w:b w:val="1"/>
                <w:bCs w:val="1"/>
                <w:color w:val="auto"/>
              </w:rPr>
              <w:t>Income (loss) from continuing operations margin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Adjusted EBITDA Margin from continuing operations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15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Note: Percentages reflect line item as a percentage of total net revenue, adjusted for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1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9"/>
        </w:trPr>
        <w:tc>
          <w:tcPr>
            <w:tcW w:w="7340" w:type="dxa"/>
            <w:vAlign w:val="bottom"/>
            <w:gridSpan w:val="5"/>
          </w:tcPr>
          <w:p>
            <w:pPr>
              <w:ind w:left="20"/>
              <w:spacing w:after="0"/>
              <w:rPr>
                <w:sz w:val="20"/>
                <w:szCs w:val="20"/>
                <w:color w:val="auto"/>
              </w:rPr>
            </w:pPr>
            <w:r>
              <w:rPr>
                <w:rFonts w:ascii="Arial" w:cs="Arial" w:eastAsia="Arial" w:hAnsi="Arial"/>
                <w:sz w:val="18"/>
                <w:szCs w:val="18"/>
                <w:b w:val="1"/>
                <w:bCs w:val="1"/>
                <w:color w:val="auto"/>
              </w:rPr>
              <w:t>Reconciliation of Adjusted Diluted EPS from Continuing Operations to Diluted EPS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5"/>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5"/>
          </w:tcPr>
          <w:p>
            <w:pPr>
              <w:ind w:left="20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0"/>
                <w:szCs w:val="20"/>
                <w:color w:val="auto"/>
              </w:rPr>
            </w:pPr>
          </w:p>
        </w:tc>
        <w:tc>
          <w:tcPr>
            <w:tcW w:w="2820" w:type="dxa"/>
            <w:vAlign w:val="bottom"/>
            <w:gridSpan w:val="4"/>
          </w:tcPr>
          <w:p>
            <w:pPr>
              <w:jc w:val="right"/>
              <w:ind w:right="650"/>
              <w:spacing w:after="0"/>
              <w:rPr>
                <w:sz w:val="20"/>
                <w:szCs w:val="20"/>
                <w:color w:val="auto"/>
              </w:rPr>
            </w:pPr>
            <w:r>
              <w:rPr>
                <w:rFonts w:ascii="Arial" w:cs="Arial" w:eastAsia="Arial" w:hAnsi="Arial"/>
                <w:sz w:val="18"/>
                <w:szCs w:val="18"/>
                <w:color w:val="auto"/>
              </w:rPr>
              <w:t>Six Months Ended</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i w:val="1"/>
                <w:iCs w:val="1"/>
                <w:color w:val="auto"/>
              </w:rPr>
              <w:t>Shares in thousands, except per share amounts</w:t>
            </w:r>
          </w:p>
        </w:tc>
        <w:tc>
          <w:tcPr>
            <w:tcW w:w="138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rPr>
              <w:t>June 28, 2025</w:t>
            </w: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June 29, 2024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June 28, 2025</w:t>
            </w: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June 29, 2024</w:t>
            </w: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Diluted EPS from discontinued operations</w:t>
            </w: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from continuing operations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30"/>
        </w:trPr>
        <w:tc>
          <w:tcPr>
            <w:tcW w:w="5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29"/>
        </w:trPr>
        <w:tc>
          <w:tcPr>
            <w:tcW w:w="5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29"/>
        </w:trPr>
        <w:tc>
          <w:tcPr>
            <w:tcW w:w="5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30"/>
        </w:trPr>
        <w:tc>
          <w:tcPr>
            <w:tcW w:w="5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9"/>
        </w:trPr>
        <w:tc>
          <w:tcPr>
            <w:tcW w:w="5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of debt discount and deferred financing costs </w:t>
            </w:r>
            <w:r>
              <w:rPr>
                <w:rFonts w:ascii="Arial" w:cs="Arial" w:eastAsia="Arial" w:hAnsi="Arial"/>
                <w:sz w:val="23"/>
                <w:szCs w:val="23"/>
                <w:color w:val="auto"/>
                <w:vertAlign w:val="superscript"/>
              </w:rPr>
              <w:t>(e)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30"/>
        </w:trPr>
        <w:tc>
          <w:tcPr>
            <w:tcW w:w="5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Derivatives fair value adjustments </w:t>
            </w:r>
            <w:r>
              <w:rPr>
                <w:rFonts w:ascii="Arial" w:cs="Arial" w:eastAsia="Arial" w:hAnsi="Arial"/>
                <w:sz w:val="23"/>
                <w:szCs w:val="23"/>
                <w:color w:val="auto"/>
                <w:vertAlign w:val="superscript"/>
              </w:rPr>
              <w:t>(f)</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29"/>
        </w:trPr>
        <w:tc>
          <w:tcPr>
            <w:tcW w:w="5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ERP and CRM implementation expenses </w:t>
            </w:r>
            <w:r>
              <w:rPr>
                <w:rFonts w:ascii="Arial" w:cs="Arial" w:eastAsia="Arial" w:hAnsi="Arial"/>
                <w:sz w:val="23"/>
                <w:szCs w:val="23"/>
                <w:color w:val="auto"/>
                <w:vertAlign w:val="superscript"/>
              </w:rPr>
              <w:t>(g)</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29"/>
        </w:trPr>
        <w:tc>
          <w:tcPr>
            <w:tcW w:w="5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(h)</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30"/>
        </w:trPr>
        <w:tc>
          <w:tcPr>
            <w:tcW w:w="55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Tax effects </w:t>
            </w:r>
            <w:r>
              <w:rPr>
                <w:rFonts w:ascii="Arial" w:cs="Arial" w:eastAsia="Arial" w:hAnsi="Arial"/>
                <w:sz w:val="23"/>
                <w:szCs w:val="23"/>
                <w:color w:val="auto"/>
                <w:vertAlign w:val="superscript"/>
              </w:rPr>
              <w:t>(i)</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r>
      <w:tr>
        <w:trPr>
          <w:trHeight w:val="221"/>
        </w:trPr>
        <w:tc>
          <w:tcPr>
            <w:tcW w:w="552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Adjusted Diluted EPS from continuing operations</w:t>
            </w: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29"/>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Weighted average diluted shares outstanding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78,774</w:t>
            </w:r>
          </w:p>
        </w:tc>
      </w:tr>
    </w:tbl>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660" w:type="dxa"/>
            <w:vAlign w:val="bottom"/>
            <w:gridSpan w:val="10"/>
          </w:tcPr>
          <w:p>
            <w:pPr>
              <w:ind w:left="20"/>
              <w:spacing w:after="0"/>
              <w:rPr>
                <w:sz w:val="20"/>
                <w:szCs w:val="20"/>
                <w:color w:val="auto"/>
              </w:rPr>
            </w:pPr>
            <w:r>
              <w:rPr>
                <w:rFonts w:ascii="Arial" w:cs="Arial" w:eastAsia="Arial" w:hAnsi="Arial"/>
                <w:sz w:val="18"/>
                <w:szCs w:val="18"/>
                <w:b w:val="1"/>
                <w:bCs w:val="1"/>
                <w:color w:val="auto"/>
              </w:rPr>
              <w:t>Reconciliation of Adjusted SG&amp;A from Continuing Operations to SG&amp;A from Continuing Operations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5"/>
        </w:trPr>
        <w:tc>
          <w:tcPr>
            <w:tcW w:w="4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5"/>
          </w:tcPr>
          <w:p>
            <w:pPr>
              <w:ind w:left="60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0"/>
                <w:szCs w:val="20"/>
                <w:color w:val="auto"/>
              </w:rPr>
            </w:pPr>
          </w:p>
        </w:tc>
        <w:tc>
          <w:tcPr>
            <w:tcW w:w="3020" w:type="dxa"/>
            <w:vAlign w:val="bottom"/>
            <w:gridSpan w:val="4"/>
          </w:tcPr>
          <w:p>
            <w:pPr>
              <w:jc w:val="right"/>
              <w:ind w:right="770"/>
              <w:spacing w:after="0"/>
              <w:rPr>
                <w:sz w:val="20"/>
                <w:szCs w:val="20"/>
                <w:color w:val="auto"/>
              </w:rPr>
            </w:pPr>
            <w:r>
              <w:rPr>
                <w:rFonts w:ascii="Arial" w:cs="Arial" w:eastAsia="Arial" w:hAnsi="Arial"/>
                <w:sz w:val="18"/>
                <w:szCs w:val="18"/>
                <w:color w:val="auto"/>
              </w:rPr>
              <w:t>Six Months Ended</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June 28, 2025</w:t>
            </w: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June 29, 2024</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June 28, 2025</w:t>
            </w: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June 29, 2024</w:t>
            </w: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SG&amp;A from continuing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247,167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231,353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502,699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471,481</w:t>
            </w:r>
          </w:p>
        </w:tc>
      </w:tr>
      <w:tr>
        <w:trPr>
          <w:trHeight w:val="229"/>
        </w:trPr>
        <w:tc>
          <w:tcPr>
            <w:tcW w:w="47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16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5,306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4,750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12,335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7,164</w:t>
            </w:r>
          </w:p>
        </w:tc>
      </w:tr>
      <w:tr>
        <w:trPr>
          <w:trHeight w:val="230"/>
        </w:trPr>
        <w:tc>
          <w:tcPr>
            <w:tcW w:w="4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4,450</w:t>
            </w:r>
          </w:p>
        </w:tc>
      </w:tr>
      <w:tr>
        <w:trPr>
          <w:trHeight w:val="230"/>
        </w:trPr>
        <w:tc>
          <w:tcPr>
            <w:tcW w:w="47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ERP and CRM implementation expenses </w:t>
            </w:r>
            <w:r>
              <w:rPr>
                <w:rFonts w:ascii="Arial" w:cs="Arial" w:eastAsia="Arial" w:hAnsi="Arial"/>
                <w:sz w:val="23"/>
                <w:szCs w:val="23"/>
                <w:color w:val="auto"/>
                <w:vertAlign w:val="superscript"/>
              </w:rPr>
              <w:t>(g)</w:t>
            </w:r>
          </w:p>
        </w:tc>
        <w:tc>
          <w:tcPr>
            <w:tcW w:w="16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1,846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2,141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4,161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2,657</w:t>
            </w:r>
          </w:p>
        </w:tc>
      </w:tr>
      <w:tr>
        <w:trPr>
          <w:trHeight w:val="229"/>
        </w:trPr>
        <w:tc>
          <w:tcPr>
            <w:tcW w:w="4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(h)</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2,690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5,154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4,925</w:t>
            </w:r>
          </w:p>
        </w:tc>
      </w:tr>
      <w:tr>
        <w:trPr>
          <w:trHeight w:val="223"/>
        </w:trPr>
        <w:tc>
          <w:tcPr>
            <w:tcW w:w="4720" w:type="dxa"/>
            <w:vAlign w:val="bottom"/>
          </w:tcPr>
          <w:p>
            <w:pPr>
              <w:ind w:left="140"/>
              <w:spacing w:after="0"/>
              <w:rPr>
                <w:sz w:val="20"/>
                <w:szCs w:val="20"/>
                <w:color w:val="auto"/>
              </w:rPr>
            </w:pPr>
            <w:r>
              <w:rPr>
                <w:rFonts w:ascii="Arial" w:cs="Arial" w:eastAsia="Arial" w:hAnsi="Arial"/>
                <w:sz w:val="18"/>
                <w:szCs w:val="18"/>
                <w:b w:val="1"/>
                <w:bCs w:val="1"/>
                <w:color w:val="auto"/>
              </w:rPr>
              <w:t>Adjusted SG&amp;A from continuing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239,984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221,772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481,049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452,285</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4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140" w:type="dxa"/>
            <w:vAlign w:val="bottom"/>
          </w:tcPr>
          <w:p>
            <w:pPr>
              <w:ind w:left="140"/>
              <w:spacing w:after="0" w:line="176" w:lineRule="exact"/>
              <w:rPr>
                <w:sz w:val="20"/>
                <w:szCs w:val="20"/>
                <w:color w:val="auto"/>
              </w:rPr>
            </w:pPr>
            <w:r>
              <w:rPr>
                <w:rFonts w:ascii="Arial" w:cs="Arial" w:eastAsia="Arial" w:hAnsi="Arial"/>
                <w:sz w:val="18"/>
                <w:szCs w:val="18"/>
                <w:b w:val="1"/>
                <w:bCs w:val="1"/>
                <w:color w:val="auto"/>
              </w:rPr>
              <w:t>SG&amp;A from continuing operations Percent of Net</w:t>
            </w:r>
          </w:p>
        </w:tc>
        <w:tc>
          <w:tcPr>
            <w:tcW w:w="1660" w:type="dxa"/>
            <w:vAlign w:val="bottom"/>
            <w:vMerge w:val="restart"/>
          </w:tcPr>
          <w:p>
            <w:pPr>
              <w:jc w:val="right"/>
              <w:ind w:right="450"/>
              <w:spacing w:after="0"/>
              <w:rPr>
                <w:sz w:val="20"/>
                <w:szCs w:val="20"/>
                <w:color w:val="auto"/>
              </w:rPr>
            </w:pPr>
            <w:r>
              <w:rPr>
                <w:rFonts w:ascii="Arial" w:cs="Arial" w:eastAsia="Arial" w:hAnsi="Arial"/>
                <w:sz w:val="18"/>
                <w:szCs w:val="18"/>
                <w:color w:val="auto"/>
              </w:rPr>
              <w:t>50.8 %</w:t>
            </w:r>
          </w:p>
        </w:tc>
        <w:tc>
          <w:tcPr>
            <w:tcW w:w="1640" w:type="dxa"/>
            <w:vAlign w:val="bottom"/>
            <w:vMerge w:val="restart"/>
          </w:tcPr>
          <w:p>
            <w:pPr>
              <w:jc w:val="right"/>
              <w:ind w:right="450"/>
              <w:spacing w:after="0"/>
              <w:rPr>
                <w:sz w:val="20"/>
                <w:szCs w:val="20"/>
                <w:color w:val="auto"/>
              </w:rPr>
            </w:pPr>
            <w:r>
              <w:rPr>
                <w:rFonts w:ascii="Arial" w:cs="Arial" w:eastAsia="Arial" w:hAnsi="Arial"/>
                <w:sz w:val="18"/>
                <w:szCs w:val="18"/>
                <w:color w:val="auto"/>
              </w:rPr>
              <w:t>51.2 %</w:t>
            </w:r>
          </w:p>
        </w:tc>
        <w:tc>
          <w:tcPr>
            <w:tcW w:w="1640" w:type="dxa"/>
            <w:vAlign w:val="bottom"/>
            <w:vMerge w:val="restart"/>
          </w:tcPr>
          <w:p>
            <w:pPr>
              <w:jc w:val="right"/>
              <w:ind w:right="430"/>
              <w:spacing w:after="0"/>
              <w:rPr>
                <w:sz w:val="20"/>
                <w:szCs w:val="20"/>
                <w:color w:val="auto"/>
              </w:rPr>
            </w:pPr>
            <w:r>
              <w:rPr>
                <w:rFonts w:ascii="Arial" w:cs="Arial" w:eastAsia="Arial" w:hAnsi="Arial"/>
                <w:sz w:val="18"/>
                <w:szCs w:val="18"/>
                <w:color w:val="auto"/>
              </w:rPr>
              <w:t>50.4 %</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50.5 %</w:t>
            </w:r>
          </w:p>
        </w:tc>
        <w:tc>
          <w:tcPr>
            <w:tcW w:w="0" w:type="dxa"/>
            <w:vAlign w:val="bottom"/>
          </w:tcPr>
          <w:p>
            <w:pPr>
              <w:spacing w:after="0"/>
              <w:rPr>
                <w:sz w:val="1"/>
                <w:szCs w:val="1"/>
                <w:color w:val="auto"/>
              </w:rPr>
            </w:pPr>
          </w:p>
        </w:tc>
      </w:tr>
      <w:tr>
        <w:trPr>
          <w:trHeight w:val="243"/>
        </w:trPr>
        <w:tc>
          <w:tcPr>
            <w:tcW w:w="5140" w:type="dxa"/>
            <w:vAlign w:val="bottom"/>
          </w:tcPr>
          <w:p>
            <w:pPr>
              <w:ind w:left="140"/>
              <w:spacing w:after="0"/>
              <w:rPr>
                <w:sz w:val="20"/>
                <w:szCs w:val="20"/>
                <w:color w:val="auto"/>
              </w:rPr>
            </w:pPr>
            <w:r>
              <w:rPr>
                <w:rFonts w:ascii="Arial" w:cs="Arial" w:eastAsia="Arial" w:hAnsi="Arial"/>
                <w:sz w:val="18"/>
                <w:szCs w:val="18"/>
                <w:b w:val="1"/>
                <w:bCs w:val="1"/>
                <w:color w:val="auto"/>
              </w:rPr>
              <w:t>Revenue</w:t>
            </w:r>
          </w:p>
        </w:tc>
        <w:tc>
          <w:tcPr>
            <w:tcW w:w="1660" w:type="dxa"/>
            <w:vAlign w:val="bottom"/>
            <w:vMerge w:val="continue"/>
          </w:tcPr>
          <w:p>
            <w:pPr>
              <w:spacing w:after="0"/>
              <w:rPr>
                <w:sz w:val="21"/>
                <w:szCs w:val="21"/>
                <w:color w:val="auto"/>
              </w:rPr>
            </w:pPr>
          </w:p>
        </w:tc>
        <w:tc>
          <w:tcPr>
            <w:tcW w:w="1640" w:type="dxa"/>
            <w:vAlign w:val="bottom"/>
            <w:vMerge w:val="continue"/>
          </w:tcPr>
          <w:p>
            <w:pPr>
              <w:spacing w:after="0"/>
              <w:rPr>
                <w:sz w:val="21"/>
                <w:szCs w:val="21"/>
                <w:color w:val="auto"/>
              </w:rPr>
            </w:pPr>
          </w:p>
        </w:tc>
        <w:tc>
          <w:tcPr>
            <w:tcW w:w="164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b w:val="1"/>
                <w:bCs w:val="1"/>
                <w:color w:val="auto"/>
              </w:rPr>
              <w:t>Adjusted SG&amp;A from continuing operations Percent</w:t>
            </w:r>
          </w:p>
        </w:tc>
        <w:tc>
          <w:tcPr>
            <w:tcW w:w="1660" w:type="dxa"/>
            <w:vAlign w:val="bottom"/>
            <w:vMerge w:val="restart"/>
            <w:shd w:val="clear" w:color="auto" w:fill="CCEEFF"/>
          </w:tcPr>
          <w:p>
            <w:pPr>
              <w:jc w:val="right"/>
              <w:ind w:right="450"/>
              <w:spacing w:after="0"/>
              <w:rPr>
                <w:sz w:val="20"/>
                <w:szCs w:val="20"/>
                <w:color w:val="auto"/>
              </w:rPr>
            </w:pPr>
            <w:r>
              <w:rPr>
                <w:rFonts w:ascii="Arial" w:cs="Arial" w:eastAsia="Arial" w:hAnsi="Arial"/>
                <w:sz w:val="18"/>
                <w:szCs w:val="18"/>
                <w:color w:val="auto"/>
              </w:rPr>
              <w:t>49.3 %</w:t>
            </w:r>
          </w:p>
        </w:tc>
        <w:tc>
          <w:tcPr>
            <w:tcW w:w="1640" w:type="dxa"/>
            <w:vAlign w:val="bottom"/>
            <w:vMerge w:val="restart"/>
            <w:shd w:val="clear" w:color="auto" w:fill="CCEEFF"/>
          </w:tcPr>
          <w:p>
            <w:pPr>
              <w:jc w:val="right"/>
              <w:ind w:right="450"/>
              <w:spacing w:after="0"/>
              <w:rPr>
                <w:sz w:val="20"/>
                <w:szCs w:val="20"/>
                <w:color w:val="auto"/>
              </w:rPr>
            </w:pPr>
            <w:r>
              <w:rPr>
                <w:rFonts w:ascii="Arial" w:cs="Arial" w:eastAsia="Arial" w:hAnsi="Arial"/>
                <w:sz w:val="18"/>
                <w:szCs w:val="18"/>
                <w:color w:val="auto"/>
              </w:rPr>
              <w:t>49.1 %</w:t>
            </w:r>
          </w:p>
        </w:tc>
        <w:tc>
          <w:tcPr>
            <w:tcW w:w="164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color w:val="auto"/>
              </w:rPr>
              <w:t>48.3 %</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48.4 %</w:t>
            </w: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of Net Revenue</w:t>
            </w:r>
          </w:p>
        </w:tc>
        <w:tc>
          <w:tcPr>
            <w:tcW w:w="1660" w:type="dxa"/>
            <w:vAlign w:val="bottom"/>
            <w:vMerge w:val="continue"/>
            <w:shd w:val="clear" w:color="auto" w:fill="CCEEFF"/>
          </w:tcPr>
          <w:p>
            <w:pPr>
              <w:spacing w:after="0"/>
              <w:rPr>
                <w:sz w:val="21"/>
                <w:szCs w:val="21"/>
                <w:color w:val="auto"/>
              </w:rPr>
            </w:pPr>
          </w:p>
        </w:tc>
        <w:tc>
          <w:tcPr>
            <w:tcW w:w="1640" w:type="dxa"/>
            <w:vAlign w:val="bottom"/>
            <w:vMerge w:val="continue"/>
            <w:shd w:val="clear" w:color="auto" w:fill="CCEEFF"/>
          </w:tcPr>
          <w:p>
            <w:pPr>
              <w:spacing w:after="0"/>
              <w:rPr>
                <w:sz w:val="21"/>
                <w:szCs w:val="21"/>
                <w:color w:val="auto"/>
              </w:rPr>
            </w:pPr>
          </w:p>
        </w:tc>
        <w:tc>
          <w:tcPr>
            <w:tcW w:w="164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8"/>
          <w:szCs w:val="18"/>
          <w:i w:val="1"/>
          <w:iCs w:val="1"/>
          <w:color w:val="auto"/>
        </w:rPr>
        <w:t>Note: Percentages reflect line item as a percentage of total net revenue.</w:t>
      </w:r>
    </w:p>
    <w:p>
      <w:pPr>
        <w:spacing w:after="0" w:line="332" w:lineRule="exact"/>
        <w:rPr>
          <w:sz w:val="20"/>
          <w:szCs w:val="20"/>
          <w:color w:val="auto"/>
        </w:rPr>
      </w:pPr>
    </w:p>
    <w:p>
      <w:pPr>
        <w:ind w:left="660" w:right="940" w:hanging="328"/>
        <w:spacing w:after="0" w:line="290"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Non-cash charges related to stock-based compensation programs, which vary from period to period depending on the timing of awards and performance vesting conditions.</w:t>
      </w:r>
    </w:p>
    <w:p>
      <w:pPr>
        <w:ind w:left="660" w:right="1060" w:hanging="328"/>
        <w:spacing w:after="0" w:line="286"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Reflects write-off related to non-cash impairment charges of long-lived assets, primarily impairment of property, equipment and lease-related assets on closed or underperforming stores.</w:t>
      </w:r>
    </w:p>
    <w:p>
      <w:pPr>
        <w:spacing w:after="0" w:line="7"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Expenses associated with settlement of certain litigation.</w:t>
      </w:r>
    </w:p>
    <w:p>
      <w:pPr>
        <w:spacing w:after="0" w:line="59" w:lineRule="exact"/>
        <w:rPr>
          <w:rFonts w:ascii="Arial" w:cs="Arial" w:eastAsia="Arial" w:hAnsi="Arial"/>
          <w:sz w:val="16"/>
          <w:szCs w:val="16"/>
          <w:color w:val="auto"/>
        </w:rPr>
      </w:pPr>
    </w:p>
    <w:p>
      <w:pPr>
        <w:ind w:left="660" w:right="1240" w:hanging="328"/>
        <w:spacing w:after="0" w:line="290"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Amortization of the increase in carrying values of finite-lived intangible assets resulting from the application of purchase accounting following the acquisition of the Company by affiliates of KKR &amp; Co. Inc.</w:t>
      </w:r>
    </w:p>
    <w:p>
      <w:pPr>
        <w:ind w:left="660" w:right="760" w:hanging="328"/>
        <w:spacing w:after="0" w:line="275"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Amortization of deferred financing costs and other non-cash charges related to our debt. We adjust for amortization of deferred financing costs related to the 2025 Notes only when adjustment for these costs is not required in the calculation of diluted earnings per share under U.S. GAAP.</w:t>
      </w:r>
    </w:p>
    <w:p>
      <w:pPr>
        <w:spacing w:after="0" w:line="2" w:lineRule="exact"/>
        <w:rPr>
          <w:rFonts w:ascii="Arial" w:cs="Arial" w:eastAsia="Arial" w:hAnsi="Arial"/>
          <w:sz w:val="16"/>
          <w:szCs w:val="16"/>
          <w:color w:val="auto"/>
        </w:rPr>
      </w:pPr>
    </w:p>
    <w:p>
      <w:pPr>
        <w:ind w:left="660" w:right="820" w:hanging="328"/>
        <w:spacing w:after="0" w:line="275" w:lineRule="auto"/>
        <w:tabs>
          <w:tab w:leader="none" w:pos="65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adjustments for the derivative fair value (gains) and losses have the effect of adjusting the (gain) or loss for changes in the fair value of derivative instruments and amortization of AOCL for derivatives not designated as accounting hedges. This results in reflecting derivative (gains) and losses within Adjusted Diluted EPS during the period the derivative is settled.</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Costs related to the Company’s ERP and CRM implementations.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09" w:right="339" w:bottom="1440" w:gutter="0" w:footer="0" w:header="0"/>
        </w:sectPr>
      </w:pPr>
    </w:p>
    <w:bookmarkStart w:id="14" w:name="page15"/>
    <w:bookmarkEnd w:id="14"/>
    <w:p>
      <w:pPr>
        <w:ind w:left="660" w:right="640" w:hanging="328"/>
        <w:spacing w:after="0" w:line="265"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adjustments include amounts that management believes are not representative of our operating performance (amounts in brackets represent reductions in Adjusted Operating Income, Adjusted Diluted EPS, Adjusted EBITDA and Adjusted SG&amp;A), which are primarily related to shareholder activism costs of $2.1 million and severance and employee-related costs associated with organizational restructuring of $2.1 million for the six months ended June 28, 2025, costs associated with the digitization of paper-based records of $2.3 million and $4.1 million for the three and six months ended June 29, 2024, respectively, and other expenses and adjustments.</w:t>
      </w:r>
    </w:p>
    <w:p>
      <w:pPr>
        <w:spacing w:after="0" w:line="10" w:lineRule="exact"/>
        <w:rPr>
          <w:rFonts w:ascii="Arial" w:cs="Arial" w:eastAsia="Arial" w:hAnsi="Arial"/>
          <w:sz w:val="16"/>
          <w:szCs w:val="16"/>
          <w:color w:val="auto"/>
        </w:rPr>
      </w:pPr>
    </w:p>
    <w:p>
      <w:pPr>
        <w:ind w:left="660" w:right="1020" w:hanging="328"/>
        <w:spacing w:after="0" w:line="286"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the income tax effect of the total adjustments at our combined statutory federal and state income tax rates, including tax expense (benefit) from stock-based compensation.</w:t>
      </w:r>
    </w:p>
    <w:p>
      <w:pPr>
        <w:spacing w:after="0" w:line="367" w:lineRule="exact"/>
        <w:rPr>
          <w:sz w:val="20"/>
          <w:szCs w:val="20"/>
          <w:color w:val="auto"/>
        </w:rPr>
      </w:pPr>
    </w:p>
    <w:p>
      <w:pPr>
        <w:ind w:left="160" w:right="600"/>
        <w:spacing w:after="0" w:line="252" w:lineRule="auto"/>
        <w:rPr>
          <w:sz w:val="20"/>
          <w:szCs w:val="20"/>
          <w:color w:val="auto"/>
        </w:rPr>
      </w:pPr>
      <w:r>
        <w:rPr>
          <w:rFonts w:ascii="Arial" w:cs="Arial" w:eastAsia="Arial" w:hAnsi="Arial"/>
          <w:sz w:val="18"/>
          <w:szCs w:val="18"/>
          <w:b w:val="1"/>
          <w:bCs w:val="1"/>
          <w:color w:val="auto"/>
        </w:rPr>
        <w:t>Reconciliation of Adjusted Comparable Store Sales Growth from Continuing Operations to Total Comparable Store Sales Growth from Continuing Operations</w:t>
      </w:r>
    </w:p>
    <w:tbl>
      <w:tblPr>
        <w:tblLayout w:type="fixed"/>
        <w:tblInd w:w="160" w:type="dxa"/>
        <w:tblCellMar>
          <w:top w:w="0" w:type="dxa"/>
          <w:left w:w="0" w:type="dxa"/>
          <w:bottom w:w="0" w:type="dxa"/>
          <w:right w:w="0" w:type="dxa"/>
        </w:tblCellMar>
      </w:tblPr>
      <w:tr>
        <w:trPr>
          <w:trHeight w:val="219"/>
        </w:trPr>
        <w:tc>
          <w:tcPr>
            <w:tcW w:w="316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80" w:type="dxa"/>
            <w:vAlign w:val="bottom"/>
            <w:tcBorders>
              <w:bottom w:val="single" w:sz="8" w:color="auto"/>
            </w:tcBorders>
            <w:gridSpan w:val="7"/>
          </w:tcPr>
          <w:p>
            <w:pPr>
              <w:spacing w:after="0" w:line="219" w:lineRule="exact"/>
              <w:rPr>
                <w:sz w:val="20"/>
                <w:szCs w:val="20"/>
                <w:color w:val="auto"/>
              </w:rPr>
            </w:pPr>
            <w:r>
              <w:rPr>
                <w:rFonts w:ascii="Arial" w:cs="Arial" w:eastAsia="Arial" w:hAnsi="Arial"/>
                <w:sz w:val="18"/>
                <w:szCs w:val="18"/>
                <w:color w:val="auto"/>
                <w:w w:val="99"/>
              </w:rPr>
              <w:t xml:space="preserve">Comparable store sales growth from continuing operations </w:t>
            </w:r>
            <w:r>
              <w:rPr>
                <w:rFonts w:ascii="Arial" w:cs="Arial" w:eastAsia="Arial" w:hAnsi="Arial"/>
                <w:sz w:val="23"/>
                <w:szCs w:val="23"/>
                <w:color w:val="auto"/>
                <w:w w:val="99"/>
                <w:vertAlign w:val="superscript"/>
              </w:rPr>
              <w:t>(a)</w:t>
            </w: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160" w:type="dxa"/>
            <w:vAlign w:val="bottom"/>
          </w:tcPr>
          <w:p>
            <w:pPr>
              <w:spacing w:after="0"/>
              <w:rPr>
                <w:sz w:val="15"/>
                <w:szCs w:val="15"/>
                <w:color w:val="auto"/>
              </w:rPr>
            </w:pPr>
          </w:p>
        </w:tc>
        <w:tc>
          <w:tcPr>
            <w:tcW w:w="1460" w:type="dxa"/>
            <w:vAlign w:val="bottom"/>
            <w:gridSpan w:val="2"/>
          </w:tcPr>
          <w:p>
            <w:pPr>
              <w:jc w:val="center"/>
              <w:ind w:right="100"/>
              <w:spacing w:after="0" w:line="177" w:lineRule="exact"/>
              <w:rPr>
                <w:sz w:val="20"/>
                <w:szCs w:val="20"/>
                <w:color w:val="auto"/>
              </w:rPr>
            </w:pPr>
            <w:r>
              <w:rPr>
                <w:rFonts w:ascii="Arial" w:cs="Arial" w:eastAsia="Arial" w:hAnsi="Arial"/>
                <w:sz w:val="18"/>
                <w:szCs w:val="18"/>
                <w:color w:val="auto"/>
              </w:rPr>
              <w:t>Three Months</w:t>
            </w:r>
          </w:p>
        </w:tc>
        <w:tc>
          <w:tcPr>
            <w:tcW w:w="1460" w:type="dxa"/>
            <w:vAlign w:val="bottom"/>
            <w:gridSpan w:val="2"/>
          </w:tcPr>
          <w:p>
            <w:pPr>
              <w:jc w:val="center"/>
              <w:ind w:right="100"/>
              <w:spacing w:after="0" w:line="177" w:lineRule="exact"/>
              <w:rPr>
                <w:sz w:val="20"/>
                <w:szCs w:val="20"/>
                <w:color w:val="auto"/>
              </w:rPr>
            </w:pPr>
            <w:r>
              <w:rPr>
                <w:rFonts w:ascii="Arial" w:cs="Arial" w:eastAsia="Arial" w:hAnsi="Arial"/>
                <w:sz w:val="18"/>
                <w:szCs w:val="18"/>
                <w:color w:val="auto"/>
              </w:rPr>
              <w:t>Three Months</w:t>
            </w: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Six Months Ended</w:t>
            </w:r>
          </w:p>
        </w:tc>
        <w:tc>
          <w:tcPr>
            <w:tcW w:w="1700" w:type="dxa"/>
            <w:vAlign w:val="bottom"/>
            <w:gridSpan w:val="3"/>
            <w:vMerge w:val="restart"/>
          </w:tcPr>
          <w:p>
            <w:pPr>
              <w:jc w:val="center"/>
              <w:ind w:right="160"/>
              <w:spacing w:after="0"/>
              <w:rPr>
                <w:sz w:val="20"/>
                <w:szCs w:val="20"/>
                <w:color w:val="auto"/>
              </w:rPr>
            </w:pPr>
            <w:r>
              <w:rPr>
                <w:rFonts w:ascii="Arial" w:cs="Arial" w:eastAsia="Arial" w:hAnsi="Arial"/>
                <w:sz w:val="18"/>
                <w:szCs w:val="18"/>
                <w:color w:val="auto"/>
                <w:w w:val="99"/>
              </w:rPr>
              <w:t>Six Months Ended</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160" w:type="dxa"/>
            <w:vAlign w:val="bottom"/>
          </w:tcPr>
          <w:p>
            <w:pPr>
              <w:spacing w:after="0"/>
              <w:rPr>
                <w:sz w:val="15"/>
                <w:szCs w:val="15"/>
                <w:color w:val="auto"/>
              </w:rPr>
            </w:pPr>
          </w:p>
        </w:tc>
        <w:tc>
          <w:tcPr>
            <w:tcW w:w="1460" w:type="dxa"/>
            <w:vAlign w:val="bottom"/>
            <w:gridSpan w:val="2"/>
          </w:tcPr>
          <w:p>
            <w:pPr>
              <w:jc w:val="center"/>
              <w:ind w:right="120"/>
              <w:spacing w:after="0" w:line="181" w:lineRule="exact"/>
              <w:rPr>
                <w:sz w:val="20"/>
                <w:szCs w:val="20"/>
                <w:color w:val="auto"/>
              </w:rPr>
            </w:pPr>
            <w:r>
              <w:rPr>
                <w:rFonts w:ascii="Arial" w:cs="Arial" w:eastAsia="Arial" w:hAnsi="Arial"/>
                <w:sz w:val="18"/>
                <w:szCs w:val="18"/>
                <w:color w:val="auto"/>
                <w:w w:val="99"/>
              </w:rPr>
              <w:t>Ended June 28,</w:t>
            </w:r>
          </w:p>
        </w:tc>
        <w:tc>
          <w:tcPr>
            <w:tcW w:w="1460" w:type="dxa"/>
            <w:vAlign w:val="bottom"/>
            <w:gridSpan w:val="2"/>
          </w:tcPr>
          <w:p>
            <w:pPr>
              <w:jc w:val="center"/>
              <w:ind w:right="80"/>
              <w:spacing w:after="0" w:line="181" w:lineRule="exact"/>
              <w:rPr>
                <w:sz w:val="20"/>
                <w:szCs w:val="20"/>
                <w:color w:val="auto"/>
              </w:rPr>
            </w:pPr>
            <w:r>
              <w:rPr>
                <w:rFonts w:ascii="Arial" w:cs="Arial" w:eastAsia="Arial" w:hAnsi="Arial"/>
                <w:sz w:val="18"/>
                <w:szCs w:val="18"/>
                <w:color w:val="auto"/>
                <w:w w:val="99"/>
              </w:rPr>
              <w:t>Ended June 29,</w:t>
            </w:r>
          </w:p>
        </w:tc>
        <w:tc>
          <w:tcPr>
            <w:tcW w:w="1720" w:type="dxa"/>
            <w:vAlign w:val="bottom"/>
            <w:gridSpan w:val="2"/>
            <w:vMerge w:val="continue"/>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1440" w:type="dxa"/>
            <w:vAlign w:val="bottom"/>
            <w:vMerge w:val="restart"/>
          </w:tcPr>
          <w:p>
            <w:pPr>
              <w:ind w:left="40"/>
              <w:spacing w:after="0"/>
              <w:rPr>
                <w:sz w:val="20"/>
                <w:szCs w:val="20"/>
                <w:color w:val="auto"/>
              </w:rPr>
            </w:pPr>
            <w:r>
              <w:rPr>
                <w:rFonts w:ascii="Arial" w:cs="Arial" w:eastAsia="Arial" w:hAnsi="Arial"/>
                <w:sz w:val="18"/>
                <w:szCs w:val="18"/>
                <w:color w:val="auto"/>
              </w:rPr>
              <w:t xml:space="preserve">2025 Outlook </w:t>
            </w:r>
            <w:r>
              <w:rPr>
                <w:rFonts w:ascii="Arial" w:cs="Arial" w:eastAsia="Arial" w:hAnsi="Arial"/>
                <w:sz w:val="23"/>
                <w:szCs w:val="23"/>
                <w:color w:val="auto"/>
                <w:vertAlign w:val="superscript"/>
              </w:rPr>
              <w:t>(b)</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2024</w:t>
            </w:r>
          </w:p>
        </w:tc>
        <w:tc>
          <w:tcPr>
            <w:tcW w:w="80" w:type="dxa"/>
            <w:vAlign w:val="bottom"/>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June 28, 2025</w:t>
            </w:r>
          </w:p>
        </w:tc>
        <w:tc>
          <w:tcPr>
            <w:tcW w:w="170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June 29, 2024</w:t>
            </w: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Owned &amp; Host segment</w:t>
            </w: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120"/>
              <w:spacing w:after="0"/>
              <w:rPr>
                <w:sz w:val="20"/>
                <w:szCs w:val="20"/>
                <w:color w:val="auto"/>
              </w:rPr>
            </w:pPr>
            <w:r>
              <w:rPr>
                <w:rFonts w:ascii="Arial" w:cs="Arial" w:eastAsia="Arial" w:hAnsi="Arial"/>
                <w:sz w:val="18"/>
                <w:szCs w:val="18"/>
                <w:color w:val="auto"/>
              </w:rPr>
              <w:t>America’s Best</w:t>
            </w:r>
          </w:p>
        </w:tc>
        <w:tc>
          <w:tcPr>
            <w:tcW w:w="1380" w:type="dxa"/>
            <w:vAlign w:val="bottom"/>
          </w:tcPr>
          <w:p>
            <w:pPr>
              <w:jc w:val="right"/>
              <w:spacing w:after="0"/>
              <w:rPr>
                <w:sz w:val="20"/>
                <w:szCs w:val="20"/>
                <w:color w:val="auto"/>
              </w:rPr>
            </w:pPr>
            <w:r>
              <w:rPr>
                <w:rFonts w:ascii="Arial" w:cs="Arial" w:eastAsia="Arial" w:hAnsi="Arial"/>
                <w:sz w:val="18"/>
                <w:szCs w:val="18"/>
                <w:color w:val="auto"/>
              </w:rPr>
              <w:t>6.3 %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2.9 %</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6.1 %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Eyeglass World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20"/>
              <w:spacing w:after="0"/>
              <w:rPr>
                <w:sz w:val="20"/>
                <w:szCs w:val="20"/>
                <w:color w:val="auto"/>
              </w:rPr>
            </w:pPr>
            <w:r>
              <w:rPr>
                <w:rFonts w:ascii="Arial" w:cs="Arial" w:eastAsia="Arial" w:hAnsi="Arial"/>
                <w:sz w:val="18"/>
                <w:szCs w:val="18"/>
                <w:color w:val="auto"/>
              </w:rPr>
              <w:t>Military</w:t>
            </w:r>
          </w:p>
        </w:tc>
        <w:tc>
          <w:tcPr>
            <w:tcW w:w="1380" w:type="dxa"/>
            <w:vAlign w:val="bottom"/>
          </w:tcPr>
          <w:p>
            <w:pPr>
              <w:jc w:val="right"/>
              <w:spacing w:after="0"/>
              <w:rPr>
                <w:sz w:val="20"/>
                <w:szCs w:val="20"/>
                <w:color w:val="auto"/>
              </w:rPr>
            </w:pPr>
            <w:r>
              <w:rPr>
                <w:rFonts w:ascii="Arial" w:cs="Arial" w:eastAsia="Arial" w:hAnsi="Arial"/>
                <w:sz w:val="18"/>
                <w:szCs w:val="18"/>
                <w:color w:val="auto"/>
              </w:rPr>
              <w:t>4.4 %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Fred Meyer</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320" w:top="773" w:right="479" w:bottom="1440" w:gutter="0" w:footer="0" w:header="0"/>
        </w:sectPr>
      </w:pPr>
    </w:p>
    <w:p>
      <w:pPr>
        <w:spacing w:after="0" w:line="65"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b w:val="1"/>
          <w:bCs w:val="1"/>
          <w:color w:val="auto"/>
        </w:rPr>
        <w:t>Total comparable store sales growth from continuing operations</w:t>
      </w:r>
    </w:p>
    <w:p>
      <w:pPr>
        <w:spacing w:after="0" w:line="1" w:lineRule="exact"/>
        <w:rPr>
          <w:sz w:val="20"/>
          <w:szCs w:val="20"/>
          <w:color w:val="auto"/>
        </w:rPr>
      </w:pPr>
    </w:p>
    <w:p>
      <w:pPr>
        <w:ind w:left="380" w:right="520" w:hanging="215"/>
        <w:spacing w:after="0" w:line="241" w:lineRule="auto"/>
        <w:rPr>
          <w:sz w:val="20"/>
          <w:szCs w:val="20"/>
          <w:color w:val="auto"/>
        </w:rPr>
      </w:pPr>
      <w:r>
        <w:rPr>
          <w:rFonts w:ascii="Arial" w:cs="Arial" w:eastAsia="Arial" w:hAnsi="Arial"/>
          <w:sz w:val="17"/>
          <w:szCs w:val="17"/>
          <w:color w:val="auto"/>
        </w:rPr>
        <w:t xml:space="preserve">Adjustments for effects of: </w:t>
      </w:r>
      <w:r>
        <w:rPr>
          <w:rFonts w:ascii="Arial" w:cs="Arial" w:eastAsia="Arial" w:hAnsi="Arial"/>
          <w:sz w:val="22"/>
          <w:szCs w:val="22"/>
          <w:color w:val="auto"/>
          <w:vertAlign w:val="superscript"/>
        </w:rPr>
        <w:t>(b)</w:t>
      </w:r>
      <w:r>
        <w:rPr>
          <w:rFonts w:ascii="Arial" w:cs="Arial" w:eastAsia="Arial" w:hAnsi="Arial"/>
          <w:sz w:val="17"/>
          <w:szCs w:val="17"/>
          <w:color w:val="auto"/>
        </w:rPr>
        <w:t xml:space="preserve"> Unearned &amp; deferred revenue</w:t>
      </w:r>
    </w:p>
    <w:p>
      <w:pPr>
        <w:spacing w:after="0" w:line="1" w:lineRule="exact"/>
        <w:rPr>
          <w:sz w:val="20"/>
          <w:szCs w:val="20"/>
          <w:color w:val="auto"/>
        </w:rPr>
      </w:pPr>
    </w:p>
    <w:p>
      <w:pPr>
        <w:ind w:left="160" w:right="100"/>
        <w:spacing w:after="0" w:line="283" w:lineRule="auto"/>
        <w:rPr>
          <w:sz w:val="20"/>
          <w:szCs w:val="20"/>
          <w:color w:val="auto"/>
        </w:rPr>
      </w:pPr>
      <w:r>
        <w:rPr>
          <w:rFonts w:ascii="Arial" w:cs="Arial" w:eastAsia="Arial" w:hAnsi="Arial"/>
          <w:sz w:val="17"/>
          <w:szCs w:val="17"/>
          <w:b w:val="1"/>
          <w:bCs w:val="1"/>
          <w:color w:val="auto"/>
        </w:rPr>
        <w:t>Adjusted Comparable Store Sales Growth from continuing operations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380" w:type="dxa"/>
            <w:vAlign w:val="bottom"/>
          </w:tcPr>
          <w:p>
            <w:pPr>
              <w:jc w:val="right"/>
              <w:spacing w:after="0"/>
              <w:rPr>
                <w:sz w:val="20"/>
                <w:szCs w:val="20"/>
                <w:color w:val="auto"/>
              </w:rPr>
            </w:pPr>
            <w:r>
              <w:rPr>
                <w:rFonts w:ascii="Arial" w:cs="Arial" w:eastAsia="Arial" w:hAnsi="Arial"/>
                <w:sz w:val="18"/>
                <w:szCs w:val="18"/>
                <w:color w:val="auto"/>
              </w:rPr>
              <w:t>6.5 %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5.2 %</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1.8 %</w:t>
            </w:r>
          </w:p>
        </w:tc>
        <w:tc>
          <w:tcPr>
            <w:tcW w:w="1320" w:type="dxa"/>
            <w:vAlign w:val="bottom"/>
          </w:tcPr>
          <w:p>
            <w:pPr>
              <w:jc w:val="right"/>
              <w:spacing w:after="0"/>
              <w:rPr>
                <w:sz w:val="20"/>
                <w:szCs w:val="20"/>
                <w:color w:val="auto"/>
              </w:rPr>
            </w:pPr>
            <w:r>
              <w:rPr>
                <w:rFonts w:ascii="Arial" w:cs="Arial" w:eastAsia="Arial" w:hAnsi="Arial"/>
                <w:sz w:val="18"/>
                <w:szCs w:val="18"/>
                <w:color w:val="auto"/>
              </w:rPr>
              <w:t>3.5% - 5.5%</w:t>
            </w:r>
          </w:p>
        </w:tc>
      </w:tr>
      <w:tr>
        <w:trPr>
          <w:trHeight w:val="455"/>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320" w:type="dxa"/>
            <w:vAlign w:val="bottom"/>
          </w:tcPr>
          <w:p>
            <w:pPr>
              <w:spacing w:after="0"/>
              <w:rPr>
                <w:sz w:val="24"/>
                <w:szCs w:val="24"/>
                <w:color w:val="auto"/>
              </w:rPr>
            </w:pPr>
          </w:p>
        </w:tc>
      </w:tr>
      <w:tr>
        <w:trPr>
          <w:trHeight w:val="372"/>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8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8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5.7 %</w:t>
            </w:r>
          </w:p>
        </w:tc>
        <w:tc>
          <w:tcPr>
            <w:tcW w:w="8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320" w:type="dxa"/>
            <w:vAlign w:val="bottom"/>
          </w:tcPr>
          <w:p>
            <w:pPr>
              <w:jc w:val="right"/>
              <w:spacing w:after="0"/>
              <w:rPr>
                <w:sz w:val="20"/>
                <w:szCs w:val="20"/>
                <w:color w:val="auto"/>
              </w:rPr>
            </w:pPr>
            <w:r>
              <w:rPr>
                <w:rFonts w:ascii="Arial" w:cs="Arial" w:eastAsia="Arial" w:hAnsi="Arial"/>
                <w:sz w:val="18"/>
                <w:szCs w:val="18"/>
                <w:color w:val="auto"/>
              </w:rPr>
              <w:t>3.0% - 5.0%</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-839470</wp:posOffset>
            </wp:positionV>
            <wp:extent cx="6951980"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1980" cy="26543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-427990</wp:posOffset>
            </wp:positionV>
            <wp:extent cx="695198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1980" cy="14541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3280" w:space="40"/>
            <w:col w:w="7780"/>
          </w:cols>
          <w:pgMar w:left="320" w:top="773" w:right="479" w:bottom="1440" w:gutter="0" w:footer="0" w:header="0"/>
          <w:type w:val="continuous"/>
        </w:sectPr>
      </w:pPr>
    </w:p>
    <w:p>
      <w:pPr>
        <w:ind w:left="420" w:right="160" w:hanging="250"/>
        <w:spacing w:after="0" w:line="261"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Total comparable store sales from continuing operations is calculated based on consolidated net revenue from continuing operations excluding the impact of (i) other segments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16. “Segment Reporting” in our Annual Report on Form 10-K for the period ended December 28, 2024.</w:t>
      </w:r>
    </w:p>
    <w:p>
      <w:pPr>
        <w:spacing w:after="0" w:line="68" w:lineRule="exact"/>
        <w:rPr>
          <w:rFonts w:ascii="Arial" w:cs="Arial" w:eastAsia="Arial" w:hAnsi="Arial"/>
          <w:sz w:val="16"/>
          <w:szCs w:val="16"/>
          <w:color w:val="auto"/>
        </w:rPr>
      </w:pPr>
    </w:p>
    <w:p>
      <w:pPr>
        <w:ind w:left="420" w:right="40" w:hanging="250"/>
        <w:spacing w:after="0" w:line="271"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Comparable Store Sales Growth from continuing operations includes the effect of deferred and unearned revenue as if such revenues were earned at the point of sale, resulting in the changes from total comparable store sales growth from continuing operations based on consolidated net revenue from continuing operations; with respect to the Company’s 2025 Outlook, Adjusted Comparable Store Sales Growth includes an estimated 0.5% decrease for the effect of deferred and unearned revenue as if such revenues were earned at the point of sale.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investor.relations@nationalvision.com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Tamara Gonzalez</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Caitlin Churchill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media@nationalvision.com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sectPr>
      <w:pgSz w:w="11900" w:h="16838" w:orient="portrait"/>
      <w:cols w:equalWidth="0" w:num="1">
        <w:col w:w="11100"/>
      </w:cols>
      <w:pgMar w:left="320" w:top="773"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bullet"/>
      <w:start w:val="1"/>
    </w:lvl>
  </w:abstractNum>
  <w:abstractNum w:abstractNumId="8">
    <w:nsid w:val="1F16E9E8"/>
    <w:multiLevelType w:val="hybridMultilevel"/>
    <w:lvl w:ilvl="0">
      <w:lvlJc w:val="left"/>
      <w:lvlText w:val="2"/>
      <w:numFmt w:val="bullet"/>
      <w:start w:val="1"/>
    </w:lvl>
  </w:abstractNum>
  <w:abstractNum w:abstractNumId="9">
    <w:nsid w:val="1190CDE7"/>
    <w:multiLevelType w:val="hybridMultilevel"/>
    <w:lvl w:ilvl="0">
      <w:lvlJc w:val="left"/>
      <w:lvlText w:val="(%1)"/>
      <w:numFmt w:val="lowerRoman"/>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8"/>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2025-08-06T05:11:26Z</dcterms:created>
  <dcterms:modified xsi:type="dcterms:W3CDTF">2025-08-06T05:11:26Z</dcterms:modified>
</cp:coreProperties>
</file>