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November 5, 2020</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2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9"/>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51"/>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 xml:space="preserve">Duluth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5"/>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p>
      <w:pPr>
        <w:spacing w:after="0" w:line="207" w:lineRule="exact"/>
        <w:tabs>
          <w:tab w:leader="none" w:pos="8020" w:val="left"/>
        </w:tabs>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917575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66"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5, 2020, National Vision Holdings, Inc. (“National Vision”) issued a press release announcing financial results for the quarter ended September 26, 2020. A copy of the release is furnished herewith as Exhibit 99.1 and incorporated by reference herein.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45"/>
        </w:trPr>
        <w:tc>
          <w:tcPr>
            <w:tcW w:w="88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99.1</w:t>
              </w:r>
            </w:hyperlink>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November 5, 2020.</w:t>
            </w:r>
          </w:p>
        </w:tc>
      </w:tr>
      <w:tr>
        <w:trPr>
          <w:trHeight w:val="234"/>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960" w:type="dxa"/>
            <w:vAlign w:val="bottom"/>
          </w:tcPr>
          <w:p>
            <w:pPr>
              <w:spacing w:after="0"/>
              <w:rPr>
                <w:sz w:val="18"/>
                <w:szCs w:val="18"/>
                <w:color w:val="auto"/>
              </w:rPr>
            </w:pP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960" w:type="dxa"/>
            <w:vAlign w:val="bottom"/>
          </w:tcPr>
          <w:p>
            <w:pPr>
              <w:spacing w:after="0"/>
              <w:rPr>
                <w:sz w:val="20"/>
                <w:szCs w:val="20"/>
                <w:color w:val="auto"/>
              </w:rPr>
            </w:pPr>
          </w:p>
        </w:tc>
        <w:tc>
          <w:tcPr>
            <w:tcW w:w="25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89154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National Vision Holdings, Inc. Reports Third Quarter 2020 Financial Results</w:t>
      </w:r>
    </w:p>
    <w:p>
      <w:pPr>
        <w:spacing w:after="0" w:line="200" w:lineRule="exact"/>
        <w:rPr>
          <w:sz w:val="20"/>
          <w:szCs w:val="20"/>
          <w:color w:val="auto"/>
        </w:rPr>
      </w:pPr>
    </w:p>
    <w:p>
      <w:pPr>
        <w:spacing w:after="0" w:line="304"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revenue increased 12.4% to $485.4 million</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Comparable store sales growth of 11.6%; Adjusted Comparable Store Sales Growth of 12.4%</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income increased 2,860% to $35.3 million; Diluted EPS increased 2,782% to $0.42</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EBITDA increased 89.3% to $88.1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Operating Income increased 160% to $67.7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Diluted EPS increased 226% to $0.54</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balance of $377 million</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Reinstates Fiscal 2020 Outlook</w:t>
      </w:r>
    </w:p>
    <w:p>
      <w:pPr>
        <w:spacing w:after="0" w:line="3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Duluth, Ga.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5, 2020 </w:t>
      </w:r>
      <w:r>
        <w:rPr>
          <w:rFonts w:ascii="Times New Roman" w:cs="Times New Roman" w:eastAsia="Times New Roman" w:hAnsi="Times New Roman"/>
          <w:sz w:val="18"/>
          <w:szCs w:val="18"/>
          <w:color w:val="auto"/>
        </w:rPr>
        <w:t>-- National Vision Holdings, Inc. (NASDAQ: EYE) (“National Vision” or the “Company”) today reported its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third quarter ended September 26, 2020</w:t>
      </w:r>
      <w:r>
        <w:rPr>
          <w:rFonts w:ascii="Times New Roman" w:cs="Times New Roman" w:eastAsia="Times New Roman" w:hAnsi="Times New Roman"/>
          <w:sz w:val="18"/>
          <w:szCs w:val="18"/>
          <w:color w:val="EE2724"/>
        </w:rPr>
        <w:t>.</w:t>
      </w:r>
    </w:p>
    <w:p>
      <w:pPr>
        <w:spacing w:after="0" w:line="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National Vision team delivered an exceptionally strong Q3—establishing a new record for quarterly profit for our three years as a public company,” stated Reade Fahs, chief executive officer. “And our Q3 comps were clearly the best I’ve witnessed since joining National Vision 18 years ago. We also opened 18 stores, including our 1,200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location, as we continued to build market share. These results reinforce our belief that our affordable eye care and eyewear offerings have become even more important since the pandemic arrived.”</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Fahs concluded, “I would like to thank the 2,000-plus affiliated optometrists and over 12,000 associates at National Vision, as our performance stems from their tireless hard work, their resilience and their commitment to a ‘safety-first’ mindset and approach. As we enter the fourth quarter, while significant uncertainty remains, we are off to a strong start as the third quarter comp momentum continued throughout October. Overall, we continue to believe that we are well positioned to navigate the pandemic given our emphasis on safety in our store and supply chain operations and strong financial condition.”</w:t>
      </w:r>
    </w:p>
    <w:p>
      <w:pPr>
        <w:spacing w:after="0" w:line="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Comparable Store Sales Growth, Adjusted EBITDA, Adjusted Operating Income,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2020 Summary</w:t>
      </w:r>
    </w:p>
    <w:p>
      <w:pPr>
        <w:spacing w:after="0" w:line="121" w:lineRule="exact"/>
        <w:rPr>
          <w:sz w:val="20"/>
          <w:szCs w:val="20"/>
          <w:color w:val="auto"/>
        </w:rPr>
      </w:pPr>
    </w:p>
    <w:p>
      <w:pPr>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increased 12.4% to $485.4 million from $431.9 million for the third quarter of 2019. The impact from the timing of unearned revenue on net revenue and profitability was immaterial for the third quarter of 2020.</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11.6% and Adjusted Comparable Store Sales Growth was 12.4%.</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18 new stores, closed one store, and ended the quarter with 1,201 stores. Overall, store count grew 4.9% from September 28, 2019 to September 26, 2020. In July, the Company entered into an amendment to its existing Management &amp; Services Agreement (“MSA”) with Walmart Inc. that extended the current term and economics of the MSA by three years to February 23,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increased 3.1% to $210.8 million from $204.5 million for the third quarter of 2019. As a percentage of net revenue, costs applicable to revenue decreased 390 basis points to 43.4% from 47.3% for the third quarter of 2019. This decrease as a percentage of net revenue was primarily driven by increased eyeglass mix, higher eyeglass margin, and lower growth in optometrist costs.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0.1% to $190.5 million from $190.3 million for the third quarter of 2019. As a percentage of net revenue, SG&amp;A decreased 480 basis points to 39.3% from 44.1% for the third quarter of 2019. This decrease as a percentage of net revenue was primarily driven by lower advertising investment and lower stock-based compensation expense. SG&amp;A for the third quarter of 2020 was impacted by $4.7 million of incremental costs directly related to adapting the Company’s operations during the COVID-19 pandemic, including an individual one-time $250 cash bonus to all front-line associates and the Company’s network of doctors.</w:t>
      </w:r>
    </w:p>
    <w:p>
      <w:pPr>
        <w:sectPr>
          <w:pgSz w:w="11900" w:h="16838" w:orient="portrait"/>
          <w:cols w:equalWidth="0" w:num="1">
            <w:col w:w="11240"/>
          </w:cols>
          <w:pgMar w:left="320" w:top="117" w:right="339" w:bottom="1440" w:gutter="0" w:footer="0" w:header="0"/>
        </w:sectPr>
      </w:pPr>
    </w:p>
    <w:bookmarkStart w:id="5" w:name="page6"/>
    <w:bookmarkEnd w:id="5"/>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2,860% to $35.3 million compared to net income of $1.2 million for the third quarter of 2019.</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Diluted earnings per share increased 2,782% to $0.42 compared to $0.01 for the third quarter of 2019. Adjusted Diluted EPS increased 226% to $0.54 compared to $0.16 for the third quarter of 2019.</w:t>
      </w:r>
    </w:p>
    <w:p>
      <w:pPr>
        <w:ind w:left="340" w:hanging="332"/>
        <w:spacing w:after="0" w:line="25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89.3% to $88.1 million compared to $46.6 million for the third quarter of 2019. Adjusted EBITDA Margin increased 740 basis points to 18.2% from 10.8% for the third quarter of 2019.</w:t>
      </w:r>
    </w:p>
    <w:p>
      <w:pPr>
        <w:ind w:left="340" w:hanging="332"/>
        <w:spacing w:after="0" w:line="260"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increased 160% to $67.7 million compared to $26.1 million for the third quarter of 2019. Adjusted Operating Margin increased 800 basis points to 14.0% from 6.0% for the third quarter of 2019.</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Period Highlights</w:t>
      </w:r>
    </w:p>
    <w:p>
      <w:pPr>
        <w:spacing w:after="0" w:line="12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8.1% to $1.2 billion from $1.3 billion for the same period of 2019.</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negatively impacted by 1.1% due to the timing of unearned revenue.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store sales growth was (11.7)% and Adjusted Comparable Store Sales Growth was (11.1)%.</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opened 52 new stores, transitioned five Vision Centers in Walmart stores to its management, closed seven stores, and ended the period with 1,201 stores.</w:t>
      </w: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applicable to revenue decreased 7.9% to $570.1 million from $619.0 million for the same period of 2019. As a percentage of net revenue, costs applicable to revenue increased 10 basis points to 46.9% from 46.8% for the same period of 2019. This increase as a percentage of net revenue was primarily driven by optometrist costs incurred during temporary store closures in response to the COVID-19 pandemic as well as increased contact lens mix, partially offset by higher eyeglass margin.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decreased 8.1% to $520.8 million from $566.4 million for the same period of 2019. As a percentage of net revenue, SG&amp;A increased 10 basis points to 42.9% from 42.8% for the same period of 2019. This increase as a percentage of net revenue was primarily driven by store and corporate payroll and occupancy expenses incurred during temporary store closures, partially offset by lower advertising investment. SG&amp;A for the first nine months of 2020 includes $7.8 million of incremental costs directly related to adapting the Company's operations during the COVID-19 pandemic.</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96% to $1.2 million compared to net income of $28.9 million for the same period of 2019.</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decreased 95.9% to $0.01 compared to $0.35 for the same period of 2019. Adjusted Diluted EPS decreased 36.0% to $0.42 compared to $0.66 for the same period of 2019. The net change in margin on unearned revenue negatively impacted Adjusted Diluted EPS by $(0.11).</w:t>
      </w:r>
    </w:p>
    <w:p>
      <w:pPr>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13.5% to $134.8 million compared to $155.8 million for the same period of 2019. Adjusted EBITDA Margin decreased 70 basis points to 11.1% from 11.8% for the same period of 2019.</w:t>
      </w:r>
    </w:p>
    <w:p>
      <w:pPr>
        <w:jc w:val="both"/>
        <w:ind w:left="340" w:hanging="332"/>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decreased 27.0% to $71.4 million compared to $97.8 million for the same period of 2019. Adjusted Operating Margin decreased 150 basis points to 5.9% from 7.4% for the same period of 2019. The net change in margin on unearned revenue negatively impacted Adjusted EBITDA and Adjusted Operating Income by $(11.7)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 as of September 26, 2020</w:t>
      </w:r>
    </w:p>
    <w:p>
      <w:pPr>
        <w:spacing w:after="0" w:line="121" w:lineRule="exact"/>
        <w:rPr>
          <w:sz w:val="20"/>
          <w:szCs w:val="20"/>
          <w:color w:val="auto"/>
        </w:rPr>
      </w:pPr>
    </w:p>
    <w:p>
      <w:pPr>
        <w:ind w:left="340" w:hanging="332"/>
        <w:spacing w:after="0" w:line="261"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 balance was $377.0 million as of September 26, 2020. The Company had no borrowings under its $300.0 million first lien revolving credit facility, exclusive of letters of credit of $5.7 million.</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$651.7 million as of September 26, 2020, consisting of outstanding first lien term loans, convertible senior notes and finance lease obligations, net of unamortized discounts.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for the first nine months of 2020 were $203.7 million compared to $170.9 million for the same period of 2019.</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first nine months of 2020 totaled $40.8 million compared to $76.5 million for the same period of 2019, primarily due to the timing of new store capital investments.</w:t>
      </w:r>
    </w:p>
    <w:p>
      <w:pPr>
        <w:ind w:left="340" w:hanging="332"/>
        <w:spacing w:after="0" w:line="26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has sufficient liquidity to fund operations for at least the next 12 months, given cash on hand, cash expected to be generated from operations, and the cash available through its revolving credit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Fiscal 2020 Outlook</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is providing the following outlook for the 14 week and 53 week periods ending January 2, 2021, respectively. For the Company’s fourth quarter and fiscal 2020 outlook, the Company estimates that the 53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week will contribute approximately $35 million to net revenue with an approximately break-even impact to Adjusted Diluted EPS due to the net change in margin on unearned revenue. The Company’s fourth quarter and fiscal 2020 outlook reflects the currently expected impacts related to COVID-19, however, the ultimate impacts of COVID-19 on the Company’s financial outlook remain uncertain. The outlook shown below assumes no material deterioration to the Company’s current business operations as a result of COVID-19, governmental actions and regulations. Given the uncertainties, dynamic nature, resurgence, and unknown duration of the pandemic, the Company is continuing to evaluate additional measures that may be taken to respond to the impact of COVID-19 on its business.</w:t>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518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For the 14 weeks ending January 2, 2021</w:t>
            </w: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New Stores</w:t>
            </w:r>
          </w:p>
        </w:tc>
        <w:tc>
          <w:tcPr>
            <w:tcW w:w="2240" w:type="dxa"/>
            <w:vAlign w:val="bottom"/>
          </w:tcPr>
          <w:p>
            <w:pPr>
              <w:spacing w:after="0"/>
              <w:rPr>
                <w:sz w:val="18"/>
                <w:szCs w:val="18"/>
                <w:color w:val="auto"/>
              </w:rPr>
            </w:pPr>
          </w:p>
        </w:tc>
        <w:tc>
          <w:tcPr>
            <w:tcW w:w="29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5"/>
              </w:rPr>
              <w:t>~5</w:t>
            </w:r>
          </w:p>
        </w:tc>
      </w:tr>
      <w:tr>
        <w:trPr>
          <w:trHeight w:val="233"/>
        </w:trPr>
        <w:tc>
          <w:tcPr>
            <w:tcW w:w="54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2240" w:type="dxa"/>
            <w:vAlign w:val="bottom"/>
          </w:tcPr>
          <w:p>
            <w:pPr>
              <w:spacing w:after="0"/>
              <w:rPr>
                <w:sz w:val="20"/>
                <w:szCs w:val="20"/>
                <w:color w:val="auto"/>
              </w:rPr>
            </w:pPr>
          </w:p>
        </w:tc>
        <w:tc>
          <w:tcPr>
            <w:tcW w:w="294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$475 million</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$47 million</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$25 million</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$0.10 - $0.14</w:t>
            </w:r>
          </w:p>
        </w:tc>
      </w:tr>
    </w:tbl>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5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53 weeks ending January 2, 2021</w:t>
            </w: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New Stores</w:t>
            </w:r>
          </w:p>
        </w:tc>
        <w:tc>
          <w:tcPr>
            <w:tcW w:w="2240" w:type="dxa"/>
            <w:vAlign w:val="bottom"/>
          </w:tcPr>
          <w:p>
            <w:pPr>
              <w:spacing w:after="0"/>
              <w:rPr>
                <w:sz w:val="18"/>
                <w:szCs w:val="18"/>
                <w:color w:val="auto"/>
              </w:rPr>
            </w:pPr>
          </w:p>
        </w:tc>
        <w:tc>
          <w:tcPr>
            <w:tcW w:w="2940" w:type="dxa"/>
            <w:vAlign w:val="bottom"/>
          </w:tcPr>
          <w:p>
            <w:pPr>
              <w:jc w:val="center"/>
              <w:ind w:right="2170"/>
              <w:spacing w:after="0"/>
              <w:rPr>
                <w:sz w:val="20"/>
                <w:szCs w:val="20"/>
                <w:color w:val="auto"/>
              </w:rPr>
            </w:pPr>
            <w:r>
              <w:rPr>
                <w:rFonts w:ascii="Times New Roman" w:cs="Times New Roman" w:eastAsia="Times New Roman" w:hAnsi="Times New Roman"/>
                <w:sz w:val="18"/>
                <w:szCs w:val="18"/>
                <w:color w:val="auto"/>
              </w:rPr>
              <w:t>~57</w:t>
            </w:r>
          </w:p>
        </w:tc>
      </w:tr>
      <w:tr>
        <w:trPr>
          <w:trHeight w:val="233"/>
        </w:trPr>
        <w:tc>
          <w:tcPr>
            <w:tcW w:w="54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Adjusted Comparable Store Sales Growth</w:t>
            </w:r>
            <w:r>
              <w:rPr>
                <w:rFonts w:ascii="Times New Roman" w:cs="Times New Roman" w:eastAsia="Times New Roman" w:hAnsi="Times New Roman"/>
                <w:sz w:val="23"/>
                <w:szCs w:val="23"/>
                <w:color w:val="auto"/>
                <w:vertAlign w:val="superscript"/>
              </w:rPr>
              <w:t>1</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(6.4%) - (7.4%)</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$1.675 - $1.690 billion</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$181.5 million</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$96 million</w:t>
            </w:r>
          </w:p>
        </w:tc>
      </w:tr>
      <w:tr>
        <w:trPr>
          <w:trHeight w:val="22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$0.53 - $0.57</w:t>
            </w:r>
          </w:p>
        </w:tc>
      </w:tr>
      <w:tr>
        <w:trPr>
          <w:trHeight w:val="230"/>
        </w:trPr>
        <w:tc>
          <w:tcPr>
            <w:tcW w:w="54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2</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~$93 million</w:t>
            </w:r>
          </w:p>
        </w:tc>
      </w:tr>
      <w:tr>
        <w:trPr>
          <w:trHeight w:val="229"/>
        </w:trPr>
        <w:tc>
          <w:tcPr>
            <w:tcW w:w="54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Interest</w:t>
            </w:r>
            <w:r>
              <w:rPr>
                <w:rFonts w:ascii="Times New Roman" w:cs="Times New Roman" w:eastAsia="Times New Roman" w:hAnsi="Times New Roman"/>
                <w:sz w:val="23"/>
                <w:szCs w:val="23"/>
                <w:color w:val="auto"/>
                <w:vertAlign w:val="superscript"/>
              </w:rPr>
              <w:t>3</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~$32.5 million</w:t>
            </w:r>
          </w:p>
        </w:tc>
      </w:tr>
      <w:tr>
        <w:trPr>
          <w:trHeight w:val="233"/>
        </w:trPr>
        <w:tc>
          <w:tcPr>
            <w:tcW w:w="54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Tax Rate</w:t>
            </w:r>
            <w:r>
              <w:rPr>
                <w:rFonts w:ascii="Times New Roman" w:cs="Times New Roman" w:eastAsia="Times New Roman" w:hAnsi="Times New Roman"/>
                <w:sz w:val="23"/>
                <w:szCs w:val="23"/>
                <w:color w:val="auto"/>
                <w:vertAlign w:val="superscript"/>
              </w:rPr>
              <w:t>4</w:t>
            </w:r>
          </w:p>
        </w:tc>
        <w:tc>
          <w:tcPr>
            <w:tcW w:w="2240" w:type="dxa"/>
            <w:vAlign w:val="bottom"/>
          </w:tcPr>
          <w:p>
            <w:pPr>
              <w:spacing w:after="0"/>
              <w:rPr>
                <w:sz w:val="20"/>
                <w:szCs w:val="20"/>
                <w:color w:val="auto"/>
              </w:rPr>
            </w:pPr>
          </w:p>
        </w:tc>
        <w:tc>
          <w:tcPr>
            <w:tcW w:w="29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w w:val="98"/>
              </w:rPr>
              <w:t>~26%</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$80 million</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Incremental COVID-19 Expenses</w:t>
            </w:r>
          </w:p>
        </w:tc>
        <w:tc>
          <w:tcPr>
            <w:tcW w:w="5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 million</w:t>
            </w:r>
          </w:p>
        </w:tc>
      </w:tr>
    </w:tbl>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1 - For the 13 weeks and 52 weeks ending December 26, 2020, respectively</w:t>
      </w:r>
    </w:p>
    <w:p>
      <w:pPr>
        <w:ind w:left="340"/>
        <w:spacing w:after="0" w:line="201" w:lineRule="auto"/>
        <w:rPr>
          <w:sz w:val="20"/>
          <w:szCs w:val="20"/>
          <w:color w:val="auto"/>
        </w:rPr>
      </w:pPr>
      <w:r>
        <w:rPr>
          <w:rFonts w:ascii="Times New Roman" w:cs="Times New Roman" w:eastAsia="Times New Roman" w:hAnsi="Times New Roman"/>
          <w:sz w:val="14"/>
          <w:szCs w:val="14"/>
          <w:i w:val="1"/>
          <w:iCs w:val="1"/>
          <w:color w:val="auto"/>
        </w:rPr>
        <w:t>2 - Includes amortization of acquisition intangibles of approximately $1.9 million and $7.4 million for the 14 weeks and 53 weeks ending January 2, 2021 respectively</w:t>
      </w:r>
    </w:p>
    <w:p>
      <w:pPr>
        <w:ind w:left="340"/>
        <w:spacing w:after="0" w:line="201" w:lineRule="auto"/>
        <w:rPr>
          <w:sz w:val="20"/>
          <w:szCs w:val="20"/>
          <w:color w:val="auto"/>
        </w:rPr>
      </w:pPr>
      <w:r>
        <w:rPr>
          <w:rFonts w:ascii="Times New Roman" w:cs="Times New Roman" w:eastAsia="Times New Roman" w:hAnsi="Times New Roman"/>
          <w:sz w:val="14"/>
          <w:szCs w:val="14"/>
          <w:i w:val="1"/>
          <w:iCs w:val="1"/>
          <w:color w:val="auto"/>
        </w:rPr>
        <w:t>3 - Before the impact of gains or losses related to hedge ineffectiveness and charges related to amortization of debt discounts and deferred financing costs</w:t>
      </w:r>
    </w:p>
    <w:p>
      <w:pPr>
        <w:ind w:left="340"/>
        <w:spacing w:after="0"/>
        <w:rPr>
          <w:sz w:val="20"/>
          <w:szCs w:val="20"/>
          <w:color w:val="auto"/>
        </w:rPr>
      </w:pPr>
      <w:r>
        <w:rPr>
          <w:rFonts w:ascii="Times New Roman" w:cs="Times New Roman" w:eastAsia="Times New Roman" w:hAnsi="Times New Roman"/>
          <w:sz w:val="14"/>
          <w:szCs w:val="14"/>
          <w:i w:val="1"/>
          <w:iCs w:val="1"/>
          <w:color w:val="auto"/>
        </w:rPr>
        <w:t>4 - Excluding the impact of stock option exercises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fourth quarter and fiscal 2020 outlook information provided above includes Adjusted EBITDA,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fourth quarter and fiscal 2020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fourth quarter and fiscal 2020 outlook. The Company uses these forward looking measures internally to assess and benchmark its results and strategic plans.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conference call to discuss the third quarter 2020 financial results is scheduled for today, November 5, 2020, at 10:00 a.m. Eastern Time. The U.S. toll free dial-in for the conference call is 866-754-6931 and the international dial-in is 636-812-6625. The conference passcode is 8282008. A live audio webcast of the conference call will be available on the “Investors” section of the Company’s website </w:t>
      </w:r>
      <w:r>
        <w:rPr>
          <w:rFonts w:ascii="Times New Roman" w:cs="Times New Roman" w:eastAsia="Times New Roman" w:hAnsi="Times New Roman"/>
          <w:sz w:val="18"/>
          <w:szCs w:val="18"/>
          <w:u w:val="single" w:color="auto"/>
          <w:color w:val="0E32E1"/>
        </w:rPr>
        <w:t>www.nationalvision.com/investors</w:t>
      </w:r>
      <w:r>
        <w:rPr>
          <w:rFonts w:ascii="Times New Roman" w:cs="Times New Roman" w:eastAsia="Times New Roman" w:hAnsi="Times New Roman"/>
          <w:sz w:val="18"/>
          <w:szCs w:val="18"/>
          <w:color w:val="auto"/>
        </w:rPr>
        <w:t>, where presentation materials will be posted prior to the conference call.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telephone replay will be available shortly after the broadcast through Thursday, November 12, 2020, by dialing 855-859-2056 from the U.S. or 404-537-3406 from international locations, and entering conference passcode 8282008. A replay of the audio webcast will also be archived on the “Investors” section of the Company’s website.</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National Vision Holdings, Inc. is one of the largest optical retail companies in the United States with more than 1,200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select Fred Meyer stores and on select military bases, and several e-commerce websites, offering a variety of products and services for customers’ eyecare needs.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“Fourth Quarter and Fiscal 2020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the forward-looking statements. Such factors include, but are not limited to, the scale, scope and duration of the novel coronavirus, or COVID-19, pandemic and its resurgence, and the impact of evolving federal, state, and local governmental actions in response thereto; customer behavior in response to the continuing pandemic and its resurgence, and evolving federal, state, and local governmental actions, including the impact of such behavior on in-store traffic and sales; our ability to keep our reopened stores open in a safe and cost-effective manner, or at all, in light of the continuing COVID-19 pandemic and its resurgence, and to open and operate new stores, and to successfully enter new markets in a timely and cost-effective manner; operational disruptions if a significant percentage of our workforce is unable to work or we experience labor shortages, including because of illness or travel or government restrictions in connection with the pandemic; the impact on our business of civil unrest, implementation of curfews and protests in certain locations, and related store closures or damage; our ability to recruit and retain vision care professionals for our stores in general and in light of the pandemic; our ability to develop and maintain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successfully compete in the highly competitive optical retail industry; any failure, inadequacy, interruption, security failure or breach of our information technology systems;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 prescription eyeglasses or contact lenses, and future drug development for the correction of vision-related problems; our ability to retain our existing senior management team and attract qualified new personnel; overall decline in the health of the economy and consumer spending affecting consumer purchases; our ability to manage our inventory balances and inventory shrinkage; seasonal fluctuations in our operating results and inventory levels; our reliance on third-party coverage and reimbursement, including government programs, for an increasing portion of our revenues; risks associated with our e-commerce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risks of losses arising from our investments in technological innovators in the optical retail industry; our ability to adequately protect our intellectual property; our significant amount of indebtedness and our ability to generate sufficient cash flow to satisfy our significant debt service obligations; an increase in interest rates as well as changes in benchmark rates and uncertainty related to the foregoing; restrictions in our credit agreement that limits our flexibility in operating our business; potential dilution to existing stockholders upon</w:t>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color w:val="auto"/>
        </w:rPr>
        <w:t>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our Form 8-K filed on March 19, 2020, our Quarterly Reports on Form 10-Q filed on May 7, 2020, August 6, 2020, and November 5, 2020, and subsequent filings with the SEC,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Operating Income,” “Adjusted Operating Margin,” “Adjusted Diluted EPS,” “Adjusted SG&amp;A” and “Adjusted SG&amp;A Percent of Net Revenue.” We believe EBITDA, Adjusted EBITDA, Adjusted EBITDA Margin, Adjusted Operating Income, Adjusted Operating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See our Form 8-K filed with the SEC on February 26, 2020 for more information.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Beginning with the first quarter of fiscal 2020, the Company updated its definitions of Adjusted EBITDA, Adjusted SG&amp;A, and Adjusted Diluted EPS discussed below, so that they no longer exclude new store pre-opening expenses and non-cash rent.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EBITDA: </w:t>
      </w:r>
      <w:r>
        <w:rPr>
          <w:rFonts w:ascii="Times New Roman" w:cs="Times New Roman" w:eastAsia="Times New Roman" w:hAnsi="Times New Roman"/>
          <w:sz w:val="18"/>
          <w:szCs w:val="18"/>
          <w:color w:val="auto"/>
        </w:rPr>
        <w:t>We define EBITDA as net income (loss), plus interest expense, income tax provision (benefit) and depreciation and amortization.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We define Adjusted EBITDA as net income (loss), plus interest expense, income tax provision (benefit) and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further adjusted to exclude stock compensation expense, loss on extinguishment of debt, asset impairment, litigation settlement, secondary offering expenses, management realignment expenses, long-term incentive plan expenses, and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Income: </w:t>
      </w:r>
      <w:r>
        <w:rPr>
          <w:rFonts w:ascii="Times New Roman" w:cs="Times New Roman" w:eastAsia="Times New Roman" w:hAnsi="Times New Roman"/>
          <w:sz w:val="18"/>
          <w:szCs w:val="18"/>
          <w:color w:val="auto"/>
        </w:rPr>
        <w:t>We define Adjusted Operating Income as net income (loss), plus interest expense and income tax provision (benefit),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to exclude stock compensation expense, loss on extinguishment of debt, asset impairment, litigation settlement, secondary offering expenses, management realignment expenses, long-term incentive plan expenses, amortization of acquisition intangibles, and other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Operating Margin: </w:t>
      </w:r>
      <w:r>
        <w:rPr>
          <w:rFonts w:ascii="Times New Roman" w:cs="Times New Roman" w:eastAsia="Times New Roman" w:hAnsi="Times New Roman"/>
          <w:sz w:val="18"/>
          <w:szCs w:val="18"/>
          <w:color w:val="auto"/>
        </w:rPr>
        <w:t>We define Adjusted Operating Margin as Adjusted Operating Income as a percentage of net revenue.</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Diluted EPS: </w:t>
      </w:r>
      <w:r>
        <w:rPr>
          <w:rFonts w:ascii="Times New Roman" w:cs="Times New Roman" w:eastAsia="Times New Roman" w:hAnsi="Times New Roman"/>
          <w:sz w:val="18"/>
          <w:szCs w:val="18"/>
          <w:color w:val="auto"/>
        </w:rPr>
        <w:t>We define Adjusted Diluted EPS as diluted earnings (loss) per share, adjusted for the per share impact of stock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loss on extinguishment of debt, asset impairment, litigation settlement, secondary offering expenses, management realignment expenses, long-term incentive plan expenses, amortization of acquisition intangibles, amortization of debt discount and deferred financing costs, losses (gains) on change in fair value of derivatives, other expenses, and tax benefit of stock option exercises, less the tax effect of these adjustments.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w:t>
      </w:r>
      <w:r>
        <w:rPr>
          <w:rFonts w:ascii="Times New Roman" w:cs="Times New Roman" w:eastAsia="Times New Roman" w:hAnsi="Times New Roman"/>
          <w:sz w:val="18"/>
          <w:szCs w:val="18"/>
          <w:color w:val="auto"/>
        </w:rPr>
        <w:t>We define Adjusted SG&amp;A as SG&amp;A, adjusted to exclude stock compensation expense, secondary offering expenses,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realignment expenses, long-term incentive plan expenses, and other expenses except for the share of losses on equity method investments.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Adjusted SG&amp;A Percent of Net Revenue: </w:t>
      </w:r>
      <w:r>
        <w:rPr>
          <w:rFonts w:ascii="Times New Roman" w:cs="Times New Roman" w:eastAsia="Times New Roman" w:hAnsi="Times New Roman"/>
          <w:sz w:val="18"/>
          <w:szCs w:val="18"/>
          <w:color w:val="auto"/>
        </w:rPr>
        <w:t>We define Adjusted SG&amp;A Percent of Net Revenue as Adjusted SG&amp;A divided by net revenue.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Comparable Store Sales Growth: </w:t>
      </w:r>
      <w:r>
        <w:rPr>
          <w:rFonts w:ascii="Times New Roman" w:cs="Times New Roman" w:eastAsia="Times New Roman" w:hAnsi="Times New Roman"/>
          <w:sz w:val="18"/>
          <w:szCs w:val="18"/>
          <w:color w:val="auto"/>
        </w:rPr>
        <w:t>We measure Adjusted Comparable Store Sales Growth as the increase or decrease in sales recorded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Adjusted EBITDA, Adjusted EBITDA Margin, Adjusted Operating Income, Adjusted Operating Margin, Adjusted Diluted EPS, Adjusted SG&amp;A, Adjusted SG&amp;A Percent of Net Revenue, and Adjusted Comparable Store Sales Growth are not recognized terms under GAAP and should not be considered as an alternative to net income,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26, 2020 and December 28,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26, 2020</w:t>
            </w:r>
          </w:p>
        </w:tc>
        <w:tc>
          <w:tcPr>
            <w:tcW w:w="200" w:type="dxa"/>
            <w:vAlign w:val="bottom"/>
          </w:tcPr>
          <w:p>
            <w:pPr>
              <w:spacing w:after="0"/>
              <w:rPr>
                <w:sz w:val="19"/>
                <w:szCs w:val="19"/>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28, 2019</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44,475</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23,266</w:t>
            </w:r>
          </w:p>
        </w:tc>
        <w:tc>
          <w:tcPr>
            <w:tcW w:w="0" w:type="dxa"/>
            <w:vAlign w:val="bottom"/>
          </w:tcPr>
          <w:p>
            <w:pPr>
              <w:spacing w:after="0"/>
              <w:rPr>
                <w:sz w:val="1"/>
                <w:szCs w:val="1"/>
                <w:color w:val="auto"/>
              </w:rPr>
            </w:pPr>
          </w:p>
        </w:tc>
      </w:tr>
      <w:tr>
        <w:trPr>
          <w:trHeight w:val="223"/>
        </w:trPr>
        <w:tc>
          <w:tcPr>
            <w:tcW w:w="7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366,767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1,752,078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1,798,086</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2,307,513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2,032,725</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28,002</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51,937</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273,179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and finance lease obligations, less current portion and debt discount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555,933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operating lease obligations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331,769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95,407</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81,917 and 80,603 shares issued as</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of September 26, 2020 and December 28, 2019, respectively; 80,989 and 79,678 shares</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26, 2020 and December 28, 2019, respectively</w:t>
            </w: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107,132</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928 and 925 shares as of September 26, 2020 and December 28, 2019,</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(27,807)</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776,437</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2,307,513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2,032,725</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Operations and Comprehensive Income For the Three and Nine Months Ended September 26, 2020 and September 28, 2019 </w:t>
      </w:r>
      <w:r>
        <w:rPr>
          <w:rFonts w:ascii="Times New Roman" w:cs="Times New Roman" w:eastAsia="Times New Roman" w:hAnsi="Times New Roman"/>
          <w:sz w:val="18"/>
          <w:szCs w:val="18"/>
          <w:i w:val="1"/>
          <w:iCs w:val="1"/>
          <w:color w:val="auto"/>
        </w:rPr>
        <w:t>In Thousands, Except Earnings Per Share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26, 2020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28, 2019</w:t>
            </w:r>
          </w:p>
        </w:tc>
        <w:tc>
          <w:tcPr>
            <w:tcW w:w="10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26, 2020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403,336</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355,789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1,005,884</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1,096,482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82,017</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209,180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226,086</w:t>
            </w: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485,353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1,215,064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1,322,568</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402,279</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444,177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62,535</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167,864</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174,801</w:t>
            </w:r>
          </w:p>
        </w:tc>
        <w:tc>
          <w:tcPr>
            <w:tcW w:w="0" w:type="dxa"/>
            <w:vAlign w:val="bottom"/>
          </w:tcPr>
          <w:p>
            <w:pPr>
              <w:spacing w:after="0"/>
              <w:rPr>
                <w:sz w:val="1"/>
                <w:szCs w:val="1"/>
                <w:color w:val="auto"/>
              </w:rPr>
            </w:pPr>
          </w:p>
        </w:tc>
      </w:tr>
      <w:tr>
        <w:trPr>
          <w:trHeight w:val="223"/>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210,809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570,143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618,978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190,518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520,841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566,444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63,570</w:t>
            </w: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219,750</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614,810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4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42,319</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19"/>
                <w:szCs w:val="19"/>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hedge instruments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175"/>
        </w:trPr>
        <w:tc>
          <w:tcPr>
            <w:tcW w:w="48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Tax provision (benefit) of unrealized gain (loss) on hedge</w:t>
            </w:r>
          </w:p>
        </w:tc>
        <w:tc>
          <w:tcPr>
            <w:tcW w:w="4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instruments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765"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26, 2020 and September 28,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September 26, 2020</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September 28, 2019</w:t>
            </w:r>
          </w:p>
        </w:tc>
      </w:tr>
      <w:tr>
        <w:trPr>
          <w:trHeight w:val="199"/>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63,570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7,387</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loss expense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11,373</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22,286</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170,938</w:t>
            </w: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(76,472)</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(75,908)</w:t>
            </w: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on long-term debt, net of discounts</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566,550</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(564,300)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r>
      <w:tr>
        <w:trPr>
          <w:trHeight w:val="213"/>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w:t>
            </w:r>
          </w:p>
        </w:tc>
      </w:t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(17,742)</w:t>
            </w:r>
          </w:p>
        </w:tc>
      </w:tr>
      <w:tr>
        <w:trPr>
          <w:trHeight w:val="207"/>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77,288</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17,998</w:t>
            </w:r>
          </w:p>
        </w:tc>
      </w:tr>
      <w:tr>
        <w:trPr>
          <w:trHeight w:val="212"/>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95,286</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29"/>
        </w:trPr>
        <w:tc>
          <w:tcPr>
            <w:tcW w:w="8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4"/>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25,182</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assets acquired under finance leases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 acquired under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84,643</w:t>
            </w:r>
          </w:p>
        </w:tc>
      </w:tr>
    </w:tbl>
    <w:p>
      <w:pPr>
        <w:sectPr>
          <w:pgSz w:w="11900" w:h="16838" w:orient="portrait"/>
          <w:cols w:equalWidth="0" w:num="1">
            <w:col w:w="11220"/>
          </w:cols>
          <w:pgMar w:left="320" w:top="873" w:right="359" w:bottom="1440" w:gutter="0" w:footer="0" w:header="0"/>
        </w:sectPr>
      </w:pPr>
    </w:p>
    <w:bookmarkStart w:id="13" w:name="page14"/>
    <w:bookmarkEnd w:id="13"/>
    <w:p>
      <w:pPr>
        <w:jc w:val="center"/>
        <w:ind w:left="340" w:right="240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National Vision Holdings, Inc. and Subsidiaries Reconciliation of Non-GAAP to GAAP Financial Measures For the Three and Nine Months Ended September 26, 2020 and September 28, 2019 </w:t>
      </w:r>
      <w:r>
        <w:rPr>
          <w:rFonts w:ascii="Times New Roman" w:cs="Times New Roman" w:eastAsia="Times New Roman" w:hAnsi="Times New Roman"/>
          <w:sz w:val="18"/>
          <w:szCs w:val="18"/>
          <w:i w:val="1"/>
          <w:iCs w:val="1"/>
          <w:color w:val="auto"/>
        </w:rPr>
        <w:t xml:space="preserve">In Thousands, Except Per Share Information </w:t>
      </w:r>
      <w:r>
        <w:rPr>
          <w:rFonts w:ascii="Times New Roman" w:cs="Times New Roman" w:eastAsia="Times New Roman" w:hAnsi="Times New Roman"/>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to Net Income</w:t>
            </w:r>
          </w:p>
        </w:tc>
        <w:tc>
          <w:tcPr>
            <w:tcW w:w="1880" w:type="dxa"/>
            <w:vAlign w:val="bottom"/>
            <w:gridSpan w:val="4"/>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6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26, 2020</w:t>
            </w:r>
          </w:p>
        </w:tc>
        <w:tc>
          <w:tcPr>
            <w:tcW w:w="14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26, 2020</w:t>
            </w:r>
          </w:p>
        </w:tc>
        <w:tc>
          <w:tcPr>
            <w:tcW w:w="14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(h)</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55"/>
        </w:trPr>
        <w:tc>
          <w:tcPr>
            <w:tcW w:w="39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 Adjusted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67,742</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26,067</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71,381</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97,808</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Operating Margin</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180"/>
              <w:spacing w:after="0" w:line="122" w:lineRule="exact"/>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900" w:type="dxa"/>
            <w:vAlign w:val="bottom"/>
            <w:vMerge w:val="continue"/>
          </w:tcPr>
          <w:p>
            <w:pPr>
              <w:spacing w:after="0"/>
              <w:rPr>
                <w:sz w:val="7"/>
                <w:szCs w:val="7"/>
                <w:color w:val="auto"/>
              </w:rPr>
            </w:pPr>
          </w:p>
        </w:tc>
        <w:tc>
          <w:tcPr>
            <w:tcW w:w="1860" w:type="dxa"/>
            <w:vAlign w:val="bottom"/>
            <w:gridSpan w:val="4"/>
          </w:tcPr>
          <w:p>
            <w:pPr>
              <w:ind w:left="120"/>
              <w:spacing w:after="0" w:line="82" w:lineRule="exact"/>
              <w:rPr>
                <w:sz w:val="20"/>
                <w:szCs w:val="20"/>
                <w:color w:val="auto"/>
              </w:rPr>
            </w:pPr>
            <w:r>
              <w:rPr>
                <w:rFonts w:ascii="Times New Roman" w:cs="Times New Roman" w:eastAsia="Times New Roman" w:hAnsi="Times New Roman"/>
                <w:sz w:val="9"/>
                <w:szCs w:val="9"/>
                <w:color w:val="auto"/>
              </w:rPr>
              <w:t>adjusted for rounding</w:t>
            </w: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576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6"/>
        </w:trPr>
        <w:tc>
          <w:tcPr>
            <w:tcW w:w="5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to Net Income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September 26, 2020</w:t>
            </w:r>
          </w:p>
        </w:tc>
        <w:tc>
          <w:tcPr>
            <w:tcW w:w="14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26, 2020</w:t>
            </w:r>
          </w:p>
        </w:tc>
        <w:tc>
          <w:tcPr>
            <w:tcW w:w="14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28,879</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22,236</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EBITDA / Adjusted EBITDA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134,797</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w:t>
            </w:r>
          </w:p>
        </w:tc>
        <w:tc>
          <w:tcPr>
            <w:tcW w:w="0" w:type="dxa"/>
            <w:vAlign w:val="bottom"/>
          </w:tcPr>
          <w:p>
            <w:pPr>
              <w:spacing w:after="0"/>
              <w:rPr>
                <w:sz w:val="1"/>
                <w:szCs w:val="1"/>
                <w:color w:val="auto"/>
              </w:rPr>
            </w:pPr>
          </w:p>
        </w:tc>
      </w:tr>
    </w:tbl>
    <w:p>
      <w:pPr>
        <w:ind w:left="120"/>
        <w:spacing w:after="0" w:line="211" w:lineRule="auto"/>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-80645</wp:posOffset>
            </wp:positionV>
            <wp:extent cx="617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-80645</wp:posOffset>
            </wp:positionV>
            <wp:extent cx="6172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-80645</wp:posOffset>
            </wp:positionV>
            <wp:extent cx="617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-80645</wp:posOffset>
            </wp:positionV>
            <wp:extent cx="617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3"/>
        </w:trPr>
        <w:tc>
          <w:tcPr>
            <w:tcW w:w="58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Diluted EPS to Diluted EPS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34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September 26, 2020</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September 26, 2020</w:t>
            </w: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September 28, 2019</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extinguishment of debt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(c)</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(h)</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debt discount and deferred financing</w:t>
            </w:r>
          </w:p>
        </w:tc>
        <w:tc>
          <w:tcPr>
            <w:tcW w:w="12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(i)</w:t>
            </w:r>
          </w:p>
        </w:tc>
        <w:tc>
          <w:tcPr>
            <w:tcW w:w="1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Losses (gains) on change in fair value of derivatives </w:t>
            </w:r>
            <w:r>
              <w:rPr>
                <w:rFonts w:ascii="Times New Roman" w:cs="Times New Roman" w:eastAsia="Times New Roman" w:hAnsi="Times New Roman"/>
                <w:sz w:val="23"/>
                <w:szCs w:val="23"/>
                <w:color w:val="auto"/>
                <w:vertAlign w:val="superscript"/>
              </w:rPr>
              <w:t>(j)</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(k)</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3"/>
                <w:szCs w:val="23"/>
                <w:color w:val="auto"/>
                <w:vertAlign w:val="superscript"/>
              </w:rPr>
              <w:t>(l)</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(m)</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w:t>
            </w:r>
          </w:p>
        </w:tc>
        <w:tc>
          <w:tcPr>
            <w:tcW w:w="7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differences</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752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SG&amp;A and Adjusted SG&amp;A Percent of Net Revenue to SG&amp;A</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7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September 26, 2020</w:t>
            </w:r>
          </w:p>
        </w:tc>
        <w:tc>
          <w:tcPr>
            <w:tcW w:w="180" w:type="dxa"/>
            <w:vAlign w:val="bottom"/>
          </w:tcPr>
          <w:p>
            <w:pPr>
              <w:spacing w:after="0"/>
              <w:rPr>
                <w:sz w:val="19"/>
                <w:szCs w:val="19"/>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26, 2020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28, 2019</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190,518</w:t>
            </w:r>
          </w:p>
        </w:tc>
        <w:tc>
          <w:tcPr>
            <w:tcW w:w="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190,290</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520,841</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566,444</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Secondary offering expenses </w:t>
            </w:r>
            <w:r>
              <w:rPr>
                <w:rFonts w:ascii="Times New Roman" w:cs="Times New Roman" w:eastAsia="Times New Roman" w:hAnsi="Times New Roman"/>
                <w:sz w:val="23"/>
                <w:szCs w:val="23"/>
                <w:color w:val="auto"/>
                <w:vertAlign w:val="superscript"/>
              </w:rPr>
              <w:t>(e)</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Management realignment expenses </w:t>
            </w:r>
            <w:r>
              <w:rPr>
                <w:rFonts w:ascii="Times New Roman" w:cs="Times New Roman" w:eastAsia="Times New Roman" w:hAnsi="Times New Roman"/>
                <w:sz w:val="23"/>
                <w:szCs w:val="23"/>
                <w:color w:val="auto"/>
                <w:vertAlign w:val="superscript"/>
              </w:rPr>
              <w:t>(f)</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incentive plan </w:t>
            </w:r>
            <w:r>
              <w:rPr>
                <w:rFonts w:ascii="Times New Roman" w:cs="Times New Roman" w:eastAsia="Times New Roman" w:hAnsi="Times New Roman"/>
                <w:sz w:val="23"/>
                <w:szCs w:val="23"/>
                <w:color w:val="auto"/>
                <w:vertAlign w:val="superscript"/>
              </w:rPr>
              <w:t>(g)</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(n)</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0.4%</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55"/>
        </w:trPr>
        <w:tc>
          <w:tcPr>
            <w:tcW w:w="364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Adjusted SG&amp;A/ Adjusted SG&amp;A Percent of</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186,571</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180,931</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510,300</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42.0%</w:t>
            </w:r>
          </w:p>
        </w:tc>
        <w:tc>
          <w:tcPr>
            <w:tcW w:w="2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548,026</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40"/>
        <w:spacing w:after="0" w:line="211" w:lineRule="auto"/>
        <w:rPr>
          <w:sz w:val="20"/>
          <w:szCs w:val="20"/>
          <w:color w:val="auto"/>
        </w:rPr>
      </w:pPr>
      <w:r>
        <w:rPr>
          <w:rFonts w:ascii="Times New Roman" w:cs="Times New Roman" w:eastAsia="Times New Roman" w:hAnsi="Times New Roman"/>
          <w:sz w:val="14"/>
          <w:szCs w:val="14"/>
          <w:color w:val="auto"/>
        </w:rPr>
        <w:t>Note: Percentages reflect line item as a percentage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-80645</wp:posOffset>
            </wp:positionV>
            <wp:extent cx="617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-80645</wp:posOffset>
            </wp:positionV>
            <wp:extent cx="6769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91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-80645</wp:posOffset>
            </wp:positionV>
            <wp:extent cx="677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-80645</wp:posOffset>
            </wp:positionV>
            <wp:extent cx="676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p>
      <w:pPr>
        <w:spacing w:after="0" w:line="33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deferred financing fees related to the extinguishment of debt.</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 related assets on closed or underperforming stores.</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associated with settlement of litigation. See Note 10. “Commitments and Contingencies” for further details.</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our secondary public offerings for the three and nine months ended September 28, 2019 and September 29, 2018, respectively.</w:t>
      </w:r>
    </w:p>
    <w:p>
      <w:pPr>
        <w:spacing w:after="0" w:line="1"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non-recurring management realignment described in the Current Report on Form 8-K filed with the SEC on January 10, 2019.</w:t>
      </w:r>
    </w:p>
    <w:p>
      <w:pPr>
        <w:spacing w:after="0" w:line="1" w:lineRule="exact"/>
        <w:rPr>
          <w:rFonts w:ascii="Times New Roman" w:cs="Times New Roman" w:eastAsia="Times New Roman" w:hAnsi="Times New Roman"/>
          <w:sz w:val="14"/>
          <w:szCs w:val="14"/>
          <w:color w:val="auto"/>
        </w:rPr>
      </w:pPr>
    </w:p>
    <w:p>
      <w:pPr>
        <w:ind w:left="660" w:right="660" w:hanging="328"/>
        <w:spacing w:after="0" w:line="241" w:lineRule="auto"/>
        <w:tabs>
          <w:tab w:leader="none" w:pos="65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pursuant to a long-term incentive plan for non-executive employees who were not participants in the management equity plan for fiscal year 2019. This plan was effective in 2014 following the KKR Acquisition.</w:t>
      </w:r>
    </w:p>
    <w:p>
      <w:pPr>
        <w:ind w:left="640" w:hanging="30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to the KKR Acquisition.</w:t>
      </w:r>
    </w:p>
    <w:p>
      <w:pPr>
        <w:sectPr>
          <w:pgSz w:w="11900" w:h="16838" w:orient="portrait"/>
          <w:cols w:equalWidth="0" w:num="1">
            <w:col w:w="11240"/>
          </w:cols>
          <w:pgMar w:left="320" w:top="900" w:right="339" w:bottom="1440" w:gutter="0" w:footer="0" w:header="0"/>
        </w:sectPr>
      </w:pPr>
    </w:p>
    <w:bookmarkStart w:id="15" w:name="page16"/>
    <w:bookmarkEnd w:id="15"/>
    <w:p>
      <w:pPr>
        <w:jc w:val="both"/>
        <w:ind w:left="660" w:right="660" w:hanging="328"/>
        <w:spacing w:after="0" w:line="247" w:lineRule="auto"/>
        <w:tabs>
          <w:tab w:leader="none" w:pos="6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debt discount is associated with the amortization of the conversion feature related to the convertible notes and amortization of deferred financing costs relate to the convertible note, term loan and revolving credit facility borrowings. Amortization of debt discount and deferred financing costs in aggregate total $4.5 million and $0.2 million for the three months ended September 26, 2020 and September 28, 2019, respectively, and $7.2 million and $1.1 million for the nine months ended September 26, 2020 and September 28, 2019, respectively.</w:t>
      </w:r>
    </w:p>
    <w:p>
      <w:pPr>
        <w:spacing w:after="0" w:line="1" w:lineRule="exact"/>
        <w:rPr>
          <w:rFonts w:ascii="Times New Roman" w:cs="Times New Roman" w:eastAsia="Times New Roman" w:hAnsi="Times New Roman"/>
          <w:sz w:val="14"/>
          <w:szCs w:val="14"/>
          <w:color w:val="auto"/>
        </w:rPr>
      </w:pPr>
    </w:p>
    <w:p>
      <w:pPr>
        <w:ind w:left="660" w:right="660" w:hanging="328"/>
        <w:spacing w:after="0" w:line="241" w:lineRule="auto"/>
        <w:tabs>
          <w:tab w:leader="none" w:pos="6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$0.3 million of gains recognized in interest expense on change in fair value of de-designated hedges for the three months ended September 26, 2020 and $4.6 million of losses for the nine months ended September 26, 2020.</w:t>
      </w:r>
    </w:p>
    <w:p>
      <w:pPr>
        <w:jc w:val="both"/>
        <w:ind w:left="660" w:right="640" w:hanging="328"/>
        <w:spacing w:after="0" w:line="241"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$0.2 million for the three months ended September 28, 2019 and $1.2 million for the nine months ended September 28, 2019; the amortization impact of adjustments related to the KKR Acquisition, (e.g., fair value of leasehold interests) of $0.1 million for each of the three months ended September 26, 2020 and September 28, 2019, respectively, and $0.4 million and $0.3 million for the nine months ended September 26, 2020 and September 28, 2019, respectively; costs of severance and relocation of $0.6 million and $1.0 million for the three months ended September 26, 2020 and September 28, 2019, respectively, and $1.1 million and $1.8 million for the nine months ended September 26, 2020 and September 28, 2019, respectively; excess payroll taxes related to stock option exercises of $0.2 million and $0.5 million for the three months ended September 26, 2020 and September 28, 2019, respectively, and $0.6 million for each of the nine months ended September 26, 2020 and September 28, 2019; incremental costs directly related to adapting the Company’s operations during the COVID-19 pandemic of $0.6 million for the nine months ended September 26, 2020; and other expenses and adjustments totaling $0.1 million and $0.2 million for the three months ended September 26, 2020 and September 28, 2019, respectively, and $(0.5) million and $0.5 million for the nine months ended September 26, 2020 and September 28, 2019, respectively.</w:t>
      </w:r>
    </w:p>
    <w:p>
      <w:pPr>
        <w:spacing w:after="0" w:line="3" w:lineRule="exact"/>
        <w:rPr>
          <w:rFonts w:ascii="Times New Roman" w:cs="Times New Roman" w:eastAsia="Times New Roman" w:hAnsi="Times New Roman"/>
          <w:sz w:val="14"/>
          <w:szCs w:val="14"/>
          <w:color w:val="auto"/>
        </w:rPr>
      </w:pPr>
    </w:p>
    <w:p>
      <w:pPr>
        <w:ind w:left="660" w:right="660" w:hanging="328"/>
        <w:spacing w:after="0" w:line="241" w:lineRule="auto"/>
        <w:tabs>
          <w:tab w:leader="none" w:pos="64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 w:lineRule="exact"/>
        <w:rPr>
          <w:rFonts w:ascii="Times New Roman" w:cs="Times New Roman" w:eastAsia="Times New Roman" w:hAnsi="Times New Roman"/>
          <w:sz w:val="14"/>
          <w:szCs w:val="14"/>
          <w:color w:val="auto"/>
        </w:rPr>
      </w:pPr>
    </w:p>
    <w:p>
      <w:pPr>
        <w:ind w:left="660" w:right="660" w:hanging="328"/>
        <w:spacing w:after="0" w:line="258" w:lineRule="auto"/>
        <w:tabs>
          <w:tab w:leader="none" w:pos="65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(k) above, except for our share of losses on equity method investments of $0.2 million for the three months ended September 28, 2019 and $1.2 million for the nine months ended September 28,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Comparable Store Sales Growth to Total Comparable Store Sales Growth</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ind w:left="80"/>
              <w:spacing w:after="0" w:line="237" w:lineRule="exact"/>
              <w:rPr>
                <w:sz w:val="20"/>
                <w:szCs w:val="20"/>
                <w:color w:val="auto"/>
              </w:rPr>
            </w:pPr>
            <w:r>
              <w:rPr>
                <w:rFonts w:ascii="Times New Roman" w:cs="Times New Roman" w:eastAsia="Times New Roman" w:hAnsi="Times New Roman"/>
                <w:sz w:val="18"/>
                <w:szCs w:val="18"/>
                <w:color w:val="auto"/>
              </w:rPr>
              <w:t>Comparable store sales growth</w:t>
            </w:r>
            <w:r>
              <w:rPr>
                <w:rFonts w:ascii="Times New Roman" w:cs="Times New Roman" w:eastAsia="Times New Roman" w:hAnsi="Times New Roman"/>
                <w:sz w:val="23"/>
                <w:szCs w:val="23"/>
                <w:color w:val="auto"/>
                <w:vertAlign w:val="superscript"/>
              </w:rPr>
              <w:t>(a)</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9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9"/>
                <w:szCs w:val="19"/>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Nine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48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September 26,</w:t>
            </w:r>
          </w:p>
        </w:tc>
        <w:tc>
          <w:tcPr>
            <w:tcW w:w="142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80" w:type="dxa"/>
            <w:vAlign w:val="bottom"/>
          </w:tcPr>
          <w:p>
            <w:pPr>
              <w:spacing w:after="0"/>
              <w:rPr>
                <w:sz w:val="14"/>
                <w:szCs w:val="14"/>
                <w:color w:val="auto"/>
              </w:rPr>
            </w:pPr>
          </w:p>
        </w:tc>
        <w:tc>
          <w:tcPr>
            <w:tcW w:w="1500" w:type="dxa"/>
            <w:vAlign w:val="bottom"/>
            <w:tcBorders>
              <w:top w:val="single" w:sz="8" w:color="auto"/>
            </w:tcBorders>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September 26,</w:t>
            </w:r>
          </w:p>
        </w:tc>
        <w:tc>
          <w:tcPr>
            <w:tcW w:w="140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September 28,</w:t>
            </w:r>
          </w:p>
        </w:tc>
        <w:tc>
          <w:tcPr>
            <w:tcW w:w="100" w:type="dxa"/>
            <w:vAlign w:val="bottom"/>
          </w:tcPr>
          <w:p>
            <w:pPr>
              <w:spacing w:after="0"/>
              <w:rPr>
                <w:sz w:val="14"/>
                <w:szCs w:val="14"/>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Q4 Outlook</w:t>
            </w:r>
          </w:p>
        </w:tc>
        <w:tc>
          <w:tcPr>
            <w:tcW w:w="12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2020 Outlook</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Owned &amp; Host segment</w:t>
            </w:r>
          </w:p>
        </w:tc>
        <w:tc>
          <w:tcPr>
            <w:tcW w:w="1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 Best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Eyeglass World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Military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Fred Meyer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Legacy segment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comparable store sales growth</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5.5 - 9.5%</w:t>
            </w:r>
          </w:p>
        </w:tc>
        <w:tc>
          <w:tcPr>
            <w:tcW w:w="10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(6.6) - (7.6%)</w:t>
            </w: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Comparable Store Sales</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 - (7.4%)</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(b)</w:t>
            </w: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60" w:right="660" w:hanging="328"/>
        <w:spacing w:after="0" w:line="251" w:lineRule="auto"/>
        <w:tabs>
          <w:tab w:leader="none" w:pos="6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1. Item 1. in our Quarterly Report on Form 10-Q, with the exception of the Legacy segment, which is adjusted as noted in clause (b) (ii) below.</w:t>
      </w:r>
    </w:p>
    <w:p>
      <w:pPr>
        <w:spacing w:after="0" w:line="76" w:lineRule="exact"/>
        <w:rPr>
          <w:rFonts w:ascii="Times New Roman" w:cs="Times New Roman" w:eastAsia="Times New Roman" w:hAnsi="Times New Roman"/>
          <w:sz w:val="14"/>
          <w:szCs w:val="14"/>
          <w:color w:val="auto"/>
        </w:rPr>
      </w:pPr>
    </w:p>
    <w:p>
      <w:pPr>
        <w:jc w:val="both"/>
        <w:ind w:left="660" w:right="640" w:hanging="328"/>
        <w:spacing w:after="0" w:line="247" w:lineRule="auto"/>
        <w:tabs>
          <w:tab w:leader="none" w:pos="6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an increase of 0.9% and an increase of 0.6% for the three months ended September 26, 2020 and September 28, 2019, respectively, an increase of 0.5% and an increase of 0.3% for the nine months ended September 26, 2020 and September 28, 2019, respectively; and (ii) Adjusted Comparable Store Sales Growth includes retail sales to the Legacy partner’s customers (rather than the revenues recognized consistent with the management &amp; services agreement with the legacy partner), resulting the following changes from total comparable store sales growth based on consolidated net revenue: a decrease of 0.1% and a decrease of 0.1% for the three months ended September 26, 2020 and September 28, 2019, respectively, and an increase of 0.1% and a decrease of 0.2% for the nine months ended September 26, 2020 and September 28, 2019, respectively.</w:t>
      </w:r>
    </w:p>
    <w:p>
      <w:pPr>
        <w:sectPr>
          <w:pgSz w:w="11900" w:h="16838" w:orient="portrait"/>
          <w:cols w:equalWidth="0" w:num="1">
            <w:col w:w="11240"/>
          </w:cols>
          <w:pgMar w:left="320" w:top="765"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Mann, CFA, Vice President of Investor Relations</w:t>
      </w:r>
    </w:p>
    <w:p>
      <w:pPr>
        <w:spacing w:after="0" w:line="21" w:lineRule="exact"/>
        <w:rPr>
          <w:sz w:val="20"/>
          <w:szCs w:val="20"/>
          <w:color w:val="auto"/>
        </w:rPr>
      </w:pPr>
    </w:p>
    <w:p>
      <w:pPr>
        <w:ind w:right="7359" w:firstLine="8"/>
        <w:spacing w:after="0" w:line="290" w:lineRule="auto"/>
        <w:tabs>
          <w:tab w:leader="none" w:pos="4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448-2448 investor.relations@nationalvision.com</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 Vice President of Communications</w:t>
      </w:r>
    </w:p>
    <w:p>
      <w:pPr>
        <w:spacing w:after="0" w:line="9" w:lineRule="exact"/>
        <w:rPr>
          <w:sz w:val="20"/>
          <w:szCs w:val="20"/>
          <w:color w:val="auto"/>
        </w:rPr>
      </w:pPr>
    </w:p>
    <w:p>
      <w:pPr>
        <w:ind w:right="8159"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448-2355 media@nationalvision.com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2020-11-05T06:25:38Z</dcterms:created>
  <dcterms:modified xsi:type="dcterms:W3CDTF">2020-11-05T06:25:38Z</dcterms:modified>
</cp:coreProperties>
</file>