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Brandman Jared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SVP, GC and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664"/>
              <w:spacing w:after="0"/>
              <w:rPr>
                <w:sz w:val="20"/>
                <w:szCs w:val="20"/>
                <w:color w:val="auto"/>
              </w:rPr>
            </w:pPr>
            <w:r>
              <w:rPr>
                <w:rFonts w:ascii="Arial" w:cs="Arial" w:eastAsia="Arial" w:hAnsi="Arial"/>
                <w:sz w:val="18"/>
                <w:szCs w:val="18"/>
                <w:color w:val="0000FF"/>
              </w:rPr>
              <w:t>4,726</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08/14/2027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58,830</w:t>
            </w:r>
          </w:p>
        </w:tc>
        <w:tc>
          <w:tcPr>
            <w:tcW w:w="880" w:type="dxa"/>
            <w:vAlign w:val="bottom"/>
          </w:tcPr>
          <w:p>
            <w:pPr>
              <w:ind w:left="240"/>
              <w:spacing w:after="0"/>
              <w:rPr>
                <w:sz w:val="20"/>
                <w:szCs w:val="20"/>
                <w:color w:val="auto"/>
              </w:rPr>
            </w:pPr>
            <w:r>
              <w:rPr>
                <w:rFonts w:ascii="Arial" w:cs="Arial" w:eastAsia="Arial" w:hAnsi="Arial"/>
                <w:sz w:val="18"/>
                <w:szCs w:val="18"/>
                <w:color w:val="0000FF"/>
              </w:rPr>
              <w:t>15.74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include 226 shares that were acquired pursuant to the Company's Associate Stock Purchase Plan, which acquisitions are exempt from Section 16.</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these 58,830 stock options, 26,281 are vested and the remaining 32,549 will vest in four equal annual installments on August 14, 2019, 2020, 2021 and 2022. An additional 22,885 stock options which remain subject to liquidity-event performance-based vesting conditions are not included in the table above.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Jared Brandman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02/22/2019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3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Know all by these presents that the undersigned does hereby make, constitute and appoint Ronnie Brown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of any other documents necessary or appropriate to obtain codes and passwords enabling the undersigned to make electronic filings with the Securities and Exchange Commission, including, without limitation an Update Passphrase request.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Ronnie Brown is not assuming any of the undersigned's responsibilities to comply with Section 16 of the Securities Exchange Act of 1934.</w:t>
      </w:r>
    </w:p>
    <w:p>
      <w:pPr>
        <w:spacing w:after="0" w:line="349" w:lineRule="exact"/>
        <w:rPr>
          <w:sz w:val="20"/>
          <w:szCs w:val="20"/>
          <w:color w:val="auto"/>
        </w:rPr>
      </w:pPr>
    </w:p>
    <w:p>
      <w:pPr>
        <w:ind w:left="400"/>
        <w:spacing w:after="0"/>
        <w:tabs>
          <w:tab w:leader="none" w:pos="8380" w:val="left"/>
        </w:tabs>
        <w:rPr>
          <w:sz w:val="20"/>
          <w:szCs w:val="20"/>
          <w:color w:val="auto"/>
        </w:rPr>
      </w:pPr>
      <w:r>
        <w:rPr>
          <w:rFonts w:ascii="Arial" w:cs="Arial" w:eastAsia="Arial" w:hAnsi="Arial"/>
          <w:sz w:val="18"/>
          <w:szCs w:val="18"/>
          <w:color w:val="auto"/>
        </w:rPr>
        <w:t>Date: February 13, 2019</w:t>
      </w:r>
      <w:r>
        <w:rPr>
          <w:sz w:val="20"/>
          <w:szCs w:val="20"/>
          <w:color w:val="auto"/>
        </w:rPr>
        <w:tab/>
      </w:r>
      <w:r>
        <w:rPr>
          <w:rFonts w:ascii="Arial" w:cs="Arial" w:eastAsia="Arial" w:hAnsi="Arial"/>
          <w:sz w:val="16"/>
          <w:szCs w:val="16"/>
          <w:color w:val="auto"/>
        </w:rPr>
        <w:t>By: /s/ Jared Brandman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31750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Jared Brandman</w:t>
      </w:r>
    </w:p>
    <w:sectPr>
      <w:pgSz w:w="11900" w:h="16838" w:orient="portrait"/>
      <w:cols w:equalWidth="0" w:num="1">
        <w:col w:w="11420"/>
      </w:cols>
      <w:pgMar w:left="240" w:top="6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67639"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2019-12-24T09:20:28Z</dcterms:created>
  <dcterms:modified xsi:type="dcterms:W3CDTF">2019-12-24T09:20:28Z</dcterms:modified>
</cp:coreProperties>
</file>