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12660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1714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0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Earliest Event report):</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August 6, 2019</w:t>
      </w:r>
    </w:p>
    <w:p>
      <w:pPr>
        <w:spacing w:after="0" w:line="8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7"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001-38257</w:t>
      </w:r>
    </w:p>
    <w:p>
      <w:pPr>
        <w:spacing w:after="0" w:line="248" w:lineRule="exact"/>
        <w:rPr>
          <w:sz w:val="24"/>
          <w:szCs w:val="24"/>
          <w:color w:val="auto"/>
        </w:rPr>
      </w:pPr>
    </w:p>
    <w:tbl>
      <w:tblPr>
        <w:tblLayout w:type="fixed"/>
        <w:tblInd w:w="2340" w:type="dxa"/>
        <w:tblCellMar>
          <w:top w:w="0" w:type="dxa"/>
          <w:left w:w="0" w:type="dxa"/>
          <w:bottom w:w="0" w:type="dxa"/>
          <w:right w:w="0" w:type="dxa"/>
        </w:tblCellMar>
      </w:tblPr>
      <w:tr>
        <w:trPr>
          <w:trHeight w:val="212"/>
        </w:trPr>
        <w:tc>
          <w:tcPr>
            <w:tcW w:w="3560" w:type="dxa"/>
            <w:vAlign w:val="bottom"/>
          </w:tcPr>
          <w:p>
            <w:pPr>
              <w:jc w:val="center"/>
              <w:ind w:right="15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8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46-4841717</w:t>
            </w:r>
          </w:p>
        </w:tc>
      </w:tr>
      <w:tr>
        <w:trPr>
          <w:trHeight w:val="249"/>
        </w:trPr>
        <w:tc>
          <w:tcPr>
            <w:tcW w:w="3560" w:type="dxa"/>
            <w:vAlign w:val="bottom"/>
          </w:tcPr>
          <w:p>
            <w:pPr>
              <w:jc w:val="center"/>
              <w:ind w:right="153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82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560" w:type="dxa"/>
            <w:vAlign w:val="bottom"/>
          </w:tcPr>
          <w:p>
            <w:pPr>
              <w:jc w:val="center"/>
              <w:ind w:right="153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282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540"/>
        </w:trPr>
        <w:tc>
          <w:tcPr>
            <w:tcW w:w="3560" w:type="dxa"/>
            <w:vAlign w:val="bottom"/>
          </w:tcPr>
          <w:p>
            <w:pPr>
              <w:jc w:val="center"/>
              <w:ind w:right="1539"/>
              <w:spacing w:after="0"/>
              <w:rPr>
                <w:sz w:val="20"/>
                <w:szCs w:val="20"/>
                <w:color w:val="auto"/>
              </w:rPr>
            </w:pPr>
            <w:r>
              <w:rPr>
                <w:rFonts w:ascii="Times New Roman" w:cs="Times New Roman" w:eastAsia="Times New Roman" w:hAnsi="Times New Roman"/>
                <w:sz w:val="16"/>
                <w:szCs w:val="16"/>
                <w:b w:val="1"/>
                <w:bCs w:val="1"/>
                <w:color w:val="auto"/>
              </w:rPr>
              <w:t>2435 Commerce Ave.</w:t>
            </w:r>
          </w:p>
        </w:tc>
        <w:tc>
          <w:tcPr>
            <w:tcW w:w="2820" w:type="dxa"/>
            <w:vAlign w:val="bottom"/>
          </w:tcPr>
          <w:p>
            <w:pPr>
              <w:spacing w:after="0"/>
              <w:rPr>
                <w:sz w:val="24"/>
                <w:szCs w:val="24"/>
                <w:color w:val="auto"/>
              </w:rPr>
            </w:pPr>
          </w:p>
        </w:tc>
      </w:tr>
      <w:tr>
        <w:trPr>
          <w:trHeight w:val="270"/>
        </w:trPr>
        <w:tc>
          <w:tcPr>
            <w:tcW w:w="3560" w:type="dxa"/>
            <w:vAlign w:val="bottom"/>
          </w:tcPr>
          <w:p>
            <w:pPr>
              <w:jc w:val="center"/>
              <w:ind w:right="1539"/>
              <w:spacing w:after="0"/>
              <w:rPr>
                <w:sz w:val="20"/>
                <w:szCs w:val="20"/>
                <w:color w:val="auto"/>
              </w:rPr>
            </w:pPr>
            <w:r>
              <w:rPr>
                <w:rFonts w:ascii="Times New Roman" w:cs="Times New Roman" w:eastAsia="Times New Roman" w:hAnsi="Times New Roman"/>
                <w:sz w:val="16"/>
                <w:szCs w:val="16"/>
                <w:b w:val="1"/>
                <w:bCs w:val="1"/>
                <w:color w:val="auto"/>
                <w:w w:val="99"/>
              </w:rPr>
              <w:t>Building 2200</w:t>
            </w:r>
          </w:p>
        </w:tc>
        <w:tc>
          <w:tcPr>
            <w:tcW w:w="28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30096</w:t>
            </w:r>
          </w:p>
        </w:tc>
      </w:tr>
      <w:tr>
        <w:trPr>
          <w:trHeight w:val="270"/>
        </w:trPr>
        <w:tc>
          <w:tcPr>
            <w:tcW w:w="35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 xml:space="preserve">Duluth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Georgia</w:t>
            </w:r>
          </w:p>
        </w:tc>
        <w:tc>
          <w:tcPr>
            <w:tcW w:w="282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60"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6" w:lineRule="exact"/>
        <w:rPr>
          <w:sz w:val="24"/>
          <w:szCs w:val="24"/>
          <w:color w:val="auto"/>
        </w:rPr>
      </w:pPr>
    </w:p>
    <w:p>
      <w:pPr>
        <w:jc w:val="center"/>
        <w:spacing w:after="0" w:line="184" w:lineRule="exact"/>
        <w:rPr>
          <w:sz w:val="20"/>
          <w:szCs w:val="20"/>
          <w:color w:val="auto"/>
        </w:rPr>
      </w:pPr>
      <w:r>
        <w:rPr>
          <w:rFonts w:ascii="Times New Roman" w:cs="Times New Roman" w:eastAsia="Times New Roman" w:hAnsi="Times New Roman"/>
          <w:sz w:val="16"/>
          <w:szCs w:val="16"/>
          <w:b w:val="1"/>
          <w:bCs w:val="1"/>
          <w:color w:val="auto"/>
        </w:rPr>
        <w:t>(770) 822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3600</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74"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82"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9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communications pursuant to Rule 425 under the Securities Act (17 CFR 230.42</w:t>
      </w:r>
    </w:p>
    <w:p>
      <w:pPr>
        <w:spacing w:after="0" w:line="138" w:lineRule="exact"/>
        <w:rPr>
          <w:sz w:val="24"/>
          <w:szCs w:val="24"/>
          <w:color w:val="auto"/>
        </w:rPr>
      </w:pPr>
    </w:p>
    <w:p>
      <w:pPr>
        <w:ind w:left="980"/>
        <w:spacing w:after="0" w:line="207"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sz w:val="24"/>
          <w:szCs w:val="24"/>
          <w:color w:val="auto"/>
        </w:rPr>
      </w:pPr>
    </w:p>
    <w:p>
      <w:pPr>
        <w:ind w:left="980"/>
        <w:spacing w:after="0" w:line="207"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sz w:val="24"/>
          <w:szCs w:val="24"/>
          <w:color w:val="auto"/>
        </w:rPr>
      </w:pPr>
    </w:p>
    <w:p>
      <w:pPr>
        <w:ind w:left="980"/>
        <w:spacing w:after="0" w:line="207"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5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378"/>
        </w:trPr>
        <w:tc>
          <w:tcPr>
            <w:tcW w:w="4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4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EYE</w:t>
            </w: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17"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p>
      <w:pPr>
        <w:spacing w:after="0" w:line="22" w:lineRule="exact"/>
        <w:rPr>
          <w:sz w:val="24"/>
          <w:szCs w:val="24"/>
          <w:color w:val="auto"/>
        </w:rPr>
      </w:pPr>
    </w:p>
    <w:p>
      <w:pPr>
        <w:spacing w:after="0" w:line="207" w:lineRule="exact"/>
        <w:tabs>
          <w:tab w:leader="none" w:pos="8020" w:val="left"/>
        </w:tabs>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266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ectPr>
          <w:pgSz w:w="11900" w:h="16838" w:orient="portrait"/>
          <w:cols w:equalWidth="0" w:num="1">
            <w:col w:w="11420"/>
          </w:cols>
          <w:pgMar w:left="240" w:top="1069"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6, 2019, National Vision Holdings, Inc. (“National Vision”) issued a press release announcing financial results for the quarter ended June 29, 2019. A copy of the release is furnished herewith as Exhibit 99.1 and incorporated by reference herein.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17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p>
      <w:pPr>
        <w:ind w:left="400" w:hanging="392"/>
        <w:spacing w:after="0"/>
        <w:tabs>
          <w:tab w:leader="none" w:pos="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Exhibit Index immediately preceding the signature page hereto, which is incorporated herein by reference.</w:t>
      </w:r>
    </w:p>
    <w:p>
      <w:pPr>
        <w:sectPr>
          <w:pgSz w:w="11900" w:h="16838" w:orient="portrait"/>
          <w:cols w:equalWidth="0" w:num="1">
            <w:col w:w="11420"/>
          </w:cols>
          <w:pgMar w:left="240" w:top="576"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18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3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540" w:type="dxa"/>
            <w:vAlign w:val="bottom"/>
          </w:tcPr>
          <w:p>
            <w:pPr>
              <w:spacing w:after="0"/>
              <w:rPr>
                <w:sz w:val="24"/>
                <w:szCs w:val="24"/>
                <w:color w:val="auto"/>
              </w:rPr>
            </w:pPr>
          </w:p>
        </w:tc>
        <w:tc>
          <w:tcPr>
            <w:tcW w:w="95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r>
      <w:tr>
        <w:trPr>
          <w:trHeight w:val="250"/>
        </w:trPr>
        <w:tc>
          <w:tcPr>
            <w:tcW w:w="840" w:type="dxa"/>
            <w:vAlign w:val="bottom"/>
            <w:gridSpan w:val="2"/>
          </w:tcPr>
          <w:p>
            <w:pP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hyperlink>
          </w:p>
        </w:tc>
        <w:tc>
          <w:tcPr>
            <w:tcW w:w="540" w:type="dxa"/>
            <w:vAlign w:val="bottom"/>
          </w:tcPr>
          <w:p>
            <w:pPr>
              <w:spacing w:after="0"/>
              <w:rPr>
                <w:sz w:val="21"/>
                <w:szCs w:val="21"/>
                <w:color w:val="auto"/>
              </w:rPr>
            </w:pPr>
          </w:p>
        </w:tc>
        <w:tc>
          <w:tcPr>
            <w:tcW w:w="95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National Vision Holdings, Inc. Press Release dated August 6, 2019.</w:t>
            </w:r>
          </w:p>
        </w:tc>
      </w:tr>
      <w:tr>
        <w:trPr>
          <w:trHeight w:val="272"/>
        </w:trPr>
        <w:tc>
          <w:tcPr>
            <w:tcW w:w="300" w:type="dxa"/>
            <w:vAlign w:val="bottom"/>
            <w:tcBorders>
              <w:top w:val="single" w:sz="8" w:color="0000FF"/>
            </w:tcBorders>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5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r>
      <w:tr>
        <w:trPr>
          <w:trHeight w:val="234"/>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95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embedded within Inline XBRL document</w:t>
            </w: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95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95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95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95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95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52"/>
        </w:trPr>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5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The cover page of the Company’s Press Release on Form 8-K for the quarter ended June 29, 2019, formatted in Inline XBRL</w:t>
            </w: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(included within the Exhibit 101 attachments)</w:t>
            </w:r>
          </w:p>
        </w:tc>
      </w:tr>
    </w:tbl>
    <w:p>
      <w:pPr>
        <w:sectPr>
          <w:pgSz w:w="11900" w:h="16838" w:orient="portrait"/>
          <w:cols w:equalWidth="0" w:num="1">
            <w:col w:w="10960"/>
          </w:cols>
          <w:pgMar w:left="280" w:top="576" w:right="659" w:bottom="1440" w:gutter="0" w:footer="0" w:header="0"/>
        </w:sectPr>
      </w:pPr>
    </w:p>
    <w:bookmarkStart w:id="3" w:name="page4"/>
    <w:bookmarkEnd w:id="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by the undersigned hereunto duly authorized.</w:t>
      </w:r>
    </w:p>
    <w:p>
      <w:pPr>
        <w:spacing w:after="0" w:line="324"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National Vision Holdings, Inc.</w:t>
            </w:r>
          </w:p>
        </w:tc>
      </w:tr>
      <w:tr>
        <w:trPr>
          <w:trHeight w:val="48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2019</w:t>
            </w:r>
          </w:p>
        </w:tc>
        <w:tc>
          <w:tcPr>
            <w:tcW w:w="26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Jared Brandman</w:t>
            </w:r>
          </w:p>
        </w:tc>
      </w:tr>
      <w:tr>
        <w:trPr>
          <w:trHeight w:val="27"/>
        </w:trPr>
        <w:tc>
          <w:tcPr>
            <w:tcW w:w="28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r>
      <w:tr>
        <w:trPr>
          <w:trHeight w:val="237"/>
        </w:trPr>
        <w:tc>
          <w:tcPr>
            <w:tcW w:w="2840" w:type="dxa"/>
            <w:vAlign w:val="bottom"/>
          </w:tcPr>
          <w:p>
            <w:pPr>
              <w:spacing w:after="0"/>
              <w:rPr>
                <w:sz w:val="20"/>
                <w:szCs w:val="20"/>
                <w:color w:val="auto"/>
              </w:rPr>
            </w:pPr>
          </w:p>
        </w:tc>
        <w:tc>
          <w:tcPr>
            <w:tcW w:w="26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Name:</w:t>
            </w:r>
          </w:p>
        </w:tc>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Jared Brandman</w:t>
            </w:r>
          </w:p>
        </w:tc>
      </w:tr>
      <w:tr>
        <w:trPr>
          <w:trHeight w:val="270"/>
        </w:trPr>
        <w:tc>
          <w:tcPr>
            <w:tcW w:w="2840" w:type="dxa"/>
            <w:vAlign w:val="bottom"/>
          </w:tcPr>
          <w:p>
            <w:pPr>
              <w:spacing w:after="0"/>
              <w:rPr>
                <w:sz w:val="23"/>
                <w:szCs w:val="23"/>
                <w:color w:val="auto"/>
              </w:rPr>
            </w:pPr>
          </w:p>
        </w:tc>
        <w:tc>
          <w:tcPr>
            <w:tcW w:w="26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Title:</w:t>
            </w:r>
          </w:p>
        </w:tc>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1320"/>
          </w:cols>
          <w:pgMar w:left="240" w:top="576"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969010" cy="75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969010" cy="75438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National Vision Holdings, Inc. Reports Second Quarter 2019 Financial Results</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revenue increased 11.4% to $429.5 million</w:t>
      </w:r>
    </w:p>
    <w:p>
      <w:pPr>
        <w:spacing w:after="0" w:line="29"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70th consecutive quarter of positive comparable store sales growth</w:t>
      </w:r>
    </w:p>
    <w:p>
      <w:pPr>
        <w:spacing w:after="0" w:line="9"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Comparable store sales growth of 4.4%; Adjusted comparable store sales growth of 3.8%</w:t>
      </w:r>
    </w:p>
    <w:p>
      <w:pPr>
        <w:spacing w:after="0" w:line="9"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income of $10.3 million; Adjusted net income increased 3.6% to $16.3 million</w:t>
      </w:r>
    </w:p>
    <w:p>
      <w:pPr>
        <w:spacing w:after="0" w:line="9"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EBITDA increased 7.2% to $49.8 million</w:t>
      </w:r>
    </w:p>
    <w:p>
      <w:pPr>
        <w:spacing w:after="0" w:line="9"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Diluted EPS of $0.13; Adjusted diluted EPS was unchanged at $0.20</w:t>
      </w:r>
    </w:p>
    <w:p>
      <w:pPr>
        <w:spacing w:after="0" w:line="9"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Reaffirms Fiscal 2019 Outlook</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Duluth, Ga.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August 6, 2019 </w:t>
      </w:r>
      <w:r>
        <w:rPr>
          <w:rFonts w:ascii="Times New Roman" w:cs="Times New Roman" w:eastAsia="Times New Roman" w:hAnsi="Times New Roman"/>
          <w:sz w:val="18"/>
          <w:szCs w:val="18"/>
          <w:color w:val="auto"/>
        </w:rPr>
        <w:t>-- National Vision Holdings, Inc. (NASDAQ: EYE) (“National Vision” or the “Company”) today reported its financial results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second quarter ended June 29, 2019.</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Reade Fahs, chief executive officer, stated, “The National Vision team delivered its 70th consecutive quarter of positive comparable store sales growth. We are pleased that, after a softer start, sales steadily improved as the second quarter progressed. These results reflect the ongoing strength of our value proposition, business model, and operational teamwork. We opened 24 stores in the quarter, and are on track to achieve our 2019 store opening plans. We remain confident in and committed to our growth plans in U.S. value optical retail.”</w:t>
      </w:r>
    </w:p>
    <w:p>
      <w:pPr>
        <w:spacing w:after="0" w:line="4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Adjusted comparable store sales growth, adjusted diluted EPS, adjusted EBITDA, adjusted EBITDA margin, adjusted net income and EBITDA are not measures recognized under generally accepted accounting principles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Please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Reconciliation of GAAP to Non-GAAP Financial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below for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2019 Summary</w:t>
      </w:r>
    </w:p>
    <w:p>
      <w:pPr>
        <w:spacing w:after="0" w:line="31" w:lineRule="exact"/>
        <w:rPr>
          <w:sz w:val="20"/>
          <w:szCs w:val="20"/>
          <w:color w:val="auto"/>
        </w:rPr>
      </w:pPr>
    </w:p>
    <w:p>
      <w:pPr>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increased 11.4% to $429.5 million from $385.5 million for the second quarter of 2018. Net revenue was positively impacted by approximately 40 basis points due to the timing of unearned revenue.</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store sales growth was 4.4% and adjusted comparable store sales growth was 3.8% for the second quarter of 2019.</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opened 24 new stores, closed one store and ended the quarter with 1,128 stores. Overall, store count grew 7.4% from June 30, 2018 to June 29, 2019.</w:t>
      </w:r>
    </w:p>
    <w:p>
      <w:pPr>
        <w:jc w:val="both"/>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applicable to revenue increased 14.4% to $202.5 million from $177.1 million for the second quarter of 2018. As a percentage of net revenue, costs applicable to revenue increased 130 basis points to 47.2% from 45.9% for the second quarter of 2018. This increase as a percentage of net revenue was primarily driven by increased net revenue from AC Lens contact lens distribution business growth and, to a lesser extent, higher optometrist costs that were partially offset by a higher mix of exam sales as a result of the Company's growing managed care business.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(“SG&amp;A”) increased 10.1% to $182.3 million from $165.6 million for the second quarter of 2018. As a percentage of net revenue, SG&amp;A decreased 60 basis points to 42.4% from 43.0% for the second quarter of 2018. This decrease as a percentage of net revenue was primarily driven by increased net revenue from AC Lens contact lens distribution business growth and store payroll leverage, partially offset by investment in advertising.</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$10.3 million compared to $12.5 million for the second quarter of 2018. Diluted EPS was $0.13 compared to $0.16 for the second quarter of 2018.</w:t>
      </w:r>
    </w:p>
    <w:p>
      <w:pPr>
        <w:jc w:val="both"/>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increased 3.6% to $16.3 million compared to $15.7 million for the second quarter of 2018. Adjusted diluted EPS was $0.20 per diluted share compared to $0.20 per diluted share for the second quarter of 2018. The net change in margin on unearned revenue benefited year-over-year adjusted net income growth by 460 basis points.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7.2% to $49.8 million compared to $46.5 million for the second quarter of 2018. The net change in margin on unearned revenue benefited year-over-year adjusted EBITDA growth by 210 basis points. Adjusted EBITDA margin decreased to 11.6% from 12.1% for the second quarter of 2018, primarily due to investment in advertising and increased net revenues from AC Lens contact lens distribution business growth, partially offset by the net change in margin on unearned revenue.</w:t>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Six-Month Period Highlights</w:t>
      </w:r>
    </w:p>
    <w:p>
      <w:pPr>
        <w:spacing w:after="0" w:line="31" w:lineRule="exact"/>
        <w:rPr>
          <w:sz w:val="20"/>
          <w:szCs w:val="20"/>
          <w:color w:val="auto"/>
        </w:rPr>
      </w:pPr>
    </w:p>
    <w:p>
      <w:pPr>
        <w:ind w:left="34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increased 12.2% to $890.7 million from $793.5 million for the same period of 2018. Net revenue was negatively impacted by 50 basis points due to the timing of unearned revenue.</w:t>
      </w: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store sales growth was 5.4% and adjusted comparable store sales growth was 5.3%.</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opened 50 new stores, closed four stores and ended the quarter with 1,128 stores. Overall, store count grew 7.4% from June 30, 2018 to June 29, 2019.</w:t>
      </w:r>
    </w:p>
    <w:p>
      <w:pPr>
        <w:jc w:val="both"/>
        <w:ind w:left="34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applicable to revenue increased 15.9% to $414.5 million from $357.5 million for the same period of 2018. As a percentage of net revenue, costs applicable to revenue increased 140 basis points to 46.5% from 45.1% for the same period of 2018. This increase as a percentage of net revenue was primarily driven by increased net revenue from AC Lens contact lens distribution business growth and, to a lesser extent, higher optometrist costs that were partially offset by a higher mix of eye exam sales as a result of the Company's growing managed care business.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increased 11.8% to $376.2 million from $336.3 million for the same period of 2018. As a percentage of net revenue, SG&amp;A decreased 20 basis points to 42.2% from 42.4% for the same period of 2018. This decrease as a percentage of net revenue was primarily driven by increased net revenue from AC Lens contact lens distribution business growth, store payroll leverage and secondary public offering expenses incurred during the six months ended June 30, 2018 not recurring during the six months ended June 29, 2019, partially offset by investment in advertising and non-recurring management realignment and associated stock compensation expenses.</w:t>
      </w:r>
    </w:p>
    <w:p>
      <w:pPr>
        <w:spacing w:after="0" w:line="2"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$27.7 million compared to net income of $36.9 million for the same period of 2018. Diluted EPS was $0.34 compared to $0.47 per share for the same period of 2018.</w:t>
      </w:r>
    </w:p>
    <w:p>
      <w:pPr>
        <w:jc w:val="both"/>
        <w:ind w:left="34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increased 1.9% to $43.0 million compared to $42.2 million for the same period of 2018. Adjusted diluted EPS was $0.53 per diluted share compared to $0.54 per diluted share for the same period of 2018. The net change in margin on unearned revenue negatively impacted year-over-year adjusted net income growth by 450 basis points.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5.5% to $113.1 million compared to $107.2 million for the same period of 2018. The net change in margin on unearned revenue negatively impacted year-over-year adjusted EBITDA growth by 240 basis points. Adjusted EBITDA margin decreased to 12.7% from 13.5% for the same period of 2018, due to investment in advertising, increased net revenue from AC Lens contact lens distribution business growth, and the net change in margin on unearned revenue.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Cash Flow Highlights as of June 29, 2019</w:t>
      </w:r>
    </w:p>
    <w:p>
      <w:pPr>
        <w:spacing w:after="0" w:line="31" w:lineRule="exact"/>
        <w:rPr>
          <w:sz w:val="20"/>
          <w:szCs w:val="20"/>
          <w:color w:val="auto"/>
        </w:rPr>
      </w:pPr>
    </w:p>
    <w:p>
      <w:pPr>
        <w:ind w:left="340" w:right="2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cash balance was $82.8 million as of June 29, 2019. The Company had no borrowings under its $100.0 million first lien revolving credit facility, exclusive of letters of credit of $5.5 million.</w:t>
      </w: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 was $587.6 million as of June 29, 2019, consisting of outstanding first lien term loans and finance lease obligations.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operating activities for the first six months of 2019 were $119.3 million compared to $80.1 million for the same period of 2018.</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the first six months of 2019 totaled $52.1 million compared to $48.7 million for the same period of 2018.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31" w:lineRule="exact"/>
        <w:rPr>
          <w:sz w:val="20"/>
          <w:szCs w:val="20"/>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18, 2019, the Company amended its credit agreement to establish new first lien term loans in an aggregate principal amount of $420 million ("Term A Loans") and a new revolving credit facility in the aggregate principal amount of up to $300 million, of which $148 million was drawn as of closing of the amendment.</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the proceeds from the Term A Loans and the new revolving credit facility to repay all outstanding loans under the existing credit agreement.</w:t>
      </w: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applicable interest rate margin is 1.50% for the new first lien LIBOR loans and the new revolving credit facility.</w:t>
      </w:r>
    </w:p>
    <w:p>
      <w:pPr>
        <w:sectPr>
          <w:pgSz w:w="11900" w:h="16838" w:orient="portrait"/>
          <w:cols w:equalWidth="0" w:num="1">
            <w:col w:w="11420"/>
          </w:cols>
          <w:pgMar w:left="240" w:top="792"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Fiscal 2019 Outlook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reaffirms its outlook for the fiscal year ending December 28, 2019, as follows:</w:t>
      </w:r>
    </w:p>
    <w:p>
      <w:pPr>
        <w:spacing w:after="0" w:line="149"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Fiscal 2019 Outlook</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7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New Stores</w:t>
            </w:r>
          </w:p>
        </w:tc>
        <w:tc>
          <w:tcPr>
            <w:tcW w:w="5700" w:type="dxa"/>
            <w:vAlign w:val="bottom"/>
            <w:tcBorders>
              <w:top w:val="single" w:sz="8" w:color="auto"/>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~75 New Stores</w:t>
            </w:r>
          </w:p>
        </w:tc>
      </w:tr>
      <w:tr>
        <w:trPr>
          <w:trHeight w:val="243"/>
        </w:trPr>
        <w:tc>
          <w:tcPr>
            <w:tcW w:w="5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Adjusted Comparable Store Sales Growth</w:t>
            </w:r>
          </w:p>
        </w:tc>
        <w:tc>
          <w:tcPr>
            <w:tcW w:w="2520" w:type="dxa"/>
            <w:vAlign w:val="bottom"/>
          </w:tcPr>
          <w:p>
            <w:pPr>
              <w:spacing w:after="0"/>
              <w:rPr>
                <w:sz w:val="21"/>
                <w:szCs w:val="21"/>
                <w:color w:val="auto"/>
              </w:rPr>
            </w:pPr>
          </w:p>
        </w:tc>
        <w:tc>
          <w:tcPr>
            <w:tcW w:w="318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3 - 5%</w:t>
            </w:r>
          </w:p>
        </w:tc>
      </w:tr>
      <w:tr>
        <w:trPr>
          <w:trHeight w:val="27"/>
        </w:trPr>
        <w:tc>
          <w:tcPr>
            <w:tcW w:w="5720" w:type="dxa"/>
            <w:vAlign w:val="bottom"/>
          </w:tcPr>
          <w:p>
            <w:pPr>
              <w:spacing w:after="0"/>
              <w:rPr>
                <w:sz w:val="2"/>
                <w:szCs w:val="2"/>
                <w:color w:val="auto"/>
              </w:rPr>
            </w:pPr>
          </w:p>
        </w:tc>
        <w:tc>
          <w:tcPr>
            <w:tcW w:w="5700" w:type="dxa"/>
            <w:vAlign w:val="bottom"/>
            <w:gridSpan w:val="2"/>
          </w:tcPr>
          <w:p>
            <w:pPr>
              <w:spacing w:after="0"/>
              <w:rPr>
                <w:sz w:val="2"/>
                <w:szCs w:val="2"/>
                <w:color w:val="auto"/>
              </w:rPr>
            </w:pPr>
          </w:p>
        </w:tc>
      </w:tr>
      <w:tr>
        <w:trPr>
          <w:trHeight w:val="270"/>
        </w:trPr>
        <w:tc>
          <w:tcPr>
            <w:tcW w:w="5720" w:type="dxa"/>
            <w:vAlign w:val="bottom"/>
            <w:shd w:val="clear" w:color="auto" w:fill="CCEEFF"/>
          </w:tcPr>
          <w:p>
            <w:pPr>
              <w:jc w:val="center"/>
              <w:spacing w:after="0" w:line="270" w:lineRule="exact"/>
              <w:rPr>
                <w:sz w:val="20"/>
                <w:szCs w:val="20"/>
                <w:color w:val="auto"/>
              </w:rPr>
            </w:pPr>
            <w:r>
              <w:rPr>
                <w:rFonts w:ascii="Times New Roman" w:cs="Times New Roman" w:eastAsia="Times New Roman" w:hAnsi="Times New Roman"/>
                <w:sz w:val="18"/>
                <w:szCs w:val="18"/>
                <w:color w:val="auto"/>
                <w:w w:val="98"/>
              </w:rPr>
              <w:t>Net Revenue</w:t>
            </w:r>
            <w:r>
              <w:rPr>
                <w:rFonts w:ascii="Times New Roman" w:cs="Times New Roman" w:eastAsia="Times New Roman" w:hAnsi="Times New Roman"/>
                <w:sz w:val="25"/>
                <w:szCs w:val="25"/>
                <w:color w:val="auto"/>
                <w:w w:val="98"/>
                <w:vertAlign w:val="superscript"/>
              </w:rPr>
              <w:t>1</w:t>
            </w:r>
          </w:p>
        </w:tc>
        <w:tc>
          <w:tcPr>
            <w:tcW w:w="5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$1.675 - $1.705 billion</w:t>
            </w:r>
          </w:p>
        </w:tc>
      </w:tr>
      <w:tr>
        <w:trPr>
          <w:trHeight w:val="243"/>
        </w:trPr>
        <w:tc>
          <w:tcPr>
            <w:tcW w:w="5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Adjusted EBITDA</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$191 million</w:t>
            </w:r>
          </w:p>
        </w:tc>
      </w:tr>
      <w:tr>
        <w:trPr>
          <w:trHeight w:val="27"/>
        </w:trPr>
        <w:tc>
          <w:tcPr>
            <w:tcW w:w="5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Adjusted Net Income</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$56.5 million</w:t>
            </w:r>
          </w:p>
        </w:tc>
      </w:tr>
      <w:tr>
        <w:trPr>
          <w:trHeight w:val="243"/>
        </w:trPr>
        <w:tc>
          <w:tcPr>
            <w:tcW w:w="5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Depreciation and Amortization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$90 million</w:t>
            </w:r>
          </w:p>
        </w:tc>
      </w:tr>
      <w:tr>
        <w:trPr>
          <w:trHeight w:val="27"/>
        </w:trPr>
        <w:tc>
          <w:tcPr>
            <w:tcW w:w="5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70"/>
        </w:trPr>
        <w:tc>
          <w:tcPr>
            <w:tcW w:w="5720" w:type="dxa"/>
            <w:vAlign w:val="bottom"/>
            <w:shd w:val="clear" w:color="auto" w:fill="CCEEFF"/>
          </w:tcPr>
          <w:p>
            <w:pPr>
              <w:jc w:val="center"/>
              <w:spacing w:after="0" w:line="270" w:lineRule="exact"/>
              <w:rPr>
                <w:sz w:val="20"/>
                <w:szCs w:val="20"/>
                <w:color w:val="auto"/>
              </w:rPr>
            </w:pPr>
            <w:r>
              <w:rPr>
                <w:rFonts w:ascii="Times New Roman" w:cs="Times New Roman" w:eastAsia="Times New Roman" w:hAnsi="Times New Roman"/>
                <w:sz w:val="18"/>
                <w:szCs w:val="18"/>
                <w:color w:val="auto"/>
                <w:w w:val="96"/>
              </w:rPr>
              <w:t>Interest</w:t>
            </w:r>
            <w:r>
              <w:rPr>
                <w:rFonts w:ascii="Times New Roman" w:cs="Times New Roman" w:eastAsia="Times New Roman" w:hAnsi="Times New Roman"/>
                <w:sz w:val="25"/>
                <w:szCs w:val="25"/>
                <w:color w:val="auto"/>
                <w:w w:val="96"/>
                <w:vertAlign w:val="superscript"/>
              </w:rPr>
              <w:t>2</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$35 million</w:t>
            </w:r>
          </w:p>
        </w:tc>
      </w:tr>
      <w:tr>
        <w:trPr>
          <w:trHeight w:val="270"/>
        </w:trPr>
        <w:tc>
          <w:tcPr>
            <w:tcW w:w="572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color w:val="auto"/>
                <w:w w:val="94"/>
              </w:rPr>
              <w:t>Tax Rate</w:t>
            </w:r>
            <w:r>
              <w:rPr>
                <w:rFonts w:ascii="Times New Roman" w:cs="Times New Roman" w:eastAsia="Times New Roman" w:hAnsi="Times New Roman"/>
                <w:sz w:val="25"/>
                <w:szCs w:val="25"/>
                <w:color w:val="auto"/>
                <w:w w:val="94"/>
                <w:vertAlign w:val="superscript"/>
              </w:rPr>
              <w:t>3</w:t>
            </w:r>
          </w:p>
        </w:tc>
        <w:tc>
          <w:tcPr>
            <w:tcW w:w="2520" w:type="dxa"/>
            <w:vAlign w:val="bottom"/>
          </w:tcPr>
          <w:p>
            <w:pPr>
              <w:spacing w:after="0"/>
              <w:rPr>
                <w:sz w:val="23"/>
                <w:szCs w:val="23"/>
                <w:color w:val="auto"/>
              </w:rPr>
            </w:pPr>
          </w:p>
        </w:tc>
        <w:tc>
          <w:tcPr>
            <w:tcW w:w="318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rPr>
              <w:t>~26.0%</w:t>
            </w:r>
          </w:p>
        </w:tc>
      </w:tr>
      <w:tr>
        <w:trPr>
          <w:trHeight w:val="243"/>
        </w:trPr>
        <w:tc>
          <w:tcPr>
            <w:tcW w:w="5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Capital Expenditures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$105 million</w:t>
            </w:r>
          </w:p>
        </w:tc>
      </w:tr>
      <w:tr>
        <w:trPr>
          <w:trHeight w:val="27"/>
        </w:trPr>
        <w:tc>
          <w:tcPr>
            <w:tcW w:w="57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r>
    </w:tbl>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i w:val="1"/>
          <w:iCs w:val="1"/>
          <w:color w:val="auto"/>
        </w:rPr>
        <w:t>1 - Includes an estimated $20 - 25 million in incremental net revenue from AC Lens contact lens distribution business growth</w:t>
      </w:r>
    </w:p>
    <w:p>
      <w:pPr>
        <w:ind w:left="40"/>
        <w:spacing w:after="0" w:line="229" w:lineRule="auto"/>
        <w:rPr>
          <w:sz w:val="20"/>
          <w:szCs w:val="20"/>
          <w:color w:val="auto"/>
        </w:rPr>
      </w:pPr>
      <w:r>
        <w:rPr>
          <w:rFonts w:ascii="Times New Roman" w:cs="Times New Roman" w:eastAsia="Times New Roman" w:hAnsi="Times New Roman"/>
          <w:sz w:val="14"/>
          <w:szCs w:val="14"/>
          <w:i w:val="1"/>
          <w:iCs w:val="1"/>
          <w:color w:val="auto"/>
        </w:rPr>
        <w:t>2 - Updated for debt refinancing</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i w:val="1"/>
          <w:iCs w:val="1"/>
          <w:color w:val="auto"/>
        </w:rPr>
        <w:t>3 - Excluding the impact of stock option exercises</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The fiscal 2019 outlook information provided above includes Adjusted EBITDA and Adjusted Net Income guidance, which are non-GAAP financial measures management uses in measuring performance. The Company is not able to reconcile these forward-looking non-GAAP measures to GAAP without unreasonable efforts because it is not possible to predict with a reasonable degree of certainty the actual impact of certain items and unanticipated events, including taxes and non-recurring items, which would be included in GAAP results. The impact of such items and unanticipated events could be potentially significant.</w:t>
      </w:r>
    </w:p>
    <w:p>
      <w:pPr>
        <w:spacing w:after="0" w:line="2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fiscal 2019 outlook information provided above is forward-looking, subject to significant business, economic, regulatory and competitive uncertainties and contingencies, many of which are beyond the control of the Company and its management, and based upon assumptions with respect to future decisions, which are subject to change. Actual results may vary and those variations may be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 conference call to discuss the second quarter 2019 financial results is scheduled for today, August 6, 2019, at 10:00 a.m. Eastern Time. The U.S. toll free dial-in for the conference call is 866-754-6931 and the international dial-in is 636-812-6625. The conference passcode is 5264677. A live audio webcast of the conference call will be available on the “Investors” section of the Company’s website </w:t>
      </w:r>
      <w:r>
        <w:rPr>
          <w:rFonts w:ascii="Times New Roman" w:cs="Times New Roman" w:eastAsia="Times New Roman" w:hAnsi="Times New Roman"/>
          <w:sz w:val="18"/>
          <w:szCs w:val="18"/>
          <w:u w:val="single" w:color="auto"/>
          <w:color w:val="0000FF"/>
        </w:rPr>
        <w:t>www.nationalvision.com/investors</w:t>
      </w:r>
      <w:r>
        <w:rPr>
          <w:rFonts w:ascii="Times New Roman" w:cs="Times New Roman" w:eastAsia="Times New Roman" w:hAnsi="Times New Roman"/>
          <w:sz w:val="18"/>
          <w:szCs w:val="18"/>
          <w:color w:val="auto"/>
        </w:rPr>
        <w:t>, where presentation materials will be posted prior to the conference call.</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telephone replay will be available shortly after the broadcast through Tuesday, August 13, 2019, by dialing 855-859-2056 from the U.S. or 404-537-3406 from international locations, and entering conference passcode 5264677. A replay of the audio webcast will also be archived on the “Investors” section of the Company’s website.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National Vision Holdings, Inc</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National Vision Holdings, Inc. is one of the largest optical retail companies in the United States with over 1,100 retail stores in 44 states plus the District of Columbia and Puerto Rico. With a mission of helping people by making quality eyecare and eyewear more affordable and accessible, the Company operates five retail brands: America’s Best Contacts &amp; Eyeglasses, Eyeglass World, Vision Centers inside select Walmart stores, Vista Opticals inside Fred Meyer stores and on select military bases, and several e-commerce websites, offering a variety of products and services for customers’ eyecare needs.</w:t>
      </w:r>
    </w:p>
    <w:p>
      <w:pPr>
        <w:sectPr>
          <w:pgSz w:w="11900" w:h="16838" w:orient="portrait"/>
          <w:cols w:equalWidth="0" w:num="1">
            <w:col w:w="11420"/>
          </w:cols>
          <w:pgMar w:left="240" w:top="792"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contained under "Fiscal 2019 Outlook" as well as other statements related to our expectations regarding the performance of our industry, growth strategy, goals and expectations concerning our market position, future operations, margins, profitability, capital expenditures, liquidity and capital resources and other financial and operating information. You can identify these forward looking statements by the use of words such as “outlook,” “guidance,” “believes,” “expects,” “potential,” “continues,” “may,” “will,” “should,” “could,” “seeks,” “projects,” “predicts,” “intends,” “plans,” “estimates,” “anticipates” or the negative version of these words or other comparable words. Such forward-looking statements are subject to various risks and uncertainties, including our ability to open and operate new stores in a timely and cost-effective manner and to successfully enter new markets; our ability to recruit and retain vision care professionals for our stores; our relationships with managed vision care companies, vision insurance providers and other third-party payors; our operating relationships with our host and legacy partners; state, local and federal vision care and healthcare laws and regulations; our ability to maintain sufficient levels of cash flow from our operations to grow; the risk of loss or disruption in our distribution centers and optical laboratories; risks associated with vendors and suppliers from whom our products are sourced; macroeconomic factors and other factors impacting consumer spending beyond the Company’s control; competition in the optical retail industry; our dependence on a limited number of suppliers; risks associated with information technology systems and the security of personal information and payment card data collected by us and our vendors; any failure, inadequacy, interruption, security failure or breach of our information technology systems; our growth strategy’s impact on our existing resources and performance of our existing stores; our ability to retain senior management and attract new personnel; our ability to manage costs; the success of our marketing, advertising and promotional efforts; risks associated with leasing substantial amounts of space; technological advances that may reduce demand for our products; product liability, product recall or personal injury issues; risks associated with managed vision care laws and regulations; our increasing reliance on third-party coverage and reimbursement; issues regarding inventory management; risks related to our e-commerce business; seasonal fluctuations in our business; we may incur losses arising from our investments in technological innovators in the optical retail industry; legal regulatory risks, including adverse judgments or settlements from legal proceedings; our ability to protect our intellectual property; the impact our leverage has on our ability to raise additional capital to fund our operations; risks related to our debt agreements, including restrictions that may limit our flexibility in operating our business; our ability to generate sufficient cash flow to satisfy our significant debt service obligations; our dependence on subsidiaries to fund all of our operations and expenses; risks associated with maintaining the requirements of being a public company, and risks related to our common stock, including our ability to comply with requirements to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Annual Report on Form 10-K and subsequent Quarterly Reports on Form 10-Q, which are accessible on the SEC’s website at www.sec.gov. Accordingly, there are or will be important factors that could cause actual outcomes or results to differ materially from those indicated in these statements. These factors should not be construed as exhaustive and should be read in conjunction with the other cautionary statements that are included in this release and in our filings with the SEC. We undertake no obligation to publicly update or review any forward-looking statement, whether as a result of new information, future developments or otherwise, except as required by law.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supplement the Company’s financial information presented in accordance with GAAP and aid understanding of the Company’s business performance, the Company uses certain non-GAAP financial measures, namely “EBITDA,” “Adjusted EBITDA,” “Adjusted EBITDA Margin,” “Adjusted Net Income,” “Adjusted Diluted EPS,” “Adjusted SG&amp;A” and “Adjusted SG&amp;A Percent of Net Revenue.” We believe EBITDA, Adjusted EBITDA, Adjusted EBITDA Margin, Adjusted Net Income,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ectPr>
          <w:pgSz w:w="11900" w:h="16838" w:orient="portrait"/>
          <w:cols w:equalWidth="0" w:num="1">
            <w:col w:w="11420"/>
          </w:cols>
          <w:pgMar w:left="240" w:top="576" w:right="239" w:bottom="1440" w:gutter="0" w:footer="0" w:header="0"/>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EBITDA: </w:t>
      </w:r>
      <w:r>
        <w:rPr>
          <w:rFonts w:ascii="Times New Roman" w:cs="Times New Roman" w:eastAsia="Times New Roman" w:hAnsi="Times New Roman"/>
          <w:sz w:val="18"/>
          <w:szCs w:val="18"/>
          <w:color w:val="auto"/>
        </w:rPr>
        <w:t>We define EBITDA as net income, plus interest expense, income tax provision (benefit) and depreciation and amortization.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We define Adjusted EBITDA as EBITDA, further adjusted to exclude stock compensation expense, asset impairment, new store pre-opening expenses, non-cash rent, secondary offering expenses, management realignment expenses, long-term incentive plan expense, and other expenses.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Margin: </w:t>
      </w:r>
      <w:r>
        <w:rPr>
          <w:rFonts w:ascii="Times New Roman" w:cs="Times New Roman" w:eastAsia="Times New Roman" w:hAnsi="Times New Roman"/>
          <w:sz w:val="18"/>
          <w:szCs w:val="18"/>
          <w:color w:val="auto"/>
        </w:rPr>
        <w:t>We define Adjusted EBITDA Margin as Adjusted EBITDA divided by net revenue.</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Net Income: </w:t>
      </w:r>
      <w:r>
        <w:rPr>
          <w:rFonts w:ascii="Times New Roman" w:cs="Times New Roman" w:eastAsia="Times New Roman" w:hAnsi="Times New Roman"/>
          <w:sz w:val="18"/>
          <w:szCs w:val="18"/>
          <w:color w:val="auto"/>
        </w:rPr>
        <w:t>We define Adjusted Net Income as net income, plus stock compensation expense, asset impairment, new store pre-opening expenses,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non-cash rent, secondary offering expenses, management realignment expenses, long-term incentive plan expense, other expenses, amortization of acquisition intangibles and deferred financing costs, tax benefit of stock option exercises, tax legislation adjustment, less the tax effect of these adjustments.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Adjusted Diluted EPS: </w:t>
      </w:r>
      <w:r>
        <w:rPr>
          <w:rFonts w:ascii="Times New Roman" w:cs="Times New Roman" w:eastAsia="Times New Roman" w:hAnsi="Times New Roman"/>
          <w:sz w:val="18"/>
          <w:szCs w:val="18"/>
          <w:color w:val="auto"/>
        </w:rPr>
        <w:t>We define Adjusted Diluted EPS as Adjusted Net Income divided by diluted weighted average common shares outstanding.</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SG&amp;A: </w:t>
      </w:r>
      <w:r>
        <w:rPr>
          <w:rFonts w:ascii="Times New Roman" w:cs="Times New Roman" w:eastAsia="Times New Roman" w:hAnsi="Times New Roman"/>
          <w:sz w:val="18"/>
          <w:szCs w:val="18"/>
          <w:color w:val="auto"/>
        </w:rPr>
        <w:t>We define Adjusted SG&amp;A as SG&amp;A, adjusted to exclude stock compensation expense, new store pre-opening expenses, non-cash 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secondary offering expenses, management realignment expenses, long-term incentive plan expense, and other expenses except for the share of losses on equity method investments.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Adjusted SG&amp;A Percent of Net Revenue: </w:t>
      </w:r>
      <w:r>
        <w:rPr>
          <w:rFonts w:ascii="Times New Roman" w:cs="Times New Roman" w:eastAsia="Times New Roman" w:hAnsi="Times New Roman"/>
          <w:sz w:val="18"/>
          <w:szCs w:val="18"/>
          <w:color w:val="auto"/>
        </w:rPr>
        <w:t>We define Adjusted SG&amp;A Percent of Net Revenue as Adjusted SG&amp;A divided by net revenue.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Comparable Store Sales Growth: </w:t>
      </w:r>
      <w:r>
        <w:rPr>
          <w:rFonts w:ascii="Times New Roman" w:cs="Times New Roman" w:eastAsia="Times New Roman" w:hAnsi="Times New Roman"/>
          <w:sz w:val="18"/>
          <w:szCs w:val="18"/>
          <w:color w:val="auto"/>
        </w:rPr>
        <w:t>We measure Adjusted Comparable Store Sales Growth as the increase or decrease in sales recorded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store base in any reporting period, compared to sales recorded by the comparable store base in the prior reporting period, which we calculate as follows: (i) sales are recorded on a cash basis (i.e. when the order is placed and paid for, compared to when the order is delivered), utilizing cash basis point of sale information from stores; (ii) stores are added to the calculation in their 13th full month; (iii) closed stores are removed from the calculation for time periods that are not comparable; (iv) sales from partial months of operation are ignored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EBITDA, Adjusted EBITDA, Adjusted EBITDA Margin, Adjusted Net Income, Adjusted Diluted EPS, Adjusted SG&amp;A, Adjusted SG&amp;A Percent of Net Revenue, and Adjusted Comparable Store Sales Growth are not recognized terms under GAAP and should not be considered as an alternative to net income, the ratio of net income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Please see “Reconciliation of GAAP to Non-GAAP Financial Measures” below for reconciliations of non-GAAP financial measures used in this release to their most directly comparable GAAP financial measures.</w:t>
      </w:r>
    </w:p>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As of June 29, 2019 and December 29, 2018</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i w:val="1"/>
          <w:iCs w:val="1"/>
          <w:color w:val="auto"/>
        </w:rPr>
        <w:t>In Thousands, Except Par Value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Pr>
          <w:p>
            <w:pPr>
              <w:spacing w:after="0"/>
              <w:rPr>
                <w:sz w:val="18"/>
                <w:szCs w:val="18"/>
                <w:color w:val="auto"/>
              </w:rPr>
            </w:pP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As of</w:t>
            </w:r>
          </w:p>
        </w:tc>
        <w:tc>
          <w:tcPr>
            <w:tcW w:w="220" w:type="dxa"/>
            <w:vAlign w:val="bottom"/>
          </w:tcPr>
          <w:p>
            <w:pPr>
              <w:spacing w:after="0"/>
              <w:rPr>
                <w:sz w:val="18"/>
                <w:szCs w:val="18"/>
                <w:color w:val="auto"/>
              </w:rPr>
            </w:pPr>
          </w:p>
        </w:tc>
        <w:tc>
          <w:tcPr>
            <w:tcW w:w="18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72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June 29, 2019</w:t>
            </w:r>
          </w:p>
        </w:tc>
        <w:tc>
          <w:tcPr>
            <w:tcW w:w="220" w:type="dxa"/>
            <w:vAlign w:val="bottom"/>
          </w:tcPr>
          <w:p>
            <w:pPr>
              <w:spacing w:after="0"/>
              <w:rPr>
                <w:sz w:val="20"/>
                <w:szCs w:val="20"/>
                <w:color w:val="auto"/>
              </w:rPr>
            </w:pPr>
          </w:p>
        </w:tc>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29, 2018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82,779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17,132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57,437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50,735</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105,660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116,022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30,815</w:t>
            </w:r>
          </w:p>
        </w:tc>
        <w:tc>
          <w:tcPr>
            <w:tcW w:w="0" w:type="dxa"/>
            <w:vAlign w:val="bottom"/>
          </w:tcPr>
          <w:p>
            <w:pPr>
              <w:spacing w:after="0"/>
              <w:rPr>
                <w:sz w:val="1"/>
                <w:szCs w:val="1"/>
                <w:color w:val="auto"/>
              </w:rPr>
            </w:pPr>
          </w:p>
        </w:tc>
      </w:tr>
      <w:tr>
        <w:trPr>
          <w:trHeight w:val="237"/>
        </w:trPr>
        <w:tc>
          <w:tcPr>
            <w:tcW w:w="7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270,894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214,704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380,002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355,117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777,613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777,613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240,547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240,547</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60,641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64,532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Right of use assets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335,874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8,876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1,800,942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1,446,685</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2,071,836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1,661,389</w:t>
            </w:r>
          </w:p>
        </w:tc>
        <w:tc>
          <w:tcPr>
            <w:tcW w:w="0" w:type="dxa"/>
            <w:vAlign w:val="bottom"/>
          </w:tcPr>
          <w:p>
            <w:pPr>
              <w:spacing w:after="0"/>
              <w:rPr>
                <w:sz w:val="1"/>
                <w:szCs w:val="1"/>
                <w:color w:val="auto"/>
              </w:rPr>
            </w:pPr>
          </w:p>
        </w:tc>
      </w:tr>
      <w:tr>
        <w:trPr>
          <w:trHeight w:val="67"/>
        </w:trPr>
        <w:tc>
          <w:tcPr>
            <w:tcW w:w="72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43,642</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92,473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81,004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Unearned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27,295</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56,371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52,144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maturities of long-term debt and finance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7,567</w:t>
            </w:r>
          </w:p>
        </w:tc>
        <w:tc>
          <w:tcPr>
            <w:tcW w:w="0" w:type="dxa"/>
            <w:vAlign w:val="bottom"/>
          </w:tcPr>
          <w:p>
            <w:pPr>
              <w:spacing w:after="0"/>
              <w:rPr>
                <w:sz w:val="1"/>
                <w:szCs w:val="1"/>
                <w:color w:val="auto"/>
              </w:rPr>
            </w:pPr>
          </w:p>
        </w:tc>
      </w:tr>
      <w:tr>
        <w:trPr>
          <w:trHeight w:val="243"/>
        </w:trPr>
        <w:tc>
          <w:tcPr>
            <w:tcW w:w="7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57,323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288,279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211,652</w:t>
            </w:r>
          </w:p>
        </w:tc>
        <w:tc>
          <w:tcPr>
            <w:tcW w:w="0" w:type="dxa"/>
            <w:vAlign w:val="bottom"/>
          </w:tcPr>
          <w:p>
            <w:pPr>
              <w:spacing w:after="0"/>
              <w:rPr>
                <w:sz w:val="1"/>
                <w:szCs w:val="1"/>
                <w:color w:val="auto"/>
              </w:rPr>
            </w:pPr>
          </w:p>
        </w:tc>
      </w:tr>
      <w:tr>
        <w:trPr>
          <w:trHeight w:val="284"/>
        </w:trPr>
        <w:tc>
          <w:tcPr>
            <w:tcW w:w="7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Long-term debt and finance lease obligations, less current portion and debt discount</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579,087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570,545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Non-current operating lease obligations</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320,754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20,134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53,964</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61,940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109,282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136,038</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stock, $0.01 par value; 200,000 shares authorized; 78,563 and 78,246 shares issued as</w:t>
            </w: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 June 29, 2019 and December 29, 2018, respectively; 78,484 and 78,167 shares outstanding</w:t>
            </w: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 of June 29, 2019 and December 29, 2018, respectively</w:t>
            </w:r>
          </w:p>
        </w:tc>
        <w:tc>
          <w:tcPr>
            <w:tcW w:w="32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679,216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672,503</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74,840</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Treasury stock, at cost; 79 shares as of June 29, 2019 and December 29, 2018</w:t>
            </w: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774,434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743,154</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2,071,836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1,661,389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29, 2019 and June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Earnings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20"/>
                <w:szCs w:val="20"/>
                <w:color w:val="auto"/>
              </w:rPr>
            </w:pPr>
          </w:p>
        </w:tc>
        <w:tc>
          <w:tcPr>
            <w:tcW w:w="308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29, 2019</w:t>
            </w:r>
          </w:p>
        </w:tc>
        <w:tc>
          <w:tcPr>
            <w:tcW w:w="20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30, 2018</w:t>
            </w:r>
          </w:p>
        </w:tc>
        <w:tc>
          <w:tcPr>
            <w:tcW w:w="22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June 29, 2019</w:t>
            </w:r>
          </w:p>
        </w:tc>
        <w:tc>
          <w:tcPr>
            <w:tcW w:w="2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June 30, 2018</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product sales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357,533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319,408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740,693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658,185</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71,918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66,124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149,973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135,322</w:t>
            </w: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revenue</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429,451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385,532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890,666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793,507</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1"/>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 and</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Products</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145,654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127,731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299,658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258,609</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Services and plans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56,852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49,328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114,817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98,904</w:t>
            </w: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202,506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177,059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414,475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357,513</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182,278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165,627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376,154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336,316</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35,439</w:t>
            </w: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Asset impairment</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w:t>
            </w: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205,243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183,500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422,089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372,173</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63,821</w:t>
            </w: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18,737</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45,084</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8,162</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36,922</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71"/>
        </w:trPr>
        <w:tc>
          <w:tcPr>
            <w:tcW w:w="4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0.49</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0.47</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78,318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75,249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74,983</w:t>
            </w: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81,424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77,858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81,437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77,879</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84"/>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36,922</w:t>
            </w: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gain (loss) on hedge instruments</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9,575</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5"/>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Tax provision (benefit) of unrealized gain (loss) on hedge</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61"/>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instruments</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2,453</w:t>
            </w:r>
          </w:p>
        </w:tc>
      </w:tr>
      <w:tr>
        <w:trPr>
          <w:trHeight w:val="25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8,587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14,965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25,069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44,044</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92"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29, 2019 and June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4"/>
          </w:tcPr>
          <w:p>
            <w:pPr>
              <w:jc w:val="right"/>
              <w:ind w:right="95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33"/>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June 29, 2019</w:t>
            </w:r>
          </w:p>
        </w:tc>
        <w:tc>
          <w:tcPr>
            <w:tcW w:w="220" w:type="dxa"/>
            <w:vAlign w:val="bottom"/>
          </w:tcPr>
          <w:p>
            <w:pPr>
              <w:spacing w:after="0"/>
              <w:rPr>
                <w:sz w:val="20"/>
                <w:szCs w:val="20"/>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June 30, 2018</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27,686</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36,922</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41,234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35,439</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 of loan costs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858</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Asset impairment</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7,964</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3,120</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Inventory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1,322</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Bad debt expense</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3,349</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737</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(5,231)</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(5,080)</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(2,924)</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5,278</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119,279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80,135</w:t>
            </w:r>
          </w:p>
        </w:tc>
      </w:tr>
      <w:tr>
        <w:trPr>
          <w:trHeight w:val="231"/>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(48,684)</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(48,568)</w:t>
            </w:r>
          </w:p>
        </w:tc>
      </w:tr>
      <w:tr>
        <w:trPr>
          <w:trHeight w:val="231"/>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3,530</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Principal payments on long-term debt</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w:t>
            </w:r>
          </w:p>
        </w:tc>
      </w:tr>
      <w:tr>
        <w:trPr>
          <w:trHeight w:val="21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65,867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30,628</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year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17,998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5,193</w:t>
            </w:r>
          </w:p>
        </w:tc>
      </w:tr>
      <w:tr>
        <w:trPr>
          <w:trHeight w:val="284"/>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83,865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35,821</w:t>
            </w:r>
          </w:p>
        </w:tc>
      </w:tr>
      <w:tr>
        <w:trPr>
          <w:trHeight w:val="257"/>
        </w:trPr>
        <w:tc>
          <w:tcPr>
            <w:tcW w:w="8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cash flow disclosure information:</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paid for interest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17,438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19,128</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and equipment accrued at the end of the period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22,033</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9,264</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Right of use assets acquired under finance leases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7,772</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Right of use assets acquired under operating leases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58,528</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bl>
    <w:p>
      <w:pPr>
        <w:spacing w:after="0" w:line="2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reported within the condensed consolidated balance sheets to the total of cash, cash equivalents and restricted cash shown above: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4"/>
          </w:tcPr>
          <w:p>
            <w:pPr>
              <w:jc w:val="right"/>
              <w:ind w:right="95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33"/>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June 29, 2019</w:t>
            </w:r>
          </w:p>
        </w:tc>
        <w:tc>
          <w:tcPr>
            <w:tcW w:w="220" w:type="dxa"/>
            <w:vAlign w:val="bottom"/>
          </w:tcPr>
          <w:p>
            <w:pPr>
              <w:spacing w:after="0"/>
              <w:rPr>
                <w:sz w:val="20"/>
                <w:szCs w:val="20"/>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June 30, 2018</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82,779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34,642</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Restricted cash included in other assets</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1,179</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83,865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35,821</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333" w:right="239" w:bottom="616"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29, 2019 and June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gridSpan w:val="11"/>
          </w:tcPr>
          <w:p>
            <w:pPr>
              <w:ind w:left="40"/>
              <w:spacing w:after="0"/>
              <w:rPr>
                <w:sz w:val="20"/>
                <w:szCs w:val="20"/>
                <w:color w:val="auto"/>
              </w:rPr>
            </w:pPr>
            <w:r>
              <w:rPr>
                <w:rFonts w:ascii="Times New Roman" w:cs="Times New Roman" w:eastAsia="Times New Roman" w:hAnsi="Times New Roman"/>
                <w:sz w:val="18"/>
                <w:szCs w:val="18"/>
                <w:b w:val="1"/>
                <w:bCs w:val="1"/>
                <w:color w:val="auto"/>
              </w:rPr>
              <w:t>Reconciliation of Net Income to EBITDA, Adjusted EBITDA and Adjusted EBITDA Margin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94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Three Months Ended</w:t>
            </w: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20" w:type="dxa"/>
            <w:vAlign w:val="bottom"/>
            <w:gridSpan w:val="6"/>
          </w:tcPr>
          <w:p>
            <w:pPr>
              <w:jc w:val="right"/>
              <w:ind w:right="310"/>
              <w:spacing w:after="0"/>
              <w:rPr>
                <w:sz w:val="20"/>
                <w:szCs w:val="20"/>
                <w:color w:val="auto"/>
              </w:rPr>
            </w:pPr>
            <w:r>
              <w:rPr>
                <w:rFonts w:ascii="Times New Roman" w:cs="Times New Roman" w:eastAsia="Times New Roman" w:hAnsi="Times New Roman"/>
                <w:sz w:val="18"/>
                <w:szCs w:val="18"/>
                <w:color w:val="auto"/>
              </w:rPr>
              <w:t>Six Months Ended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June 29, 2019</w:t>
            </w:r>
          </w:p>
        </w:tc>
        <w:tc>
          <w:tcPr>
            <w:tcW w:w="160" w:type="dxa"/>
            <w:vAlign w:val="bottom"/>
          </w:tcPr>
          <w:p>
            <w:pPr>
              <w:spacing w:after="0"/>
              <w:rPr>
                <w:sz w:val="20"/>
                <w:szCs w:val="20"/>
                <w:color w:val="auto"/>
              </w:rPr>
            </w:pPr>
          </w:p>
        </w:tc>
        <w:tc>
          <w:tcPr>
            <w:tcW w:w="166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June 30, 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June 29, 2019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June 30, 2018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10,257</w:t>
            </w:r>
          </w:p>
        </w:tc>
        <w:tc>
          <w:tcPr>
            <w:tcW w:w="8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27,686</w:t>
            </w:r>
          </w:p>
        </w:tc>
        <w:tc>
          <w:tcPr>
            <w:tcW w:w="720" w:type="dxa"/>
            <w:vAlign w:val="bottom"/>
            <w:tcBorders>
              <w:bottom w:val="single" w:sz="8" w:color="CCEEFF"/>
            </w:tcBorders>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3.1%</w:t>
            </w:r>
          </w:p>
        </w:tc>
        <w:tc>
          <w:tcPr>
            <w:tcW w:w="5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36,922</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8,968</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100" w:type="dxa"/>
            <w:vAlign w:val="bottom"/>
          </w:tcPr>
          <w:p>
            <w:pPr>
              <w:spacing w:after="0"/>
              <w:rPr>
                <w:sz w:val="21"/>
                <w:szCs w:val="21"/>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18,029</w:t>
            </w:r>
          </w:p>
        </w:tc>
        <w:tc>
          <w:tcPr>
            <w:tcW w:w="7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18,737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provision</w:t>
            </w: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2,477</w:t>
            </w:r>
          </w:p>
        </w:tc>
        <w:tc>
          <w:tcPr>
            <w:tcW w:w="8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8,387</w:t>
            </w:r>
          </w:p>
        </w:tc>
        <w:tc>
          <w:tcPr>
            <w:tcW w:w="720" w:type="dxa"/>
            <w:vAlign w:val="bottom"/>
            <w:tcBorders>
              <w:bottom w:val="single" w:sz="8" w:color="CCEEFF"/>
            </w:tcBorders>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8,162</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20,819</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17,577</w:t>
            </w:r>
          </w:p>
        </w:tc>
        <w:tc>
          <w:tcPr>
            <w:tcW w:w="100" w:type="dxa"/>
            <w:vAlign w:val="bottom"/>
          </w:tcPr>
          <w:p>
            <w:pPr>
              <w:spacing w:after="0"/>
              <w:rPr>
                <w:sz w:val="21"/>
                <w:szCs w:val="21"/>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41,234</w:t>
            </w:r>
          </w:p>
        </w:tc>
        <w:tc>
          <w:tcPr>
            <w:tcW w:w="7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35,439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42,521</w:t>
            </w:r>
          </w:p>
        </w:tc>
        <w:tc>
          <w:tcPr>
            <w:tcW w:w="8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95,336</w:t>
            </w:r>
          </w:p>
        </w:tc>
        <w:tc>
          <w:tcPr>
            <w:tcW w:w="720" w:type="dxa"/>
            <w:vAlign w:val="bottom"/>
            <w:tcBorders>
              <w:bottom w:val="single" w:sz="8" w:color="CCEEFF"/>
            </w:tcBorders>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10.7%</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99,260</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Stock compensation expense </w:t>
            </w:r>
            <w:r>
              <w:rPr>
                <w:rFonts w:ascii="Times New Roman" w:cs="Times New Roman" w:eastAsia="Times New Roman" w:hAnsi="Times New Roman"/>
                <w:sz w:val="25"/>
                <w:szCs w:val="25"/>
                <w:color w:val="auto"/>
                <w:vertAlign w:val="superscript"/>
              </w:rPr>
              <w:t>(a)</w:t>
            </w: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1,741</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4,717</w:t>
            </w:r>
          </w:p>
        </w:tc>
        <w:tc>
          <w:tcPr>
            <w:tcW w:w="72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0.4%</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5"/>
                <w:szCs w:val="25"/>
                <w:color w:val="auto"/>
                <w:vertAlign w:val="superscript"/>
              </w:rPr>
              <w:t>(b)</w:t>
            </w:r>
          </w:p>
        </w:tc>
        <w:tc>
          <w:tcPr>
            <w:tcW w:w="40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1,790</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3,872</w:t>
            </w:r>
          </w:p>
        </w:tc>
        <w:tc>
          <w:tcPr>
            <w:tcW w:w="7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New store pre-opening expenses </w:t>
            </w:r>
            <w:r>
              <w:rPr>
                <w:rFonts w:ascii="Times New Roman" w:cs="Times New Roman" w:eastAsia="Times New Roman" w:hAnsi="Times New Roman"/>
                <w:sz w:val="25"/>
                <w:szCs w:val="25"/>
                <w:color w:val="auto"/>
                <w:vertAlign w:val="superscript"/>
              </w:rPr>
              <w:t>(c)</w:t>
            </w: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1,128</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2,014</w:t>
            </w:r>
          </w:p>
        </w:tc>
        <w:tc>
          <w:tcPr>
            <w:tcW w:w="72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0.2%</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Non-cash rent </w:t>
            </w:r>
            <w:r>
              <w:rPr>
                <w:rFonts w:ascii="Times New Roman" w:cs="Times New Roman" w:eastAsia="Times New Roman" w:hAnsi="Times New Roman"/>
                <w:sz w:val="25"/>
                <w:szCs w:val="25"/>
                <w:color w:val="auto"/>
                <w:vertAlign w:val="superscript"/>
              </w:rPr>
              <w:t>(d)</w:t>
            </w:r>
          </w:p>
        </w:tc>
        <w:tc>
          <w:tcPr>
            <w:tcW w:w="40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23"/>
                <w:szCs w:val="2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1,849</w:t>
            </w:r>
          </w:p>
        </w:tc>
        <w:tc>
          <w:tcPr>
            <w:tcW w:w="7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1,273</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0.2%</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Secondary offering expenses </w:t>
            </w:r>
            <w:r>
              <w:rPr>
                <w:rFonts w:ascii="Times New Roman" w:cs="Times New Roman" w:eastAsia="Times New Roman" w:hAnsi="Times New Roman"/>
                <w:sz w:val="25"/>
                <w:szCs w:val="25"/>
                <w:color w:val="auto"/>
                <w:vertAlign w:val="superscript"/>
              </w:rPr>
              <w:t>(e)</w:t>
            </w: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0.1%</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Management realignment expenses </w:t>
            </w:r>
            <w:r>
              <w:rPr>
                <w:rFonts w:ascii="Times New Roman" w:cs="Times New Roman" w:eastAsia="Times New Roman" w:hAnsi="Times New Roman"/>
                <w:sz w:val="25"/>
                <w:szCs w:val="25"/>
                <w:color w:val="auto"/>
                <w:vertAlign w:val="superscript"/>
              </w:rPr>
              <w:t>(f)</w:t>
            </w:r>
          </w:p>
        </w:tc>
        <w:tc>
          <w:tcPr>
            <w:tcW w:w="40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2,155</w:t>
            </w:r>
          </w:p>
        </w:tc>
        <w:tc>
          <w:tcPr>
            <w:tcW w:w="7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Long-term incentive plan expense </w:t>
            </w:r>
            <w:r>
              <w:rPr>
                <w:rFonts w:ascii="Times New Roman" w:cs="Times New Roman" w:eastAsia="Times New Roman" w:hAnsi="Times New Roman"/>
                <w:sz w:val="25"/>
                <w:szCs w:val="25"/>
                <w:color w:val="auto"/>
                <w:vertAlign w:val="superscript"/>
              </w:rPr>
              <w:t>(g)</w:t>
            </w: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781</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72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5"/>
                <w:szCs w:val="25"/>
                <w:color w:val="auto"/>
                <w:vertAlign w:val="superscript"/>
              </w:rPr>
              <w:t>(h)</w:t>
            </w:r>
          </w:p>
        </w:tc>
        <w:tc>
          <w:tcPr>
            <w:tcW w:w="4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1,223</w:t>
            </w:r>
          </w:p>
        </w:tc>
        <w:tc>
          <w:tcPr>
            <w:tcW w:w="80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auto"/>
            </w:tcBorders>
          </w:tcPr>
          <w:p>
            <w:pPr>
              <w:spacing w:after="0"/>
              <w:rPr>
                <w:sz w:val="23"/>
                <w:szCs w:val="23"/>
                <w:color w:val="auto"/>
              </w:rPr>
            </w:pPr>
          </w:p>
        </w:tc>
        <w:tc>
          <w:tcPr>
            <w:tcW w:w="80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0.2%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2,467</w:t>
            </w:r>
          </w:p>
        </w:tc>
        <w:tc>
          <w:tcPr>
            <w:tcW w:w="100" w:type="dxa"/>
            <w:vAlign w:val="bottom"/>
            <w:tcBorders>
              <w:bottom w:val="single" w:sz="8" w:color="auto"/>
            </w:tcBorders>
          </w:tcPr>
          <w:p>
            <w:pPr>
              <w:spacing w:after="0"/>
              <w:rPr>
                <w:sz w:val="23"/>
                <w:szCs w:val="23"/>
                <w:color w:val="auto"/>
              </w:rPr>
            </w:pPr>
          </w:p>
        </w:tc>
        <w:tc>
          <w:tcPr>
            <w:tcW w:w="620" w:type="dxa"/>
            <w:vAlign w:val="bottom"/>
            <w:tcBorders>
              <w:bottom w:val="single" w:sz="8" w:color="CCEEFF"/>
            </w:tcBorders>
          </w:tcPr>
          <w:p>
            <w:pPr>
              <w:jc w:val="center"/>
              <w:ind w:left="7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1,185</w:t>
            </w: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5"/>
              </w:rPr>
              <w:t>0.1%</w:t>
            </w:r>
          </w:p>
        </w:tc>
        <w:tc>
          <w:tcPr>
            <w:tcW w:w="0" w:type="dxa"/>
            <w:vAlign w:val="bottom"/>
          </w:tcPr>
          <w:p>
            <w:pPr>
              <w:spacing w:after="0"/>
              <w:rPr>
                <w:sz w:val="1"/>
                <w:szCs w:val="1"/>
                <w:color w:val="auto"/>
              </w:rPr>
            </w:pPr>
          </w:p>
        </w:tc>
      </w:tr>
      <w:tr>
        <w:trPr>
          <w:trHeight w:val="201"/>
        </w:trPr>
        <w:tc>
          <w:tcPr>
            <w:tcW w:w="3780" w:type="dxa"/>
            <w:vAlign w:val="bottom"/>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b w:val="1"/>
                <w:bCs w:val="1"/>
                <w:color w:val="auto"/>
              </w:rPr>
              <w:t>Adjusted EBITDA/ Adjusted EBITDA</w:t>
            </w: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49,834</w:t>
            </w: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113,132</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gridSpan w:val="2"/>
            <w:vMerge w:val="restart"/>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107,208</w:t>
            </w: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400" w:type="dxa"/>
            <w:vAlign w:val="bottom"/>
            <w:tcBorders>
              <w:bottom w:val="single" w:sz="8" w:color="auto"/>
            </w:tcBorders>
            <w:vMerge w:val="continue"/>
            <w:shd w:val="clear" w:color="auto" w:fill="CCEEFF"/>
          </w:tcPr>
          <w:p>
            <w:pPr>
              <w:spacing w:after="0"/>
              <w:rPr>
                <w:sz w:val="21"/>
                <w:szCs w:val="21"/>
                <w:color w:val="auto"/>
              </w:rPr>
            </w:pPr>
          </w:p>
        </w:tc>
        <w:tc>
          <w:tcPr>
            <w:tcW w:w="640" w:type="dxa"/>
            <w:vAlign w:val="bottom"/>
            <w:tcBorders>
              <w:bottom w:val="single" w:sz="8" w:color="auto"/>
            </w:tcBorders>
            <w:vMerge w:val="continue"/>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7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vMerge w:val="continue"/>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760" w:type="dxa"/>
            <w:vAlign w:val="bottom"/>
            <w:tcBorders>
              <w:bottom w:val="single" w:sz="8" w:color="auto"/>
            </w:tcBorders>
            <w:gridSpan w:val="4"/>
            <w:vMerge w:val="continue"/>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12.7%</w:t>
            </w:r>
          </w:p>
        </w:tc>
        <w:tc>
          <w:tcPr>
            <w:tcW w:w="280" w:type="dxa"/>
            <w:vAlign w:val="bottom"/>
            <w:tcBorders>
              <w:bottom w:val="single" w:sz="8" w:color="CCEEFF"/>
            </w:tcBorders>
            <w:gridSpan w:val="2"/>
            <w:vMerge w:val="continue"/>
            <w:shd w:val="clear" w:color="auto" w:fill="CCEEFF"/>
          </w:tcPr>
          <w:p>
            <w:pPr>
              <w:spacing w:after="0"/>
              <w:rPr>
                <w:sz w:val="21"/>
                <w:szCs w:val="21"/>
                <w:color w:val="auto"/>
              </w:rPr>
            </w:pP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780" w:type="dxa"/>
            <w:vAlign w:val="bottom"/>
            <w:tcBorders>
              <w:bottom w:val="single" w:sz="8" w:color="auto"/>
            </w:tcBorders>
            <w:gridSpan w:val="2"/>
            <w:vMerge w:val="continue"/>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920" w:type="dxa"/>
            <w:vAlign w:val="bottom"/>
            <w:gridSpan w:val="3"/>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rounding.</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820" w:type="dxa"/>
            <w:vAlign w:val="bottom"/>
            <w:gridSpan w:val="3"/>
          </w:tcPr>
          <w:p>
            <w:pPr>
              <w:ind w:left="200"/>
              <w:spacing w:after="0" w:line="113" w:lineRule="exact"/>
              <w:rPr>
                <w:sz w:val="20"/>
                <w:szCs w:val="20"/>
                <w:color w:val="auto"/>
              </w:rPr>
            </w:pPr>
            <w:r>
              <w:rPr>
                <w:rFonts w:ascii="Times New Roman" w:cs="Times New Roman" w:eastAsia="Times New Roman" w:hAnsi="Times New Roman"/>
                <w:sz w:val="13"/>
                <w:szCs w:val="13"/>
                <w:color w:val="auto"/>
              </w:rPr>
              <w:t>Note: Percentages reflect line item as a percentage of net revenue, adjusted for</w:t>
            </w:r>
          </w:p>
        </w:tc>
        <w:tc>
          <w:tcPr>
            <w:tcW w:w="9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5740" w:type="dxa"/>
            <w:vAlign w:val="bottom"/>
            <w:gridSpan w:val="6"/>
          </w:tcPr>
          <w:p>
            <w:pPr>
              <w:ind w:left="180"/>
              <w:spacing w:after="0"/>
              <w:rPr>
                <w:sz w:val="20"/>
                <w:szCs w:val="20"/>
                <w:color w:val="auto"/>
              </w:rPr>
            </w:pPr>
            <w:r>
              <w:rPr>
                <w:rFonts w:ascii="Times New Roman" w:cs="Times New Roman" w:eastAsia="Times New Roman" w:hAnsi="Times New Roman"/>
                <w:sz w:val="14"/>
                <w:szCs w:val="14"/>
                <w:color w:val="auto"/>
              </w:rPr>
              <w:t>Some of the percentage totals in the table above do not foot due to rounding differences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0"/>
        </w:trPr>
        <w:tc>
          <w:tcPr>
            <w:tcW w:w="4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Net Income</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June 29, 2019</w:t>
            </w:r>
          </w:p>
        </w:tc>
        <w:tc>
          <w:tcPr>
            <w:tcW w:w="20" w:type="dxa"/>
            <w:vAlign w:val="bottom"/>
          </w:tcPr>
          <w:p>
            <w:pPr>
              <w:spacing w:after="0"/>
              <w:rPr>
                <w:sz w:val="20"/>
                <w:szCs w:val="20"/>
                <w:color w:val="auto"/>
              </w:rPr>
            </w:pPr>
          </w:p>
        </w:tc>
        <w:tc>
          <w:tcPr>
            <w:tcW w:w="13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June 30, 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5"/>
          </w:tcPr>
          <w:p>
            <w:pPr>
              <w:jc w:val="right"/>
              <w:ind w:right="150"/>
              <w:spacing w:after="0"/>
              <w:rPr>
                <w:sz w:val="20"/>
                <w:szCs w:val="20"/>
                <w:color w:val="auto"/>
              </w:rPr>
            </w:pPr>
            <w:r>
              <w:rPr>
                <w:rFonts w:ascii="Times New Roman" w:cs="Times New Roman" w:eastAsia="Times New Roman" w:hAnsi="Times New Roman"/>
                <w:sz w:val="18"/>
                <w:szCs w:val="18"/>
                <w:color w:val="auto"/>
                <w:w w:val="97"/>
              </w:rPr>
              <w:t>June 29, 2019</w:t>
            </w:r>
          </w:p>
        </w:tc>
        <w:tc>
          <w:tcPr>
            <w:tcW w:w="100" w:type="dxa"/>
            <w:vAlign w:val="bottom"/>
          </w:tcPr>
          <w:p>
            <w:pPr>
              <w:spacing w:after="0"/>
              <w:rPr>
                <w:sz w:val="20"/>
                <w:szCs w:val="20"/>
                <w:color w:val="auto"/>
              </w:rPr>
            </w:pP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June 30, 2018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10,257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12,467</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27,686</w:t>
            </w:r>
          </w:p>
        </w:tc>
        <w:tc>
          <w:tcPr>
            <w:tcW w:w="780" w:type="dxa"/>
            <w:vAlign w:val="bottom"/>
            <w:tcBorders>
              <w:bottom w:val="single" w:sz="8" w:color="CCEEFF"/>
            </w:tcBorders>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36,922</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Stock compensation expense </w:t>
            </w:r>
            <w:r>
              <w:rPr>
                <w:rFonts w:ascii="Times New Roman" w:cs="Times New Roman" w:eastAsia="Times New Roman" w:hAnsi="Times New Roman"/>
                <w:sz w:val="25"/>
                <w:szCs w:val="25"/>
                <w:color w:val="auto"/>
                <w:vertAlign w:val="superscript"/>
              </w:rPr>
              <w:t>(a)</w:t>
            </w: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w w:val="98"/>
              </w:rPr>
              <w:t>4,717</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3,120</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5"/>
                <w:szCs w:val="25"/>
                <w:color w:val="auto"/>
                <w:vertAlign w:val="superscript"/>
              </w:rPr>
              <w:t>(b)</w:t>
            </w: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3,872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New store pre-opening expenses </w:t>
            </w:r>
            <w:r>
              <w:rPr>
                <w:rFonts w:ascii="Times New Roman" w:cs="Times New Roman" w:eastAsia="Times New Roman" w:hAnsi="Times New Roman"/>
                <w:sz w:val="25"/>
                <w:szCs w:val="25"/>
                <w:color w:val="auto"/>
                <w:vertAlign w:val="superscript"/>
              </w:rPr>
              <w:t>(c)</w:t>
            </w: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w w:val="98"/>
              </w:rPr>
              <w:t>2,014</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Non-cash rent </w:t>
            </w:r>
            <w:r>
              <w:rPr>
                <w:rFonts w:ascii="Times New Roman" w:cs="Times New Roman" w:eastAsia="Times New Roman" w:hAnsi="Times New Roman"/>
                <w:sz w:val="25"/>
                <w:szCs w:val="25"/>
                <w:color w:val="auto"/>
                <w:vertAlign w:val="superscript"/>
              </w:rPr>
              <w:t>(d)</w:t>
            </w: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1,849</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Secondary offering expenses </w:t>
            </w:r>
            <w:r>
              <w:rPr>
                <w:rFonts w:ascii="Times New Roman" w:cs="Times New Roman" w:eastAsia="Times New Roman" w:hAnsi="Times New Roman"/>
                <w:sz w:val="25"/>
                <w:szCs w:val="25"/>
                <w:color w:val="auto"/>
                <w:vertAlign w:val="superscript"/>
              </w:rPr>
              <w:t>(e)</w:t>
            </w: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Management realignment expenses </w:t>
            </w:r>
            <w:r>
              <w:rPr>
                <w:rFonts w:ascii="Times New Roman" w:cs="Times New Roman" w:eastAsia="Times New Roman" w:hAnsi="Times New Roman"/>
                <w:sz w:val="25"/>
                <w:szCs w:val="25"/>
                <w:color w:val="auto"/>
                <w:vertAlign w:val="superscript"/>
              </w:rPr>
              <w:t>(f)</w:t>
            </w: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2,155</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Long-term incentive plan expense </w:t>
            </w:r>
            <w:r>
              <w:rPr>
                <w:rFonts w:ascii="Times New Roman" w:cs="Times New Roman" w:eastAsia="Times New Roman" w:hAnsi="Times New Roman"/>
                <w:sz w:val="25"/>
                <w:szCs w:val="25"/>
                <w:color w:val="auto"/>
                <w:vertAlign w:val="superscript"/>
              </w:rPr>
              <w:t>(g)</w:t>
            </w: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5"/>
                <w:szCs w:val="25"/>
                <w:color w:val="auto"/>
                <w:vertAlign w:val="superscript"/>
              </w:rPr>
              <w:t>(h)</w:t>
            </w: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2,467</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70"/>
        </w:trPr>
        <w:tc>
          <w:tcPr>
            <w:tcW w:w="5740" w:type="dxa"/>
            <w:vAlign w:val="bottom"/>
            <w:gridSpan w:val="6"/>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Amortization of acquisition intangibles and deferred financing costs </w:t>
            </w:r>
            <w:r>
              <w:rPr>
                <w:rFonts w:ascii="Times New Roman" w:cs="Times New Roman" w:eastAsia="Times New Roman" w:hAnsi="Times New Roman"/>
                <w:sz w:val="25"/>
                <w:szCs w:val="25"/>
                <w:color w:val="auto"/>
                <w:vertAlign w:val="superscript"/>
              </w:rPr>
              <w:t>(i)</w:t>
            </w:r>
          </w:p>
        </w:tc>
        <w:tc>
          <w:tcPr>
            <w:tcW w:w="16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w w:val="98"/>
              </w:rPr>
              <w:t>4,594</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4,562</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Tax benefit of stock option exercises </w:t>
            </w:r>
            <w:r>
              <w:rPr>
                <w:rFonts w:ascii="Times New Roman" w:cs="Times New Roman" w:eastAsia="Times New Roman" w:hAnsi="Times New Roman"/>
                <w:sz w:val="25"/>
                <w:szCs w:val="25"/>
                <w:color w:val="auto"/>
                <w:vertAlign w:val="superscript"/>
              </w:rPr>
              <w:t>(j)</w:t>
            </w: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Tax effect of total adjustments </w:t>
            </w:r>
            <w:r>
              <w:rPr>
                <w:rFonts w:ascii="Times New Roman" w:cs="Times New Roman" w:eastAsia="Times New Roman" w:hAnsi="Times New Roman"/>
                <w:sz w:val="25"/>
                <w:szCs w:val="25"/>
                <w:color w:val="auto"/>
                <w:vertAlign w:val="superscript"/>
              </w:rPr>
              <w:t>(k)</w:t>
            </w:r>
          </w:p>
        </w:tc>
        <w:tc>
          <w:tcPr>
            <w:tcW w:w="400" w:type="dxa"/>
            <w:vAlign w:val="bottom"/>
            <w:tcBorders>
              <w:bottom w:val="single" w:sz="8" w:color="CCEEFF"/>
            </w:tcBorders>
          </w:tcPr>
          <w:p>
            <w:pPr>
              <w:spacing w:after="0"/>
              <w:rPr>
                <w:sz w:val="23"/>
                <w:szCs w:val="23"/>
                <w:color w:val="auto"/>
              </w:rPr>
            </w:pPr>
          </w:p>
        </w:tc>
        <w:tc>
          <w:tcPr>
            <w:tcW w:w="64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4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16,286</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15,716</w:t>
            </w:r>
          </w:p>
        </w:tc>
        <w:tc>
          <w:tcPr>
            <w:tcW w:w="4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42,963</w:t>
            </w:r>
          </w:p>
        </w:tc>
        <w:tc>
          <w:tcPr>
            <w:tcW w:w="78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42,164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Reconciliation of Diluted EPS to Adjusted Diluted EPS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500" w:type="dxa"/>
            <w:vAlign w:val="bottom"/>
            <w:gridSpan w:val="5"/>
          </w:tcPr>
          <w:p>
            <w:pPr>
              <w:ind w:left="82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23"/>
                <w:szCs w:val="23"/>
                <w:color w:val="auto"/>
              </w:rPr>
            </w:pPr>
          </w:p>
        </w:tc>
        <w:tc>
          <w:tcPr>
            <w:tcW w:w="3280" w:type="dxa"/>
            <w:vAlign w:val="bottom"/>
            <w:gridSpan w:val="4"/>
          </w:tcPr>
          <w:p>
            <w:pPr>
              <w:jc w:val="right"/>
              <w:ind w:right="99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7"/>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June 29, 2019</w:t>
            </w:r>
          </w:p>
        </w:tc>
        <w:tc>
          <w:tcPr>
            <w:tcW w:w="24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30, 2018</w:t>
            </w:r>
          </w:p>
        </w:tc>
        <w:tc>
          <w:tcPr>
            <w:tcW w:w="24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June 29, 2019</w:t>
            </w:r>
          </w:p>
        </w:tc>
        <w:tc>
          <w:tcPr>
            <w:tcW w:w="24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June 30, 2018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Stock compensation expense </w:t>
            </w:r>
            <w:r>
              <w:rPr>
                <w:rFonts w:ascii="Times New Roman" w:cs="Times New Roman" w:eastAsia="Times New Roman" w:hAnsi="Times New Roman"/>
                <w:sz w:val="25"/>
                <w:szCs w:val="25"/>
                <w:color w:val="auto"/>
                <w:vertAlign w:val="superscript"/>
              </w:rPr>
              <w:t>(a)</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5"/>
                <w:szCs w:val="25"/>
                <w:color w:val="auto"/>
                <w:vertAlign w:val="superscript"/>
              </w:rPr>
              <w:t>(b)</w:t>
            </w:r>
          </w:p>
        </w:tc>
        <w:tc>
          <w:tcPr>
            <w:tcW w:w="280" w:type="dxa"/>
            <w:vAlign w:val="bottom"/>
          </w:tcPr>
          <w:p>
            <w:pPr>
              <w:spacing w:after="0"/>
              <w:rPr>
                <w:sz w:val="23"/>
                <w:szCs w:val="23"/>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New store pre-opening expenses </w:t>
            </w:r>
            <w:r>
              <w:rPr>
                <w:rFonts w:ascii="Times New Roman" w:cs="Times New Roman" w:eastAsia="Times New Roman" w:hAnsi="Times New Roman"/>
                <w:sz w:val="25"/>
                <w:szCs w:val="25"/>
                <w:color w:val="auto"/>
                <w:vertAlign w:val="superscript"/>
              </w:rPr>
              <w:t>(c)</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Non-cash rent </w:t>
            </w:r>
            <w:r>
              <w:rPr>
                <w:rFonts w:ascii="Times New Roman" w:cs="Times New Roman" w:eastAsia="Times New Roman" w:hAnsi="Times New Roman"/>
                <w:sz w:val="25"/>
                <w:szCs w:val="25"/>
                <w:color w:val="auto"/>
                <w:vertAlign w:val="superscript"/>
              </w:rPr>
              <w:t>(d)</w:t>
            </w:r>
          </w:p>
        </w:tc>
        <w:tc>
          <w:tcPr>
            <w:tcW w:w="280" w:type="dxa"/>
            <w:vAlign w:val="bottom"/>
          </w:tcPr>
          <w:p>
            <w:pPr>
              <w:spacing w:after="0"/>
              <w:rPr>
                <w:sz w:val="23"/>
                <w:szCs w:val="23"/>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Secondary offering expenses </w:t>
            </w:r>
            <w:r>
              <w:rPr>
                <w:rFonts w:ascii="Times New Roman" w:cs="Times New Roman" w:eastAsia="Times New Roman" w:hAnsi="Times New Roman"/>
                <w:sz w:val="25"/>
                <w:szCs w:val="25"/>
                <w:color w:val="auto"/>
                <w:vertAlign w:val="superscript"/>
              </w:rPr>
              <w:t>(e)</w:t>
            </w:r>
          </w:p>
        </w:tc>
        <w:tc>
          <w:tcPr>
            <w:tcW w:w="28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Management realignment expenses </w:t>
            </w:r>
            <w:r>
              <w:rPr>
                <w:rFonts w:ascii="Times New Roman" w:cs="Times New Roman" w:eastAsia="Times New Roman" w:hAnsi="Times New Roman"/>
                <w:sz w:val="25"/>
                <w:szCs w:val="25"/>
                <w:color w:val="auto"/>
                <w:vertAlign w:val="superscript"/>
              </w:rPr>
              <w:t>(f)</w:t>
            </w:r>
          </w:p>
        </w:tc>
        <w:tc>
          <w:tcPr>
            <w:tcW w:w="280" w:type="dxa"/>
            <w:vAlign w:val="bottom"/>
          </w:tcPr>
          <w:p>
            <w:pPr>
              <w:spacing w:after="0"/>
              <w:rPr>
                <w:sz w:val="23"/>
                <w:szCs w:val="23"/>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Long-term incentive plan expense </w:t>
            </w:r>
            <w:r>
              <w:rPr>
                <w:rFonts w:ascii="Times New Roman" w:cs="Times New Roman" w:eastAsia="Times New Roman" w:hAnsi="Times New Roman"/>
                <w:sz w:val="25"/>
                <w:szCs w:val="25"/>
                <w:color w:val="auto"/>
                <w:vertAlign w:val="superscript"/>
              </w:rPr>
              <w:t>(g)</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5"/>
                <w:szCs w:val="25"/>
                <w:color w:val="auto"/>
                <w:vertAlign w:val="superscript"/>
              </w:rPr>
              <w:t>(h)</w:t>
            </w:r>
          </w:p>
        </w:tc>
        <w:tc>
          <w:tcPr>
            <w:tcW w:w="280" w:type="dxa"/>
            <w:vAlign w:val="bottom"/>
          </w:tcPr>
          <w:p>
            <w:pPr>
              <w:spacing w:after="0"/>
              <w:rPr>
                <w:sz w:val="23"/>
                <w:szCs w:val="23"/>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acquisition intangibles and deferred</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120" w:type="dxa"/>
            <w:vAlign w:val="bottom"/>
            <w:shd w:val="clear" w:color="auto" w:fill="CCEEFF"/>
          </w:tcPr>
          <w:p>
            <w:pPr>
              <w:ind w:left="40"/>
              <w:spacing w:after="0" w:line="262" w:lineRule="exact"/>
              <w:rPr>
                <w:sz w:val="20"/>
                <w:szCs w:val="20"/>
                <w:color w:val="auto"/>
              </w:rPr>
            </w:pPr>
            <w:r>
              <w:rPr>
                <w:rFonts w:ascii="Times New Roman" w:cs="Times New Roman" w:eastAsia="Times New Roman" w:hAnsi="Times New Roman"/>
                <w:sz w:val="18"/>
                <w:szCs w:val="18"/>
                <w:color w:val="auto"/>
              </w:rPr>
              <w:t xml:space="preserve">financing costs </w:t>
            </w:r>
            <w:r>
              <w:rPr>
                <w:rFonts w:ascii="Times New Roman" w:cs="Times New Roman" w:eastAsia="Times New Roman" w:hAnsi="Times New Roman"/>
                <w:sz w:val="25"/>
                <w:szCs w:val="25"/>
                <w:color w:val="auto"/>
                <w:vertAlign w:val="superscript"/>
              </w:rPr>
              <w:t>(i)</w:t>
            </w:r>
          </w:p>
        </w:tc>
        <w:tc>
          <w:tcPr>
            <w:tcW w:w="28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Tax benefit of stock option exercises </w:t>
            </w:r>
            <w:r>
              <w:rPr>
                <w:rFonts w:ascii="Times New Roman" w:cs="Times New Roman" w:eastAsia="Times New Roman" w:hAnsi="Times New Roman"/>
                <w:sz w:val="25"/>
                <w:szCs w:val="25"/>
                <w:color w:val="auto"/>
                <w:vertAlign w:val="superscript"/>
              </w:rPr>
              <w:t>(j)</w:t>
            </w:r>
          </w:p>
        </w:tc>
        <w:tc>
          <w:tcPr>
            <w:tcW w:w="2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Tax effect of total adjustments </w:t>
            </w:r>
            <w:r>
              <w:rPr>
                <w:rFonts w:ascii="Times New Roman" w:cs="Times New Roman" w:eastAsia="Times New Roman" w:hAnsi="Times New Roman"/>
                <w:sz w:val="25"/>
                <w:szCs w:val="25"/>
                <w:color w:val="auto"/>
                <w:vertAlign w:val="superscript"/>
              </w:rPr>
              <w:t>(k)</w:t>
            </w:r>
          </w:p>
        </w:tc>
        <w:tc>
          <w:tcPr>
            <w:tcW w:w="2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Diluted EPS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311"/>
        </w:trPr>
        <w:tc>
          <w:tcPr>
            <w:tcW w:w="4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diluted shares outstanding</w:t>
            </w:r>
          </w:p>
        </w:tc>
        <w:tc>
          <w:tcPr>
            <w:tcW w:w="280" w:type="dxa"/>
            <w:vAlign w:val="bottom"/>
          </w:tcPr>
          <w:p>
            <w:pPr>
              <w:spacing w:after="0"/>
              <w:rPr>
                <w:sz w:val="21"/>
                <w:szCs w:val="21"/>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81,424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81,437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77,879</w:t>
            </w:r>
          </w:p>
        </w:tc>
        <w:tc>
          <w:tcPr>
            <w:tcW w:w="0" w:type="dxa"/>
            <w:vAlign w:val="bottom"/>
          </w:tcPr>
          <w:p>
            <w:pPr>
              <w:spacing w:after="0"/>
              <w:rPr>
                <w:sz w:val="1"/>
                <w:szCs w:val="1"/>
                <w:color w:val="auto"/>
              </w:rPr>
            </w:pPr>
          </w:p>
        </w:tc>
      </w:tr>
    </w:tbl>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Note: Some of the totals in the table above do not foot due to rounding differences</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6900" w:type="dxa"/>
            <w:vAlign w:val="bottom"/>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Reconciliation of SG&amp;A to Adjusted SG&amp;A and Adjusted SG&amp;A Percent of Net Revenue</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Three Months Ended</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Six Months Ended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June 29, 2019</w:t>
            </w:r>
          </w:p>
        </w:tc>
        <w:tc>
          <w:tcPr>
            <w:tcW w:w="220" w:type="dxa"/>
            <w:vAlign w:val="bottom"/>
          </w:tcPr>
          <w:p>
            <w:pPr>
              <w:spacing w:after="0"/>
              <w:rPr>
                <w:sz w:val="20"/>
                <w:szCs w:val="20"/>
                <w:color w:val="auto"/>
              </w:rPr>
            </w:pPr>
          </w:p>
        </w:tc>
        <w:tc>
          <w:tcPr>
            <w:tcW w:w="17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June 30, 2018</w:t>
            </w:r>
          </w:p>
        </w:tc>
        <w:tc>
          <w:tcPr>
            <w:tcW w:w="240" w:type="dxa"/>
            <w:vAlign w:val="bottom"/>
          </w:tcPr>
          <w:p>
            <w:pPr>
              <w:spacing w:after="0"/>
              <w:rPr>
                <w:sz w:val="20"/>
                <w:szCs w:val="20"/>
                <w:color w:val="auto"/>
              </w:rPr>
            </w:pPr>
          </w:p>
        </w:tc>
        <w:tc>
          <w:tcPr>
            <w:tcW w:w="1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June 29, 2019</w:t>
            </w:r>
          </w:p>
        </w:tc>
        <w:tc>
          <w:tcPr>
            <w:tcW w:w="220" w:type="dxa"/>
            <w:vAlign w:val="bottom"/>
          </w:tcPr>
          <w:p>
            <w:pPr>
              <w:spacing w:after="0"/>
              <w:rPr>
                <w:sz w:val="20"/>
                <w:szCs w:val="20"/>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June 30, 2018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SG&amp;A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182,278</w:t>
            </w: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165,627</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376,154</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336,316</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Stock compensation expense </w:t>
            </w:r>
            <w:r>
              <w:rPr>
                <w:rFonts w:ascii="Times New Roman" w:cs="Times New Roman" w:eastAsia="Times New Roman" w:hAnsi="Times New Roman"/>
                <w:sz w:val="25"/>
                <w:szCs w:val="25"/>
                <w:color w:val="auto"/>
                <w:vertAlign w:val="superscript"/>
              </w:rPr>
              <w:t>(a)</w:t>
            </w: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1,741</w:t>
            </w:r>
          </w:p>
        </w:tc>
        <w:tc>
          <w:tcPr>
            <w:tcW w:w="6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1,524</w:t>
            </w:r>
          </w:p>
        </w:tc>
        <w:tc>
          <w:tcPr>
            <w:tcW w:w="140" w:type="dxa"/>
            <w:vAlign w:val="bottom"/>
          </w:tcPr>
          <w:p>
            <w:pPr>
              <w:spacing w:after="0"/>
              <w:rPr>
                <w:sz w:val="23"/>
                <w:szCs w:val="23"/>
                <w:color w:val="auto"/>
              </w:rPr>
            </w:pPr>
          </w:p>
        </w:tc>
        <w:tc>
          <w:tcPr>
            <w:tcW w:w="6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0.4%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4,717</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0.4%</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New store pre-opening expenses </w:t>
            </w:r>
            <w:r>
              <w:rPr>
                <w:rFonts w:ascii="Times New Roman" w:cs="Times New Roman" w:eastAsia="Times New Roman" w:hAnsi="Times New Roman"/>
                <w:sz w:val="25"/>
                <w:szCs w:val="25"/>
                <w:color w:val="auto"/>
                <w:vertAlign w:val="superscript"/>
              </w:rPr>
              <w:t>(c)</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1,128</w:t>
            </w:r>
          </w:p>
        </w:tc>
        <w:tc>
          <w:tcPr>
            <w:tcW w:w="6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756</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5"/>
              </w:rPr>
              <w:t>0.2%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2,014</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0.2%</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Non-cash rent </w:t>
            </w:r>
            <w:r>
              <w:rPr>
                <w:rFonts w:ascii="Times New Roman" w:cs="Times New Roman" w:eastAsia="Times New Roman" w:hAnsi="Times New Roman"/>
                <w:sz w:val="25"/>
                <w:szCs w:val="25"/>
                <w:color w:val="auto"/>
                <w:vertAlign w:val="superscript"/>
              </w:rPr>
              <w:t>(d)</w:t>
            </w: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w:t>
            </w:r>
          </w:p>
        </w:tc>
        <w:tc>
          <w:tcPr>
            <w:tcW w:w="6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w:t>
            </w:r>
          </w:p>
        </w:tc>
        <w:tc>
          <w:tcPr>
            <w:tcW w:w="140" w:type="dxa"/>
            <w:vAlign w:val="bottom"/>
          </w:tcPr>
          <w:p>
            <w:pPr>
              <w:spacing w:after="0"/>
              <w:rPr>
                <w:sz w:val="23"/>
                <w:szCs w:val="23"/>
                <w:color w:val="auto"/>
              </w:rPr>
            </w:pPr>
          </w:p>
        </w:tc>
        <w:tc>
          <w:tcPr>
            <w:tcW w:w="6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1,849</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1,273</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0.2%</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Secondary offering expenses </w:t>
            </w:r>
            <w:r>
              <w:rPr>
                <w:rFonts w:ascii="Times New Roman" w:cs="Times New Roman" w:eastAsia="Times New Roman" w:hAnsi="Times New Roman"/>
                <w:sz w:val="25"/>
                <w:szCs w:val="25"/>
                <w:color w:val="auto"/>
                <w:vertAlign w:val="superscript"/>
              </w:rPr>
              <w:t>(e)</w:t>
            </w:r>
          </w:p>
        </w:tc>
        <w:tc>
          <w:tcPr>
            <w:tcW w:w="2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6"/>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0.1%</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Management realignment expenses </w:t>
            </w:r>
            <w:r>
              <w:rPr>
                <w:rFonts w:ascii="Times New Roman" w:cs="Times New Roman" w:eastAsia="Times New Roman" w:hAnsi="Times New Roman"/>
                <w:sz w:val="25"/>
                <w:szCs w:val="25"/>
                <w:color w:val="auto"/>
                <w:vertAlign w:val="superscript"/>
              </w:rPr>
              <w:t>(f)</w:t>
            </w:r>
          </w:p>
        </w:tc>
        <w:tc>
          <w:tcPr>
            <w:tcW w:w="24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w:t>
            </w: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2,155</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Long-term incentive plan expense </w:t>
            </w:r>
            <w:r>
              <w:rPr>
                <w:rFonts w:ascii="Times New Roman" w:cs="Times New Roman" w:eastAsia="Times New Roman" w:hAnsi="Times New Roman"/>
                <w:sz w:val="25"/>
                <w:szCs w:val="25"/>
                <w:color w:val="auto"/>
                <w:vertAlign w:val="superscript"/>
              </w:rPr>
              <w:t>(g)</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781</w:t>
            </w:r>
          </w:p>
        </w:tc>
        <w:tc>
          <w:tcPr>
            <w:tcW w:w="6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6"/>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5"/>
                <w:szCs w:val="25"/>
                <w:color w:val="auto"/>
                <w:vertAlign w:val="superscript"/>
              </w:rPr>
              <w:t>(l)</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776</w:t>
            </w:r>
          </w:p>
        </w:tc>
        <w:tc>
          <w:tcPr>
            <w:tcW w:w="6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jc w:val="center"/>
              <w:ind w:right="50"/>
              <w:spacing w:after="0"/>
              <w:rPr>
                <w:sz w:val="20"/>
                <w:szCs w:val="20"/>
                <w:color w:val="auto"/>
              </w:rPr>
            </w:pPr>
            <w:r>
              <w:rPr>
                <w:rFonts w:ascii="Times New Roman" w:cs="Times New Roman" w:eastAsia="Times New Roman" w:hAnsi="Times New Roman"/>
                <w:sz w:val="18"/>
                <w:szCs w:val="18"/>
                <w:color w:val="auto"/>
                <w:w w:val="95"/>
              </w:rPr>
              <w:t>0.1%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1,460</w:t>
            </w:r>
          </w:p>
        </w:tc>
        <w:tc>
          <w:tcPr>
            <w:tcW w:w="7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578</w:t>
            </w: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5"/>
              </w:rPr>
              <w:t>0.1%</w:t>
            </w:r>
          </w:p>
        </w:tc>
        <w:tc>
          <w:tcPr>
            <w:tcW w:w="0" w:type="dxa"/>
            <w:vAlign w:val="bottom"/>
          </w:tcPr>
          <w:p>
            <w:pPr>
              <w:spacing w:after="0"/>
              <w:rPr>
                <w:sz w:val="1"/>
                <w:szCs w:val="1"/>
                <w:color w:val="auto"/>
              </w:rPr>
            </w:pPr>
          </w:p>
        </w:tc>
      </w:tr>
      <w:tr>
        <w:trPr>
          <w:trHeight w:val="201"/>
        </w:trPr>
        <w:tc>
          <w:tcPr>
            <w:tcW w:w="3780" w:type="dxa"/>
            <w:vAlign w:val="bottom"/>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b w:val="1"/>
                <w:bCs w:val="1"/>
                <w:color w:val="auto"/>
              </w:rPr>
              <w:t>Adjusted SG&amp;A/ Adjusted SG&amp;A Percent of</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177,202</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162,112</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363,237</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328,975</w:t>
            </w: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Note: Percentages reflect line item as a percentage of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6094095</wp:posOffset>
            </wp:positionH>
            <wp:positionV relativeFrom="paragraph">
              <wp:posOffset>-95885</wp:posOffset>
            </wp:positionV>
            <wp:extent cx="6515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-95885</wp:posOffset>
            </wp:positionV>
            <wp:extent cx="6515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-95885</wp:posOffset>
            </wp:positionV>
            <wp:extent cx="6515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-95885</wp:posOffset>
            </wp:positionV>
            <wp:extent cx="668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1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charges related to stock-based compensation programs, which vary from period to period depending on the timing of awards and performance vesting conditions.</w:t>
      </w:r>
    </w:p>
    <w:p>
      <w:pPr>
        <w:spacing w:after="0" w:line="17"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write-off of property and equipment for the three and six months ended June 29, 2019.</w:t>
      </w:r>
    </w:p>
    <w:p>
      <w:pPr>
        <w:spacing w:after="0" w:line="1" w:lineRule="exact"/>
        <w:rPr>
          <w:rFonts w:ascii="Times New Roman" w:cs="Times New Roman" w:eastAsia="Times New Roman" w:hAnsi="Times New Roman"/>
          <w:sz w:val="14"/>
          <w:szCs w:val="14"/>
          <w:color w:val="auto"/>
        </w:rPr>
      </w:pPr>
    </w:p>
    <w:p>
      <w:pPr>
        <w:jc w:val="both"/>
        <w:ind w:left="660" w:hanging="328"/>
        <w:spacing w:after="0" w:line="241" w:lineRule="auto"/>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are not indicative of ongoing core operating performance. We adjust for these costs to facilitate comparisons of store operating performance from period to period.</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non-cash portion of rent expense, which reflects the extent to which our straight-line rent expense recognized under GAAP exceeds or is less than our cash rent payments.</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related to our secondary public offerings for the three and six months ended June 30, 2018.</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related to a non-recurring realignment of management described in the Current Report on Form 8-K filed with the SEC on January 10, 2019.</w:t>
      </w:r>
    </w:p>
    <w:p>
      <w:pPr>
        <w:spacing w:after="0" w:line="1" w:lineRule="exact"/>
        <w:rPr>
          <w:rFonts w:ascii="Times New Roman" w:cs="Times New Roman" w:eastAsia="Times New Roman" w:hAnsi="Times New Roman"/>
          <w:sz w:val="14"/>
          <w:szCs w:val="14"/>
          <w:color w:val="auto"/>
        </w:rPr>
      </w:pPr>
    </w:p>
    <w:p>
      <w:pPr>
        <w:ind w:left="660" w:hanging="328"/>
        <w:spacing w:after="0" w:line="258" w:lineRule="auto"/>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pursuant to a long-term incentive plan for non-executive employees who were not participants in the management equity plan. This plan was effective in 2014 following the acquisition of the Company by affiliates of KKR &amp; Co. Inc. (the "KKR Acquisition").</w:t>
      </w:r>
    </w:p>
    <w:p>
      <w:pPr>
        <w:sectPr>
          <w:pgSz w:w="11900" w:h="16838" w:orient="portrait"/>
          <w:cols w:equalWidth="0" w:num="1">
            <w:col w:w="11420"/>
          </w:cols>
          <w:pgMar w:left="240" w:top="738" w:right="239" w:bottom="1440" w:gutter="0" w:footer="0" w:header="0"/>
        </w:sectPr>
      </w:pPr>
    </w:p>
    <w:bookmarkStart w:id="14" w:name="page15"/>
    <w:bookmarkEnd w:id="14"/>
    <w:p>
      <w:pPr>
        <w:jc w:val="both"/>
        <w:ind w:left="660" w:hanging="328"/>
        <w:spacing w:after="0" w:line="243" w:lineRule="auto"/>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include amounts that management believes are not representative of our operating performance (amounts in brackets represent reductions in Adjusted EBITDA and Adjusted Net Income), including our share of losses on equity method investments of $0.4 million for each of the three months ended June 29, 2019 and June 30, 2018 and $1.0 million and $0.6 million for the six months ended June 29, 2019 and June 30, 2018 respectively; the amortization impact of the KKR Acquisition-related adjustments (e.g., fair value of leasehold interests) of $0.1 million and $52 thousand for the three months ended June 29, 2019 and June 30, 2018 and $0.2 million and $0.1 million for the six months ended June 29, 2019 and June 30, 2018, respectively; differences between the timing of expense versus cash payments related to contributions to charitable organizations of $(0.3) million and $(0.5) million for the three and six months ended June 30, 2018, respectively; costs of severance and relocation of $0.6 million and $0.3 million for the three months ended June 29, 2019 and June 30, 2018 and $0.8 million and $0.5 million for the six months ended June 29, 2019 and June 30, 2018, respectively; excess payroll taxes related to stock option exercises of $0.1 million and $56 thousand for the three months ended June 29, 2019 and June 30, 2018 and $0.1 million and $0.3 million for the six months ended June 29, 2019 and June 30, 2018, respectively; and other expenses and adjustments totaling $(31) thousand and $0.2 million for the three months ended June 29, 2019 and June 30, 2018 and $0.3 million and $0.2 million the six months ended June 29, 2019 and June 30, 2018, respectively.</w:t>
      </w:r>
    </w:p>
    <w:p>
      <w:pPr>
        <w:spacing w:after="0" w:line="6" w:lineRule="exact"/>
        <w:rPr>
          <w:rFonts w:ascii="Times New Roman" w:cs="Times New Roman" w:eastAsia="Times New Roman" w:hAnsi="Times New Roman"/>
          <w:sz w:val="14"/>
          <w:szCs w:val="14"/>
          <w:color w:val="auto"/>
        </w:rPr>
      </w:pPr>
    </w:p>
    <w:p>
      <w:pPr>
        <w:jc w:val="both"/>
        <w:ind w:left="660" w:hanging="328"/>
        <w:spacing w:after="0" w:line="241" w:lineRule="auto"/>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the increase in carrying values of definite-lived intangible assets resulting from the application of purchase accounting to the KKR Acquisition of $1.9 million for each of the three months ended June 29, 2019 and June 30, 2018 and $3.7 million for each of the six months ended June 29, 2019 and June 30, 2018. Amortization of deferred financing costs is primarily associated with the March 2014 term loan borrowings in connection with the KKR Acquisition and, to a lesser extent, amortization of debt discounts associated with the May 2015 and February 2017 incremental First Lien - Term Loan B and the November 2017 First Lien - Term Loan B refinancing, aggregating to $0.5 million and $0.4 million for the three months ended June 29, 2019 and June 30, 2018 and $0.9 million and $0.8 million for the six months ended June 29, 2019 and June 30, 2018.</w:t>
      </w:r>
    </w:p>
    <w:p>
      <w:pPr>
        <w:spacing w:after="0" w:line="2" w:lineRule="exact"/>
        <w:rPr>
          <w:rFonts w:ascii="Times New Roman" w:cs="Times New Roman" w:eastAsia="Times New Roman" w:hAnsi="Times New Roman"/>
          <w:sz w:val="14"/>
          <w:szCs w:val="14"/>
          <w:color w:val="auto"/>
        </w:rPr>
      </w:pPr>
    </w:p>
    <w:p>
      <w:pPr>
        <w:ind w:left="660" w:hanging="328"/>
        <w:spacing w:after="0" w:line="241" w:lineRule="auto"/>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Tax benefit associated with accounting guidance adopted at the beginning of fiscal year 2017 (Accounting Standards Update 2016-09, </w:t>
      </w:r>
      <w:r>
        <w:rPr>
          <w:rFonts w:ascii="Times New Roman" w:cs="Times New Roman" w:eastAsia="Times New Roman" w:hAnsi="Times New Roman"/>
          <w:sz w:val="14"/>
          <w:szCs w:val="14"/>
          <w:i w:val="1"/>
          <w:iCs w:val="1"/>
          <w:color w:val="auto"/>
        </w:rPr>
        <w:t>Compensation - Stock Compensation</w:t>
      </w:r>
      <w:r>
        <w:rPr>
          <w:rFonts w:ascii="Times New Roman" w:cs="Times New Roman" w:eastAsia="Times New Roman" w:hAnsi="Times New Roman"/>
          <w:sz w:val="14"/>
          <w:szCs w:val="14"/>
          <w:color w:val="auto"/>
        </w:rPr>
        <w:t>), requiring excess tax benefits to be recorded in earnings as discrete items in the reporting period in which they occur.</w:t>
      </w:r>
    </w:p>
    <w:p>
      <w:pPr>
        <w:ind w:left="660" w:hanging="328"/>
        <w:spacing w:after="0"/>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income tax effect of the total adjustments at our combined statutory federal and state income tax rates.</w:t>
      </w:r>
    </w:p>
    <w:p>
      <w:pPr>
        <w:spacing w:after="0" w:line="1" w:lineRule="exact"/>
        <w:rPr>
          <w:rFonts w:ascii="Times New Roman" w:cs="Times New Roman" w:eastAsia="Times New Roman" w:hAnsi="Times New Roman"/>
          <w:sz w:val="14"/>
          <w:szCs w:val="14"/>
          <w:color w:val="auto"/>
        </w:rPr>
      </w:pPr>
    </w:p>
    <w:p>
      <w:pPr>
        <w:jc w:val="both"/>
        <w:ind w:left="660" w:hanging="328"/>
        <w:spacing w:after="0" w:line="250" w:lineRule="auto"/>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other expenses in (h) above, except for our share of losses on equity method investments of $0.4 for each of the three months ended June 29, 2019 and June 30, 2018 and $1.0 million and $0.6 million for the six months ended June 29, 2019 and June 30, 2018, respectively and facility opening expenses of $47 thousand for each of the three and six months ended June 30, 2018, which are non-SG&amp;A expenses.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Reconciliation of Adjusted Comparable Store Sales Growth to Total Comparable Store Sales Growth</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97"/>
        </w:trPr>
        <w:tc>
          <w:tcPr>
            <w:tcW w:w="46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8"/>
                <w:szCs w:val="18"/>
                <w:color w:val="auto"/>
              </w:rPr>
              <w:t xml:space="preserve">Comparable store sales growth </w:t>
            </w:r>
            <w:r>
              <w:rPr>
                <w:rFonts w:ascii="Times New Roman" w:cs="Times New Roman" w:eastAsia="Times New Roman" w:hAnsi="Times New Roman"/>
                <w:sz w:val="25"/>
                <w:szCs w:val="25"/>
                <w:color w:val="auto"/>
                <w:vertAlign w:val="superscript"/>
              </w:rPr>
              <w:t>(a)</w:t>
            </w:r>
          </w:p>
        </w:tc>
        <w:tc>
          <w:tcPr>
            <w:tcW w:w="1220" w:type="dxa"/>
            <w:vAlign w:val="bottom"/>
            <w:tcBorders>
              <w:bottom w:val="single" w:sz="8" w:color="auto"/>
            </w:tcBorders>
          </w:tcPr>
          <w:p>
            <w:pPr>
              <w:spacing w:after="0"/>
              <w:rPr>
                <w:sz w:val="24"/>
                <w:szCs w:val="24"/>
                <w:color w:val="auto"/>
              </w:rPr>
            </w:pPr>
          </w:p>
        </w:tc>
      </w:tr>
      <w:tr>
        <w:trPr>
          <w:trHeight w:val="218"/>
        </w:trPr>
        <w:tc>
          <w:tcPr>
            <w:tcW w:w="46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Three Months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Three Months</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Six Months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Six Months</w:t>
            </w:r>
          </w:p>
        </w:tc>
        <w:tc>
          <w:tcPr>
            <w:tcW w:w="122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Ended</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Ended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Ended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Ended</w:t>
            </w:r>
          </w:p>
        </w:tc>
        <w:tc>
          <w:tcPr>
            <w:tcW w:w="122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29, 2019</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June 30, 2018</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June 29, 2019</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June 30, 2018</w:t>
            </w:r>
          </w:p>
        </w:tc>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2019 Outlook</w:t>
            </w:r>
          </w:p>
        </w:tc>
      </w:tr>
      <w:tr>
        <w:trPr>
          <w:trHeight w:val="27"/>
        </w:trPr>
        <w:tc>
          <w:tcPr>
            <w:tcW w:w="46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Owned &amp; Host segment</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America’s Best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Eyeglass World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Military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Fred Meyer</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70"/>
        </w:trPr>
        <w:tc>
          <w:tcPr>
            <w:tcW w:w="46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Legacy segment</w:t>
            </w:r>
            <w:r>
              <w:rPr>
                <w:rFonts w:ascii="Times New Roman" w:cs="Times New Roman" w:eastAsia="Times New Roman" w:hAnsi="Times New Roman"/>
                <w:sz w:val="25"/>
                <w:szCs w:val="25"/>
                <w:b w:val="1"/>
                <w:bCs w:val="1"/>
                <w:color w:val="auto"/>
                <w:vertAlign w:val="superscript"/>
              </w:rPr>
              <w:t>(b)</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324"/>
        </w:trPr>
        <w:tc>
          <w:tcPr>
            <w:tcW w:w="46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comparable store sales growth</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3.5 - 5.5%</w:t>
            </w:r>
          </w:p>
        </w:tc>
      </w:tr>
      <w:tr>
        <w:trPr>
          <w:trHeight w:val="27"/>
        </w:trPr>
        <w:tc>
          <w:tcPr>
            <w:tcW w:w="4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Adjusted comparable store sales growth</w:t>
            </w:r>
            <w:r>
              <w:rPr>
                <w:rFonts w:ascii="Times New Roman" w:cs="Times New Roman" w:eastAsia="Times New Roman" w:hAnsi="Times New Roman"/>
                <w:sz w:val="25"/>
                <w:szCs w:val="25"/>
                <w:color w:val="auto"/>
                <w:vertAlign w:val="superscript"/>
              </w:rPr>
              <w:t>(c)</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3 - 5%</w:t>
            </w:r>
          </w:p>
        </w:tc>
      </w:tr>
    </w:tbl>
    <w:p>
      <w:pPr>
        <w:spacing w:after="0" w:line="85" w:lineRule="exact"/>
        <w:rPr>
          <w:sz w:val="20"/>
          <w:szCs w:val="20"/>
          <w:color w:val="auto"/>
        </w:rPr>
      </w:pPr>
    </w:p>
    <w:p>
      <w:pPr>
        <w:jc w:val="both"/>
        <w:ind w:left="660" w:hanging="328"/>
        <w:spacing w:after="0" w:line="251"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9. “Segment Reporting” in our unaudited condensed consolidated financial statements included in Part 1. Item 1. in our Quarterly Report on Form 10-Q, with the exception of the legacy segment, which is adjusted as noted in clause (c) (ii) below.</w:t>
      </w:r>
    </w:p>
    <w:p>
      <w:pPr>
        <w:spacing w:after="0" w:line="76" w:lineRule="exact"/>
        <w:rPr>
          <w:rFonts w:ascii="Times New Roman" w:cs="Times New Roman" w:eastAsia="Times New Roman" w:hAnsi="Times New Roman"/>
          <w:sz w:val="14"/>
          <w:szCs w:val="14"/>
          <w:color w:val="auto"/>
        </w:rPr>
      </w:pPr>
    </w:p>
    <w:p>
      <w:pPr>
        <w:jc w:val="both"/>
        <w:ind w:left="660" w:hanging="328"/>
        <w:spacing w:after="0" w:line="255"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changes in applicable California law, certain optometrists employed by FirstSight Vision Services Inc. (“FirstSight”) were transferred to a professional corporation that contracts directly with our legacy segment in the fourth quarter of 2018, similar to optometrist transfers that occurred in the third quarter of 2017. Incremental eye exam revenue as a result of these changes in operations at FirstSight drove a favorable impact to comparable store sales growth in the Legacy segment of approximately 180 basis points and 195 basis points for the three months ended June 29, 2019 and June 30, 2018 and 185 basis points and 200 basis points for the six months ended June 29, 2019 and June 30, 2018, respectively.</w:t>
      </w:r>
    </w:p>
    <w:p>
      <w:pPr>
        <w:sectPr>
          <w:pgSz w:w="11900" w:h="16838" w:orient="portrait"/>
          <w:cols w:equalWidth="0" w:num="1">
            <w:col w:w="11420"/>
          </w:cols>
          <w:pgMar w:left="240" w:top="576" w:right="239" w:bottom="1440" w:gutter="0" w:footer="0" w:header="0"/>
        </w:sectPr>
      </w:pPr>
    </w:p>
    <w:bookmarkStart w:id="15" w:name="page16"/>
    <w:bookmarkEnd w:id="15"/>
    <w:p>
      <w:pPr>
        <w:jc w:val="both"/>
        <w:ind w:left="660" w:hanging="328"/>
        <w:spacing w:after="0" w:line="248" w:lineRule="auto"/>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0.4% and 1.5% from total comparable store sales growth based on consolidated net revenue for the three months ended June 29, 2019 and June 30, 2018, respectively, and an increase of 0.2% and a decrease of 1.0% from total comparable store sales growth based on consolidated net revenue for the six months ended June 29, 2019 and June 30, 2018, respectively, and (ii) adjusted comparable store sales growth includes retail sales to the legacy partner’s customers (rather than the revenues recognized consistent with the management &amp; services agreement with the legacy partner), resulting in a decrease of 0.2% and 0.1% from total comparable store sales growth based on consolidated net revenue for the three months ended June 29, 2019 and June 30, 2018, respectively, and a decrease of 0.3% from total comparable store sales growth based on consolidated net revenue for the six months ended June 29, 2019.</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Mann, CFA, Vice President of Investor Relations</w:t>
      </w:r>
    </w:p>
    <w:p>
      <w:pPr>
        <w:spacing w:after="0" w:line="9" w:lineRule="exact"/>
        <w:rPr>
          <w:sz w:val="20"/>
          <w:szCs w:val="20"/>
          <w:color w:val="auto"/>
        </w:rPr>
      </w:pPr>
    </w:p>
    <w:p>
      <w:pPr>
        <w:ind w:right="8640" w:firstLine="8"/>
        <w:spacing w:after="0" w:line="290" w:lineRule="auto"/>
        <w:tabs>
          <w:tab w:leader="none" w:pos="4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448-2448 investor.relations@nationalvision.com</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Kristina Gross, Director of Communications</w:t>
      </w:r>
    </w:p>
    <w:p>
      <w:pPr>
        <w:spacing w:after="0" w:line="9" w:lineRule="exact"/>
        <w:rPr>
          <w:sz w:val="20"/>
          <w:szCs w:val="20"/>
          <w:color w:val="auto"/>
        </w:rPr>
      </w:pPr>
    </w:p>
    <w:p>
      <w:pPr>
        <w:ind w:right="9440" w:firstLine="8"/>
        <w:spacing w:after="0" w:line="290" w:lineRule="auto"/>
        <w:tabs>
          <w:tab w:leader="none" w:pos="4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448-2355 media@nationalvision.com</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Letter"/>
      <w:start w:val="4"/>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8"/>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abstractNum>
  <w:abstractNum w:abstractNumId="10">
    <w:nsid w:val="1190CDE7"/>
    <w:multiLevelType w:val="hybridMultilevel"/>
    <w:lvl w:ilvl="0">
      <w:lvlJc w:val="left"/>
      <w:lvlText w:val="(%1)"/>
      <w:numFmt w:val="decimal"/>
      <w:start w:val="470"/>
    </w:lvl>
  </w:abstractNum>
  <w:abstractNum w:abstractNumId="11">
    <w:nsid w:val="66EF438D"/>
    <w:multiLevelType w:val="hybridMultilevel"/>
    <w:lvl w:ilvl="0">
      <w:lvlJc w:val="left"/>
      <w:lvlText w:val="(%1)"/>
      <w:numFmt w:val="decimal"/>
      <w:start w:val="47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2019-12-28T08:42:02Z</dcterms:created>
  <dcterms:modified xsi:type="dcterms:W3CDTF">2019-12-28T08:42:02Z</dcterms:modified>
</cp:coreProperties>
</file>