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9673509.xml.htm"/>
      <w:bookmarkStart w:id="1" w:name="kswkform4_17096735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Acharya Ravi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BLDG.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2,078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9,937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23.54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9,206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6,350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15,556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23.54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13,559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60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10,090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17,079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2,078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15,001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6,350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8,651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One-third of these restricted stock units will vest on each anniversary of the grant date, March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Total holdings have been adjusted to reflect an inadvertent error in prior Form 4s.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On March 2, 2022, the reporting person was granted 6,234 restricted stock units, which vest in three equal installments on each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On March 3, 2023, the reporting person was granted 19,050 restricted stock units, which vest in three equal installments on each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04913" TargetMode="External"/><Relationship Id="rId4" Type="http://schemas.openxmlformats.org/officeDocument/2006/relationships/hyperlink" Target="http://www.sec.gov/cgi-bin/browse-edgar?action=getcompany&amp;CIK=000171015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752</Words>
  <Characters>4020</Characters>
  <CharactersWithSpaces>4657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