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4"/>
          <w:szCs w:val="24"/>
          <w:color w:val="auto"/>
        </w:rPr>
      </w:pPr>
    </w:p>
    <w:p>
      <w:pPr>
        <w:jc w:val="center"/>
        <w:ind w:right="-6"/>
        <w:spacing w:after="0"/>
        <w:rPr>
          <w:sz w:val="20"/>
          <w:szCs w:val="20"/>
          <w:color w:val="auto"/>
        </w:rPr>
      </w:pPr>
      <w:r>
        <w:rPr>
          <w:rFonts w:ascii="Arial" w:cs="Arial" w:eastAsia="Arial" w:hAnsi="Arial"/>
          <w:sz w:val="18"/>
          <w:szCs w:val="18"/>
          <w:b w:val="1"/>
          <w:bCs w:val="1"/>
          <w:color w:val="auto"/>
        </w:rPr>
        <w:t>As filed with the Securities and Exchange Commission on March 12, 2018</w:t>
      </w:r>
    </w:p>
    <w:p>
      <w:pPr>
        <w:spacing w:after="0" w:line="27" w:lineRule="exact"/>
        <w:rPr>
          <w:sz w:val="24"/>
          <w:szCs w:val="24"/>
          <w:color w:val="auto"/>
        </w:rPr>
      </w:pPr>
    </w:p>
    <w:p>
      <w:pPr>
        <w:ind w:left="7667"/>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60718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66040</wp:posOffset>
            </wp:positionV>
            <wp:extent cx="60718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8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UNITED STATES</w:t>
      </w:r>
    </w:p>
    <w:p>
      <w:pPr>
        <w:jc w:val="center"/>
        <w:ind w:right="-6"/>
        <w:spacing w:after="0" w:line="211" w:lineRule="auto"/>
        <w:rPr>
          <w:sz w:val="20"/>
          <w:szCs w:val="20"/>
          <w:color w:val="auto"/>
        </w:rPr>
      </w:pPr>
      <w:r>
        <w:rPr>
          <w:rFonts w:ascii="Arial" w:cs="Arial" w:eastAsia="Arial" w:hAnsi="Arial"/>
          <w:sz w:val="16"/>
          <w:szCs w:val="16"/>
          <w:b w:val="1"/>
          <w:bCs w:val="1"/>
          <w:color w:val="auto"/>
        </w:rPr>
        <w:t>SECURITIES AND EXCHANGE COMMISSION</w:t>
      </w:r>
    </w:p>
    <w:p>
      <w:pPr>
        <w:jc w:val="center"/>
        <w:ind w:right="-6"/>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60325</wp:posOffset>
            </wp:positionV>
            <wp:extent cx="1037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FORM S-1</w:t>
      </w:r>
    </w:p>
    <w:p>
      <w:pPr>
        <w:jc w:val="center"/>
        <w:ind w:right="-6"/>
        <w:spacing w:after="0" w:line="211" w:lineRule="auto"/>
        <w:rPr>
          <w:sz w:val="20"/>
          <w:szCs w:val="20"/>
          <w:color w:val="auto"/>
        </w:rPr>
      </w:pPr>
      <w:r>
        <w:rPr>
          <w:rFonts w:ascii="Arial" w:cs="Arial" w:eastAsia="Arial" w:hAnsi="Arial"/>
          <w:sz w:val="16"/>
          <w:szCs w:val="16"/>
          <w:b w:val="1"/>
          <w:bCs w:val="1"/>
          <w:color w:val="auto"/>
        </w:rPr>
        <w:t>REGISTRATION STATEMENT</w:t>
      </w:r>
    </w:p>
    <w:p>
      <w:pPr>
        <w:jc w:val="center"/>
        <w:ind w:right="-6"/>
        <w:spacing w:after="0" w:line="211" w:lineRule="auto"/>
        <w:rPr>
          <w:sz w:val="20"/>
          <w:szCs w:val="20"/>
          <w:color w:val="auto"/>
        </w:rPr>
      </w:pPr>
      <w:r>
        <w:rPr>
          <w:rFonts w:ascii="Arial" w:cs="Arial" w:eastAsia="Arial" w:hAnsi="Arial"/>
          <w:sz w:val="16"/>
          <w:szCs w:val="16"/>
          <w:b w:val="1"/>
          <w:bCs w:val="1"/>
          <w:color w:val="auto"/>
        </w:rPr>
        <w:t>UNDER</w:t>
      </w:r>
    </w:p>
    <w:p>
      <w:pPr>
        <w:spacing w:after="0" w:line="1"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129540</wp:posOffset>
            </wp:positionV>
            <wp:extent cx="1037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ind w:right="-6"/>
        <w:spacing w:after="0"/>
        <w:rPr>
          <w:sz w:val="20"/>
          <w:szCs w:val="20"/>
          <w:color w:val="auto"/>
        </w:rPr>
      </w:pPr>
      <w:r>
        <w:rPr>
          <w:rFonts w:ascii="Arial" w:cs="Arial" w:eastAsia="Arial" w:hAnsi="Arial"/>
          <w:sz w:val="25"/>
          <w:szCs w:val="25"/>
          <w:b w:val="1"/>
          <w:bCs w:val="1"/>
          <w:color w:val="auto"/>
        </w:rPr>
        <w:t>National Vision Holdings, Inc.</w:t>
      </w:r>
    </w:p>
    <w:p>
      <w:pPr>
        <w:jc w:val="center"/>
        <w:ind w:right="-6"/>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137795</wp:posOffset>
            </wp:positionV>
            <wp:extent cx="1037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467" w:type="dxa"/>
        <w:tblCellMar>
          <w:top w:w="0" w:type="dxa"/>
          <w:left w:w="0" w:type="dxa"/>
          <w:bottom w:w="0" w:type="dxa"/>
          <w:right w:w="0" w:type="dxa"/>
        </w:tblCellMar>
      </w:tblPr>
      <w:tr>
        <w:trPr>
          <w:trHeight w:val="210"/>
        </w:trPr>
        <w:tc>
          <w:tcPr>
            <w:tcW w:w="2680" w:type="dxa"/>
            <w:vAlign w:val="bottom"/>
          </w:tcPr>
          <w:p>
            <w:pPr>
              <w:jc w:val="center"/>
              <w:ind w:right="579"/>
              <w:spacing w:after="0"/>
              <w:rPr>
                <w:sz w:val="20"/>
                <w:szCs w:val="20"/>
                <w:color w:val="auto"/>
              </w:rPr>
            </w:pPr>
            <w:r>
              <w:rPr>
                <w:rFonts w:ascii="Arial" w:cs="Arial" w:eastAsia="Arial" w:hAnsi="Arial"/>
                <w:sz w:val="16"/>
                <w:szCs w:val="16"/>
                <w:b w:val="1"/>
                <w:bCs w:val="1"/>
                <w:color w:val="auto"/>
                <w:w w:val="93"/>
              </w:rPr>
              <w:t>Delaware</w:t>
            </w:r>
          </w:p>
        </w:tc>
        <w:tc>
          <w:tcPr>
            <w:tcW w:w="3320" w:type="dxa"/>
            <w:vAlign w:val="bottom"/>
          </w:tcPr>
          <w:p>
            <w:pPr>
              <w:jc w:val="center"/>
              <w:ind w:right="159"/>
              <w:spacing w:after="0"/>
              <w:rPr>
                <w:sz w:val="20"/>
                <w:szCs w:val="20"/>
                <w:color w:val="auto"/>
              </w:rPr>
            </w:pPr>
            <w:r>
              <w:rPr>
                <w:rFonts w:ascii="Arial" w:cs="Arial" w:eastAsia="Arial" w:hAnsi="Arial"/>
                <w:sz w:val="16"/>
                <w:szCs w:val="16"/>
                <w:b w:val="1"/>
                <w:bCs w:val="1"/>
                <w:color w:val="auto"/>
                <w:w w:val="89"/>
              </w:rPr>
              <w:t>3851</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1"/>
              </w:rPr>
              <w:t>46-4841717</w:t>
            </w:r>
          </w:p>
        </w:tc>
      </w:tr>
      <w:tr>
        <w:trPr>
          <w:trHeight w:val="222"/>
        </w:trPr>
        <w:tc>
          <w:tcPr>
            <w:tcW w:w="2680" w:type="dxa"/>
            <w:vAlign w:val="bottom"/>
          </w:tcPr>
          <w:p>
            <w:pPr>
              <w:jc w:val="center"/>
              <w:ind w:right="579"/>
              <w:spacing w:after="0"/>
              <w:rPr>
                <w:sz w:val="20"/>
                <w:szCs w:val="20"/>
                <w:color w:val="auto"/>
              </w:rPr>
            </w:pPr>
            <w:r>
              <w:rPr>
                <w:rFonts w:ascii="Arial" w:cs="Arial" w:eastAsia="Arial" w:hAnsi="Arial"/>
                <w:sz w:val="16"/>
                <w:szCs w:val="16"/>
                <w:b w:val="1"/>
                <w:bCs w:val="1"/>
                <w:color w:val="auto"/>
                <w:w w:val="91"/>
              </w:rPr>
              <w:t>(State or other jurisdiction of</w:t>
            </w:r>
          </w:p>
        </w:tc>
        <w:tc>
          <w:tcPr>
            <w:tcW w:w="3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5"/>
              </w:rPr>
              <w:t>(Primary Standard Industrial</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6"/>
              </w:rPr>
              <w:t>(I.R.S. Employer</w:t>
            </w:r>
          </w:p>
        </w:tc>
      </w:tr>
      <w:tr>
        <w:trPr>
          <w:trHeight w:val="210"/>
        </w:trPr>
        <w:tc>
          <w:tcPr>
            <w:tcW w:w="2680" w:type="dxa"/>
            <w:vAlign w:val="bottom"/>
          </w:tcPr>
          <w:p>
            <w:pPr>
              <w:ind w:left="40"/>
              <w:spacing w:after="0"/>
              <w:rPr>
                <w:sz w:val="20"/>
                <w:szCs w:val="20"/>
                <w:color w:val="auto"/>
              </w:rPr>
            </w:pPr>
            <w:r>
              <w:rPr>
                <w:rFonts w:ascii="Arial" w:cs="Arial" w:eastAsia="Arial" w:hAnsi="Arial"/>
                <w:sz w:val="16"/>
                <w:szCs w:val="16"/>
                <w:b w:val="1"/>
                <w:bCs w:val="1"/>
                <w:color w:val="auto"/>
              </w:rPr>
              <w:t>incorporation or organization)</w:t>
            </w:r>
          </w:p>
        </w:tc>
        <w:tc>
          <w:tcPr>
            <w:tcW w:w="3320" w:type="dxa"/>
            <w:vAlign w:val="bottom"/>
          </w:tcPr>
          <w:p>
            <w:pPr>
              <w:jc w:val="center"/>
              <w:ind w:right="139"/>
              <w:spacing w:after="0"/>
              <w:rPr>
                <w:sz w:val="20"/>
                <w:szCs w:val="20"/>
                <w:color w:val="auto"/>
              </w:rPr>
            </w:pPr>
            <w:r>
              <w:rPr>
                <w:rFonts w:ascii="Arial" w:cs="Arial" w:eastAsia="Arial" w:hAnsi="Arial"/>
                <w:sz w:val="16"/>
                <w:szCs w:val="16"/>
                <w:b w:val="1"/>
                <w:bCs w:val="1"/>
                <w:color w:val="auto"/>
                <w:w w:val="92"/>
              </w:rPr>
              <w:t>Classification Code Number)</w:t>
            </w:r>
          </w:p>
        </w:tc>
        <w:tc>
          <w:tcPr>
            <w:tcW w:w="2340" w:type="dxa"/>
            <w:vAlign w:val="bottom"/>
          </w:tcPr>
          <w:p>
            <w:pPr>
              <w:jc w:val="center"/>
              <w:ind w:left="639"/>
              <w:spacing w:after="0"/>
              <w:rPr>
                <w:sz w:val="20"/>
                <w:szCs w:val="20"/>
                <w:color w:val="auto"/>
              </w:rPr>
            </w:pPr>
            <w:r>
              <w:rPr>
                <w:rFonts w:ascii="Arial" w:cs="Arial" w:eastAsia="Arial" w:hAnsi="Arial"/>
                <w:sz w:val="16"/>
                <w:szCs w:val="16"/>
                <w:b w:val="1"/>
                <w:bCs w:val="1"/>
                <w:color w:val="auto"/>
                <w:w w:val="95"/>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115570</wp:posOffset>
            </wp:positionV>
            <wp:extent cx="1037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9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2435 Commerce Avenue</w:t>
      </w:r>
    </w:p>
    <w:p>
      <w:pPr>
        <w:jc w:val="center"/>
        <w:ind w:right="-6"/>
        <w:spacing w:after="0" w:line="211" w:lineRule="auto"/>
        <w:rPr>
          <w:sz w:val="20"/>
          <w:szCs w:val="20"/>
          <w:color w:val="auto"/>
        </w:rPr>
      </w:pPr>
      <w:r>
        <w:rPr>
          <w:rFonts w:ascii="Arial" w:cs="Arial" w:eastAsia="Arial" w:hAnsi="Arial"/>
          <w:sz w:val="16"/>
          <w:szCs w:val="16"/>
          <w:b w:val="1"/>
          <w:bCs w:val="1"/>
          <w:color w:val="auto"/>
        </w:rPr>
        <w:t>Bldg. 2200</w:t>
      </w:r>
    </w:p>
    <w:p>
      <w:pPr>
        <w:jc w:val="center"/>
        <w:ind w:right="-6"/>
        <w:spacing w:after="0" w:line="211" w:lineRule="auto"/>
        <w:rPr>
          <w:sz w:val="20"/>
          <w:szCs w:val="20"/>
          <w:color w:val="auto"/>
        </w:rPr>
      </w:pPr>
      <w:r>
        <w:rPr>
          <w:rFonts w:ascii="Arial" w:cs="Arial" w:eastAsia="Arial" w:hAnsi="Arial"/>
          <w:sz w:val="16"/>
          <w:szCs w:val="16"/>
          <w:b w:val="1"/>
          <w:bCs w:val="1"/>
          <w:color w:val="auto"/>
        </w:rPr>
        <w:t>Duluth, Georgia 30096-4980</w:t>
      </w:r>
    </w:p>
    <w:p>
      <w:pPr>
        <w:jc w:val="center"/>
        <w:ind w:right="-6"/>
        <w:spacing w:after="0" w:line="212" w:lineRule="auto"/>
        <w:rPr>
          <w:sz w:val="20"/>
          <w:szCs w:val="20"/>
          <w:color w:val="auto"/>
        </w:rPr>
      </w:pPr>
      <w:r>
        <w:rPr>
          <w:rFonts w:ascii="Arial" w:cs="Arial" w:eastAsia="Arial" w:hAnsi="Arial"/>
          <w:sz w:val="16"/>
          <w:szCs w:val="16"/>
          <w:b w:val="1"/>
          <w:bCs w:val="1"/>
          <w:color w:val="auto"/>
        </w:rPr>
        <w:t>Telephone: 770-822-3600</w:t>
      </w:r>
    </w:p>
    <w:p>
      <w:pPr>
        <w:jc w:val="center"/>
        <w:ind w:right="-6"/>
        <w:spacing w:after="0"/>
        <w:rPr>
          <w:sz w:val="20"/>
          <w:szCs w:val="20"/>
          <w:color w:val="auto"/>
        </w:rPr>
      </w:pPr>
      <w:r>
        <w:rPr>
          <w:rFonts w:ascii="Arial" w:cs="Arial" w:eastAsia="Arial" w:hAnsi="Arial"/>
          <w:sz w:val="16"/>
          <w:szCs w:val="16"/>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60325</wp:posOffset>
            </wp:positionV>
            <wp:extent cx="1037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6"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Mitchell Goodman, Esq.</w:t>
      </w:r>
    </w:p>
    <w:p>
      <w:pPr>
        <w:jc w:val="center"/>
        <w:ind w:right="-6"/>
        <w:spacing w:after="0" w:line="211" w:lineRule="auto"/>
        <w:rPr>
          <w:sz w:val="20"/>
          <w:szCs w:val="20"/>
          <w:color w:val="auto"/>
        </w:rPr>
      </w:pPr>
      <w:r>
        <w:rPr>
          <w:rFonts w:ascii="Arial" w:cs="Arial" w:eastAsia="Arial" w:hAnsi="Arial"/>
          <w:sz w:val="16"/>
          <w:szCs w:val="16"/>
          <w:b w:val="1"/>
          <w:bCs w:val="1"/>
          <w:color w:val="auto"/>
        </w:rPr>
        <w:t>Senior Vice President, General Counsel and Secretary</w:t>
      </w:r>
    </w:p>
    <w:p>
      <w:pPr>
        <w:jc w:val="center"/>
        <w:ind w:right="-6"/>
        <w:spacing w:after="0" w:line="211" w:lineRule="auto"/>
        <w:rPr>
          <w:sz w:val="20"/>
          <w:szCs w:val="20"/>
          <w:color w:val="auto"/>
        </w:rPr>
      </w:pPr>
      <w:r>
        <w:rPr>
          <w:rFonts w:ascii="Arial" w:cs="Arial" w:eastAsia="Arial" w:hAnsi="Arial"/>
          <w:sz w:val="16"/>
          <w:szCs w:val="16"/>
          <w:b w:val="1"/>
          <w:bCs w:val="1"/>
          <w:color w:val="auto"/>
        </w:rPr>
        <w:t>2435 Commerce Avenue</w:t>
      </w:r>
    </w:p>
    <w:p>
      <w:pPr>
        <w:jc w:val="center"/>
        <w:ind w:right="-6"/>
        <w:spacing w:after="0" w:line="212" w:lineRule="auto"/>
        <w:rPr>
          <w:sz w:val="20"/>
          <w:szCs w:val="20"/>
          <w:color w:val="auto"/>
        </w:rPr>
      </w:pPr>
      <w:r>
        <w:rPr>
          <w:rFonts w:ascii="Arial" w:cs="Arial" w:eastAsia="Arial" w:hAnsi="Arial"/>
          <w:sz w:val="16"/>
          <w:szCs w:val="16"/>
          <w:b w:val="1"/>
          <w:bCs w:val="1"/>
          <w:color w:val="auto"/>
        </w:rPr>
        <w:t>Bldg. 2200</w:t>
      </w:r>
    </w:p>
    <w:p>
      <w:pPr>
        <w:jc w:val="center"/>
        <w:ind w:right="-6"/>
        <w:spacing w:after="0" w:line="211" w:lineRule="auto"/>
        <w:rPr>
          <w:sz w:val="20"/>
          <w:szCs w:val="20"/>
          <w:color w:val="auto"/>
        </w:rPr>
      </w:pPr>
      <w:r>
        <w:rPr>
          <w:rFonts w:ascii="Arial" w:cs="Arial" w:eastAsia="Arial" w:hAnsi="Arial"/>
          <w:sz w:val="16"/>
          <w:szCs w:val="16"/>
          <w:b w:val="1"/>
          <w:bCs w:val="1"/>
          <w:color w:val="auto"/>
        </w:rPr>
        <w:t>Duluth, Georgia 30096-4980</w:t>
      </w:r>
    </w:p>
    <w:p>
      <w:pPr>
        <w:jc w:val="center"/>
        <w:ind w:right="-6"/>
        <w:spacing w:after="0" w:line="212" w:lineRule="auto"/>
        <w:rPr>
          <w:sz w:val="20"/>
          <w:szCs w:val="20"/>
          <w:color w:val="auto"/>
        </w:rPr>
      </w:pPr>
      <w:r>
        <w:rPr>
          <w:rFonts w:ascii="Arial" w:cs="Arial" w:eastAsia="Arial" w:hAnsi="Arial"/>
          <w:sz w:val="16"/>
          <w:szCs w:val="16"/>
          <w:b w:val="1"/>
          <w:bCs w:val="1"/>
          <w:color w:val="auto"/>
        </w:rPr>
        <w:t>Telephone: 770-822-4208</w:t>
      </w:r>
    </w:p>
    <w:p>
      <w:pPr>
        <w:jc w:val="center"/>
        <w:ind w:right="-6"/>
        <w:spacing w:after="0"/>
        <w:rPr>
          <w:sz w:val="20"/>
          <w:szCs w:val="20"/>
          <w:color w:val="auto"/>
        </w:rPr>
      </w:pPr>
      <w:r>
        <w:rPr>
          <w:rFonts w:ascii="Arial" w:cs="Arial" w:eastAsia="Arial" w:hAnsi="Arial"/>
          <w:sz w:val="16"/>
          <w:szCs w:val="16"/>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60325</wp:posOffset>
            </wp:positionV>
            <wp:extent cx="10375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23" w:lineRule="exact"/>
        <w:rPr>
          <w:sz w:val="24"/>
          <w:szCs w:val="24"/>
          <w:color w:val="auto"/>
        </w:rPr>
      </w:pPr>
    </w:p>
    <w:tbl>
      <w:tblPr>
        <w:tblLayout w:type="fixed"/>
        <w:tblInd w:w="1207" w:type="dxa"/>
        <w:tblCellMar>
          <w:top w:w="0" w:type="dxa"/>
          <w:left w:w="0" w:type="dxa"/>
          <w:bottom w:w="0" w:type="dxa"/>
          <w:right w:w="0" w:type="dxa"/>
        </w:tblCellMar>
      </w:tblPr>
      <w:tr>
        <w:trPr>
          <w:trHeight w:val="230"/>
        </w:trPr>
        <w:tc>
          <w:tcPr>
            <w:tcW w:w="268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With copies to:</w:t>
            </w:r>
          </w:p>
        </w:tc>
      </w:tr>
      <w:tr>
        <w:trPr>
          <w:trHeight w:val="256"/>
        </w:trPr>
        <w:tc>
          <w:tcPr>
            <w:tcW w:w="2680" w:type="dxa"/>
            <w:vAlign w:val="bottom"/>
          </w:tcPr>
          <w:p>
            <w:pPr>
              <w:ind w:left="200"/>
              <w:spacing w:after="0"/>
              <w:rPr>
                <w:sz w:val="20"/>
                <w:szCs w:val="20"/>
                <w:color w:val="auto"/>
              </w:rPr>
            </w:pPr>
            <w:r>
              <w:rPr>
                <w:rFonts w:ascii="Arial" w:cs="Arial" w:eastAsia="Arial" w:hAnsi="Arial"/>
                <w:sz w:val="16"/>
                <w:szCs w:val="16"/>
                <w:b w:val="1"/>
                <w:bCs w:val="1"/>
                <w:color w:val="auto"/>
              </w:rPr>
              <w:t>Joseph H. Kaufman, Esq.</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4"/>
              </w:rPr>
              <w:t>Marc D. Jaffe, Esq.</w:t>
            </w:r>
          </w:p>
        </w:tc>
      </w:tr>
      <w:tr>
        <w:trPr>
          <w:trHeight w:val="203"/>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4"/>
              </w:rPr>
              <w:t>Simpson Thacher &amp; Bartlett LLP</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2"/>
              </w:rPr>
              <w:t>Ian D. Schuman, Esq.</w:t>
            </w:r>
          </w:p>
        </w:tc>
      </w:tr>
      <w:tr>
        <w:trPr>
          <w:trHeight w:val="190"/>
        </w:trPr>
        <w:tc>
          <w:tcPr>
            <w:tcW w:w="268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425 Lexington Avenue</w:t>
            </w: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8"/>
              </w:rPr>
              <w:t>Latham &amp; Watkins LLP</w:t>
            </w:r>
          </w:p>
        </w:tc>
      </w:tr>
      <w:tr>
        <w:trPr>
          <w:trHeight w:val="215"/>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3"/>
              </w:rPr>
              <w:t>New York, New York 10017-3954</w:t>
            </w:r>
          </w:p>
        </w:tc>
        <w:tc>
          <w:tcPr>
            <w:tcW w:w="4440" w:type="dxa"/>
            <w:vAlign w:val="bottom"/>
          </w:tcPr>
          <w:p>
            <w:pPr>
              <w:jc w:val="center"/>
              <w:ind w:left="2059"/>
              <w:spacing w:after="0" w:line="214" w:lineRule="exact"/>
              <w:rPr>
                <w:sz w:val="20"/>
                <w:szCs w:val="20"/>
                <w:color w:val="auto"/>
              </w:rPr>
            </w:pPr>
            <w:r>
              <w:rPr>
                <w:rFonts w:ascii="Arial" w:cs="Arial" w:eastAsia="Arial" w:hAnsi="Arial"/>
                <w:sz w:val="15"/>
                <w:szCs w:val="15"/>
                <w:b w:val="1"/>
                <w:bCs w:val="1"/>
                <w:color w:val="auto"/>
                <w:w w:val="94"/>
              </w:rPr>
              <w:t>885 3</w:t>
            </w:r>
            <w:r>
              <w:rPr>
                <w:rFonts w:ascii="Arial" w:cs="Arial" w:eastAsia="Arial" w:hAnsi="Arial"/>
                <w:sz w:val="24"/>
                <w:szCs w:val="24"/>
                <w:b w:val="1"/>
                <w:bCs w:val="1"/>
                <w:color w:val="auto"/>
                <w:w w:val="94"/>
                <w:vertAlign w:val="superscript"/>
              </w:rPr>
              <w:t>rd</w:t>
            </w:r>
            <w:r>
              <w:rPr>
                <w:rFonts w:ascii="Arial" w:cs="Arial" w:eastAsia="Arial" w:hAnsi="Arial"/>
                <w:sz w:val="15"/>
                <w:szCs w:val="15"/>
                <w:b w:val="1"/>
                <w:bCs w:val="1"/>
                <w:color w:val="auto"/>
                <w:w w:val="94"/>
              </w:rPr>
              <w:t xml:space="preserve"> Avenue</w:t>
            </w:r>
          </w:p>
        </w:tc>
      </w:tr>
      <w:tr>
        <w:trPr>
          <w:trHeight w:val="203"/>
        </w:trPr>
        <w:tc>
          <w:tcPr>
            <w:tcW w:w="2680" w:type="dxa"/>
            <w:vAlign w:val="bottom"/>
          </w:tcPr>
          <w:p>
            <w:pPr>
              <w:jc w:val="center"/>
              <w:ind w:right="279"/>
              <w:spacing w:after="0"/>
              <w:rPr>
                <w:sz w:val="20"/>
                <w:szCs w:val="20"/>
                <w:color w:val="auto"/>
              </w:rPr>
            </w:pPr>
            <w:r>
              <w:rPr>
                <w:rFonts w:ascii="Arial" w:cs="Arial" w:eastAsia="Arial" w:hAnsi="Arial"/>
                <w:sz w:val="16"/>
                <w:szCs w:val="16"/>
                <w:b w:val="1"/>
                <w:bCs w:val="1"/>
                <w:color w:val="auto"/>
                <w:w w:val="91"/>
              </w:rPr>
              <w:t>(212) 455-2000</w:t>
            </w:r>
          </w:p>
        </w:tc>
        <w:tc>
          <w:tcPr>
            <w:tcW w:w="4440" w:type="dxa"/>
            <w:vAlign w:val="bottom"/>
          </w:tcPr>
          <w:p>
            <w:pPr>
              <w:jc w:val="center"/>
              <w:ind w:left="2079"/>
              <w:spacing w:after="0"/>
              <w:rPr>
                <w:sz w:val="20"/>
                <w:szCs w:val="20"/>
                <w:color w:val="auto"/>
              </w:rPr>
            </w:pPr>
            <w:r>
              <w:rPr>
                <w:rFonts w:ascii="Arial" w:cs="Arial" w:eastAsia="Arial" w:hAnsi="Arial"/>
                <w:sz w:val="16"/>
                <w:szCs w:val="16"/>
                <w:b w:val="1"/>
                <w:bCs w:val="1"/>
                <w:color w:val="auto"/>
                <w:w w:val="93"/>
              </w:rPr>
              <w:t>New York, New York 10022-4834</w:t>
            </w:r>
          </w:p>
        </w:tc>
      </w:tr>
      <w:tr>
        <w:trPr>
          <w:trHeight w:val="210"/>
        </w:trPr>
        <w:tc>
          <w:tcPr>
            <w:tcW w:w="2680" w:type="dxa"/>
            <w:vAlign w:val="bottom"/>
          </w:tcPr>
          <w:p>
            <w:pPr>
              <w:spacing w:after="0"/>
              <w:rPr>
                <w:sz w:val="18"/>
                <w:szCs w:val="18"/>
                <w:color w:val="auto"/>
              </w:rPr>
            </w:pPr>
          </w:p>
        </w:tc>
        <w:tc>
          <w:tcPr>
            <w:tcW w:w="4440" w:type="dxa"/>
            <w:vAlign w:val="bottom"/>
          </w:tcPr>
          <w:p>
            <w:pPr>
              <w:jc w:val="center"/>
              <w:ind w:left="2059"/>
              <w:spacing w:after="0"/>
              <w:rPr>
                <w:sz w:val="20"/>
                <w:szCs w:val="20"/>
                <w:color w:val="auto"/>
              </w:rPr>
            </w:pPr>
            <w:r>
              <w:rPr>
                <w:rFonts w:ascii="Arial" w:cs="Arial" w:eastAsia="Arial" w:hAnsi="Arial"/>
                <w:sz w:val="16"/>
                <w:szCs w:val="16"/>
                <w:b w:val="1"/>
                <w:bCs w:val="1"/>
                <w:color w:val="auto"/>
                <w:w w:val="93"/>
              </w:rPr>
              <w:t>(212) 906-1200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81280</wp:posOffset>
            </wp:positionV>
            <wp:extent cx="1037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42" w:lineRule="exact"/>
        <w:rPr>
          <w:sz w:val="24"/>
          <w:szCs w:val="24"/>
          <w:color w:val="auto"/>
        </w:rPr>
      </w:pPr>
    </w:p>
    <w:p>
      <w:pPr>
        <w:ind w:left="7" w:right="180" w:firstLine="360"/>
        <w:spacing w:after="0" w:line="223"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this Registration Statement is declared</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w:t>
      </w:r>
    </w:p>
    <w:p>
      <w:pPr>
        <w:ind w:left="7" w:right="500" w:firstLine="360"/>
        <w:spacing w:after="0" w:line="231"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o</w:t>
      </w:r>
    </w:p>
    <w:p>
      <w:pPr>
        <w:spacing w:after="0" w:line="10" w:lineRule="exact"/>
        <w:rPr>
          <w:sz w:val="24"/>
          <w:szCs w:val="24"/>
          <w:color w:val="auto"/>
        </w:rPr>
      </w:pPr>
    </w:p>
    <w:p>
      <w:pPr>
        <w:ind w:left="7" w:right="500" w:firstLine="360"/>
        <w:spacing w:after="0" w:line="28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0" w:lineRule="exact"/>
        <w:rPr>
          <w:sz w:val="24"/>
          <w:szCs w:val="24"/>
          <w:color w:val="auto"/>
        </w:rPr>
      </w:pPr>
    </w:p>
    <w:p>
      <w:pPr>
        <w:ind w:left="7" w:right="520" w:firstLine="360"/>
        <w:spacing w:after="0"/>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0" w:lineRule="exact"/>
        <w:rPr>
          <w:sz w:val="24"/>
          <w:szCs w:val="24"/>
          <w:color w:val="auto"/>
        </w:rPr>
      </w:pPr>
    </w:p>
    <w:p>
      <w:pPr>
        <w:ind w:left="7" w:right="220" w:firstLine="360"/>
        <w:spacing w:after="0" w:line="23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7" w:type="dxa"/>
        <w:tblCellMar>
          <w:top w:w="0" w:type="dxa"/>
          <w:left w:w="0" w:type="dxa"/>
          <w:bottom w:w="0" w:type="dxa"/>
          <w:right w:w="0" w:type="dxa"/>
        </w:tblCellMar>
      </w:tblPr>
      <w:tr>
        <w:trPr>
          <w:trHeight w:val="200"/>
        </w:trPr>
        <w:tc>
          <w:tcPr>
            <w:tcW w:w="17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900" w:type="dxa"/>
            <w:vAlign w:val="bottom"/>
          </w:tcPr>
          <w:p>
            <w:pPr>
              <w:ind w:left="280"/>
              <w:spacing w:after="0"/>
              <w:rPr>
                <w:sz w:val="20"/>
                <w:szCs w:val="20"/>
                <w:color w:val="auto"/>
              </w:rPr>
            </w:pPr>
            <w:r>
              <w:rPr>
                <w:rFonts w:ascii="Arial" w:cs="Arial" w:eastAsia="Arial" w:hAnsi="Arial"/>
                <w:sz w:val="16"/>
                <w:szCs w:val="16"/>
                <w:color w:val="auto"/>
              </w:rPr>
              <w:t>o</w:t>
            </w:r>
          </w:p>
        </w:tc>
        <w:tc>
          <w:tcPr>
            <w:tcW w:w="2580" w:type="dxa"/>
            <w:vAlign w:val="bottom"/>
          </w:tcPr>
          <w:p>
            <w:pPr>
              <w:ind w:left="4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254"/>
        </w:trPr>
        <w:tc>
          <w:tcPr>
            <w:tcW w:w="1740" w:type="dxa"/>
            <w:vAlign w:val="bottom"/>
          </w:tcPr>
          <w:p>
            <w:pPr>
              <w:spacing w:after="0"/>
              <w:rPr>
                <w:sz w:val="20"/>
                <w:szCs w:val="20"/>
                <w:color w:val="auto"/>
              </w:rPr>
            </w:pPr>
            <w:r>
              <w:rPr>
                <w:rFonts w:ascii="Arial" w:cs="Arial" w:eastAsia="Arial" w:hAnsi="Arial"/>
                <w:sz w:val="16"/>
                <w:szCs w:val="16"/>
                <w:color w:val="auto"/>
              </w:rPr>
              <w:t>Non-accelerated filer</w:t>
            </w:r>
          </w:p>
        </w:tc>
        <w:tc>
          <w:tcPr>
            <w:tcW w:w="3900" w:type="dxa"/>
            <w:vAlign w:val="bottom"/>
          </w:tcPr>
          <w:p>
            <w:pPr>
              <w:ind w:left="28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tc>
        <w:tc>
          <w:tcPr>
            <w:tcW w:w="2580" w:type="dxa"/>
            <w:vAlign w:val="bottom"/>
          </w:tcPr>
          <w:p>
            <w:pPr>
              <w:ind w:left="4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181"/>
        </w:trPr>
        <w:tc>
          <w:tcPr>
            <w:tcW w:w="174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2580" w:type="dxa"/>
            <w:vAlign w:val="bottom"/>
          </w:tcPr>
          <w:p>
            <w:pPr>
              <w:ind w:left="400"/>
              <w:spacing w:after="0" w:line="181" w:lineRule="exact"/>
              <w:rPr>
                <w:sz w:val="20"/>
                <w:szCs w:val="20"/>
                <w:color w:val="auto"/>
              </w:rPr>
            </w:pPr>
            <w:r>
              <w:rPr>
                <w:rFonts w:ascii="Arial" w:cs="Arial" w:eastAsia="Arial" w:hAnsi="Arial"/>
                <w:sz w:val="16"/>
                <w:szCs w:val="16"/>
                <w:color w:val="auto"/>
              </w:rPr>
              <w:t>Emerging growth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bl>
    <w:p>
      <w:pPr>
        <w:ind w:left="7" w:right="160" w:firstLine="360"/>
        <w:spacing w:after="0" w:line="231"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158115</wp:posOffset>
            </wp:positionV>
            <wp:extent cx="10375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
        <w:spacing w:after="0"/>
        <w:rPr>
          <w:sz w:val="20"/>
          <w:szCs w:val="20"/>
          <w:color w:val="auto"/>
        </w:rPr>
      </w:pPr>
      <w:r>
        <w:rPr>
          <w:rFonts w:ascii="Arial" w:cs="Arial" w:eastAsia="Arial" w:hAnsi="Arial"/>
          <w:sz w:val="16"/>
          <w:szCs w:val="16"/>
          <w:b w:val="1"/>
          <w:bCs w:val="1"/>
          <w:color w:val="auto"/>
        </w:rPr>
        <w:t>CALCULATION OF REGISTRATION FEE</w:t>
      </w:r>
    </w:p>
    <w:p>
      <w:pPr>
        <w:spacing w:after="0" w:line="39" w:lineRule="exact"/>
        <w:rPr>
          <w:sz w:val="24"/>
          <w:szCs w:val="24"/>
          <w:color w:val="auto"/>
        </w:rPr>
      </w:pPr>
    </w:p>
    <w:tbl>
      <w:tblPr>
        <w:tblLayout w:type="fixed"/>
        <w:tblInd w:w="7" w:type="dxa"/>
        <w:tblCellMar>
          <w:top w:w="0" w:type="dxa"/>
          <w:left w:w="0" w:type="dxa"/>
          <w:bottom w:w="0" w:type="dxa"/>
          <w:right w:w="0" w:type="dxa"/>
        </w:tblCellMar>
      </w:tblPr>
      <w:tr>
        <w:trPr>
          <w:trHeight w:val="41"/>
        </w:trPr>
        <w:tc>
          <w:tcPr>
            <w:tcW w:w="3440" w:type="dxa"/>
            <w:vAlign w:val="bottom"/>
            <w:tcBorders>
              <w:top w:val="single" w:sz="8" w:color="auto"/>
              <w:bottom w:val="single" w:sz="8" w:color="auto"/>
              <w:right w:val="single" w:sz="8" w:color="auto"/>
            </w:tcBorders>
          </w:tcPr>
          <w:p>
            <w:pPr>
              <w:spacing w:after="0"/>
              <w:rPr>
                <w:sz w:val="3"/>
                <w:szCs w:val="3"/>
                <w:color w:val="auto"/>
              </w:rPr>
            </w:pPr>
          </w:p>
        </w:tc>
        <w:tc>
          <w:tcPr>
            <w:tcW w:w="1620" w:type="dxa"/>
            <w:vAlign w:val="bottom"/>
            <w:tcBorders>
              <w:top w:val="single" w:sz="8" w:color="auto"/>
              <w:bottom w:val="single" w:sz="8" w:color="auto"/>
              <w:right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16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right w:val="single" w:sz="8" w:color="auto"/>
            </w:tcBorders>
          </w:tcPr>
          <w:p>
            <w:pPr>
              <w:spacing w:after="0"/>
              <w:rPr>
                <w:sz w:val="3"/>
                <w:szCs w:val="3"/>
                <w:color w:val="auto"/>
              </w:rPr>
            </w:pPr>
          </w:p>
        </w:tc>
        <w:tc>
          <w:tcPr>
            <w:tcW w:w="240" w:type="dxa"/>
            <w:vAlign w:val="bottom"/>
            <w:tcBorders>
              <w:top w:val="single" w:sz="8" w:color="auto"/>
              <w:bottom w:val="single" w:sz="8" w:color="auto"/>
            </w:tcBorders>
          </w:tcPr>
          <w:p>
            <w:pPr>
              <w:spacing w:after="0"/>
              <w:rPr>
                <w:sz w:val="3"/>
                <w:szCs w:val="3"/>
                <w:color w:val="auto"/>
              </w:rPr>
            </w:pPr>
          </w:p>
        </w:tc>
        <w:tc>
          <w:tcPr>
            <w:tcW w:w="1020" w:type="dxa"/>
            <w:vAlign w:val="bottom"/>
            <w:tcBorders>
              <w:top w:val="single" w:sz="8" w:color="auto"/>
              <w:bottom w:val="single" w:sz="8" w:color="auto"/>
            </w:tcBorders>
          </w:tcPr>
          <w:p>
            <w:pPr>
              <w:spacing w:after="0"/>
              <w:rPr>
                <w:sz w:val="3"/>
                <w:szCs w:val="3"/>
                <w:color w:val="auto"/>
              </w:rPr>
            </w:pPr>
          </w:p>
        </w:tc>
      </w:tr>
      <w:tr>
        <w:trPr>
          <w:trHeight w:val="119"/>
        </w:trPr>
        <w:tc>
          <w:tcPr>
            <w:tcW w:w="344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60" w:type="dxa"/>
            <w:vAlign w:val="bottom"/>
            <w:tcBorders>
              <w:right w:val="single" w:sz="8" w:color="auto"/>
            </w:tcBorders>
          </w:tcPr>
          <w:p>
            <w:pPr>
              <w:jc w:val="center"/>
              <w:ind w:right="128"/>
              <w:spacing w:after="0" w:line="119" w:lineRule="exact"/>
              <w:rPr>
                <w:sz w:val="20"/>
                <w:szCs w:val="20"/>
                <w:color w:val="auto"/>
              </w:rPr>
            </w:pPr>
            <w:r>
              <w:rPr>
                <w:rFonts w:ascii="Arial" w:cs="Arial" w:eastAsia="Arial" w:hAnsi="Arial"/>
                <w:sz w:val="13"/>
                <w:szCs w:val="13"/>
                <w:b w:val="1"/>
                <w:bCs w:val="1"/>
                <w:color w:val="auto"/>
              </w:rPr>
              <w:t>Proposed Maximum</w:t>
            </w:r>
          </w:p>
        </w:tc>
        <w:tc>
          <w:tcPr>
            <w:tcW w:w="160" w:type="dxa"/>
            <w:vAlign w:val="bottom"/>
          </w:tcPr>
          <w:p>
            <w:pPr>
              <w:spacing w:after="0"/>
              <w:rPr>
                <w:sz w:val="10"/>
                <w:szCs w:val="10"/>
                <w:color w:val="auto"/>
              </w:rPr>
            </w:pPr>
          </w:p>
        </w:tc>
        <w:tc>
          <w:tcPr>
            <w:tcW w:w="1460" w:type="dxa"/>
            <w:vAlign w:val="bottom"/>
            <w:tcBorders>
              <w:right w:val="single" w:sz="8" w:color="auto"/>
            </w:tcBorders>
          </w:tcPr>
          <w:p>
            <w:pPr>
              <w:jc w:val="center"/>
              <w:ind w:right="132"/>
              <w:spacing w:after="0" w:line="119" w:lineRule="exact"/>
              <w:rPr>
                <w:sz w:val="20"/>
                <w:szCs w:val="20"/>
                <w:color w:val="auto"/>
              </w:rPr>
            </w:pPr>
            <w:r>
              <w:rPr>
                <w:rFonts w:ascii="Arial" w:cs="Arial" w:eastAsia="Arial" w:hAnsi="Arial"/>
                <w:sz w:val="13"/>
                <w:szCs w:val="13"/>
                <w:b w:val="1"/>
                <w:bCs w:val="1"/>
                <w:color w:val="auto"/>
              </w:rPr>
              <w:t>Proposed Maximum</w:t>
            </w: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r>
      <w:tr>
        <w:trPr>
          <w:trHeight w:val="145"/>
        </w:trPr>
        <w:tc>
          <w:tcPr>
            <w:tcW w:w="3440" w:type="dxa"/>
            <w:vAlign w:val="bottom"/>
            <w:tcBorders>
              <w:right w:val="single" w:sz="8" w:color="auto"/>
            </w:tcBorders>
          </w:tcPr>
          <w:p>
            <w:pPr>
              <w:jc w:val="center"/>
              <w:ind w:right="5"/>
              <w:spacing w:after="0" w:line="145" w:lineRule="exact"/>
              <w:rPr>
                <w:sz w:val="20"/>
                <w:szCs w:val="20"/>
                <w:color w:val="auto"/>
              </w:rPr>
            </w:pPr>
            <w:r>
              <w:rPr>
                <w:rFonts w:ascii="Arial" w:cs="Arial" w:eastAsia="Arial" w:hAnsi="Arial"/>
                <w:sz w:val="14"/>
                <w:szCs w:val="14"/>
                <w:b w:val="1"/>
                <w:bCs w:val="1"/>
                <w:color w:val="auto"/>
                <w:w w:val="95"/>
              </w:rPr>
              <w:t>Title Of Each Class Of</w:t>
            </w:r>
          </w:p>
        </w:tc>
        <w:tc>
          <w:tcPr>
            <w:tcW w:w="1620" w:type="dxa"/>
            <w:vAlign w:val="bottom"/>
            <w:tcBorders>
              <w:right w:val="single" w:sz="8" w:color="auto"/>
            </w:tcBorders>
          </w:tcPr>
          <w:p>
            <w:pPr>
              <w:jc w:val="center"/>
              <w:spacing w:after="0" w:line="145" w:lineRule="exact"/>
              <w:rPr>
                <w:sz w:val="20"/>
                <w:szCs w:val="20"/>
                <w:color w:val="auto"/>
              </w:rPr>
            </w:pPr>
            <w:r>
              <w:rPr>
                <w:rFonts w:ascii="Arial" w:cs="Arial" w:eastAsia="Arial" w:hAnsi="Arial"/>
                <w:sz w:val="14"/>
                <w:szCs w:val="14"/>
                <w:b w:val="1"/>
                <w:bCs w:val="1"/>
                <w:color w:val="auto"/>
                <w:w w:val="93"/>
              </w:rPr>
              <w:t>Amount to be</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28"/>
              <w:spacing w:after="0" w:line="145" w:lineRule="exact"/>
              <w:rPr>
                <w:sz w:val="20"/>
                <w:szCs w:val="20"/>
                <w:color w:val="auto"/>
              </w:rPr>
            </w:pPr>
            <w:r>
              <w:rPr>
                <w:rFonts w:ascii="Arial" w:cs="Arial" w:eastAsia="Arial" w:hAnsi="Arial"/>
                <w:sz w:val="14"/>
                <w:szCs w:val="14"/>
                <w:b w:val="1"/>
                <w:bCs w:val="1"/>
                <w:color w:val="auto"/>
                <w:w w:val="95"/>
              </w:rPr>
              <w:t>Offering Price Per</w:t>
            </w:r>
          </w:p>
        </w:tc>
        <w:tc>
          <w:tcPr>
            <w:tcW w:w="160" w:type="dxa"/>
            <w:vAlign w:val="bottom"/>
          </w:tcPr>
          <w:p>
            <w:pPr>
              <w:spacing w:after="0"/>
              <w:rPr>
                <w:sz w:val="12"/>
                <w:szCs w:val="12"/>
                <w:color w:val="auto"/>
              </w:rPr>
            </w:pPr>
          </w:p>
        </w:tc>
        <w:tc>
          <w:tcPr>
            <w:tcW w:w="1460" w:type="dxa"/>
            <w:vAlign w:val="bottom"/>
            <w:tcBorders>
              <w:right w:val="single" w:sz="8" w:color="auto"/>
            </w:tcBorders>
          </w:tcPr>
          <w:p>
            <w:pPr>
              <w:jc w:val="center"/>
              <w:ind w:right="132"/>
              <w:spacing w:after="0" w:line="145" w:lineRule="exact"/>
              <w:rPr>
                <w:sz w:val="20"/>
                <w:szCs w:val="20"/>
                <w:color w:val="auto"/>
              </w:rPr>
            </w:pPr>
            <w:r>
              <w:rPr>
                <w:rFonts w:ascii="Arial" w:cs="Arial" w:eastAsia="Arial" w:hAnsi="Arial"/>
                <w:sz w:val="14"/>
                <w:szCs w:val="14"/>
                <w:b w:val="1"/>
                <w:bCs w:val="1"/>
                <w:color w:val="auto"/>
                <w:w w:val="92"/>
              </w:rPr>
              <w:t>Aggregate Offering</w:t>
            </w:r>
          </w:p>
        </w:tc>
        <w:tc>
          <w:tcPr>
            <w:tcW w:w="240" w:type="dxa"/>
            <w:vAlign w:val="bottom"/>
          </w:tcPr>
          <w:p>
            <w:pPr>
              <w:spacing w:after="0"/>
              <w:rPr>
                <w:sz w:val="12"/>
                <w:szCs w:val="12"/>
                <w:color w:val="auto"/>
              </w:rPr>
            </w:pPr>
          </w:p>
        </w:tc>
        <w:tc>
          <w:tcPr>
            <w:tcW w:w="1020" w:type="dxa"/>
            <w:vAlign w:val="bottom"/>
          </w:tcPr>
          <w:p>
            <w:pPr>
              <w:jc w:val="center"/>
              <w:ind w:right="123"/>
              <w:spacing w:after="0" w:line="145" w:lineRule="exact"/>
              <w:rPr>
                <w:sz w:val="20"/>
                <w:szCs w:val="20"/>
                <w:color w:val="auto"/>
              </w:rPr>
            </w:pPr>
            <w:r>
              <w:rPr>
                <w:rFonts w:ascii="Arial" w:cs="Arial" w:eastAsia="Arial" w:hAnsi="Arial"/>
                <w:sz w:val="14"/>
                <w:szCs w:val="14"/>
                <w:b w:val="1"/>
                <w:bCs w:val="1"/>
                <w:color w:val="auto"/>
                <w:w w:val="94"/>
              </w:rPr>
              <w:t>Amount of</w:t>
            </w:r>
          </w:p>
        </w:tc>
      </w:tr>
      <w:tr>
        <w:trPr>
          <w:trHeight w:val="202"/>
        </w:trPr>
        <w:tc>
          <w:tcPr>
            <w:tcW w:w="3440" w:type="dxa"/>
            <w:vAlign w:val="bottom"/>
            <w:tcBorders>
              <w:bottom w:val="single" w:sz="8" w:color="auto"/>
              <w:right w:val="single" w:sz="8" w:color="auto"/>
            </w:tcBorders>
          </w:tcPr>
          <w:p>
            <w:pPr>
              <w:jc w:val="center"/>
              <w:ind w:right="5"/>
              <w:spacing w:after="0"/>
              <w:rPr>
                <w:sz w:val="20"/>
                <w:szCs w:val="20"/>
                <w:color w:val="auto"/>
              </w:rPr>
            </w:pPr>
            <w:r>
              <w:rPr>
                <w:rFonts w:ascii="Arial" w:cs="Arial" w:eastAsia="Arial" w:hAnsi="Arial"/>
                <w:sz w:val="14"/>
                <w:szCs w:val="14"/>
                <w:b w:val="1"/>
                <w:bCs w:val="1"/>
                <w:color w:val="auto"/>
                <w:w w:val="90"/>
              </w:rPr>
              <w:t>Securities To Be Registered</w:t>
            </w:r>
          </w:p>
        </w:tc>
        <w:tc>
          <w:tcPr>
            <w:tcW w:w="1620" w:type="dxa"/>
            <w:vAlign w:val="bottom"/>
            <w:tcBorders>
              <w:bottom w:val="single" w:sz="8" w:color="auto"/>
              <w:right w:val="single" w:sz="8" w:color="auto"/>
            </w:tcBorders>
          </w:tcPr>
          <w:p>
            <w:pPr>
              <w:jc w:val="center"/>
              <w:spacing w:after="0" w:line="202" w:lineRule="exact"/>
              <w:rPr>
                <w:sz w:val="20"/>
                <w:szCs w:val="20"/>
                <w:color w:val="auto"/>
              </w:rPr>
            </w:pPr>
            <w:r>
              <w:rPr>
                <w:rFonts w:ascii="Arial" w:cs="Arial" w:eastAsia="Arial" w:hAnsi="Arial"/>
                <w:sz w:val="14"/>
                <w:szCs w:val="14"/>
                <w:b w:val="1"/>
                <w:bCs w:val="1"/>
                <w:color w:val="auto"/>
                <w:w w:val="85"/>
              </w:rPr>
              <w:t>Registered</w:t>
            </w:r>
            <w:r>
              <w:rPr>
                <w:rFonts w:ascii="Arial" w:cs="Arial" w:eastAsia="Arial" w:hAnsi="Arial"/>
                <w:sz w:val="23"/>
                <w:szCs w:val="23"/>
                <w:b w:val="1"/>
                <w:bCs w:val="1"/>
                <w:color w:val="auto"/>
                <w:w w:val="85"/>
                <w:vertAlign w:val="superscript"/>
              </w:rPr>
              <w:t>(1)</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28"/>
              <w:spacing w:after="0" w:line="202" w:lineRule="exact"/>
              <w:rPr>
                <w:sz w:val="20"/>
                <w:szCs w:val="20"/>
                <w:color w:val="auto"/>
              </w:rPr>
            </w:pPr>
            <w:r>
              <w:rPr>
                <w:rFonts w:ascii="Arial" w:cs="Arial" w:eastAsia="Arial" w:hAnsi="Arial"/>
                <w:sz w:val="14"/>
                <w:szCs w:val="14"/>
                <w:b w:val="1"/>
                <w:bCs w:val="1"/>
                <w:color w:val="auto"/>
                <w:w w:val="86"/>
              </w:rPr>
              <w:t>Share</w:t>
            </w:r>
            <w:r>
              <w:rPr>
                <w:rFonts w:ascii="Arial" w:cs="Arial" w:eastAsia="Arial" w:hAnsi="Arial"/>
                <w:sz w:val="23"/>
                <w:szCs w:val="23"/>
                <w:b w:val="1"/>
                <w:bCs w:val="1"/>
                <w:color w:val="auto"/>
                <w:w w:val="86"/>
                <w:vertAlign w:val="superscript"/>
              </w:rPr>
              <w:t>(2)</w:t>
            </w:r>
          </w:p>
        </w:tc>
        <w:tc>
          <w:tcPr>
            <w:tcW w:w="160" w:type="dxa"/>
            <w:vAlign w:val="bottom"/>
            <w:tcBorders>
              <w:bottom w:val="single" w:sz="8" w:color="auto"/>
            </w:tcBorders>
          </w:tcPr>
          <w:p>
            <w:pPr>
              <w:spacing w:after="0"/>
              <w:rPr>
                <w:sz w:val="17"/>
                <w:szCs w:val="17"/>
                <w:color w:val="auto"/>
              </w:rPr>
            </w:pPr>
          </w:p>
        </w:tc>
        <w:tc>
          <w:tcPr>
            <w:tcW w:w="1460" w:type="dxa"/>
            <w:vAlign w:val="bottom"/>
            <w:tcBorders>
              <w:bottom w:val="single" w:sz="8" w:color="auto"/>
              <w:right w:val="single" w:sz="8" w:color="auto"/>
            </w:tcBorders>
          </w:tcPr>
          <w:p>
            <w:pPr>
              <w:jc w:val="center"/>
              <w:ind w:right="152"/>
              <w:spacing w:after="0" w:line="202" w:lineRule="exact"/>
              <w:rPr>
                <w:sz w:val="20"/>
                <w:szCs w:val="20"/>
                <w:color w:val="auto"/>
              </w:rPr>
            </w:pPr>
            <w:r>
              <w:rPr>
                <w:rFonts w:ascii="Arial" w:cs="Arial" w:eastAsia="Arial" w:hAnsi="Arial"/>
                <w:sz w:val="23"/>
                <w:szCs w:val="23"/>
                <w:b w:val="1"/>
                <w:bCs w:val="1"/>
                <w:color w:val="auto"/>
                <w:w w:val="93"/>
                <w:vertAlign w:val="subscript"/>
              </w:rPr>
              <w:t>Price</w:t>
            </w:r>
            <w:r>
              <w:rPr>
                <w:rFonts w:ascii="Arial" w:cs="Arial" w:eastAsia="Arial" w:hAnsi="Arial"/>
                <w:sz w:val="11"/>
                <w:szCs w:val="11"/>
                <w:b w:val="1"/>
                <w:bCs w:val="1"/>
                <w:color w:val="auto"/>
                <w:w w:val="93"/>
              </w:rPr>
              <w:t>(1)(2)</w:t>
            </w: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Registration Fee</w:t>
            </w:r>
          </w:p>
        </w:tc>
      </w:tr>
      <w:tr>
        <w:trPr>
          <w:trHeight w:val="217"/>
        </w:trPr>
        <w:tc>
          <w:tcPr>
            <w:tcW w:w="3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6"/>
                <w:szCs w:val="16"/>
                <w:color w:val="auto"/>
              </w:rPr>
              <w:t>Common Stock, par value $0.01 per share</w:t>
            </w:r>
          </w:p>
        </w:tc>
        <w:tc>
          <w:tcPr>
            <w:tcW w:w="1620" w:type="dxa"/>
            <w:vAlign w:val="bottom"/>
            <w:tcBorders>
              <w:bottom w:val="single" w:sz="8" w:color="auto"/>
              <w:right w:val="single" w:sz="8" w:color="auto"/>
            </w:tcBorders>
          </w:tcPr>
          <w:p>
            <w:pPr>
              <w:jc w:val="right"/>
              <w:ind w:right="46"/>
              <w:spacing w:after="0"/>
              <w:rPr>
                <w:sz w:val="20"/>
                <w:szCs w:val="20"/>
                <w:color w:val="auto"/>
              </w:rPr>
            </w:pPr>
            <w:r>
              <w:rPr>
                <w:rFonts w:ascii="Arial" w:cs="Arial" w:eastAsia="Arial" w:hAnsi="Arial"/>
                <w:sz w:val="16"/>
                <w:szCs w:val="16"/>
                <w:color w:val="auto"/>
              </w:rPr>
              <w:t>11,500,000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48"/>
              <w:spacing w:after="0"/>
              <w:rPr>
                <w:sz w:val="20"/>
                <w:szCs w:val="20"/>
                <w:color w:val="auto"/>
              </w:rPr>
            </w:pPr>
            <w:r>
              <w:rPr>
                <w:rFonts w:ascii="Arial" w:cs="Arial" w:eastAsia="Arial" w:hAnsi="Arial"/>
                <w:sz w:val="16"/>
                <w:szCs w:val="16"/>
                <w:color w:val="auto"/>
              </w:rPr>
              <w:t>34.17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right w:val="single" w:sz="8" w:color="auto"/>
            </w:tcBorders>
          </w:tcPr>
          <w:p>
            <w:pPr>
              <w:jc w:val="right"/>
              <w:ind w:right="52"/>
              <w:spacing w:after="0"/>
              <w:rPr>
                <w:sz w:val="20"/>
                <w:szCs w:val="20"/>
                <w:color w:val="auto"/>
              </w:rPr>
            </w:pPr>
            <w:r>
              <w:rPr>
                <w:rFonts w:ascii="Arial" w:cs="Arial" w:eastAsia="Arial" w:hAnsi="Arial"/>
                <w:sz w:val="16"/>
                <w:szCs w:val="16"/>
                <w:color w:val="auto"/>
              </w:rPr>
              <w:t>392,955,000</w:t>
            </w:r>
          </w:p>
        </w:tc>
        <w:tc>
          <w:tcPr>
            <w:tcW w:w="24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48,922.90</w:t>
            </w:r>
          </w:p>
        </w:tc>
      </w:tr>
      <w:tr>
        <w:trPr>
          <w:trHeight w:val="68"/>
        </w:trPr>
        <w:tc>
          <w:tcPr>
            <w:tcW w:w="3440" w:type="dxa"/>
            <w:vAlign w:val="bottom"/>
            <w:tcBorders>
              <w:bottom w:val="single" w:sz="8" w:color="auto"/>
            </w:tcBorders>
          </w:tcPr>
          <w:p>
            <w:pPr>
              <w:spacing w:after="0"/>
              <w:rPr>
                <w:sz w:val="5"/>
                <w:szCs w:val="5"/>
                <w:color w:val="auto"/>
              </w:rPr>
            </w:pPr>
          </w:p>
        </w:tc>
        <w:tc>
          <w:tcPr>
            <w:tcW w:w="16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r>
    </w:tbl>
    <w:p>
      <w:pPr>
        <w:spacing w:after="0" w:line="197" w:lineRule="exact"/>
        <w:rPr>
          <w:sz w:val="24"/>
          <w:szCs w:val="24"/>
          <w:color w:val="auto"/>
        </w:rPr>
      </w:pPr>
    </w:p>
    <w:p>
      <w:pPr>
        <w:ind w:left="347" w:hanging="347"/>
        <w:spacing w:after="0"/>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1,500,000 shares of common stock that the underwriters have the option to purchase. See “Underwriting (Conflicts of Interest).”</w:t>
      </w:r>
    </w:p>
    <w:p>
      <w:pPr>
        <w:spacing w:after="0" w:line="109" w:lineRule="exact"/>
        <w:rPr>
          <w:rFonts w:ascii="Arial" w:cs="Arial" w:eastAsia="Arial" w:hAnsi="Arial"/>
          <w:sz w:val="14"/>
          <w:szCs w:val="14"/>
          <w:color w:val="auto"/>
        </w:rPr>
      </w:pPr>
    </w:p>
    <w:p>
      <w:pPr>
        <w:ind w:left="347" w:hanging="347"/>
        <w:spacing w:after="0" w:line="257" w:lineRule="auto"/>
        <w:tabs>
          <w:tab w:leader="none" w:pos="347"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determining the amount of the registration fee in accordance with Rule 457(c) under the Securities Act of 1933, as amended. The proposed maximum offering price per share and proposed maximum aggregate offering price are based on the average high and low prices of the registrant’s common stock on March 9, 2018 as reported on the NASDAQ Global Select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2517140</wp:posOffset>
            </wp:positionH>
            <wp:positionV relativeFrom="paragraph">
              <wp:posOffset>78105</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ectPr>
          <w:pgSz w:w="11900" w:h="16838" w:orient="portrait"/>
          <w:cols w:equalWidth="0" w:num="1">
            <w:col w:w="9567"/>
          </w:cols>
          <w:pgMar w:left="1173" w:top="238" w:right="1159" w:bottom="78" w:gutter="0" w:footer="0" w:header="0"/>
        </w:sectPr>
      </w:pPr>
    </w:p>
    <w:bookmarkStart w:id="1" w:name="page2"/>
    <w:bookmarkEnd w:id="1"/>
    <w:p>
      <w:pPr>
        <w:jc w:val="both"/>
        <w:ind w:firstLine="360"/>
        <w:spacing w:after="0" w:line="243"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123190</wp:posOffset>
            </wp:positionV>
            <wp:extent cx="6071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165735</wp:posOffset>
            </wp:positionV>
            <wp:extent cx="60718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474345</wp:posOffset>
            </wp:positionV>
            <wp:extent cx="607187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111" w:right="1199" w:bottom="1440" w:gutter="0" w:footer="0" w:header="0"/>
        </w:sectPr>
      </w:pPr>
    </w:p>
    <w:bookmarkStart w:id="2" w:name="page3"/>
    <w:bookmarkEnd w:id="2"/>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09" w:lineRule="exact"/>
        <w:rPr>
          <w:sz w:val="20"/>
          <w:szCs w:val="20"/>
          <w:color w:val="auto"/>
        </w:rPr>
      </w:pPr>
    </w:p>
    <w:p>
      <w:pPr>
        <w:jc w:val="both"/>
        <w:ind w:left="7" w:right="20"/>
        <w:spacing w:after="0" w:line="221"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These securities may not be sold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69" w:lineRule="exact"/>
        <w:rPr>
          <w:sz w:val="20"/>
          <w:szCs w:val="20"/>
          <w:color w:val="auto"/>
        </w:rPr>
      </w:pPr>
    </w:p>
    <w:p>
      <w:pPr>
        <w:ind w:left="2847"/>
        <w:spacing w:after="0"/>
        <w:rPr>
          <w:sz w:val="20"/>
          <w:szCs w:val="20"/>
          <w:color w:val="auto"/>
        </w:rPr>
      </w:pPr>
      <w:r>
        <w:rPr>
          <w:rFonts w:ascii="Arial" w:cs="Arial" w:eastAsia="Arial" w:hAnsi="Arial"/>
          <w:sz w:val="20"/>
          <w:szCs w:val="20"/>
          <w:b w:val="1"/>
          <w:bCs w:val="1"/>
          <w:color w:val="FC0014"/>
        </w:rPr>
        <w:t>Subject to Completion, dated March 12, 2018.</w:t>
      </w:r>
    </w:p>
    <w:p>
      <w:pPr>
        <w:spacing w:after="0" w:line="207" w:lineRule="exact"/>
        <w:rPr>
          <w:sz w:val="20"/>
          <w:szCs w:val="20"/>
          <w:color w:val="auto"/>
        </w:rPr>
      </w:pPr>
    </w:p>
    <w:p>
      <w:pPr>
        <w:ind w:left="7"/>
        <w:spacing w:after="0"/>
        <w:rPr>
          <w:sz w:val="20"/>
          <w:szCs w:val="20"/>
          <w:color w:val="auto"/>
        </w:rPr>
      </w:pPr>
      <w:r>
        <w:rPr>
          <w:rFonts w:ascii="Arial" w:cs="Arial" w:eastAsia="Arial" w:hAnsi="Arial"/>
          <w:sz w:val="23"/>
          <w:szCs w:val="23"/>
          <w:b w:val="1"/>
          <w:bCs w:val="1"/>
          <w:color w:val="auto"/>
        </w:rPr>
        <w:t>PRELIMINARY PROSPECTUS</w:t>
      </w:r>
    </w:p>
    <w:p>
      <w:pPr>
        <w:spacing w:after="0" w:line="222" w:lineRule="exact"/>
        <w:rPr>
          <w:sz w:val="20"/>
          <w:szCs w:val="20"/>
          <w:color w:val="auto"/>
        </w:rPr>
      </w:pPr>
    </w:p>
    <w:p>
      <w:pPr>
        <w:jc w:val="center"/>
        <w:ind w:right="-6"/>
        <w:spacing w:after="0"/>
        <w:rPr>
          <w:sz w:val="20"/>
          <w:szCs w:val="20"/>
          <w:color w:val="auto"/>
        </w:rPr>
      </w:pPr>
      <w:r>
        <w:rPr>
          <w:rFonts w:ascii="Arial" w:cs="Arial" w:eastAsia="Arial" w:hAnsi="Arial"/>
          <w:sz w:val="23"/>
          <w:szCs w:val="23"/>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2482850</wp:posOffset>
            </wp:positionH>
            <wp:positionV relativeFrom="paragraph">
              <wp:posOffset>298450</wp:posOffset>
            </wp:positionV>
            <wp:extent cx="1080770" cy="831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
        <w:spacing w:after="0"/>
        <w:rPr>
          <w:sz w:val="20"/>
          <w:szCs w:val="20"/>
          <w:color w:val="auto"/>
        </w:rPr>
      </w:pPr>
      <w:r>
        <w:rPr>
          <w:rFonts w:ascii="Arial" w:cs="Arial" w:eastAsia="Arial" w:hAnsi="Arial"/>
          <w:sz w:val="27"/>
          <w:szCs w:val="27"/>
          <w:b w:val="1"/>
          <w:bCs w:val="1"/>
          <w:color w:val="auto"/>
        </w:rPr>
        <w:t>National Vision Holdings, Inc.</w:t>
      </w:r>
    </w:p>
    <w:p>
      <w:pPr>
        <w:spacing w:after="0" w:line="212" w:lineRule="exact"/>
        <w:rPr>
          <w:sz w:val="20"/>
          <w:szCs w:val="20"/>
          <w:color w:val="auto"/>
        </w:rPr>
      </w:pPr>
    </w:p>
    <w:p>
      <w:pPr>
        <w:jc w:val="center"/>
        <w:ind w:right="-6"/>
        <w:spacing w:after="0"/>
        <w:rPr>
          <w:sz w:val="20"/>
          <w:szCs w:val="20"/>
          <w:color w:val="auto"/>
        </w:rPr>
      </w:pPr>
      <w:r>
        <w:rPr>
          <w:rFonts w:ascii="Arial" w:cs="Arial" w:eastAsia="Arial" w:hAnsi="Arial"/>
          <w:sz w:val="23"/>
          <w:szCs w:val="23"/>
          <w:b w:val="1"/>
          <w:bCs w:val="1"/>
          <w:color w:val="auto"/>
        </w:rPr>
        <w:t>Common Stock</w:t>
      </w:r>
    </w:p>
    <w:p>
      <w:pPr>
        <w:spacing w:after="0" w:line="200" w:lineRule="exact"/>
        <w:rPr>
          <w:sz w:val="20"/>
          <w:szCs w:val="20"/>
          <w:color w:val="auto"/>
        </w:rPr>
      </w:pPr>
    </w:p>
    <w:p>
      <w:pPr>
        <w:spacing w:after="0" w:line="239" w:lineRule="exact"/>
        <w:rPr>
          <w:sz w:val="20"/>
          <w:szCs w:val="20"/>
          <w:color w:val="auto"/>
        </w:rPr>
      </w:pPr>
    </w:p>
    <w:p>
      <w:pPr>
        <w:ind w:left="7" w:right="160" w:firstLine="360"/>
        <w:spacing w:after="0" w:line="269" w:lineRule="auto"/>
        <w:rPr>
          <w:sz w:val="20"/>
          <w:szCs w:val="20"/>
          <w:color w:val="auto"/>
        </w:rPr>
      </w:pPr>
      <w:r>
        <w:rPr>
          <w:rFonts w:ascii="Arial" w:cs="Arial" w:eastAsia="Arial" w:hAnsi="Arial"/>
          <w:sz w:val="18"/>
          <w:szCs w:val="18"/>
          <w:color w:val="auto"/>
        </w:rPr>
        <w:t>The selling stockholders named in this prospectus are offering 10,000,000 shares of common stock of National Vision Holdings, Inc. We will not receive any proceeds from the sale of our common stock by the selling stockholders.</w:t>
      </w:r>
    </w:p>
    <w:p>
      <w:pPr>
        <w:spacing w:after="0" w:line="130" w:lineRule="exact"/>
        <w:rPr>
          <w:sz w:val="20"/>
          <w:szCs w:val="20"/>
          <w:color w:val="auto"/>
        </w:rPr>
      </w:pPr>
    </w:p>
    <w:p>
      <w:pPr>
        <w:ind w:left="7" w:right="320" w:firstLine="360"/>
        <w:spacing w:after="0" w:line="269" w:lineRule="auto"/>
        <w:rPr>
          <w:sz w:val="20"/>
          <w:szCs w:val="20"/>
          <w:color w:val="auto"/>
        </w:rPr>
      </w:pPr>
      <w:r>
        <w:rPr>
          <w:rFonts w:ascii="Arial" w:cs="Arial" w:eastAsia="Arial" w:hAnsi="Arial"/>
          <w:sz w:val="18"/>
          <w:szCs w:val="18"/>
          <w:color w:val="auto"/>
        </w:rPr>
        <w:t>Our common stock is listed on the NASDAQ Global Select Market, or NASDAQ, under the symbol “EYE.” On March 9, 2018, the closing sales price of our common stock as reported on the NASDAQ was $34.11 per share.</w:t>
      </w:r>
    </w:p>
    <w:p>
      <w:pPr>
        <w:spacing w:after="0" w:line="130" w:lineRule="exact"/>
        <w:rPr>
          <w:sz w:val="20"/>
          <w:szCs w:val="20"/>
          <w:color w:val="auto"/>
        </w:rPr>
      </w:pPr>
    </w:p>
    <w:p>
      <w:pPr>
        <w:ind w:left="7" w:right="120" w:firstLine="360"/>
        <w:spacing w:after="0" w:line="210" w:lineRule="auto"/>
        <w:rPr>
          <w:sz w:val="20"/>
          <w:szCs w:val="20"/>
          <w:color w:val="auto"/>
        </w:rPr>
      </w:pPr>
      <w:r>
        <w:rPr>
          <w:rFonts w:ascii="Arial" w:cs="Arial" w:eastAsia="Arial" w:hAnsi="Arial"/>
          <w:sz w:val="20"/>
          <w:szCs w:val="20"/>
          <w:color w:val="auto"/>
        </w:rPr>
        <w:t>To the extent that the underwriters sell more than 10,000,000 shares of our common stock, the underwriters have the option to purchase up to an additional 1,500,000 shares from the selling stockholders at the public offering price, less the underwriting discounts and commissions, within 30 days of the date of this prospectus. We will not receive any proceeds from the sale of our common stock by the selling stockholders pursuant to any exercise of the underwriters’ option to purchase additional shares.</w:t>
      </w:r>
    </w:p>
    <w:p>
      <w:pPr>
        <w:spacing w:after="0" w:line="155" w:lineRule="exact"/>
        <w:rPr>
          <w:sz w:val="20"/>
          <w:szCs w:val="20"/>
          <w:color w:val="auto"/>
        </w:rPr>
      </w:pPr>
    </w:p>
    <w:p>
      <w:pPr>
        <w:ind w:left="7" w:right="280" w:firstLine="360"/>
        <w:spacing w:after="0" w:line="218" w:lineRule="auto"/>
        <w:rPr>
          <w:rFonts w:ascii="Arial" w:cs="Arial" w:eastAsia="Arial" w:hAnsi="Arial"/>
          <w:sz w:val="20"/>
          <w:szCs w:val="20"/>
          <w:b w:val="1"/>
          <w:bCs w:val="1"/>
          <w:i w:val="1"/>
          <w:iCs w:val="1"/>
          <w:color w:val="auto"/>
        </w:rPr>
      </w:pPr>
      <w:r>
        <w:rPr>
          <w:rFonts w:ascii="Arial" w:cs="Arial" w:eastAsia="Arial" w:hAnsi="Arial"/>
          <w:sz w:val="20"/>
          <w:szCs w:val="20"/>
          <w:b w:val="1"/>
          <w:bCs w:val="1"/>
          <w:i w:val="1"/>
          <w:iCs w:val="1"/>
          <w:color w:val="auto"/>
        </w:rPr>
        <w:t xml:space="preserve">Investing in our common stock involves risk. See “Risk Factors” beginning on page </w:t>
      </w:r>
      <w:hyperlink w:anchor="page28">
        <w:r>
          <w:rPr>
            <w:rFonts w:ascii="Arial" w:cs="Arial" w:eastAsia="Arial" w:hAnsi="Arial"/>
            <w:sz w:val="20"/>
            <w:szCs w:val="20"/>
            <w:b w:val="1"/>
            <w:bCs w:val="1"/>
            <w:i w:val="1"/>
            <w:iCs w:val="1"/>
            <w:u w:val="single" w:color="auto"/>
            <w:color w:val="0000EE"/>
          </w:rPr>
          <w:t>17</w:t>
        </w:r>
        <w:r>
          <w:rPr>
            <w:rFonts w:ascii="Arial" w:cs="Arial" w:eastAsia="Arial" w:hAnsi="Arial"/>
            <w:sz w:val="20"/>
            <w:szCs w:val="20"/>
            <w:b w:val="1"/>
            <w:bCs w:val="1"/>
            <w:i w:val="1"/>
            <w:iCs w:val="1"/>
            <w:u w:val="single" w:color="auto"/>
            <w:color w:val="auto"/>
          </w:rPr>
          <w:t xml:space="preserve"> </w:t>
        </w:r>
      </w:hyperlink>
      <w:r>
        <w:rPr>
          <w:rFonts w:ascii="Arial" w:cs="Arial" w:eastAsia="Arial" w:hAnsi="Arial"/>
          <w:sz w:val="20"/>
          <w:szCs w:val="20"/>
          <w:b w:val="1"/>
          <w:bCs w:val="1"/>
          <w:i w:val="1"/>
          <w:iCs w:val="1"/>
          <w:color w:val="auto"/>
        </w:rPr>
        <w:t>of this prospectus and the risk factors in the documents incorporated by reference in this prospectus to read about factors you should consider before buying shares of our common stock.</w:t>
      </w:r>
    </w:p>
    <w:p>
      <w:pPr>
        <w:spacing w:after="0" w:line="157" w:lineRule="exact"/>
        <w:rPr>
          <w:sz w:val="20"/>
          <w:szCs w:val="20"/>
          <w:color w:val="auto"/>
        </w:rPr>
      </w:pPr>
    </w:p>
    <w:p>
      <w:pPr>
        <w:jc w:val="both"/>
        <w:ind w:left="7" w:right="20" w:firstLine="360"/>
        <w:spacing w:after="0" w:line="218" w:lineRule="auto"/>
        <w:rPr>
          <w:sz w:val="20"/>
          <w:szCs w:val="20"/>
          <w:color w:val="auto"/>
        </w:rPr>
      </w:pPr>
      <w:r>
        <w:rPr>
          <w:rFonts w:ascii="Arial" w:cs="Arial" w:eastAsia="Arial" w:hAnsi="Arial"/>
          <w:sz w:val="20"/>
          <w:szCs w:val="20"/>
          <w:b w:val="1"/>
          <w:bCs w:val="1"/>
          <w:i w:val="1"/>
          <w:iCs w:val="1"/>
          <w:color w:val="auto"/>
        </w:rPr>
        <w:t>Neither the Securities and Exchange Commission, or the SEC, nor any state securities commission has approved or disapproved of these securities or passed upon the adequacy or accuracy of this prospectus. Any representation to the contrary is a criminal offense.</w:t>
      </w:r>
    </w:p>
    <w:p>
      <w:pPr>
        <w:spacing w:after="0" w:line="29"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13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Per Share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0"/>
        </w:trPr>
        <w:tc>
          <w:tcPr>
            <w:tcW w:w="7040" w:type="dxa"/>
            <w:vAlign w:val="bottom"/>
            <w:gridSpan w:val="2"/>
            <w:shd w:val="clear" w:color="auto" w:fill="CCEEFF"/>
          </w:tcPr>
          <w:p>
            <w:pPr>
              <w:spacing w:after="0"/>
              <w:rPr>
                <w:sz w:val="20"/>
                <w:szCs w:val="20"/>
                <w:color w:val="auto"/>
              </w:rPr>
            </w:pPr>
            <w:r>
              <w:rPr>
                <w:rFonts w:ascii="Arial" w:cs="Arial" w:eastAsia="Arial" w:hAnsi="Arial"/>
                <w:sz w:val="20"/>
                <w:szCs w:val="20"/>
                <w:color w:val="auto"/>
              </w:rPr>
              <w:t>Public offering price</w:t>
            </w:r>
          </w:p>
        </w:tc>
        <w:tc>
          <w:tcPr>
            <w:tcW w:w="1140" w:type="dxa"/>
            <w:vAlign w:val="bottom"/>
            <w:shd w:val="clear" w:color="auto" w:fill="CCEEFF"/>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1"/>
                <w:szCs w:val="21"/>
                <w:color w:val="auto"/>
              </w:rPr>
            </w:pPr>
          </w:p>
        </w:tc>
      </w:tr>
      <w:tr>
        <w:trPr>
          <w:trHeight w:val="251"/>
        </w:trPr>
        <w:tc>
          <w:tcPr>
            <w:tcW w:w="7040" w:type="dxa"/>
            <w:vAlign w:val="bottom"/>
            <w:gridSpan w:val="2"/>
          </w:tcPr>
          <w:p>
            <w:pPr>
              <w:spacing w:after="0"/>
              <w:rPr>
                <w:sz w:val="20"/>
                <w:szCs w:val="20"/>
                <w:color w:val="auto"/>
              </w:rPr>
            </w:pPr>
            <w:r>
              <w:rPr>
                <w:rFonts w:ascii="Arial" w:cs="Arial" w:eastAsia="Arial" w:hAnsi="Arial"/>
                <w:sz w:val="20"/>
                <w:szCs w:val="20"/>
                <w:color w:val="auto"/>
              </w:rPr>
              <w:t>Underwriting discounts and commissions</w:t>
            </w:r>
          </w:p>
        </w:tc>
        <w:tc>
          <w:tcPr>
            <w:tcW w:w="1140" w:type="dxa"/>
            <w:vAlign w:val="bottom"/>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tcPr>
          <w:p>
            <w:pPr>
              <w:spacing w:after="0"/>
              <w:rPr>
                <w:sz w:val="21"/>
                <w:szCs w:val="21"/>
                <w:color w:val="auto"/>
              </w:rPr>
            </w:pPr>
          </w:p>
        </w:tc>
      </w:tr>
      <w:tr>
        <w:trPr>
          <w:trHeight w:val="263"/>
        </w:trPr>
        <w:tc>
          <w:tcPr>
            <w:tcW w:w="7040" w:type="dxa"/>
            <w:vAlign w:val="bottom"/>
            <w:gridSpan w:val="2"/>
            <w:shd w:val="clear" w:color="auto" w:fill="CCEEFF"/>
          </w:tcPr>
          <w:p>
            <w:pPr>
              <w:spacing w:after="0" w:line="262" w:lineRule="exact"/>
              <w:rPr>
                <w:sz w:val="20"/>
                <w:szCs w:val="20"/>
                <w:color w:val="auto"/>
              </w:rPr>
            </w:pPr>
            <w:r>
              <w:rPr>
                <w:rFonts w:ascii="Arial" w:cs="Arial" w:eastAsia="Arial" w:hAnsi="Arial"/>
                <w:sz w:val="18"/>
                <w:szCs w:val="18"/>
                <w:color w:val="auto"/>
              </w:rPr>
              <w:t>Proceeds, before expenses, to the selling stockholders</w:t>
            </w:r>
            <w:r>
              <w:rPr>
                <w:rFonts w:ascii="Arial" w:cs="Arial" w:eastAsia="Arial" w:hAnsi="Arial"/>
                <w:sz w:val="30"/>
                <w:szCs w:val="30"/>
                <w:color w:val="auto"/>
                <w:vertAlign w:val="superscript"/>
              </w:rPr>
              <w:t>(1)</w:t>
            </w:r>
          </w:p>
        </w:tc>
        <w:tc>
          <w:tcPr>
            <w:tcW w:w="1140" w:type="dxa"/>
            <w:vAlign w:val="bottom"/>
            <w:shd w:val="clear" w:color="auto" w:fill="CCEEFF"/>
          </w:tcPr>
          <w:p>
            <w:pPr>
              <w:jc w:val="right"/>
              <w:ind w:right="948"/>
              <w:spacing w:after="0"/>
              <w:rPr>
                <w:sz w:val="20"/>
                <w:szCs w:val="20"/>
                <w:color w:val="auto"/>
              </w:rPr>
            </w:pPr>
            <w:r>
              <w:rPr>
                <w:rFonts w:ascii="Arial" w:cs="Arial" w:eastAsia="Arial" w:hAnsi="Arial"/>
                <w:sz w:val="20"/>
                <w:szCs w:val="20"/>
                <w:color w:val="auto"/>
                <w:w w:val="71"/>
              </w:rPr>
              <w:t>$</w:t>
            </w:r>
          </w:p>
        </w:tc>
        <w:tc>
          <w:tcPr>
            <w:tcW w:w="1280" w:type="dxa"/>
            <w:vAlign w:val="bottom"/>
            <w:gridSpan w:val="2"/>
            <w:shd w:val="clear" w:color="auto" w:fill="CCEEFF"/>
          </w:tcPr>
          <w:p>
            <w:pPr>
              <w:jc w:val="right"/>
              <w:ind w:right="928"/>
              <w:spacing w:after="0"/>
              <w:rPr>
                <w:sz w:val="20"/>
                <w:szCs w:val="20"/>
                <w:color w:val="auto"/>
              </w:rPr>
            </w:pPr>
            <w:r>
              <w:rPr>
                <w:rFonts w:ascii="Arial" w:cs="Arial" w:eastAsia="Arial" w:hAnsi="Arial"/>
                <w:sz w:val="20"/>
                <w:szCs w:val="20"/>
                <w:color w:val="auto"/>
              </w:rPr>
              <w:t>$</w:t>
            </w:r>
          </w:p>
        </w:tc>
        <w:tc>
          <w:tcPr>
            <w:tcW w:w="100" w:type="dxa"/>
            <w:vAlign w:val="bottom"/>
            <w:shd w:val="clear" w:color="auto" w:fill="CCEEFF"/>
          </w:tcPr>
          <w:p>
            <w:pPr>
              <w:spacing w:after="0"/>
              <w:rPr>
                <w:sz w:val="22"/>
                <w:szCs w:val="22"/>
                <w:color w:val="auto"/>
              </w:rPr>
            </w:pPr>
          </w:p>
        </w:tc>
      </w:tr>
      <w:tr>
        <w:trPr>
          <w:trHeight w:val="189"/>
        </w:trPr>
        <w:tc>
          <w:tcPr>
            <w:tcW w:w="1340" w:type="dxa"/>
            <w:vAlign w:val="bottom"/>
            <w:tcBorders>
              <w:bottom w:val="single" w:sz="8" w:color="auto"/>
            </w:tcBorders>
          </w:tcPr>
          <w:p>
            <w:pPr>
              <w:spacing w:after="0"/>
              <w:rPr>
                <w:sz w:val="16"/>
                <w:szCs w:val="16"/>
                <w:color w:val="auto"/>
              </w:rPr>
            </w:pPr>
          </w:p>
        </w:tc>
        <w:tc>
          <w:tcPr>
            <w:tcW w:w="57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103" w:lineRule="exact"/>
        <w:rPr>
          <w:sz w:val="20"/>
          <w:szCs w:val="20"/>
          <w:color w:val="auto"/>
        </w:rPr>
      </w:pPr>
    </w:p>
    <w:p>
      <w:pPr>
        <w:ind w:left="347" w:hanging="347"/>
        <w:spacing w:after="0"/>
        <w:tabs>
          <w:tab w:leader="none" w:pos="347" w:val="left"/>
        </w:tabs>
        <w:numPr>
          <w:ilvl w:val="0"/>
          <w:numId w:val="2"/>
        </w:numPr>
        <w:rPr>
          <w:rFonts w:ascii="Arial" w:cs="Arial" w:eastAsia="Arial" w:hAnsi="Arial"/>
          <w:sz w:val="14"/>
          <w:szCs w:val="14"/>
          <w:color w:val="auto"/>
        </w:rPr>
      </w:pPr>
      <w:r>
        <w:rPr>
          <w:rFonts w:ascii="Arial" w:cs="Arial" w:eastAsia="Arial" w:hAnsi="Arial"/>
          <w:sz w:val="14"/>
          <w:szCs w:val="14"/>
          <w:color w:val="auto"/>
        </w:rPr>
        <w:t>See “Underwriting (Conflicts of Interest)” for additional information regarding underwriting compensation.</w:t>
      </w:r>
    </w:p>
    <w:p>
      <w:pPr>
        <w:spacing w:after="0" w:line="206" w:lineRule="exact"/>
        <w:rPr>
          <w:sz w:val="20"/>
          <w:szCs w:val="20"/>
          <w:color w:val="auto"/>
        </w:rPr>
      </w:pPr>
    </w:p>
    <w:tbl>
      <w:tblPr>
        <w:tblLayout w:type="fixed"/>
        <w:tblInd w:w="7" w:type="dxa"/>
        <w:tblCellMar>
          <w:top w:w="0" w:type="dxa"/>
          <w:left w:w="0" w:type="dxa"/>
          <w:bottom w:w="0" w:type="dxa"/>
          <w:right w:w="0" w:type="dxa"/>
        </w:tblCellMar>
      </w:tblPr>
      <w:tr>
        <w:trPr>
          <w:trHeight w:val="251"/>
        </w:trPr>
        <w:tc>
          <w:tcPr>
            <w:tcW w:w="8220" w:type="dxa"/>
            <w:vAlign w:val="bottom"/>
            <w:gridSpan w:val="3"/>
          </w:tcPr>
          <w:p>
            <w:pPr>
              <w:spacing w:after="0"/>
              <w:rPr>
                <w:sz w:val="20"/>
                <w:szCs w:val="20"/>
                <w:color w:val="auto"/>
              </w:rPr>
            </w:pPr>
            <w:r>
              <w:rPr>
                <w:rFonts w:ascii="Arial" w:cs="Arial" w:eastAsia="Arial" w:hAnsi="Arial"/>
                <w:sz w:val="20"/>
                <w:szCs w:val="20"/>
                <w:color w:val="auto"/>
                <w:w w:val="94"/>
              </w:rPr>
              <w:t>The underwriters expect to deliver the shares against payment in New York, New York on or about</w:t>
            </w:r>
          </w:p>
        </w:tc>
        <w:tc>
          <w:tcPr>
            <w:tcW w:w="940" w:type="dxa"/>
            <w:vAlign w:val="bottom"/>
          </w:tcPr>
          <w:p>
            <w:pPr>
              <w:jc w:val="right"/>
              <w:spacing w:after="0"/>
              <w:rPr>
                <w:sz w:val="20"/>
                <w:szCs w:val="20"/>
                <w:color w:val="auto"/>
              </w:rPr>
            </w:pPr>
            <w:r>
              <w:rPr>
                <w:rFonts w:ascii="Arial" w:cs="Arial" w:eastAsia="Arial" w:hAnsi="Arial"/>
                <w:sz w:val="20"/>
                <w:szCs w:val="20"/>
                <w:color w:val="auto"/>
              </w:rPr>
              <w:t>, 2018.</w:t>
            </w:r>
          </w:p>
        </w:tc>
      </w:tr>
      <w:tr>
        <w:trPr>
          <w:trHeight w:val="212"/>
        </w:trPr>
        <w:tc>
          <w:tcPr>
            <w:tcW w:w="39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640" w:type="dxa"/>
            <w:vAlign w:val="bottom"/>
          </w:tcPr>
          <w:p>
            <w:pPr>
              <w:spacing w:after="0"/>
              <w:rPr>
                <w:sz w:val="18"/>
                <w:szCs w:val="18"/>
                <w:color w:val="auto"/>
              </w:rPr>
            </w:pPr>
          </w:p>
        </w:tc>
        <w:tc>
          <w:tcPr>
            <w:tcW w:w="940" w:type="dxa"/>
            <w:vAlign w:val="bottom"/>
          </w:tcPr>
          <w:p>
            <w:pPr>
              <w:spacing w:after="0"/>
              <w:rPr>
                <w:sz w:val="18"/>
                <w:szCs w:val="18"/>
                <w:color w:val="auto"/>
              </w:rPr>
            </w:pPr>
          </w:p>
        </w:tc>
      </w:tr>
    </w:tbl>
    <w:p>
      <w:pPr>
        <w:spacing w:after="0" w:line="200" w:lineRule="exact"/>
        <w:rPr>
          <w:sz w:val="20"/>
          <w:szCs w:val="20"/>
          <w:color w:val="auto"/>
        </w:rPr>
      </w:pPr>
    </w:p>
    <w:p>
      <w:pPr>
        <w:spacing w:after="0" w:line="367" w:lineRule="exact"/>
        <w:rPr>
          <w:sz w:val="20"/>
          <w:szCs w:val="20"/>
          <w:color w:val="auto"/>
        </w:rPr>
      </w:pPr>
    </w:p>
    <w:p>
      <w:pPr>
        <w:ind w:left="7"/>
        <w:spacing w:after="0"/>
        <w:tabs>
          <w:tab w:leader="none" w:pos="2506" w:val="left"/>
          <w:tab w:leader="none" w:pos="4086" w:val="left"/>
          <w:tab w:leader="none" w:pos="7306" w:val="left"/>
          <w:tab w:leader="none" w:pos="9046"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&amp;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KKR</w:t>
      </w:r>
    </w:p>
    <w:p>
      <w:pPr>
        <w:sectPr>
          <w:pgSz w:w="11900" w:h="16838" w:orient="portrait"/>
          <w:cols w:equalWidth="0" w:num="1">
            <w:col w:w="9567"/>
          </w:cols>
          <w:pgMar w:left="1173" w:top="279" w:right="1159" w:bottom="1440" w:gutter="0" w:footer="0" w:header="0"/>
        </w:sectPr>
      </w:pPr>
    </w:p>
    <w:p>
      <w:pPr>
        <w:spacing w:after="0" w:line="200" w:lineRule="exact"/>
        <w:rPr>
          <w:sz w:val="20"/>
          <w:szCs w:val="20"/>
          <w:color w:val="auto"/>
        </w:rPr>
      </w:pPr>
    </w:p>
    <w:p>
      <w:pPr>
        <w:spacing w:after="0" w:line="240" w:lineRule="exact"/>
        <w:rPr>
          <w:sz w:val="20"/>
          <w:szCs w:val="20"/>
          <w:color w:val="auto"/>
        </w:rPr>
      </w:pPr>
    </w:p>
    <w:p>
      <w:pPr>
        <w:ind w:left="3387"/>
        <w:spacing w:after="0"/>
        <w:tabs>
          <w:tab w:leader="none" w:pos="5606" w:val="left"/>
        </w:tabs>
        <w:rPr>
          <w:sz w:val="20"/>
          <w:szCs w:val="20"/>
          <w:color w:val="auto"/>
        </w:rPr>
      </w:pPr>
      <w:r>
        <w:rPr>
          <w:rFonts w:ascii="Arial" w:cs="Arial" w:eastAsia="Arial" w:hAnsi="Arial"/>
          <w:sz w:val="20"/>
          <w:szCs w:val="20"/>
          <w:b w:val="1"/>
          <w:bCs w:val="1"/>
          <w:color w:val="auto"/>
        </w:rPr>
        <w:t>Prospectus dated</w:t>
      </w:r>
      <w:r>
        <w:rPr>
          <w:sz w:val="20"/>
          <w:szCs w:val="20"/>
          <w:color w:val="auto"/>
        </w:rPr>
        <w:tab/>
      </w:r>
      <w:r>
        <w:rPr>
          <w:rFonts w:ascii="Arial" w:cs="Arial" w:eastAsia="Arial" w:hAnsi="Arial"/>
          <w:sz w:val="17"/>
          <w:szCs w:val="17"/>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297180</wp:posOffset>
            </wp:positionV>
            <wp:extent cx="607187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294755" cy="86188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4755" cy="861885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191885" cy="8712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91885" cy="8712835"/>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174740" cy="87045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74740" cy="870458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380480" cy="6972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0480" cy="6972300"/>
                    </a:xfrm>
                    <a:prstGeom prst="rect">
                      <a:avLst/>
                    </a:prstGeom>
                    <a:noFill/>
                  </pic:spPr>
                </pic:pic>
              </a:graphicData>
            </a:graphic>
          </wp:anchor>
        </w:drawing>
      </w:r>
    </w:p>
    <w:p>
      <w:pPr>
        <w:sectPr>
          <w:pgSz w:w="11900" w:h="16838" w:orient="portrait"/>
          <w:cols w:equalWidth="0" w:num="1">
            <w:col w:w="9279"/>
          </w:cols>
          <w:pgMar w:left="1180" w:top="279" w:right="1440"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27" w:lineRule="exact"/>
        <w:rPr>
          <w:sz w:val="20"/>
          <w:szCs w:val="20"/>
          <w:color w:val="auto"/>
        </w:rPr>
      </w:pPr>
    </w:p>
    <w:p>
      <w:pPr>
        <w:ind w:right="40" w:firstLine="360"/>
        <w:spacing w:after="0" w:line="288"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or in any free writing prospectus that we authorize to be delivered to you. We, the selling stockholders and the underwriters have not authorized anyone to provide any information or to make any representations other than those contained, or incorporated by reference, in this prospectus or in any free writing prospectuses we have prepared. We, the selling stockholders and the underwriters take no responsibility for, and can provide no assurance as to the reliability of, any other information that others may provide you. The selling stockholders and the underwriters are offering to sell, and seeking offers to buy, these securities only in jurisdictions where offers and sales are permitted. You should assume that the information contained, or incorporated by reference, in this prospectus or any free writing prospectus prepared by us or on our behalf is accurate only as of their respective dates or on the date or dates which are specified in such documents, and that any information in documents that we have incorporated by reference is accurate only as of the date of such document incorporated by reference. Our business, financial condition, results of operations and prospects may have changed since that date.</w:t>
      </w:r>
    </w:p>
    <w:p>
      <w:pPr>
        <w:spacing w:after="0" w:line="56" w:lineRule="exact"/>
        <w:rPr>
          <w:sz w:val="20"/>
          <w:szCs w:val="20"/>
          <w:color w:val="auto"/>
        </w:rPr>
      </w:pPr>
    </w:p>
    <w:p>
      <w:pPr>
        <w:ind w:right="80" w:firstLine="360"/>
        <w:spacing w:after="0" w:line="295" w:lineRule="auto"/>
        <w:rPr>
          <w:sz w:val="20"/>
          <w:szCs w:val="20"/>
          <w:color w:val="auto"/>
        </w:rPr>
      </w:pPr>
      <w:r>
        <w:rPr>
          <w:rFonts w:ascii="Arial" w:cs="Arial" w:eastAsia="Arial" w:hAnsi="Arial"/>
          <w:sz w:val="16"/>
          <w:szCs w:val="16"/>
          <w:b w:val="1"/>
          <w:bCs w:val="1"/>
          <w:color w:val="auto"/>
        </w:rPr>
        <w:t>For investors outside the United States: The selling stockholders and the underwriters are offering to sell, and seeking offers to buy, shares of our common stock only in jurisdictions where offers and sales are permitted. None of us, the selling stockholders 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400" w:type="dxa"/>
            <w:vAlign w:val="bottom"/>
            <w:gridSpan w:val="2"/>
          </w:tcPr>
          <w:p>
            <w:pPr>
              <w:ind w:left="220"/>
              <w:spacing w:after="0"/>
              <w:rPr>
                <w:sz w:val="20"/>
                <w:szCs w:val="20"/>
                <w:color w:val="auto"/>
              </w:rPr>
            </w:pPr>
            <w:r>
              <w:rPr>
                <w:rFonts w:ascii="Arial" w:cs="Arial" w:eastAsia="Arial" w:hAnsi="Arial"/>
                <w:sz w:val="18"/>
                <w:szCs w:val="18"/>
                <w:b w:val="1"/>
                <w:bCs w:val="1"/>
                <w:color w:val="auto"/>
              </w:rPr>
              <w:t>Table of Contents</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20" w:type="dxa"/>
            <w:vAlign w:val="bottom"/>
            <w:vMerge w:val="restart"/>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20" w:type="dxa"/>
            <w:vAlign w:val="bottom"/>
          </w:tcPr>
          <w:p>
            <w:pPr>
              <w:spacing w:after="0"/>
              <w:rPr>
                <w:sz w:val="4"/>
                <w:szCs w:val="4"/>
                <w:color w:val="auto"/>
              </w:rPr>
            </w:pPr>
          </w:p>
        </w:tc>
        <w:tc>
          <w:tcPr>
            <w:tcW w:w="27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Market, Ranking, and Other Industry Data</w:t>
              </w:r>
            </w:hyperlink>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9">
              <w:r>
                <w:rPr>
                  <w:rFonts w:ascii="Arial" w:cs="Arial" w:eastAsia="Arial" w:hAnsi="Arial"/>
                  <w:sz w:val="18"/>
                  <w:szCs w:val="18"/>
                  <w:color w:val="0000EE"/>
                </w:rPr>
                <w:t>Trademarks, Service Marks and Tradenames</w:t>
              </w:r>
            </w:hyperlink>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gridSpan w:val="3"/>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shd w:val="clear" w:color="auto" w:fill="CCEEFF"/>
          </w:tcPr>
          <w:p>
            <w:pPr>
              <w:spacing w:after="0" w:line="189" w:lineRule="exact"/>
              <w:rPr>
                <w:rFonts w:ascii="Arial" w:cs="Arial" w:eastAsia="Arial" w:hAnsi="Arial"/>
                <w:sz w:val="18"/>
                <w:szCs w:val="18"/>
                <w:color w:val="0000EE"/>
                <w:w w:val="86"/>
              </w:rPr>
            </w:pPr>
            <w:hyperlink w:anchor="page9">
              <w:r>
                <w:rPr>
                  <w:rFonts w:ascii="Arial" w:cs="Arial" w:eastAsia="Arial" w:hAnsi="Arial"/>
                  <w:sz w:val="18"/>
                  <w:szCs w:val="18"/>
                  <w:color w:val="0000EE"/>
                  <w:w w:val="86"/>
                </w:rPr>
                <w:t>Basis of Presentation</w:t>
              </w:r>
            </w:hyperlink>
          </w:p>
        </w:tc>
        <w:tc>
          <w:tcPr>
            <w:tcW w:w="7760" w:type="dxa"/>
            <w:vAlign w:val="bottom"/>
            <w:gridSpan w:val="12"/>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gridSpan w:val="3"/>
            <w:shd w:val="clear" w:color="auto" w:fill="CCEEFF"/>
          </w:tcPr>
          <w:p>
            <w:pPr>
              <w:jc w:val="right"/>
              <w:ind w:right="100"/>
              <w:spacing w:after="0" w:line="189" w:lineRule="exact"/>
              <w:rPr>
                <w:rFonts w:ascii="Arial" w:cs="Arial" w:eastAsia="Arial" w:hAnsi="Arial"/>
                <w:sz w:val="18"/>
                <w:szCs w:val="18"/>
                <w:color w:val="0000EE"/>
                <w:w w:val="99"/>
              </w:rPr>
            </w:pPr>
            <w:hyperlink w:anchor="page9">
              <w:r>
                <w:rPr>
                  <w:rFonts w:ascii="Arial" w:cs="Arial" w:eastAsia="Arial" w:hAnsi="Arial"/>
                  <w:sz w:val="18"/>
                  <w:szCs w:val="18"/>
                  <w:color w:val="0000EE"/>
                  <w:w w:val="99"/>
                </w:rPr>
                <w:t>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1500" w:type="dxa"/>
            <w:vAlign w:val="bottom"/>
            <w:gridSpan w:val="7"/>
          </w:tcPr>
          <w:p>
            <w:pPr>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Glossary</w:t>
              </w:r>
            </w:hyperlink>
          </w:p>
        </w:tc>
        <w:tc>
          <w:tcPr>
            <w:tcW w:w="7760" w:type="dxa"/>
            <w:vAlign w:val="bottom"/>
            <w:gridSpan w:val="12"/>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rPr>
            </w:pPr>
            <w:hyperlink w:anchor="page10">
              <w:r>
                <w:rPr>
                  <w:rFonts w:ascii="Arial" w:cs="Arial" w:eastAsia="Arial" w:hAnsi="Arial"/>
                  <w:sz w:val="18"/>
                  <w:szCs w:val="18"/>
                  <w:color w:val="0000EE"/>
                </w:rPr>
                <w:t>iii</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11">
              <w:r>
                <w:rPr>
                  <w:rFonts w:ascii="Arial" w:cs="Arial" w:eastAsia="Arial" w:hAnsi="Arial"/>
                  <w:sz w:val="18"/>
                  <w:szCs w:val="18"/>
                  <w:color w:val="0000EE"/>
                </w:rPr>
                <w:t>Non-GAAP Financial Measures</w:t>
              </w:r>
            </w:hyperlink>
          </w:p>
        </w:tc>
        <w:tc>
          <w:tcPr>
            <w:tcW w:w="40" w:type="dxa"/>
            <w:vAlign w:val="bottom"/>
            <w:shd w:val="clear" w:color="auto" w:fill="CCEEFF"/>
          </w:tcPr>
          <w:p>
            <w:pPr>
              <w:spacing w:after="0"/>
              <w:rPr>
                <w:sz w:val="16"/>
                <w:szCs w:val="16"/>
                <w:color w:val="auto"/>
              </w:rPr>
            </w:pPr>
          </w:p>
        </w:tc>
        <w:tc>
          <w:tcPr>
            <w:tcW w:w="240" w:type="dxa"/>
            <w:vAlign w:val="bottom"/>
            <w:gridSpan w:val="4"/>
            <w:shd w:val="clear" w:color="auto" w:fill="CCEEFF"/>
          </w:tcPr>
          <w:p>
            <w:pPr>
              <w:jc w:val="right"/>
              <w:ind w:right="100"/>
              <w:spacing w:after="0" w:line="189" w:lineRule="exact"/>
              <w:rPr>
                <w:rFonts w:ascii="Arial" w:cs="Arial" w:eastAsia="Arial" w:hAnsi="Arial"/>
                <w:sz w:val="18"/>
                <w:szCs w:val="18"/>
                <w:color w:val="0000EE"/>
                <w:w w:val="91"/>
              </w:rPr>
            </w:pPr>
            <w:hyperlink w:anchor="page11">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80" w:type="dxa"/>
            <w:vAlign w:val="bottom"/>
            <w:gridSpan w:val="12"/>
          </w:tcPr>
          <w:p>
            <w:pPr>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Prospectus Summary</w:t>
              </w:r>
            </w:hyperlink>
          </w:p>
        </w:tc>
        <w:tc>
          <w:tcPr>
            <w:tcW w:w="6980" w:type="dxa"/>
            <w:vAlign w:val="bottom"/>
            <w:gridSpan w:val="7"/>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gridSpan w:val="4"/>
          </w:tcPr>
          <w:p>
            <w:pPr>
              <w:jc w:val="right"/>
              <w:ind w:right="100"/>
              <w:spacing w:after="0" w:line="189" w:lineRule="exact"/>
              <w:rPr>
                <w:rFonts w:ascii="Arial" w:cs="Arial" w:eastAsia="Arial" w:hAnsi="Arial"/>
                <w:sz w:val="18"/>
                <w:szCs w:val="18"/>
                <w:color w:val="0000EE"/>
              </w:rPr>
            </w:pPr>
            <w:hyperlink w:anchor="page12">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0" w:type="dxa"/>
            <w:vAlign w:val="bottom"/>
            <w:gridSpan w:val="3"/>
            <w:shd w:val="clear" w:color="auto" w:fill="CCEEFF"/>
          </w:tcPr>
          <w:p>
            <w:pPr>
              <w:spacing w:after="0" w:line="189"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Risk Factors</w:t>
              </w:r>
            </w:hyperlink>
          </w:p>
        </w:tc>
        <w:tc>
          <w:tcPr>
            <w:tcW w:w="8380" w:type="dxa"/>
            <w:vAlign w:val="bottom"/>
            <w:gridSpan w:val="16"/>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17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5">
              <w:r>
                <w:rPr>
                  <w:rFonts w:ascii="Arial" w:cs="Arial" w:eastAsia="Arial" w:hAnsi="Arial"/>
                  <w:sz w:val="18"/>
                  <w:szCs w:val="18"/>
                  <w:color w:val="0000EE"/>
                </w:rPr>
                <w:t>Special Note Regarding Forward-Looking Statements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24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37">
              <w:r>
                <w:rPr>
                  <w:rFonts w:ascii="Arial" w:cs="Arial" w:eastAsia="Arial" w:hAnsi="Arial"/>
                  <w:sz w:val="18"/>
                  <w:szCs w:val="18"/>
                  <w:color w:val="0000EE"/>
                </w:rPr>
                <w:t>Use of Proceeds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7">
              <w:r>
                <w:rPr>
                  <w:rFonts w:ascii="Arial" w:cs="Arial" w:eastAsia="Arial" w:hAnsi="Arial"/>
                  <w:sz w:val="18"/>
                  <w:szCs w:val="18"/>
                  <w:color w:val="0000EE"/>
                  <w:w w:val="79"/>
                </w:rPr>
                <w:t>26</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38">
              <w:r>
                <w:rPr>
                  <w:rFonts w:ascii="Arial" w:cs="Arial" w:eastAsia="Arial" w:hAnsi="Arial"/>
                  <w:sz w:val="18"/>
                  <w:szCs w:val="18"/>
                  <w:color w:val="0000EE"/>
                </w:rPr>
                <w:t>Dividend Policy</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27</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shd w:val="clear" w:color="auto" w:fill="CCEEFF"/>
          </w:tcPr>
          <w:p>
            <w:pPr>
              <w:spacing w:after="0" w:line="189"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Price Range of Common Stock</w:t>
              </w:r>
            </w:hyperlink>
          </w:p>
        </w:tc>
        <w:tc>
          <w:tcPr>
            <w:tcW w:w="7040" w:type="dxa"/>
            <w:vAlign w:val="bottom"/>
            <w:gridSpan w:val="8"/>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39">
              <w:r>
                <w:rPr>
                  <w:rFonts w:ascii="Arial" w:cs="Arial" w:eastAsia="Arial" w:hAnsi="Arial"/>
                  <w:sz w:val="18"/>
                  <w:szCs w:val="18"/>
                  <w:color w:val="0000EE"/>
                  <w:w w:val="79"/>
                </w:rPr>
                <w:t>28</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20" w:type="dxa"/>
            <w:vAlign w:val="bottom"/>
            <w:gridSpan w:val="11"/>
          </w:tcPr>
          <w:p>
            <w:pPr>
              <w:spacing w:after="0" w:line="189" w:lineRule="exact"/>
              <w:rPr>
                <w:rFonts w:ascii="Arial" w:cs="Arial" w:eastAsia="Arial" w:hAnsi="Arial"/>
                <w:sz w:val="18"/>
                <w:szCs w:val="18"/>
                <w:color w:val="0000EE"/>
              </w:rPr>
            </w:pPr>
            <w:hyperlink w:anchor="page40">
              <w:r>
                <w:rPr>
                  <w:rFonts w:ascii="Arial" w:cs="Arial" w:eastAsia="Arial" w:hAnsi="Arial"/>
                  <w:sz w:val="18"/>
                  <w:szCs w:val="18"/>
                  <w:color w:val="0000EE"/>
                </w:rPr>
                <w:t>Capitalization</w:t>
              </w:r>
            </w:hyperlink>
          </w:p>
        </w:tc>
        <w:tc>
          <w:tcPr>
            <w:tcW w:w="7040" w:type="dxa"/>
            <w:vAlign w:val="bottom"/>
            <w:gridSpan w:val="8"/>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41">
              <w:r>
                <w:rPr>
                  <w:rFonts w:ascii="Arial" w:cs="Arial" w:eastAsia="Arial" w:hAnsi="Arial"/>
                  <w:sz w:val="18"/>
                  <w:szCs w:val="18"/>
                  <w:color w:val="0000EE"/>
                </w:rPr>
                <w:t>Selling Stockholders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41">
              <w:r>
                <w:rPr>
                  <w:rFonts w:ascii="Arial" w:cs="Arial" w:eastAsia="Arial" w:hAnsi="Arial"/>
                  <w:sz w:val="18"/>
                  <w:szCs w:val="18"/>
                  <w:color w:val="0000EE"/>
                  <w:w w:val="79"/>
                </w:rPr>
                <w:t>30</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43">
              <w:r>
                <w:rPr>
                  <w:rFonts w:ascii="Arial" w:cs="Arial" w:eastAsia="Arial" w:hAnsi="Arial"/>
                  <w:sz w:val="18"/>
                  <w:szCs w:val="18"/>
                  <w:color w:val="0000EE"/>
                </w:rPr>
                <w:t>Description of Capital Stock</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43">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200" w:type="dxa"/>
            <w:vAlign w:val="bottom"/>
            <w:gridSpan w:val="10"/>
            <w:shd w:val="clear" w:color="auto" w:fill="CCEEFF"/>
          </w:tcPr>
          <w:p>
            <w:pPr>
              <w:spacing w:after="0" w:line="189"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Shares Eligible for Future Sale</w:t>
              </w:r>
            </w:hyperlink>
          </w:p>
        </w:tc>
        <w:tc>
          <w:tcPr>
            <w:tcW w:w="7060" w:type="dxa"/>
            <w:vAlign w:val="bottom"/>
            <w:gridSpan w:val="9"/>
            <w:shd w:val="clear" w:color="auto" w:fill="CCEEFF"/>
          </w:tcPr>
          <w:p>
            <w:pPr>
              <w:spacing w:after="0"/>
              <w:rPr>
                <w:sz w:val="16"/>
                <w:szCs w:val="16"/>
                <w:color w:val="auto"/>
              </w:rPr>
            </w:pPr>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0">
              <w:r>
                <w:rPr>
                  <w:rFonts w:ascii="Arial" w:cs="Arial" w:eastAsia="Arial" w:hAnsi="Arial"/>
                  <w:sz w:val="18"/>
                  <w:szCs w:val="18"/>
                  <w:color w:val="0000EE"/>
                  <w:w w:val="79"/>
                </w:rPr>
                <w:t>39</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52">
              <w:r>
                <w:rPr>
                  <w:rFonts w:ascii="Arial" w:cs="Arial" w:eastAsia="Arial" w:hAnsi="Arial"/>
                  <w:sz w:val="18"/>
                  <w:szCs w:val="18"/>
                  <w:color w:val="0000EE"/>
                </w:rPr>
                <w:t>Material United States Federal Income and Estate Tax Consequences to Non-U.S. Holders</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52">
              <w:r>
                <w:rPr>
                  <w:rFonts w:ascii="Arial" w:cs="Arial" w:eastAsia="Arial" w:hAnsi="Arial"/>
                  <w:sz w:val="18"/>
                  <w:szCs w:val="18"/>
                  <w:color w:val="0000EE"/>
                  <w:w w:val="79"/>
                </w:rPr>
                <w:t>41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2620" w:type="dxa"/>
            <w:vAlign w:val="bottom"/>
            <w:tcBorders>
              <w:top w:val="single" w:sz="8" w:color="0000EE"/>
            </w:tcBorders>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55">
              <w:r>
                <w:rPr>
                  <w:rFonts w:ascii="Arial" w:cs="Arial" w:eastAsia="Arial" w:hAnsi="Arial"/>
                  <w:sz w:val="18"/>
                  <w:szCs w:val="18"/>
                  <w:color w:val="0000EE"/>
                </w:rPr>
                <w:t>Underwriting (Conflicts of Interest)</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55">
              <w:r>
                <w:rPr>
                  <w:rFonts w:ascii="Arial" w:cs="Arial" w:eastAsia="Arial" w:hAnsi="Arial"/>
                  <w:sz w:val="18"/>
                  <w:szCs w:val="18"/>
                  <w:color w:val="0000EE"/>
                  <w:w w:val="79"/>
                </w:rPr>
                <w:t>44</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40" w:type="dxa"/>
            <w:vAlign w:val="bottom"/>
            <w:gridSpan w:val="13"/>
          </w:tcPr>
          <w:p>
            <w:pPr>
              <w:spacing w:after="0" w:line="189" w:lineRule="exact"/>
              <w:rPr>
                <w:rFonts w:ascii="Arial" w:cs="Arial" w:eastAsia="Arial" w:hAnsi="Arial"/>
                <w:sz w:val="18"/>
                <w:szCs w:val="18"/>
                <w:color w:val="0000EE"/>
              </w:rPr>
            </w:pPr>
            <w:hyperlink w:anchor="page62">
              <w:r>
                <w:rPr>
                  <w:rFonts w:ascii="Arial" w:cs="Arial" w:eastAsia="Arial" w:hAnsi="Arial"/>
                  <w:sz w:val="18"/>
                  <w:szCs w:val="18"/>
                  <w:color w:val="0000EE"/>
                </w:rPr>
                <w:t>Legal Matters</w:t>
              </w:r>
            </w:hyperlink>
          </w:p>
        </w:tc>
        <w:tc>
          <w:tcPr>
            <w:tcW w:w="6720" w:type="dxa"/>
            <w:vAlign w:val="bottom"/>
            <w:gridSpan w:val="6"/>
          </w:tcPr>
          <w:p>
            <w:pPr>
              <w:spacing w:after="0"/>
              <w:rPr>
                <w:sz w:val="16"/>
                <w:szCs w:val="16"/>
                <w:color w:val="auto"/>
              </w:rPr>
            </w:pPr>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62">
              <w:r>
                <w:rPr>
                  <w:rFonts w:ascii="Arial" w:cs="Arial" w:eastAsia="Arial" w:hAnsi="Arial"/>
                  <w:sz w:val="18"/>
                  <w:szCs w:val="18"/>
                  <w:color w:val="0000EE"/>
                </w:rPr>
                <w:t>Experts</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tcPr>
          <w:p>
            <w:pPr>
              <w:spacing w:after="0" w:line="189" w:lineRule="exact"/>
              <w:rPr>
                <w:rFonts w:ascii="Arial" w:cs="Arial" w:eastAsia="Arial" w:hAnsi="Arial"/>
                <w:sz w:val="18"/>
                <w:szCs w:val="18"/>
                <w:color w:val="0000EE"/>
              </w:rPr>
            </w:pPr>
            <w:hyperlink w:anchor="page62">
              <w:r>
                <w:rPr>
                  <w:rFonts w:ascii="Arial" w:cs="Arial" w:eastAsia="Arial" w:hAnsi="Arial"/>
                  <w:sz w:val="18"/>
                  <w:szCs w:val="18"/>
                  <w:color w:val="0000EE"/>
                </w:rPr>
                <w:t>Where You Can Find More Information</w:t>
              </w:r>
            </w:hyperlink>
          </w:p>
        </w:tc>
        <w:tc>
          <w:tcPr>
            <w:tcW w:w="280" w:type="dxa"/>
            <w:vAlign w:val="bottom"/>
            <w:gridSpan w:val="5"/>
          </w:tcPr>
          <w:p>
            <w:pPr>
              <w:jc w:val="right"/>
              <w:ind w:right="100"/>
              <w:spacing w:after="0" w:line="189"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vMerge w:val="restart"/>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9260" w:type="dxa"/>
            <w:vAlign w:val="bottom"/>
            <w:gridSpan w:val="19"/>
            <w:shd w:val="clear" w:color="auto" w:fill="CCEEFF"/>
          </w:tcPr>
          <w:p>
            <w:pPr>
              <w:spacing w:after="0" w:line="189" w:lineRule="exact"/>
              <w:rPr>
                <w:rFonts w:ascii="Arial" w:cs="Arial" w:eastAsia="Arial" w:hAnsi="Arial"/>
                <w:sz w:val="18"/>
                <w:szCs w:val="18"/>
                <w:color w:val="0000EE"/>
              </w:rPr>
            </w:pPr>
            <w:hyperlink w:anchor="page62">
              <w:r>
                <w:rPr>
                  <w:rFonts w:ascii="Arial" w:cs="Arial" w:eastAsia="Arial" w:hAnsi="Arial"/>
                  <w:sz w:val="18"/>
                  <w:szCs w:val="18"/>
                  <w:color w:val="0000EE"/>
                </w:rPr>
                <w:t>Incorporation by Reference</w:t>
              </w:r>
            </w:hyperlink>
          </w:p>
        </w:tc>
        <w:tc>
          <w:tcPr>
            <w:tcW w:w="280" w:type="dxa"/>
            <w:vAlign w:val="bottom"/>
            <w:gridSpan w:val="5"/>
            <w:shd w:val="clear" w:color="auto" w:fill="CCEEFF"/>
          </w:tcPr>
          <w:p>
            <w:pPr>
              <w:jc w:val="right"/>
              <w:ind w:right="100"/>
              <w:spacing w:after="0" w:line="189" w:lineRule="exact"/>
              <w:rPr>
                <w:rFonts w:ascii="Arial" w:cs="Arial" w:eastAsia="Arial" w:hAnsi="Arial"/>
                <w:sz w:val="18"/>
                <w:szCs w:val="18"/>
                <w:color w:val="0000EE"/>
                <w:w w:val="79"/>
              </w:rPr>
            </w:pPr>
            <w:hyperlink w:anchor="page62">
              <w:r>
                <w:rPr>
                  <w:rFonts w:ascii="Arial" w:cs="Arial" w:eastAsia="Arial" w:hAnsi="Arial"/>
                  <w:sz w:val="18"/>
                  <w:szCs w:val="18"/>
                  <w:color w:val="0000EE"/>
                  <w:w w:val="79"/>
                </w:rPr>
                <w:t>51</w:t>
              </w:r>
            </w:hyperlink>
          </w:p>
        </w:tc>
        <w:tc>
          <w:tcPr>
            <w:tcW w:w="0" w:type="dxa"/>
            <w:vAlign w:val="bottom"/>
          </w:tcPr>
          <w:p>
            <w:pPr>
              <w:spacing w:after="0"/>
              <w:rPr>
                <w:sz w:val="1"/>
                <w:szCs w:val="1"/>
                <w:color w:val="auto"/>
              </w:rPr>
            </w:pPr>
          </w:p>
        </w:tc>
      </w:tr>
      <w:tr>
        <w:trPr>
          <w:trHeight w:val="34"/>
        </w:trPr>
        <w:tc>
          <w:tcPr>
            <w:tcW w:w="2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620" w:type="dxa"/>
            <w:vAlign w:val="bottom"/>
            <w:tcBorders>
              <w:top w:val="single" w:sz="8" w:color="CCEEFF"/>
            </w:tcBorders>
            <w:shd w:val="clear" w:color="auto" w:fill="CCEEFF"/>
          </w:tcPr>
          <w:p>
            <w:pPr>
              <w:spacing w:after="0"/>
              <w:rPr>
                <w:sz w:val="2"/>
                <w:szCs w:val="2"/>
                <w:color w:val="auto"/>
              </w:rPr>
            </w:pPr>
          </w:p>
        </w:tc>
        <w:tc>
          <w:tcPr>
            <w:tcW w:w="2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RANKING, AND OTHER INDUSTRY DATA</w:t>
      </w:r>
    </w:p>
    <w:p>
      <w:pPr>
        <w:spacing w:after="0" w:line="121" w:lineRule="exact"/>
        <w:rPr>
          <w:sz w:val="20"/>
          <w:szCs w:val="20"/>
          <w:color w:val="auto"/>
        </w:rPr>
      </w:pPr>
    </w:p>
    <w:p>
      <w:pPr>
        <w:ind w:right="40" w:firstLine="360"/>
        <w:spacing w:after="0" w:line="284" w:lineRule="auto"/>
        <w:rPr>
          <w:sz w:val="20"/>
          <w:szCs w:val="20"/>
          <w:color w:val="auto"/>
        </w:rPr>
      </w:pPr>
      <w:r>
        <w:rPr>
          <w:rFonts w:ascii="Arial" w:cs="Arial" w:eastAsia="Arial" w:hAnsi="Arial"/>
          <w:sz w:val="16"/>
          <w:szCs w:val="16"/>
          <w:color w:val="auto"/>
        </w:rPr>
        <w:t>The data included, or incorporated by reference, in this prospectus regarding markets, ranking and other industry information are based on reports of government agencies or published industry sources, and our own internal estimates are based on our management’s knowledge and experience in the markets in which we operate. Data regarding the industry in which we compete and our market position and market share within this industry are inherently imprecise and are subject to significant business, economic and competitive uncertainties beyond our control, but we believe they generally indicate size, position and market share within this industry. Our own estimates are based on information obtained from our customers, suppliers, trade and business organizations and other contacts in the markets we operate. We are responsible for all of the disclosure included, or incorporated by reference, in this prospectus, and we believe these estimates to be accurate as of the date of this prospectus or such other date stated in this prospectus (or in documents we have incorporated by reference). However, this information may prove to be inaccurate because of the method by which we obtained some of the data for the estimates or because this information cannot always be verified with complete certainty due to the limits on the availability and reliability of raw data, the voluntary nature of the data gathering process and other limitations and uncertainties. While we believe that each of the publications used throughout this prospectus (or in documents we have incorporated by reference) are prepared by reputable sources, neither we nor the underwriters have independently verified market and industry data from third-party sources. While we believe our internal company research and estimates are reliable, such research and estimates have not been verified by any independent source. In addition, assumptions and estimates of our and our industry’s future performance are necessarily subject to a high degree of uncertainty and risk due to a variety of factors, including those described in “Risk Factors” in this prospectus and “Risk Factors” and “Management’s Discussion and Analysis of Financial Condition and Results of Operations” in our Annual Report (as defined herein), which is incorporated by reference in this prospectus. These and other factors could cause our future performance to differ materially from our assumptions and estimates. See “Special Note Regarding Forward-Looking Statements.” As a result, you should be aware that market, ranking, and other similar industry data included, or incorporated by reference, in this prospectus, and estimates and beliefs based on that data may not be reliable. None of us, the selling stockholders and the underwriters can guarantee the accuracy or completeness of any such information contained, or incorporated by reference, in this prospectus.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SERVICE MARKS AND TRADENAMES</w:t>
      </w:r>
    </w:p>
    <w:p>
      <w:pPr>
        <w:spacing w:after="0" w:line="121" w:lineRule="exact"/>
        <w:rPr>
          <w:sz w:val="20"/>
          <w:szCs w:val="20"/>
          <w:color w:val="auto"/>
        </w:rPr>
      </w:pPr>
    </w:p>
    <w:p>
      <w:pPr>
        <w:ind w:firstLine="360"/>
        <w:spacing w:after="0" w:line="274" w:lineRule="auto"/>
        <w:rPr>
          <w:sz w:val="20"/>
          <w:szCs w:val="20"/>
          <w:color w:val="auto"/>
        </w:rPr>
      </w:pPr>
      <w:r>
        <w:rPr>
          <w:rFonts w:ascii="Arial" w:cs="Arial" w:eastAsia="Arial" w:hAnsi="Arial"/>
          <w:sz w:val="16"/>
          <w:szCs w:val="16"/>
          <w:color w:val="auto"/>
        </w:rPr>
        <w:t xml:space="preserve">We own a number of registered and common law trademarks and pending applications for trademark registrations in the United States, primarily through our subsidiaries, including: America’s Best, America’s Best &amp; design, America’s Best Contacts &amp; Eyeglasses, America’s Best Contacts &amp; Eyeglasses &amp; design, America’s Best Vision Plan, America’s Best owl mascot image, the slogan, “It’s not just a better deal. It’s America’s Best.,” Eyeglass World, Eyeglass World logos, the slogans, “See yourself smile. See yourself save.,” “The world’s best way to buy glasses.” and “The world’s best way to buy contacts.,” the Eyeglass World mast image Mr. World, AC Lens, FirstSight, Vista Optical, Eyecare Club, Sofmed, Digimax, Neverglare, Neverglare Advantage and Neverglare Advantage &amp; design. Solely for convenience, the trademarks, service marks and tradenames referred to in this prospectus (or in documents we have incorporated by reference) are presented without the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t>
      </w:r>
      <w:r>
        <w:rPr>
          <w:rFonts w:ascii="Arial" w:cs="Arial" w:eastAsia="Arial" w:hAnsi="Arial"/>
          <w:sz w:val="24"/>
          <w:szCs w:val="24"/>
          <w:color w:val="auto"/>
          <w:vertAlign w:val="superscript"/>
        </w:rPr>
        <w:t>SM</w:t>
      </w:r>
      <w:r>
        <w:rPr>
          <w:rFonts w:ascii="Arial" w:cs="Arial" w:eastAsia="Arial" w:hAnsi="Arial"/>
          <w:sz w:val="16"/>
          <w:szCs w:val="16"/>
          <w:color w:val="auto"/>
        </w:rPr>
        <w:t xml:space="preserve"> and ™ symbols, but such references are not intended to indicate, in any way, that we will not assert, to the fullest extent under applicable law, our rights or the rights of the applicable licensors to these trademarks, service marks and tradenames. All trademarks, service marks and tradenames appearing in this prospectus (or in documents we have incorporated by reference) are the property of their respective owners.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440" w:firstLine="360"/>
        <w:spacing w:after="0" w:line="255" w:lineRule="auto"/>
        <w:rPr>
          <w:sz w:val="20"/>
          <w:szCs w:val="20"/>
          <w:color w:val="auto"/>
        </w:rPr>
      </w:pPr>
      <w:r>
        <w:rPr>
          <w:rFonts w:ascii="Arial" w:cs="Arial" w:eastAsia="Arial" w:hAnsi="Arial"/>
          <w:sz w:val="18"/>
          <w:szCs w:val="18"/>
          <w:color w:val="auto"/>
        </w:rPr>
        <w:t>Unless otherwise indicated or the context otherwise requires, financial data included, or incorporated by reference, in this prospectus reflects the business and operations of National Vision Holdings, Inc. and its consolidated subsidiaries. Unless the context otherwise requires, all references herein to “National Vision Holdings, Inc.,” “National Vision,” the “Company,” “we,” “our” or “us” refer to National Vision Holdings, Inc. and its consolidated subsidiaries. National Vision Holdings, Inc. conducts substantially all of its activities through its direct, wholly-owned subsidiary, National Vision, Inc., which we refer to herein as “NVI,” and NVI’s subsidiaries.</w:t>
      </w:r>
    </w:p>
    <w:p>
      <w:pPr>
        <w:spacing w:after="0" w:line="85"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We operate on a retail fiscal calendar pursuant to which our fiscal year consists of 52 or 53 weeks, ending on the Saturday closest to December 31. Unless otherwise indicated or the context otherwise requires, all references to years and quarters relate to fiscal periods rather than calendar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References to “fiscal year 2015,” “fiscal year 2016” and “fiscal year 2017” relate to our fiscal year ended January 2, 2016, our fiscal year ended December 31, 2016 and our fiscal year ended December 30, 2017, respectively.</w:t>
      </w:r>
    </w:p>
    <w:p>
      <w:pPr>
        <w:spacing w:after="0" w:line="62"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Amounts in this prospectus and the audited consolidated financial statements incorporated by reference in this prospectus are presented in U.S. dollars rounded to the nearest thousand, unless otherwise noted. Certain amounts presented in tables are subject to rounding adjustments and, as a result, the totals in such tables may not sum. The accounting policies set out in the audited consolidated financial statements incorporated by reference in this prospectus have been consistently applied to all periods presented.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GLOSSARY</w:t>
      </w:r>
    </w:p>
    <w:p>
      <w:pPr>
        <w:spacing w:after="0" w:line="121"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following are definitions of certain terms as used in this prospectus, unless otherwise noted or indicated by context.</w:t>
      </w:r>
    </w:p>
    <w:p>
      <w:pPr>
        <w:spacing w:after="0" w:line="129" w:lineRule="exact"/>
        <w:rPr>
          <w:sz w:val="20"/>
          <w:szCs w:val="20"/>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 Lens” means Arlington Contact Lens Service, Inc., our wholly-owned subsidiary.</w:t>
      </w:r>
    </w:p>
    <w:p>
      <w:pPr>
        <w:spacing w:after="0" w:line="117" w:lineRule="exact"/>
        <w:rPr>
          <w:rFonts w:ascii="Arial" w:cs="Arial" w:eastAsia="Arial" w:hAnsi="Arial"/>
          <w:sz w:val="18"/>
          <w:szCs w:val="18"/>
          <w:color w:val="auto"/>
        </w:rPr>
      </w:pPr>
    </w:p>
    <w:p>
      <w:pPr>
        <w:ind w:left="700" w:right="2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“Annual Report” means our Annual Report on Form 10-K for the fiscal year ended December 30, 2017, filed on March 8, 2018.</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“Berkshire” means Berkshire Partners LLC.</w:t>
      </w:r>
    </w:p>
    <w:p>
      <w:pPr>
        <w:spacing w:after="0" w:line="117" w:lineRule="exact"/>
        <w:rPr>
          <w:rFonts w:ascii="Arial" w:cs="Arial" w:eastAsia="Arial" w:hAnsi="Arial"/>
          <w:sz w:val="18"/>
          <w:szCs w:val="18"/>
          <w:color w:val="auto"/>
        </w:rPr>
      </w:pPr>
    </w:p>
    <w:p>
      <w:pPr>
        <w:ind w:left="700" w:right="180" w:hanging="356"/>
        <w:spacing w:after="0" w:line="308" w:lineRule="auto"/>
        <w:tabs>
          <w:tab w:leader="none" w:pos="700" w:val="left"/>
        </w:tabs>
        <w:numPr>
          <w:ilvl w:val="0"/>
          <w:numId w:val="3"/>
        </w:numPr>
        <w:rPr>
          <w:rFonts w:ascii="Arial" w:cs="Arial" w:eastAsia="Arial" w:hAnsi="Arial"/>
          <w:sz w:val="17"/>
          <w:szCs w:val="17"/>
          <w:color w:val="auto"/>
        </w:rPr>
      </w:pPr>
      <w:r>
        <w:rPr>
          <w:rFonts w:ascii="Arial" w:cs="Arial" w:eastAsia="Arial" w:hAnsi="Arial"/>
          <w:sz w:val="17"/>
          <w:szCs w:val="17"/>
          <w:color w:val="auto"/>
        </w:rPr>
        <w:t>“Centralized laboratory network” or “laboratory network” mean our three owned, full-service optical laboratories in the United States and two outsourced, third-party owned optical laboratories in Mexico and China.</w:t>
      </w:r>
    </w:p>
    <w:p>
      <w:pPr>
        <w:spacing w:after="0" w:line="38" w:lineRule="exact"/>
        <w:rPr>
          <w:rFonts w:ascii="Arial" w:cs="Arial" w:eastAsia="Arial" w:hAnsi="Arial"/>
          <w:sz w:val="17"/>
          <w:szCs w:val="17"/>
          <w:color w:val="auto"/>
        </w:rPr>
      </w:pPr>
    </w:p>
    <w:p>
      <w:pPr>
        <w:ind w:left="700" w:hanging="356"/>
        <w:spacing w:after="0" w:line="31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“E-commerce platform” means the technology that we use to conduct the online sale of optical goods and accessories, and includes our construction, management and operation of our proprietary websites and websites for third parties, such as Wal-Mart Stores, Inc., or Walmart, Sam’s Club and Giant Eagle, which we refer to herein as our “e-commerce business.”</w:t>
      </w:r>
    </w:p>
    <w:p>
      <w:pPr>
        <w:spacing w:after="0" w:line="38" w:lineRule="exact"/>
        <w:rPr>
          <w:rFonts w:ascii="Arial" w:cs="Arial" w:eastAsia="Arial" w:hAnsi="Arial"/>
          <w:sz w:val="16"/>
          <w:szCs w:val="16"/>
          <w:color w:val="auto"/>
        </w:rPr>
      </w:pPr>
    </w:p>
    <w:p>
      <w:pPr>
        <w:ind w:left="700" w:right="140" w:hanging="356"/>
        <w:spacing w:after="0" w:line="342" w:lineRule="auto"/>
        <w:tabs>
          <w:tab w:leader="none" w:pos="700" w:val="left"/>
        </w:tabs>
        <w:numPr>
          <w:ilvl w:val="0"/>
          <w:numId w:val="3"/>
        </w:numPr>
        <w:rPr>
          <w:rFonts w:ascii="Arial" w:cs="Arial" w:eastAsia="Arial" w:hAnsi="Arial"/>
          <w:sz w:val="16"/>
          <w:szCs w:val="16"/>
          <w:color w:val="auto"/>
        </w:rPr>
      </w:pPr>
      <w:r>
        <w:rPr>
          <w:rFonts w:ascii="Arial" w:cs="Arial" w:eastAsia="Arial" w:hAnsi="Arial"/>
          <w:sz w:val="16"/>
          <w:szCs w:val="16"/>
          <w:color w:val="auto"/>
        </w:rPr>
        <w:t>“E-commerce sales” means sales from our store, proprietary and partner websites, excluding AC Lens’ fulfilment orders for the Walmart and Sam’s Club websites and ship-to-home orders from our store websites fulfilled by AC Lens.</w:t>
      </w:r>
    </w:p>
    <w:p>
      <w:pPr>
        <w:spacing w:after="0" w:line="15" w:lineRule="exact"/>
        <w:rPr>
          <w:rFonts w:ascii="Arial" w:cs="Arial" w:eastAsia="Arial" w:hAnsi="Arial"/>
          <w:sz w:val="16"/>
          <w:szCs w:val="16"/>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“Eye care practitioners” means optometrists and ophthalmologists.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“FirstSight” means FirstSight Vision Services, Inc., our wholly-owned subsidiary.</w:t>
      </w:r>
    </w:p>
    <w:p>
      <w:pPr>
        <w:spacing w:after="0" w:line="117"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“Host brands” means the Vista Optical brands we operate in Fred Meyer stores and on U.S. Army and Air Force military bases.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“Host partners” means Fred Meyer, Inc., or Fred Meyer, and the U.S. Army and Air Force Exchange Service.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Acquisition” means the acquisition of the Company by affiliates of KKR Sponsor in March 2014.</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“KKR Sponsor” means Kohlberg Kravis Roberts &amp; Co. L.P.</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brand” means the Vision Center brand we operate in Walmart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“Legacy partner” means Walmart.</w:t>
      </w:r>
    </w:p>
    <w:p>
      <w:pPr>
        <w:spacing w:after="0" w:line="117" w:lineRule="exact"/>
        <w:rPr>
          <w:rFonts w:ascii="Arial" w:cs="Arial" w:eastAsia="Arial" w:hAnsi="Arial"/>
          <w:sz w:val="18"/>
          <w:szCs w:val="18"/>
          <w:color w:val="auto"/>
        </w:rPr>
      </w:pPr>
    </w:p>
    <w:p>
      <w:pPr>
        <w:ind w:left="700" w:right="40" w:hanging="356"/>
        <w:spacing w:after="0" w:line="259"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“Managed care” or “managed vision care” mean vision care programs and associated benefits (i) sponsored by employers or other groups, (ii) provided by insurers and managed care entities, such as health maintenance organizations, or HMOs, to individuals, and (iii) delivered, typically on a fee-for-service or capitated basis, by health care providers, such as ophthalmologists, optometrists and opticians.</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“Mature stores” means stores that have been in operation for longer than five years.</w:t>
      </w:r>
    </w:p>
    <w:p>
      <w:pPr>
        <w:spacing w:after="0" w:line="117" w:lineRule="exact"/>
        <w:rPr>
          <w:rFonts w:ascii="Arial" w:cs="Arial" w:eastAsia="Arial" w:hAnsi="Arial"/>
          <w:sz w:val="18"/>
          <w:szCs w:val="18"/>
          <w:color w:val="auto"/>
        </w:rPr>
      </w:pPr>
    </w:p>
    <w:p>
      <w:pPr>
        <w:ind w:left="700" w:right="360" w:hanging="356"/>
        <w:spacing w:after="0" w:line="277" w:lineRule="auto"/>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“Omni-channel platform” means the technology supporting many of our physical and online retail functionalities and services, including online frame browsing and virtual frame try-on, scheduling of</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20" w:right="140"/>
        <w:spacing w:after="0" w:line="312" w:lineRule="auto"/>
        <w:rPr>
          <w:sz w:val="20"/>
          <w:szCs w:val="20"/>
          <w:color w:val="auto"/>
        </w:rPr>
      </w:pPr>
      <w:r>
        <w:rPr>
          <w:rFonts w:ascii="Arial" w:cs="Arial" w:eastAsia="Arial" w:hAnsi="Arial"/>
          <w:sz w:val="16"/>
          <w:szCs w:val="16"/>
          <w:color w:val="auto"/>
        </w:rPr>
        <w:t>appointments, ship to customer programs, geolocation of our retail locations and online ordering of optical goods. As of December 30, 2017, our omni-channel platform serves our America’s Best Contacts &amp; Eyeglasses, or America’s Best, stores, Eyeglass World stores and Vista Optical operations on U.S. Army and Air Force military bases.</w:t>
      </w:r>
    </w:p>
    <w:p>
      <w:pPr>
        <w:spacing w:after="0" w:line="39" w:lineRule="exact"/>
        <w:rPr>
          <w:sz w:val="20"/>
          <w:szCs w:val="20"/>
          <w:color w:val="auto"/>
        </w:rPr>
      </w:pPr>
    </w:p>
    <w:p>
      <w:pPr>
        <w:ind w:left="700" w:hanging="356"/>
        <w:spacing w:after="0"/>
        <w:tabs>
          <w:tab w:leader="none" w:pos="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“Owned brands” or “owned stores” mean our America’s Best and Eyeglass World brands or stores, as applicable.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“Partner brands” means our host and legacy brands, collectively.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“Sponsors” means affiliates of KKR Sponsor and private equity funds managed by Berkshire.</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“Value segment” or “value segment of the U.S. optical retail industry” consists of the Company, Walmart, Costco Wholesale and Eyemart Express, Ltd.</w:t>
      </w:r>
    </w:p>
    <w:p>
      <w:pPr>
        <w:spacing w:after="0" w:line="62" w:lineRule="exact"/>
        <w:rPr>
          <w:rFonts w:ascii="Arial" w:cs="Arial" w:eastAsia="Arial" w:hAnsi="Arial"/>
          <w:sz w:val="18"/>
          <w:szCs w:val="18"/>
          <w:color w:val="auto"/>
        </w:rPr>
      </w:pPr>
    </w:p>
    <w:p>
      <w:pPr>
        <w:ind w:left="700" w:right="200" w:hanging="356"/>
        <w:spacing w:after="0" w:line="277" w:lineRule="auto"/>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“Vision care professionals” means optometrists (including optometrists employed by us or by professional corporations owned by eye care practitioners with which we have arrangements) and opticians.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60" w:firstLine="360"/>
        <w:spacing w:after="0" w:line="279" w:lineRule="auto"/>
        <w:rPr>
          <w:sz w:val="20"/>
          <w:szCs w:val="20"/>
          <w:color w:val="auto"/>
        </w:rPr>
      </w:pPr>
      <w:r>
        <w:rPr>
          <w:rFonts w:ascii="Arial" w:cs="Arial" w:eastAsia="Arial" w:hAnsi="Arial"/>
          <w:sz w:val="17"/>
          <w:szCs w:val="17"/>
          <w:color w:val="auto"/>
        </w:rPr>
        <w:t>This prospectus contains, or incorporates by reference, “non-GAAP financial measures” that are financial measures that either exclude or include amounts that are not excluded or included in the most directly comparable measures calculated and presented in accordance with accounting principles generally accepted in the United States, or GAAP. Specifically, we make use of the non-GAAP financial measures “EBITDA,” “Adjusted EBITDA” and “Adjusted Net Income.”</w:t>
      </w:r>
    </w:p>
    <w:p>
      <w:pPr>
        <w:spacing w:after="0" w:line="63"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Management uses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75" w:lineRule="exact"/>
        <w:rPr>
          <w:sz w:val="20"/>
          <w:szCs w:val="20"/>
          <w:color w:val="auto"/>
        </w:rPr>
      </w:pPr>
    </w:p>
    <w:p>
      <w:pPr>
        <w:ind w:firstLine="360"/>
        <w:spacing w:after="0" w:line="288"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 For a discussion of the use of these measures and a reconciliation of the most directly comparable GAAP measures, see “Prospectus Summary―Summary Historical Consolidated Financial and Other Data.”</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00"/>
          </w:cols>
          <w:pgMar w:left="1180" w:top="279" w:right="12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PROSPECTUS SUMMARY</w:t>
      </w:r>
    </w:p>
    <w:p>
      <w:pPr>
        <w:spacing w:after="0" w:line="121" w:lineRule="exact"/>
        <w:rPr>
          <w:sz w:val="20"/>
          <w:szCs w:val="20"/>
          <w:color w:val="auto"/>
        </w:rPr>
      </w:pPr>
    </w:p>
    <w:p>
      <w:pPr>
        <w:ind w:left="100" w:right="60" w:firstLine="360"/>
        <w:spacing w:after="0" w:line="270" w:lineRule="auto"/>
        <w:rPr>
          <w:sz w:val="20"/>
          <w:szCs w:val="20"/>
          <w:color w:val="auto"/>
        </w:rPr>
      </w:pPr>
      <w:r>
        <w:rPr>
          <w:rFonts w:ascii="Arial" w:cs="Arial" w:eastAsia="Arial" w:hAnsi="Arial"/>
          <w:sz w:val="17"/>
          <w:szCs w:val="17"/>
          <w:i w:val="1"/>
          <w:iCs w:val="1"/>
          <w:color w:val="auto"/>
        </w:rPr>
        <w:t>This summary highlights certain significant aspects of our business and this offering, and it includes information contained elsewhere in this prospectus or incorporated by reference in this prospectus from our filings with the SEC listed under “Incorporation by Reference.” This summary is not complete and does not contain all of the information that you should consider before making your investment decision. You should carefully read this entire prospectus and the information incorporated by reference in this prospectus, including any free writing prospectus prepared by us or on our behalf, including the sections entitled “Special Note Regarding Forward-Looking Statements” and “Risk Factors” included in this prospectus and “Risk Factors,” “Management’s Discussion and Analysis of Financial Condition and Results of Operations” and the audited consolidated financial statements and related notes thereto in our Annual Report, which is incorporated by reference in this prospectus, before you decide to invest in shares of our common stock.</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Company</w:t>
      </w:r>
    </w:p>
    <w:p>
      <w:pPr>
        <w:spacing w:after="0" w:line="121" w:lineRule="exact"/>
        <w:rPr>
          <w:sz w:val="20"/>
          <w:szCs w:val="20"/>
          <w:color w:val="auto"/>
        </w:rPr>
      </w:pPr>
    </w:p>
    <w:p>
      <w:pPr>
        <w:ind w:left="100" w:right="40" w:firstLine="360"/>
        <w:spacing w:after="0" w:line="253" w:lineRule="auto"/>
        <w:rPr>
          <w:sz w:val="20"/>
          <w:szCs w:val="20"/>
          <w:color w:val="auto"/>
        </w:rPr>
      </w:pPr>
      <w:r>
        <w:rPr>
          <w:rFonts w:ascii="Arial" w:cs="Arial" w:eastAsia="Arial" w:hAnsi="Arial"/>
          <w:sz w:val="18"/>
          <w:szCs w:val="18"/>
          <w:color w:val="auto"/>
        </w:rPr>
        <w:t>We are one of the largest and fastest growing optical retailers in the United States and a leader in the attractive value segment of the U.S. optical retail industry. We believe that vision is central to quality of life and that people deserve to see their best to live their best, no matter what their budget. Our mission is to make quality eye care and eyewear affordable and accessible to all Americans. We achieve this by providing eye exams, eyeglasses and contact lenses to cost-conscious and low-income consumers. We deliver exceptional value and convenience to our customers, with an opening price point that strives to be among the lowest in the industry, enabled by our low-cost operating platform. We believe our focus on the value segment, breadth of product assortment, committed employees and consultative selling approach generate customer goodwill for our brands. Our long-serving and motivated management team of optical retail experts has delivered a highly-consistent track record of strong results.</w:t>
      </w:r>
    </w:p>
    <w:p>
      <w:pPr>
        <w:spacing w:after="0" w:line="89" w:lineRule="exact"/>
        <w:rPr>
          <w:sz w:val="20"/>
          <w:szCs w:val="20"/>
          <w:color w:val="auto"/>
        </w:rPr>
      </w:pPr>
    </w:p>
    <w:p>
      <w:pPr>
        <w:ind w:left="100" w:firstLine="360"/>
        <w:spacing w:after="0" w:line="268" w:lineRule="auto"/>
        <w:rPr>
          <w:sz w:val="20"/>
          <w:szCs w:val="20"/>
          <w:color w:val="auto"/>
        </w:rPr>
      </w:pPr>
      <w:r>
        <w:rPr>
          <w:rFonts w:ascii="Arial" w:cs="Arial" w:eastAsia="Arial" w:hAnsi="Arial"/>
          <w:sz w:val="17"/>
          <w:szCs w:val="17"/>
          <w:color w:val="auto"/>
        </w:rPr>
        <w:t>We are well positioned to serve our new and existing customers through a diverse portfolio of 1,013 retail stores across five brands and 18 consumer websites as of December 30, 2017. We have two reportable segments: our owned &amp; host segment and our legacy segment. Our owned &amp; host segment includes our two owned brands, America’s Best and Eyeglass World, and our Vista Optical locations in Fred Meyer stores. Within this segment, we also provide low-cost vision care products and services to American military service members by operating Vista Optical locations on military bases across the country. Our legacy segment consists of our 27-year strategic relationship with Walmart to operate Vision Centers in select Walmart stores. In addition, our wholly-owned subsidiary, FirstSight, which is licensed as a single-service health plan under California law, issues individual vision care benefit plans in connection with our America’s Best operations in California and provides, or arranges for the provision of, optometric services at almost all of the optometric offices next to Walmart and Sam’s Club stores in California. We support our owned brands and our Vista Optical military operations through our ever-evolving omni-channel offerings and we also have an established standalone e-commerce business. Our e-commerce platform serves our proprietary e-commerce websites and the e-commerce websites of third parties, including Walmart, Sam’s Club and Giant Eagle. The following table provides an overview of our portfolio of brands:</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2936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92825" cy="729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00"/>
        <w:spacing w:after="0"/>
        <w:rPr>
          <w:sz w:val="20"/>
          <w:szCs w:val="20"/>
          <w:color w:val="auto"/>
        </w:rPr>
      </w:pPr>
      <w:r>
        <w:rPr>
          <w:rFonts w:ascii="Arial" w:cs="Arial" w:eastAsia="Arial" w:hAnsi="Arial"/>
          <w:sz w:val="14"/>
          <w:szCs w:val="14"/>
          <w:color w:val="auto"/>
        </w:rPr>
        <w:t>Note: Store count as of December 30, 2017. SKU figures refer to eyeglass frame SKUs. ODs are Doctors of Optometry.</w:t>
      </w:r>
    </w:p>
    <w:p>
      <w:pPr>
        <w:spacing w:after="0" w:line="109" w:lineRule="exact"/>
        <w:rPr>
          <w:sz w:val="20"/>
          <w:szCs w:val="20"/>
          <w:color w:val="auto"/>
        </w:rPr>
      </w:pPr>
    </w:p>
    <w:p>
      <w:pPr>
        <w:ind w:left="460" w:hanging="353"/>
        <w:spacing w:after="0"/>
        <w:tabs>
          <w:tab w:leader="none" w:pos="460" w:val="left"/>
        </w:tabs>
        <w:numPr>
          <w:ilvl w:val="0"/>
          <w:numId w:val="5"/>
        </w:numPr>
        <w:rPr>
          <w:rFonts w:ascii="Arial" w:cs="Arial" w:eastAsia="Arial" w:hAnsi="Arial"/>
          <w:sz w:val="14"/>
          <w:szCs w:val="14"/>
          <w:color w:val="auto"/>
        </w:rPr>
      </w:pPr>
      <w:r>
        <w:rPr>
          <w:rFonts w:ascii="Arial" w:cs="Arial" w:eastAsia="Arial" w:hAnsi="Arial"/>
          <w:sz w:val="14"/>
          <w:szCs w:val="14"/>
          <w:color w:val="auto"/>
        </w:rPr>
        <w:t>Vista Optical in Fred Meyer stores does not offer omni-channel services.</w:t>
      </w:r>
    </w:p>
    <w:p>
      <w:pPr>
        <w:spacing w:after="0" w:line="100" w:lineRule="exact"/>
        <w:rPr>
          <w:sz w:val="20"/>
          <w:szCs w:val="20"/>
          <w:color w:val="auto"/>
        </w:rPr>
      </w:pPr>
    </w:p>
    <w:p>
      <w:pPr>
        <w:ind w:left="100" w:right="140" w:firstLine="360"/>
        <w:spacing w:after="0" w:line="297" w:lineRule="auto"/>
        <w:rPr>
          <w:sz w:val="20"/>
          <w:szCs w:val="20"/>
          <w:color w:val="auto"/>
        </w:rPr>
      </w:pPr>
      <w:r>
        <w:rPr>
          <w:rFonts w:ascii="Arial" w:cs="Arial" w:eastAsia="Arial" w:hAnsi="Arial"/>
          <w:sz w:val="16"/>
          <w:szCs w:val="16"/>
          <w:color w:val="auto"/>
        </w:rPr>
        <w:t>Our financial success has helped fuel our ever-growing philanthropic engine. Through multiple charitable partnerships, we have directly assisted approximately 900,000 individuals to see and have indirectly helped improve the vision of approximately 14 million individuals globally. Our philanthropic culture instills a sense of purpose and engagement in our employees, from in-store staff to senior management. Our employees feel pride in the positive work they are doing, which allows us to attract and retain both store associates and vision care professionals, thus improving the customer experience in our stores.</w:t>
      </w:r>
    </w:p>
    <w:p>
      <w:pPr>
        <w:spacing w:after="0" w:line="50" w:lineRule="exact"/>
        <w:rPr>
          <w:sz w:val="20"/>
          <w:szCs w:val="20"/>
          <w:color w:val="auto"/>
        </w:rPr>
      </w:pPr>
    </w:p>
    <w:p>
      <w:pPr>
        <w:jc w:val="both"/>
        <w:ind w:left="100" w:right="60" w:firstLine="360"/>
        <w:spacing w:after="0" w:line="286" w:lineRule="auto"/>
        <w:rPr>
          <w:sz w:val="20"/>
          <w:szCs w:val="20"/>
          <w:color w:val="auto"/>
        </w:rPr>
      </w:pPr>
      <w:r>
        <w:rPr>
          <w:rFonts w:ascii="Arial" w:cs="Arial" w:eastAsia="Arial" w:hAnsi="Arial"/>
          <w:sz w:val="17"/>
          <w:szCs w:val="17"/>
          <w:color w:val="auto"/>
        </w:rPr>
        <w:t>Our disciplined approach to new store openings, combined with our attractive store economics, has led to strong returns on investment. We believe these elements are the foundation for continued profitable growth from our existing store base, as well as a significant opportunity to deliver growth through new store openings. The fundamentals of our model are:</w:t>
      </w:r>
    </w:p>
    <w:p>
      <w:pPr>
        <w:spacing w:after="0" w:line="57" w:lineRule="exact"/>
        <w:rPr>
          <w:sz w:val="20"/>
          <w:szCs w:val="20"/>
          <w:color w:val="auto"/>
        </w:rPr>
      </w:pPr>
    </w:p>
    <w:p>
      <w:pPr>
        <w:ind w:left="800" w:hanging="342"/>
        <w:spacing w:after="0" w:line="255"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Differentiated and Defensible Value Proposition. </w:t>
      </w:r>
      <w:r>
        <w:rPr>
          <w:rFonts w:ascii="Arial" w:cs="Arial" w:eastAsia="Arial" w:hAnsi="Arial"/>
          <w:sz w:val="18"/>
          <w:szCs w:val="18"/>
          <w:color w:val="auto"/>
        </w:rPr>
        <w:t>We believe our success is driven by our low prices, convenient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locations, broad assortment of branded and private label merchandise and the high levels of in-store service provided by our well-trained and passionate store associates and vision care professionals. We believe our bundled offers, including two-pairs of eyeglasses plus an eye exam for $69.95 at America’s Best and two-pairs of eyeglasses for $78.00 at Eyeglass World, represent among the lowest price offerings of any national chain. Our ability to utilize national advertising for America’s Best allows us to communicate this value proposition to a meaningfully greater number of current and potential customers.</w:t>
      </w:r>
    </w:p>
    <w:p>
      <w:pPr>
        <w:spacing w:after="0" w:line="81" w:lineRule="exact"/>
        <w:rPr>
          <w:rFonts w:ascii="Arial" w:cs="Arial" w:eastAsia="Arial" w:hAnsi="Arial"/>
          <w:sz w:val="18"/>
          <w:szCs w:val="18"/>
          <w:color w:val="auto"/>
        </w:rPr>
      </w:pPr>
    </w:p>
    <w:p>
      <w:pPr>
        <w:ind w:left="800" w:right="40" w:hanging="342"/>
        <w:spacing w:after="0" w:line="273"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Recurring Revenue Characteristics. </w:t>
      </w:r>
      <w:r>
        <w:rPr>
          <w:rFonts w:ascii="Arial" w:cs="Arial" w:eastAsia="Arial" w:hAnsi="Arial"/>
          <w:sz w:val="17"/>
          <w:szCs w:val="17"/>
          <w:color w:val="auto"/>
        </w:rPr>
        <w:t>Eye care purchases are predominantly a medical necessity and are therefore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considered non-discretionary in nature. We estimate that optical consumers typically replace their eyeglasses every two to three years, while contact lens customers typically order new lenses every six to twelve months, reflecting the predictability of these recurring purchase behaviors. This is further demonstrated by the customer mix of our mature stores, with existing customers representing 63% of total customers in fiscal year 2017 and new customers representing the remaining 37% of total customers in fiscal year 2017.</w:t>
      </w:r>
    </w:p>
    <w:p>
      <w:pPr>
        <w:spacing w:after="0" w:line="70" w:lineRule="exact"/>
        <w:rPr>
          <w:rFonts w:ascii="Arial" w:cs="Arial" w:eastAsia="Arial" w:hAnsi="Arial"/>
          <w:sz w:val="17"/>
          <w:szCs w:val="17"/>
          <w:color w:val="auto"/>
        </w:rPr>
      </w:pPr>
    </w:p>
    <w:p>
      <w:pPr>
        <w:ind w:left="800" w:right="360" w:hanging="342"/>
        <w:spacing w:after="0" w:line="286" w:lineRule="auto"/>
        <w:tabs>
          <w:tab w:leader="none" w:pos="8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Attractive Store Economics and Embedded Earnings Growth. </w:t>
      </w:r>
      <w:r>
        <w:rPr>
          <w:rFonts w:ascii="Arial" w:cs="Arial" w:eastAsia="Arial" w:hAnsi="Arial"/>
          <w:sz w:val="17"/>
          <w:szCs w:val="17"/>
          <w:color w:val="auto"/>
        </w:rPr>
        <w:t>Our store economics are based on low capital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investment, steady ramping of sales in new locations, low operating costs and consistent sales volume and earnings growth in mature stores, which result in attractive returns on capital. On average,</w:t>
      </w:r>
    </w:p>
    <w:p>
      <w:pPr>
        <w:spacing w:after="0" w:line="200" w:lineRule="exact"/>
        <w:rPr>
          <w:sz w:val="20"/>
          <w:szCs w:val="20"/>
          <w:color w:val="auto"/>
        </w:rPr>
      </w:pPr>
    </w:p>
    <w:p>
      <w:pPr>
        <w:spacing w:after="0" w:line="2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585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2825" cy="7585075"/>
                    </a:xfrm>
                    <a:prstGeom prst="rect">
                      <a:avLst/>
                    </a:prstGeom>
                    <a:noFill/>
                  </pic:spPr>
                </pic:pic>
              </a:graphicData>
            </a:graphic>
          </wp:anchor>
        </w:drawing>
      </w:r>
    </w:p>
    <w:p>
      <w:pPr>
        <w:spacing w:after="0" w:line="138" w:lineRule="exact"/>
        <w:rPr>
          <w:sz w:val="20"/>
          <w:szCs w:val="20"/>
          <w:color w:val="auto"/>
        </w:rPr>
      </w:pPr>
    </w:p>
    <w:p>
      <w:pPr>
        <w:ind w:left="820"/>
        <w:spacing w:after="0" w:line="270" w:lineRule="auto"/>
        <w:rPr>
          <w:sz w:val="20"/>
          <w:szCs w:val="20"/>
          <w:color w:val="auto"/>
        </w:rPr>
      </w:pPr>
      <w:r>
        <w:rPr>
          <w:rFonts w:ascii="Arial" w:cs="Arial" w:eastAsia="Arial" w:hAnsi="Arial"/>
          <w:sz w:val="17"/>
          <w:szCs w:val="17"/>
          <w:color w:val="auto"/>
        </w:rPr>
        <w:t>our owned stores achieve profitability shortly after their first-year opening anniversary and pay back invested capital in less than four years. By consistently replicating the key characteristics of our store model, we execute a formula-based approach to opening new stores and managing existing stores, which has delivered predictable store performance across vintages, diverse geographies and new and existing markets. We believe this leads to a high degree of visibility into the embedded earnings potential of our newly opened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74" w:lineRule="exact"/>
        <w:rPr>
          <w:sz w:val="20"/>
          <w:szCs w:val="20"/>
          <w:color w:val="auto"/>
        </w:rPr>
      </w:pPr>
    </w:p>
    <w:p>
      <w:pPr>
        <w:ind w:left="100" w:right="20" w:firstLine="360"/>
        <w:spacing w:after="0" w:line="264" w:lineRule="auto"/>
        <w:rPr>
          <w:sz w:val="20"/>
          <w:szCs w:val="20"/>
          <w:color w:val="auto"/>
        </w:rPr>
      </w:pPr>
      <w:r>
        <w:rPr>
          <w:rFonts w:ascii="Arial" w:cs="Arial" w:eastAsia="Arial" w:hAnsi="Arial"/>
          <w:sz w:val="18"/>
          <w:szCs w:val="18"/>
          <w:color w:val="auto"/>
        </w:rPr>
        <w:t>By targeting the high-growth value segment, we have grown revenue at three times the rate of the U.S. optical retail industry over the past five years, gained significant market share and generated a record 64 consecutive quarters of positive comparable store sales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60" w:right="120" w:hanging="353"/>
        <w:spacing w:after="0" w:line="273"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4"/>
          <w:szCs w:val="14"/>
          <w:color w:val="auto"/>
        </w:rPr>
        <w:t>2009 comparable store sales exclude sales from the Eyeglass World stores for the first six-month “transition” period following our acquisition of Eyeglass World.</w:t>
      </w:r>
    </w:p>
    <w:p>
      <w:pPr>
        <w:spacing w:after="0" w:line="66" w:lineRule="exact"/>
        <w:rPr>
          <w:sz w:val="20"/>
          <w:szCs w:val="20"/>
          <w:color w:val="auto"/>
        </w:rPr>
      </w:pPr>
    </w:p>
    <w:p>
      <w:pPr>
        <w:ind w:left="460" w:right="60" w:hanging="353"/>
        <w:spacing w:after="0" w:line="273" w:lineRule="auto"/>
        <w:tabs>
          <w:tab w:leader="none" w:pos="460" w:val="left"/>
        </w:tabs>
        <w:numPr>
          <w:ilvl w:val="0"/>
          <w:numId w:val="8"/>
        </w:numPr>
        <w:rPr>
          <w:rFonts w:ascii="Arial" w:cs="Arial" w:eastAsia="Arial" w:hAnsi="Arial"/>
          <w:sz w:val="14"/>
          <w:szCs w:val="14"/>
          <w:color w:val="auto"/>
        </w:rPr>
      </w:pPr>
      <w:r>
        <w:rPr>
          <w:rFonts w:ascii="Arial" w:cs="Arial" w:eastAsia="Arial" w:hAnsi="Arial"/>
          <w:sz w:val="14"/>
          <w:szCs w:val="14"/>
          <w:color w:val="auto"/>
        </w:rPr>
        <w:t>Comparable store sales growth in the third quarter of fiscal year 2011 was impacted by the near U.S. federal government shutdown and subsequent adverse impact on the consumer environment.</w:t>
      </w:r>
    </w:p>
    <w:p>
      <w:pPr>
        <w:spacing w:after="0" w:line="57" w:lineRule="exact"/>
        <w:rPr>
          <w:sz w:val="20"/>
          <w:szCs w:val="20"/>
          <w:color w:val="auto"/>
        </w:rPr>
      </w:pPr>
    </w:p>
    <w:p>
      <w:pPr>
        <w:ind w:left="100" w:firstLine="360"/>
        <w:spacing w:after="0" w:line="286" w:lineRule="auto"/>
        <w:rPr>
          <w:sz w:val="20"/>
          <w:szCs w:val="20"/>
          <w:color w:val="auto"/>
        </w:rPr>
      </w:pPr>
      <w:r>
        <w:rPr>
          <w:rFonts w:ascii="Arial" w:cs="Arial" w:eastAsia="Arial" w:hAnsi="Arial"/>
          <w:sz w:val="16"/>
          <w:szCs w:val="16"/>
          <w:color w:val="auto"/>
        </w:rPr>
        <w:t>For fiscal years 2015, 2016 and 2017, we generated total net revenue of $1.1 billion, $1.2 billion and $1.4 billion, respectively, representing a compound annual growth rate, or CAGR, of approximately 13.7% from fiscal year 2015 to fiscal year 2017. Our net income for these same periods was $4 million, $15 million and $46 million, respectively. Our Adjusted EBITDA for these same periods was $113 million, $138 million and $160 million, respectively, representing a CAGR of approximately</w:t>
      </w:r>
    </w:p>
    <w:p>
      <w:pPr>
        <w:spacing w:after="0" w:line="2" w:lineRule="exact"/>
        <w:rPr>
          <w:sz w:val="20"/>
          <w:szCs w:val="20"/>
          <w:color w:val="auto"/>
        </w:rPr>
      </w:pPr>
    </w:p>
    <w:p>
      <w:pPr>
        <w:ind w:left="100" w:right="160"/>
        <w:spacing w:after="0" w:line="273" w:lineRule="auto"/>
        <w:rPr>
          <w:sz w:val="20"/>
          <w:szCs w:val="20"/>
          <w:color w:val="auto"/>
        </w:rPr>
      </w:pPr>
      <w:r>
        <w:rPr>
          <w:rFonts w:ascii="Arial" w:cs="Arial" w:eastAsia="Arial" w:hAnsi="Arial"/>
          <w:sz w:val="17"/>
          <w:szCs w:val="17"/>
          <w:color w:val="auto"/>
        </w:rPr>
        <w:t>19.0% from fiscal year 2015 to fiscal year 2017. Our Adjusted Net Income for these same periods was $26 million, $33 million and $33 million, respectively, representing a CAGR of approximately 13.1% from fiscal year 2015 to fiscal year 2017. For definitions of Adjusted EBITDA and Adjusted Net Income and a reconciliation of Adjusted EBITDA and Adjusted Net Income to net income, see “―Summary Historical Consolidated Financial and Other Data.”</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100" w:right="180" w:firstLine="360"/>
        <w:spacing w:after="0" w:line="259" w:lineRule="auto"/>
        <w:rPr>
          <w:sz w:val="20"/>
          <w:szCs w:val="20"/>
          <w:color w:val="auto"/>
        </w:rPr>
      </w:pPr>
      <w:r>
        <w:rPr>
          <w:rFonts w:ascii="Arial" w:cs="Arial" w:eastAsia="Arial" w:hAnsi="Arial"/>
          <w:sz w:val="18"/>
          <w:szCs w:val="18"/>
          <w:color w:val="auto"/>
        </w:rPr>
        <w:t>The U.S. optical retail industry, defined by Vision Monday to include optical retailers’ revenues from the sales of products (including managed vision care benefit revenues and omni-channel and e-commerce sales) and eye care services provided by vision care professionals, including eye exams, is a $35 billion industry that has exhibited consistent, stable growth across economic cycles. According to Vision Monday, over the period from</w:t>
      </w: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36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92825" cy="7336155"/>
                    </a:xfrm>
                    <a:prstGeom prst="rect">
                      <a:avLst/>
                    </a:prstGeom>
                    <a:noFill/>
                  </pic:spPr>
                </pic:pic>
              </a:graphicData>
            </a:graphic>
          </wp:anchor>
        </w:drawing>
      </w:r>
    </w:p>
    <w:p>
      <w:pPr>
        <w:spacing w:after="0" w:line="138" w:lineRule="exact"/>
        <w:rPr>
          <w:sz w:val="20"/>
          <w:szCs w:val="20"/>
          <w:color w:val="auto"/>
        </w:rPr>
      </w:pPr>
    </w:p>
    <w:p>
      <w:pPr>
        <w:ind w:left="100" w:right="20"/>
        <w:spacing w:after="0" w:line="255" w:lineRule="auto"/>
        <w:rPr>
          <w:sz w:val="20"/>
          <w:szCs w:val="20"/>
          <w:color w:val="auto"/>
        </w:rPr>
      </w:pPr>
      <w:r>
        <w:rPr>
          <w:rFonts w:ascii="Arial" w:cs="Arial" w:eastAsia="Arial" w:hAnsi="Arial"/>
          <w:sz w:val="18"/>
          <w:szCs w:val="18"/>
          <w:color w:val="auto"/>
        </w:rPr>
        <w:t>2007 to 2016, the industry grew from $26 billion to $35 billion in annual sales, representing a CAGR of 3.4%. The industry experienced only a modest decline of approximately 3.8% during the 2008 to 2009 recession and rebounded with robust post-recession sales growth of 4.6% CAGR from 2009 to 2016, according to Vision Monday. We believe the ability to see well is a necessity, not a discretionary decision. The steady growth of the industry and its resilience to economic cycles is due in large part to the medical, non-discretionary and recurring nature of eye care purchases. In short, eyesight continues to decline with age, regardless of economic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anticipate that there are four key secular growth trends that will continue to contribute to the stability and growth of the</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U.S. optical retail industry:</w:t>
      </w:r>
    </w:p>
    <w:p>
      <w:pPr>
        <w:spacing w:after="0" w:line="103" w:lineRule="exact"/>
        <w:rPr>
          <w:sz w:val="20"/>
          <w:szCs w:val="20"/>
          <w:color w:val="auto"/>
        </w:rPr>
      </w:pPr>
    </w:p>
    <w:p>
      <w:pPr>
        <w:ind w:left="800" w:hanging="342"/>
        <w:spacing w:after="0" w:line="253"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Aging Population. </w:t>
      </w:r>
      <w:r>
        <w:rPr>
          <w:rFonts w:ascii="Arial" w:cs="Arial" w:eastAsia="Arial" w:hAnsi="Arial"/>
          <w:sz w:val="18"/>
          <w:szCs w:val="18"/>
          <w:color w:val="auto"/>
        </w:rPr>
        <w:t>According to The Vision Council, approximately 76% of adults in the United States used some 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vision correction as of September 2016. At age 45, the need for vision correction begins to increase significantly, with approximately 86% of adults in the United States between the ages of 45 and 54 and approximately 92% of adults in the United States aged 55 and older using vision correction, according to The Vision Council. As the U.S. population ages and life expectancy increases, the pool of potential customers and opportunities for repeat purchases in the optical retail industry are anticipated to rise. In 2014, the U.S. Census Bureau estimated that approximately 42% of the U.S. population would be 45 years old or older by 2020 (the 0.9% increase from 2015 population projections implies an additional 8.4 million adults will enter this 45-plus demographic by 2020). Given that eyesight deteriorates progressively with age, aging of the U.S. population should result in incremental sales of eyewear and related accessories.</w:t>
      </w:r>
    </w:p>
    <w:p>
      <w:pPr>
        <w:spacing w:after="0" w:line="86" w:lineRule="exact"/>
        <w:rPr>
          <w:rFonts w:ascii="Arial" w:cs="Arial" w:eastAsia="Arial" w:hAnsi="Arial"/>
          <w:sz w:val="18"/>
          <w:szCs w:val="18"/>
          <w:color w:val="auto"/>
        </w:rPr>
      </w:pPr>
    </w:p>
    <w:p>
      <w:pPr>
        <w:ind w:left="800" w:right="20" w:hanging="342"/>
        <w:spacing w:after="0" w:line="271" w:lineRule="auto"/>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Frequent Replacement Cycle. </w:t>
      </w:r>
      <w:r>
        <w:rPr>
          <w:rFonts w:ascii="Arial" w:cs="Arial" w:eastAsia="Arial" w:hAnsi="Arial"/>
          <w:sz w:val="17"/>
          <w:szCs w:val="17"/>
          <w:color w:val="auto"/>
        </w:rPr>
        <w:t>The repetitive and predictable nature of customer behavior results in a significant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volume of recurring revenue for the optical retail industry. The purchasing cycle of vision correction devices is closely tied to the frequency with which consumers obtain eye exams. Most optometrists recommend annual eye exams as a preventive measure against serious eye conditions and to help patients identify changes in their vision correction needs. According to The Vision Council, an estimated 189 million people in the United States using vision correction devices in 2015 received nearly 114 million eye exams that year, implying an average interval between exams of 20 months. The interval between exams contributes to the industry’s stability and shortening this interval represents an opportunity to increase the frequency of customer purchases.</w:t>
      </w:r>
    </w:p>
    <w:p>
      <w:pPr>
        <w:spacing w:after="0" w:line="70" w:lineRule="exact"/>
        <w:rPr>
          <w:rFonts w:ascii="Arial" w:cs="Arial" w:eastAsia="Arial" w:hAnsi="Arial"/>
          <w:sz w:val="17"/>
          <w:szCs w:val="17"/>
          <w:color w:val="auto"/>
        </w:rPr>
      </w:pPr>
    </w:p>
    <w:p>
      <w:pPr>
        <w:ind w:left="800" w:right="220" w:hanging="342"/>
        <w:spacing w:after="0" w:line="297"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Increased Usage of Computer and Mobile Screens. </w:t>
      </w:r>
      <w:r>
        <w:rPr>
          <w:rFonts w:ascii="Arial" w:cs="Arial" w:eastAsia="Arial" w:hAnsi="Arial"/>
          <w:sz w:val="16"/>
          <w:szCs w:val="16"/>
          <w:color w:val="auto"/>
        </w:rPr>
        <w:t>Due to the proliferation of smartphones, laptops and tablets,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 population has experienced a dramatic increase in the amount of time spent viewing electronic screens. This is anticipated to result in a larger percentage of the population suffering from screen-related vision problems, driving incremental sales of vision correction devices, such as traditional eyeglasses and contact lenses, as well as higher margin products designed specifically to counteract the effect of looking at screens for prolonged stretches of time.</w:t>
      </w:r>
    </w:p>
    <w:p>
      <w:pPr>
        <w:spacing w:after="0" w:line="50" w:lineRule="exact"/>
        <w:rPr>
          <w:rFonts w:ascii="Arial" w:cs="Arial" w:eastAsia="Arial" w:hAnsi="Arial"/>
          <w:sz w:val="16"/>
          <w:szCs w:val="16"/>
          <w:color w:val="auto"/>
        </w:rPr>
      </w:pPr>
    </w:p>
    <w:p>
      <w:pPr>
        <w:ind w:left="800" w:right="40" w:hanging="342"/>
        <w:spacing w:after="0" w:line="264"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Focus on Health and Wellness. </w:t>
      </w:r>
      <w:r>
        <w:rPr>
          <w:rFonts w:ascii="Arial" w:cs="Arial" w:eastAsia="Arial" w:hAnsi="Arial"/>
          <w:sz w:val="18"/>
          <w:szCs w:val="18"/>
          <w:color w:val="auto"/>
        </w:rPr>
        <w:t>The optical retail industry is poised to benefit from expansive trends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underlying an increasing societal focus on health and wellness. Consumers want personalized solutions that allow them to make informed decisions about their health. Additionally,</w:t>
      </w: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2095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092825" cy="5209540"/>
                    </a:xfrm>
                    <a:prstGeom prst="rect">
                      <a:avLst/>
                    </a:prstGeom>
                    <a:noFill/>
                  </pic:spPr>
                </pic:pic>
              </a:graphicData>
            </a:graphic>
          </wp:anchor>
        </w:drawing>
      </w:r>
    </w:p>
    <w:p>
      <w:pPr>
        <w:spacing w:after="0" w:line="138" w:lineRule="exact"/>
        <w:rPr>
          <w:sz w:val="20"/>
          <w:szCs w:val="20"/>
          <w:color w:val="auto"/>
        </w:rPr>
      </w:pPr>
    </w:p>
    <w:p>
      <w:pPr>
        <w:ind w:left="820" w:right="40"/>
        <w:spacing w:after="0" w:line="291" w:lineRule="auto"/>
        <w:rPr>
          <w:sz w:val="20"/>
          <w:szCs w:val="20"/>
          <w:color w:val="auto"/>
        </w:rPr>
      </w:pPr>
      <w:r>
        <w:rPr>
          <w:rFonts w:ascii="Arial" w:cs="Arial" w:eastAsia="Arial" w:hAnsi="Arial"/>
          <w:sz w:val="16"/>
          <w:szCs w:val="16"/>
          <w:color w:val="auto"/>
        </w:rPr>
        <w:t>rising healthcare costs are driving a growing emphasis on preventative healthcare. Eye exams can detect a host of physical ailments, such as hypertension or diabetes, and are one of the most inexpensive and effective forms of detection for many of these conditions. As consumers continue to develop greater awareness of health and wellness issues, there is an opportunity for retailers that are able to offer personalized, inexpensive, health-oriented products and services that can increase quality of life and reduce an individual’s overall level of healthcare expenditures. Furthermore, this increased focus on health means that people are living longer, which increases the overall demand for vision care and the frequency with which people visit their eye care practitioners for vision care products and services.</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Value Chains Gaining Market Share in Optical Retail Industry</w:t>
      </w:r>
    </w:p>
    <w:p>
      <w:pPr>
        <w:spacing w:after="0" w:line="121" w:lineRule="exact"/>
        <w:rPr>
          <w:sz w:val="20"/>
          <w:szCs w:val="20"/>
          <w:color w:val="auto"/>
        </w:rPr>
      </w:pPr>
    </w:p>
    <w:p>
      <w:pPr>
        <w:ind w:left="100" w:firstLine="360"/>
        <w:spacing w:after="0" w:line="290" w:lineRule="auto"/>
        <w:rPr>
          <w:sz w:val="20"/>
          <w:szCs w:val="20"/>
          <w:color w:val="auto"/>
        </w:rPr>
      </w:pPr>
      <w:r>
        <w:rPr>
          <w:rFonts w:ascii="Arial" w:cs="Arial" w:eastAsia="Arial" w:hAnsi="Arial"/>
          <w:sz w:val="16"/>
          <w:szCs w:val="16"/>
          <w:color w:val="auto"/>
        </w:rPr>
        <w:t>Providing consumers with quality vision care and products involves multiple steps and several parties. In the process of purchasing vision care products a consumer will interact directly with eye care practitioners who prescribe (and may also dispense) products. Consumers may likewise interact with optical retail outlets, which dispense products and may offer on-site optometry services to increase customers’ convenience. Retailers also assist consumers in selecting and fitting vision care products, and directly or through third parties, manufacture and finish vision care products and their components. As part of the purchase, the consumer and retailer may interact with an insurance company or managed vision care provider. Further, vision care and optical retail require compliance with numerous regulations, which often vary by state. The industry experience and knowledge to initiate and maintain relationships across all of these parties is crucial to the success of optical retailers.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Several key factors drive the changing dynamics across the optical retail market:</w:t>
      </w:r>
    </w:p>
    <w:p>
      <w:pPr>
        <w:spacing w:after="0" w:line="117" w:lineRule="exact"/>
        <w:rPr>
          <w:sz w:val="20"/>
          <w:szCs w:val="20"/>
          <w:color w:val="auto"/>
        </w:rPr>
      </w:pPr>
    </w:p>
    <w:p>
      <w:pPr>
        <w:ind w:left="800" w:right="60" w:hanging="342"/>
        <w:spacing w:after="0" w:line="293" w:lineRule="auto"/>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Optical Retail Chains Gaining Market Share From Independents. </w:t>
      </w:r>
      <w:r>
        <w:rPr>
          <w:rFonts w:ascii="Arial" w:cs="Arial" w:eastAsia="Arial" w:hAnsi="Arial"/>
          <w:sz w:val="16"/>
          <w:szCs w:val="16"/>
          <w:color w:val="auto"/>
        </w:rPr>
        <w:t>As a result of customers’ desire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convenience of a one-stop shop with broad product selection, strong customer service and competitive prices, larger optical retailers have gained market share from independent practitioners over the past approximately 20 years, with total market share of the ten largest optical retailers in the United States increasing from 18% in 1992 to 32% in 2016 according to 20/20 Magazine and Vision Monday. Despite this growth, the top ten optical retailers still have a relatively small share of the overall market and the largest optical retailers are well-positioned to continue increasing their share.</w:t>
      </w:r>
    </w:p>
    <w:p>
      <w:pPr>
        <w:spacing w:after="0" w:line="56" w:lineRule="exact"/>
        <w:rPr>
          <w:rFonts w:ascii="Arial" w:cs="Arial" w:eastAsia="Arial" w:hAnsi="Arial"/>
          <w:sz w:val="16"/>
          <w:szCs w:val="16"/>
          <w:color w:val="auto"/>
        </w:rPr>
      </w:pPr>
    </w:p>
    <w:p>
      <w:pPr>
        <w:ind w:left="800" w:right="220" w:hanging="342"/>
        <w:spacing w:after="0" w:line="25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Value Chains Are Growing Faster Than Industry. </w:t>
      </w:r>
      <w:r>
        <w:rPr>
          <w:rFonts w:ascii="Arial" w:cs="Arial" w:eastAsia="Arial" w:hAnsi="Arial"/>
          <w:sz w:val="18"/>
          <w:szCs w:val="18"/>
          <w:color w:val="auto"/>
        </w:rPr>
        <w:t>According to Vision Monday estimates, from 2007 to 2016,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segment of the U.S. optical retail industry grew at a CAGR of 6.6%, nearly twice the rate of the broader optical retail industry. Increased consumer cost consciousness has shifted market share toward value optical retail chains and mass merchants that serve the value segment. To the extent this trend continues, the value segment is expected to continue to outpace overall industry growth.</w:t>
      </w:r>
    </w:p>
    <w:p>
      <w:pPr>
        <w:spacing w:after="0" w:line="80" w:lineRule="exact"/>
        <w:rPr>
          <w:rFonts w:ascii="Arial" w:cs="Arial" w:eastAsia="Arial" w:hAnsi="Arial"/>
          <w:sz w:val="18"/>
          <w:szCs w:val="18"/>
          <w:color w:val="auto"/>
        </w:rPr>
      </w:pPr>
    </w:p>
    <w:p>
      <w:pPr>
        <w:ind w:left="800" w:right="40" w:hanging="342"/>
        <w:spacing w:after="0" w:line="257" w:lineRule="auto"/>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E-commerce. </w:t>
      </w:r>
      <w:r>
        <w:rPr>
          <w:rFonts w:ascii="Arial" w:cs="Arial" w:eastAsia="Arial" w:hAnsi="Arial"/>
          <w:sz w:val="18"/>
          <w:szCs w:val="18"/>
          <w:color w:val="auto"/>
        </w:rPr>
        <w:t>The optical retail industry is underpenetrated in the e-commerce channel relative to other categories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This is due to inherent penetration barriers that make optical retail better suited for omni-channel offerings rather than pure e-commerce. Although contact lenses lend themselves more to online purchases than do eyeglasses, users still generally need to visit an eye care practitioner or a store to update their prescription. Such visits are an opportunity to sell an annual supply of contact lenses to the customer.</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3704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2825" cy="7370445"/>
                    </a:xfrm>
                    <a:prstGeom prst="rect">
                      <a:avLst/>
                    </a:prstGeom>
                    <a:noFill/>
                  </pic:spPr>
                </pic:pic>
              </a:graphicData>
            </a:graphic>
          </wp:anchor>
        </w:drawing>
      </w:r>
    </w:p>
    <w:p>
      <w:pPr>
        <w:spacing w:after="0" w:line="35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Competitive Advantages</w:t>
      </w:r>
    </w:p>
    <w:p>
      <w:pPr>
        <w:spacing w:after="0" w:line="121" w:lineRule="exact"/>
        <w:rPr>
          <w:sz w:val="20"/>
          <w:szCs w:val="20"/>
          <w:color w:val="auto"/>
        </w:rPr>
      </w:pPr>
    </w:p>
    <w:p>
      <w:pPr>
        <w:ind w:left="100" w:right="140" w:firstLine="360"/>
        <w:spacing w:after="0" w:line="264" w:lineRule="auto"/>
        <w:rPr>
          <w:sz w:val="20"/>
          <w:szCs w:val="20"/>
          <w:color w:val="auto"/>
        </w:rPr>
      </w:pPr>
      <w:r>
        <w:rPr>
          <w:rFonts w:ascii="Arial" w:cs="Arial" w:eastAsia="Arial" w:hAnsi="Arial"/>
          <w:sz w:val="18"/>
          <w:szCs w:val="18"/>
          <w:color w:val="auto"/>
        </w:rPr>
        <w:t>Our history of profitable growth is founded on a commitment to a relatively simple business model: providing exceptional value and convenience to customers, enabled by our low-cost operating platform. This business model has multiple areas of competitive advantage:</w:t>
      </w:r>
    </w:p>
    <w:p>
      <w:pPr>
        <w:spacing w:after="0" w:line="73" w:lineRule="exact"/>
        <w:rPr>
          <w:sz w:val="20"/>
          <w:szCs w:val="20"/>
          <w:color w:val="auto"/>
        </w:rPr>
      </w:pPr>
    </w:p>
    <w:p>
      <w:pPr>
        <w:ind w:left="800" w:right="60" w:hanging="342"/>
        <w:spacing w:after="0" w:line="287"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Highly-differentiated and Defensible Value Proposition. </w:t>
      </w:r>
      <w:r>
        <w:rPr>
          <w:rFonts w:ascii="Arial" w:cs="Arial" w:eastAsia="Arial" w:hAnsi="Arial"/>
          <w:sz w:val="16"/>
          <w:szCs w:val="16"/>
          <w:color w:val="auto"/>
        </w:rPr>
        <w:t>Our value price positioning extends across our entire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brands. We offer among the lowest price points in the optical retail industry and this highly-compelling customer value positioning has been a critical driver of our outsized market share gains and revenue growth. Through its arrangements with individual optometrists or professional corporations owned by eye care practitioners, America’s Best is able to offer customers two distinctive bundled eyewear pricing offers: (i) the two-pairs of eyeglasses offer for $69.95, including an eye exam, and (ii) the Eyecare Club program, which offers several years of eye exams plus a discount on products for a low price. In addition, Eyeglass World’s opening price point offer of two pairs of eyeglasses for $78.00 is among the lowest in our industry. Based on a recent study of leading optical retailers and based on these bundled offers, we believe that America’s Best and Eyeglass World’s opening price points for eyeglasses and an eye exam are 74% and 37% lower on a per-pair basis than the next lowest retailer surveyed and 82% and 56% lower than the average of independent retailers surveyed, respectively, each as indicated in the chart below:</w:t>
      </w:r>
    </w:p>
    <w:p>
      <w:pPr>
        <w:spacing w:after="0" w:line="16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Price for Exam + Single Pair of Glasses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20" w:right="360"/>
        <w:spacing w:after="0" w:line="273" w:lineRule="auto"/>
        <w:rPr>
          <w:sz w:val="20"/>
          <w:szCs w:val="20"/>
          <w:color w:val="auto"/>
        </w:rPr>
      </w:pPr>
      <w:r>
        <w:rPr>
          <w:rFonts w:ascii="Arial" w:cs="Arial" w:eastAsia="Arial" w:hAnsi="Arial"/>
          <w:sz w:val="14"/>
          <w:szCs w:val="14"/>
          <w:color w:val="auto"/>
        </w:rPr>
        <w:t>Note: One-pair price for “two-pair shops” calculated by dividing “two-pair price” by two and adding back exam price. For retailers who do not provide eye exams, the average exam price of the other retailers shown has been used.</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4"/>
          <w:szCs w:val="14"/>
          <w:color w:val="auto"/>
        </w:rPr>
        <w:t>Source: Haynes and Company Research Study (2016); KKR Capstone analysis.</w:t>
      </w:r>
    </w:p>
    <w:p>
      <w:pPr>
        <w:spacing w:after="0" w:line="100" w:lineRule="exact"/>
        <w:rPr>
          <w:sz w:val="20"/>
          <w:szCs w:val="20"/>
          <w:color w:val="auto"/>
        </w:rPr>
      </w:pPr>
    </w:p>
    <w:p>
      <w:pPr>
        <w:ind w:left="820"/>
        <w:spacing w:after="0" w:line="257" w:lineRule="auto"/>
        <w:rPr>
          <w:sz w:val="20"/>
          <w:szCs w:val="20"/>
          <w:color w:val="auto"/>
        </w:rPr>
      </w:pPr>
      <w:r>
        <w:rPr>
          <w:rFonts w:ascii="Arial" w:cs="Arial" w:eastAsia="Arial" w:hAnsi="Arial"/>
          <w:sz w:val="18"/>
          <w:szCs w:val="18"/>
          <w:color w:val="auto"/>
        </w:rPr>
        <w:t>We are also committed to providing our customers with high levels of in-store customer service and a convenient and compelling shopping experience. On-site optometrists enable a convenient one-stop shop for the clinically-assisted sale of eye exams and eyewear and attract customers. We believe that the comprehensive proposition of our value pricing, the breadth and quality of our product mix and high levels of customer service drive repeat visits and customer loyalty, engagement and ambassadorship.</w:t>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993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2825" cy="6993255"/>
                    </a:xfrm>
                    <a:prstGeom prst="rect">
                      <a:avLst/>
                    </a:prstGeom>
                    <a:noFill/>
                  </pic:spPr>
                </pic:pic>
              </a:graphicData>
            </a:graphic>
          </wp:anchor>
        </w:drawing>
      </w:r>
    </w:p>
    <w:p>
      <w:pPr>
        <w:spacing w:after="0" w:line="246"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color w:val="auto"/>
        </w:rPr>
        <w:t>Our optical retail offerings are also more defensible to potential e-commerce pressure relative to other categories of retail. This is due to inherent penetration barriers that make optical retail better suited for omni-channel offerings rather than pure e-commerce. Eye exams typically involve in-person visits to eye care practitioners or stores and customers generally want to try eyeglasses on before purchasing as slight changes in style, size and color can make a meaningful difference to the functionality and visual appeal of the eyeglass frame. Lastly, the service and sales consultations provided by our on-site vision care professionals and in-store associates are a key part of the vision correction product purchase process, which cannot be replicated online.</w:t>
      </w:r>
    </w:p>
    <w:p>
      <w:pPr>
        <w:spacing w:after="0" w:line="70" w:lineRule="exact"/>
        <w:rPr>
          <w:sz w:val="20"/>
          <w:szCs w:val="20"/>
          <w:color w:val="auto"/>
        </w:rPr>
      </w:pPr>
    </w:p>
    <w:p>
      <w:pPr>
        <w:ind w:left="800" w:right="80" w:hanging="342"/>
        <w:spacing w:after="0" w:line="254" w:lineRule="auto"/>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Low-cost Operating Model. </w:t>
      </w:r>
      <w:r>
        <w:rPr>
          <w:rFonts w:ascii="Arial" w:cs="Arial" w:eastAsia="Arial" w:hAnsi="Arial"/>
          <w:sz w:val="18"/>
          <w:szCs w:val="18"/>
          <w:color w:val="auto"/>
        </w:rPr>
        <w:t>Our low-cost structure allows us to maintain our low prices to our customers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while generating attractive margins. This low-cost structure is a result of our highly-efficient laboratory network and manufacturing capabilities. Orders are routed via a centralized proprietary system to the appropriate processing laboratory, minimizing cost and delivery time. Through a combination of volume increases, continuous operating efficiency improvements and implementation of technological enhancements across our laboratory network, we have increased the number of orders processed through our laboratory network and reduced the cost per job. This has allowed us to maintain our introductory offer of two-pairs of eyeglasses and an eye exam for $69.95 at America’s Best for over ten years.</w:t>
      </w:r>
    </w:p>
    <w:p>
      <w:pPr>
        <w:spacing w:after="0" w:line="84" w:lineRule="exact"/>
        <w:rPr>
          <w:rFonts w:ascii="Arial" w:cs="Arial" w:eastAsia="Arial" w:hAnsi="Arial"/>
          <w:sz w:val="18"/>
          <w:szCs w:val="18"/>
          <w:color w:val="auto"/>
        </w:rPr>
      </w:pPr>
    </w:p>
    <w:p>
      <w:pPr>
        <w:jc w:val="both"/>
        <w:ind w:left="820" w:right="40"/>
        <w:spacing w:after="0" w:line="286" w:lineRule="auto"/>
        <w:rPr>
          <w:rFonts w:ascii="Arial" w:cs="Arial" w:eastAsia="Arial" w:hAnsi="Arial"/>
          <w:sz w:val="18"/>
          <w:szCs w:val="18"/>
          <w:color w:val="auto"/>
        </w:rPr>
      </w:pPr>
      <w:r>
        <w:rPr>
          <w:rFonts w:ascii="Arial" w:cs="Arial" w:eastAsia="Arial" w:hAnsi="Arial"/>
          <w:sz w:val="17"/>
          <w:szCs w:val="17"/>
          <w:color w:val="auto"/>
        </w:rPr>
        <w:t>Our scale and business model allow us to benefit from procurement and real estate cost structure advantages as well as efficiencies in advertising spend and corporate management. As a result of these factors, we are able to drive attractive profitable growth, while maintaining industry-low prices for our customers.</w:t>
      </w:r>
    </w:p>
    <w:p>
      <w:pPr>
        <w:spacing w:after="0" w:line="57" w:lineRule="exact"/>
        <w:rPr>
          <w:rFonts w:ascii="Arial" w:cs="Arial" w:eastAsia="Arial" w:hAnsi="Arial"/>
          <w:sz w:val="18"/>
          <w:szCs w:val="18"/>
          <w:color w:val="auto"/>
        </w:rPr>
      </w:pPr>
    </w:p>
    <w:p>
      <w:pPr>
        <w:ind w:left="800" w:right="60" w:hanging="342"/>
        <w:spacing w:after="0" w:line="270"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Best-in-class Management Team with Deep Optical Experience. </w:t>
      </w:r>
      <w:r>
        <w:rPr>
          <w:rFonts w:ascii="Arial" w:cs="Arial" w:eastAsia="Arial" w:hAnsi="Arial"/>
          <w:sz w:val="17"/>
          <w:szCs w:val="17"/>
          <w:color w:val="auto"/>
        </w:rPr>
        <w:t>Our company is led by a highly-accomplished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proven management team with deep expertise. The current team is one of the longest-tenured in the optical retail industry, averaging 21 years of optical or similar retail experience. Importantly, many of our management team members have come from the optical industry, providing great insight. Our management team has also been a cohesive unit, with an average of 13 years at National Vision and low senior management turnover. Collectively, this team has a wide range of experience across optical merchandising, store openings, customer engagement, operations, omni-channel platform and technology. Combining this operational expertise with a finely-tuned formulaic playbook, management has achieved an impressive long-term track record of significant industry outperformance and generated positive comparable store sales growth in every quarter since 2002, when this management team took over, including during periods of economic contraction.</w:t>
      </w:r>
    </w:p>
    <w:p>
      <w:pPr>
        <w:spacing w:after="0" w:line="69" w:lineRule="exact"/>
        <w:rPr>
          <w:rFonts w:ascii="Arial" w:cs="Arial" w:eastAsia="Arial" w:hAnsi="Arial"/>
          <w:sz w:val="17"/>
          <w:szCs w:val="17"/>
          <w:color w:val="auto"/>
        </w:rPr>
      </w:pPr>
    </w:p>
    <w:p>
      <w:pPr>
        <w:ind w:left="800" w:right="20" w:hanging="342"/>
        <w:spacing w:after="0" w:line="270"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Diverse Portfolio of Attractive Brands. </w:t>
      </w:r>
      <w:r>
        <w:rPr>
          <w:rFonts w:ascii="Arial" w:cs="Arial" w:eastAsia="Arial" w:hAnsi="Arial"/>
          <w:sz w:val="17"/>
          <w:szCs w:val="17"/>
          <w:color w:val="auto"/>
        </w:rPr>
        <w:t>We have a differentiated collection of five complementary brands, four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are supported by either our omni-channel or e-commerce platform, that all target the fast-growing value segment within the U.S. optical retail industry. America’s Best and Eyeglass World, our owned brands, have been the primary source of our store growth. Our partner brands (Vision Centers in Walmart and Vista Optical in Fred Meyer stores and on U.S. military bases) are based in well-known, high-traffic environments, exhibit low capital intensity and generate reliable cash flow. Our omni-channel and e-commerce platforms allow us to capture digital sales, deliver several customer convenience capabilities and serve as an educational resource for our customers. In the aggregate, we believe that this diverse combination of brands exhibits a strong economic profile that combines robust growth potential with significant free cash flow generation.</w:t>
      </w:r>
    </w:p>
    <w:p>
      <w:pPr>
        <w:spacing w:after="0" w:line="73" w:lineRule="exact"/>
        <w:rPr>
          <w:rFonts w:ascii="Arial" w:cs="Arial" w:eastAsia="Arial" w:hAnsi="Arial"/>
          <w:sz w:val="17"/>
          <w:szCs w:val="17"/>
          <w:color w:val="auto"/>
        </w:rPr>
      </w:pPr>
    </w:p>
    <w:p>
      <w:pPr>
        <w:ind w:left="800" w:hanging="342"/>
        <w:spacing w:after="0" w:line="272"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Proven Real Estate Site Selection Process. </w:t>
      </w:r>
      <w:r>
        <w:rPr>
          <w:rFonts w:ascii="Arial" w:cs="Arial" w:eastAsia="Arial" w:hAnsi="Arial"/>
          <w:sz w:val="17"/>
          <w:szCs w:val="17"/>
          <w:color w:val="auto"/>
        </w:rPr>
        <w:t>We locate our owned stores in highly-desirable retail developments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surrounded by dense concentrations of our target customers, resulting in strong performance across our store base. We have rarely closed or relocated a store due to underperformance, and our five-year rolling average new store success rate—defined as the percentage of stores opened in the last five years that are still open—was 99% as of December 30, 2017. We have long-standing relationships with many leading commercial real estate firms and believe that we are a preferred tenant given our brands and the high volume of customers that visit our stores. As a result, we believe we will continue to have access to desirable retail sites.</w:t>
      </w:r>
    </w:p>
    <w:p>
      <w:pPr>
        <w:spacing w:after="0" w:line="69" w:lineRule="exact"/>
        <w:rPr>
          <w:rFonts w:ascii="Arial" w:cs="Arial" w:eastAsia="Arial" w:hAnsi="Arial"/>
          <w:sz w:val="17"/>
          <w:szCs w:val="17"/>
          <w:color w:val="auto"/>
        </w:rPr>
      </w:pPr>
    </w:p>
    <w:p>
      <w:pPr>
        <w:ind w:left="800" w:right="680" w:hanging="342"/>
        <w:spacing w:after="0" w:line="308" w:lineRule="auto"/>
        <w:tabs>
          <w:tab w:leader="none" w:pos="8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Partnerships with Retail Partners and Vendors. </w:t>
      </w:r>
      <w:r>
        <w:rPr>
          <w:rFonts w:ascii="Arial" w:cs="Arial" w:eastAsia="Arial" w:hAnsi="Arial"/>
          <w:sz w:val="17"/>
          <w:szCs w:val="17"/>
          <w:color w:val="auto"/>
        </w:rPr>
        <w:t>We have developed extensive and long-term strategic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with our frame and lens suppliers, our host and legacy partners and managed</w:t>
      </w:r>
    </w:p>
    <w:p>
      <w:pPr>
        <w:spacing w:after="0" w:line="200" w:lineRule="exact"/>
        <w:rPr>
          <w:sz w:val="20"/>
          <w:szCs w:val="20"/>
          <w:color w:val="auto"/>
        </w:rPr>
      </w:pPr>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20"/>
          </w:cols>
          <w:pgMar w:left="1180" w:top="279" w:right="129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65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2825" cy="6650355"/>
                    </a:xfrm>
                    <a:prstGeom prst="rect">
                      <a:avLst/>
                    </a:prstGeom>
                    <a:noFill/>
                  </pic:spPr>
                </pic:pic>
              </a:graphicData>
            </a:graphic>
          </wp:anchor>
        </w:drawing>
      </w:r>
    </w:p>
    <w:p>
      <w:pPr>
        <w:spacing w:after="0" w:line="138" w:lineRule="exact"/>
        <w:rPr>
          <w:sz w:val="20"/>
          <w:szCs w:val="20"/>
          <w:color w:val="auto"/>
        </w:rPr>
      </w:pPr>
    </w:p>
    <w:p>
      <w:pPr>
        <w:ind w:left="820" w:right="20"/>
        <w:spacing w:after="0" w:line="288" w:lineRule="auto"/>
        <w:rPr>
          <w:sz w:val="20"/>
          <w:szCs w:val="20"/>
          <w:color w:val="auto"/>
        </w:rPr>
      </w:pPr>
      <w:r>
        <w:rPr>
          <w:rFonts w:ascii="Arial" w:cs="Arial" w:eastAsia="Arial" w:hAnsi="Arial"/>
          <w:sz w:val="16"/>
          <w:szCs w:val="16"/>
          <w:color w:val="auto"/>
        </w:rPr>
        <w:t>vision care companies. Our highly-experienced procurement team leverages long-standing relationships with our vendors to source all of our products. Our strong vendor relationships and scale allow us to maintain broad, on-trend assortments, competitive pricing and favorable payment terms. We have maintained and broadened relationships with our host and legacy partners over several decades. For example, in 2012, we expanded our relationship with Walmart to manage walmartcontacts.com and samsclubcontacts.com and to undertake the back-end logistics and fulfilment services for Walmart’s “ship-to-home” contact lens sales and for virtually all of Sam’s Club contact lens orders. We have also developed strong relationships with managed vision care companies through our network of stores, efficient billing and focus on value. We continually seek to partner with additional managed vision care payors and to increase participation in our partners’ networks. We believe that our above-market growth is also an attractive growth driver for our business partners and positions us as a preferred retailer for key vendors and industry partners.</w:t>
      </w:r>
    </w:p>
    <w:p>
      <w:pPr>
        <w:spacing w:after="0" w:line="61" w:lineRule="exact"/>
        <w:rPr>
          <w:sz w:val="20"/>
          <w:szCs w:val="20"/>
          <w:color w:val="auto"/>
        </w:rPr>
      </w:pPr>
    </w:p>
    <w:p>
      <w:pPr>
        <w:ind w:left="800" w:right="20" w:hanging="342"/>
        <w:spacing w:after="0" w:line="255"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Deep Experience with the Regulatory Complexity of the Optical Industry. </w:t>
      </w:r>
      <w:r>
        <w:rPr>
          <w:rFonts w:ascii="Arial" w:cs="Arial" w:eastAsia="Arial" w:hAnsi="Arial"/>
          <w:sz w:val="18"/>
          <w:szCs w:val="18"/>
          <w:color w:val="auto"/>
        </w:rPr>
        <w:t>There are extensive and diverse sets of laws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regulations governing the provision of vision care. As a result, regulatory compliance for optical retailers in the United States is complicated and time-consuming, involving many regulatory bodies and licensing agencies at both the federal and state levels. We believe that our deep knowledge of the optical regulatory framework and our significant compliance experience provide us with an important competitive advantage. We also believe that these compliance and licensure requirements, and related costs, serve as a significant hurdle for potential new entrants into the optical retail industry.</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Our Growth Strategies</w:t>
      </w:r>
    </w:p>
    <w:p>
      <w:pPr>
        <w:spacing w:after="0" w:line="121" w:lineRule="exact"/>
        <w:rPr>
          <w:sz w:val="20"/>
          <w:szCs w:val="20"/>
          <w:color w:val="auto"/>
        </w:rPr>
      </w:pPr>
    </w:p>
    <w:p>
      <w:pPr>
        <w:ind w:left="100" w:right="280" w:firstLine="360"/>
        <w:spacing w:after="0" w:line="277" w:lineRule="auto"/>
        <w:rPr>
          <w:sz w:val="20"/>
          <w:szCs w:val="20"/>
          <w:color w:val="auto"/>
        </w:rPr>
      </w:pPr>
      <w:r>
        <w:rPr>
          <w:rFonts w:ascii="Arial" w:cs="Arial" w:eastAsia="Arial" w:hAnsi="Arial"/>
          <w:sz w:val="18"/>
          <w:szCs w:val="18"/>
          <w:color w:val="auto"/>
        </w:rPr>
        <w:t>We believe that we have the right strategy and execution capabilities to capitalize on the substantial growth opportunities afforded by our business model. We intend to further drive growth from five distinct sources:</w:t>
      </w:r>
    </w:p>
    <w:p>
      <w:pPr>
        <w:spacing w:after="0" w:line="62" w:lineRule="exact"/>
        <w:rPr>
          <w:sz w:val="20"/>
          <w:szCs w:val="20"/>
          <w:color w:val="auto"/>
        </w:rPr>
      </w:pPr>
    </w:p>
    <w:p>
      <w:pPr>
        <w:ind w:left="800" w:hanging="342"/>
        <w:spacing w:after="0" w:line="286"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Grow Our Store Base. </w:t>
      </w:r>
      <w:r>
        <w:rPr>
          <w:rFonts w:ascii="Arial" w:cs="Arial" w:eastAsia="Arial" w:hAnsi="Arial"/>
          <w:sz w:val="16"/>
          <w:szCs w:val="16"/>
          <w:color w:val="auto"/>
        </w:rPr>
        <w:t>We believe that our expansion opportunities in the United States are significant.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adopted a disciplined expansion strategy designed to leverage the strengths of our compelling and distinct value proposition and recognized America’s Best and Eyeglass World brand names to develop new stores successfully in an array of markets that are primed for growth, including new, existing, small and large markets. In the aggregate, we have opened 498 stores on a net basis (opened 566 new stores and closed 68 stores) since 2006 and, in the past three years, we have increased our new store growth to approximately 75 new stores per annum. We have an established partnership with a third party real estate firm to evaluate potential new America’s Best and Eyeglass World stores and our analysis suggests that we can grow America’s Best to at least 1,000 stores and Eyeglass World to at least 850 stores, inclusive of those already open. We believe that these two brands can accordingly grow from approximately 700 stores as of December 30, 2017 to a total of at least 1,850 stores, with similar economics to the existing store base. In the near term, our primary focus will continue to be to open new America’s Best stores, most notably in California as well as Northern New Jersey and parts of the New York metro area, with a longer-term focus on expanding our Eyeglass World store footprint. We believe that our consistent track record of successfully opening stores across vintages, geographies and markets demonstrates our ability to further increase our store count and, as a result, we believe that our current level of new store growth of approximately 75 stores per annum is sustainable for the foreseeable future.</w:t>
      </w:r>
    </w:p>
    <w:p>
      <w:pPr>
        <w:spacing w:after="0" w:line="60" w:lineRule="exact"/>
        <w:rPr>
          <w:rFonts w:ascii="Arial" w:cs="Arial" w:eastAsia="Arial" w:hAnsi="Arial"/>
          <w:sz w:val="16"/>
          <w:szCs w:val="16"/>
          <w:color w:val="auto"/>
        </w:rPr>
      </w:pPr>
    </w:p>
    <w:p>
      <w:pPr>
        <w:ind w:left="800" w:right="20" w:hanging="342"/>
        <w:spacing w:after="0" w:line="289" w:lineRule="auto"/>
        <w:tabs>
          <w:tab w:leader="none" w:pos="80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Comparable Store Sales Growth. </w:t>
      </w:r>
      <w:r>
        <w:rPr>
          <w:rFonts w:ascii="Arial" w:cs="Arial" w:eastAsia="Arial" w:hAnsi="Arial"/>
          <w:sz w:val="16"/>
          <w:szCs w:val="16"/>
          <w:color w:val="auto"/>
        </w:rPr>
        <w:t>We expect that our value proposition will generate profitable comparable store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sales growth. The vast majority of our comparable store sales growth over the past five years has been driven by increased traffic. The typical eyewear replacement cycle, which we estimate is two to three years, creates substantial opportunity for us to increase sales from our existing customer base. We continually strive to improve our in-store shopping experience and to enhance our solutions-based service approach to increase the volume of customer traffic to our stores. We also expect to increase customer traffic by improving marketing programs and omni-channel offerings, and by expanding our participation in managed vision care programs. We are currently underpenetrated in the managed vision care market relative to the broader optical retail industry. We expect that these initiatives collectively will help us to attract new customers to our stores and increase the frequency of purchases by our existing customers.</w:t>
      </w:r>
    </w:p>
    <w:p>
      <w:pPr>
        <w:spacing w:after="0" w:line="200" w:lineRule="exact"/>
        <w:rPr>
          <w:sz w:val="20"/>
          <w:szCs w:val="20"/>
          <w:color w:val="auto"/>
        </w:rPr>
      </w:pPr>
    </w:p>
    <w:p>
      <w:pPr>
        <w:spacing w:after="0" w:line="2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7189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2825" cy="6718935"/>
                    </a:xfrm>
                    <a:prstGeom prst="rect">
                      <a:avLst/>
                    </a:prstGeom>
                    <a:noFill/>
                  </pic:spPr>
                </pic:pic>
              </a:graphicData>
            </a:graphic>
          </wp:anchor>
        </w:drawing>
      </w:r>
    </w:p>
    <w:p>
      <w:pPr>
        <w:spacing w:after="0" w:line="246" w:lineRule="exact"/>
        <w:rPr>
          <w:sz w:val="20"/>
          <w:szCs w:val="20"/>
          <w:color w:val="auto"/>
        </w:rPr>
      </w:pPr>
    </w:p>
    <w:p>
      <w:pPr>
        <w:ind w:left="800" w:right="220" w:hanging="342"/>
        <w:spacing w:after="0" w:line="291"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Improve Operating Productivity. </w:t>
      </w:r>
      <w:r>
        <w:rPr>
          <w:rFonts w:ascii="Arial" w:cs="Arial" w:eastAsia="Arial" w:hAnsi="Arial"/>
          <w:sz w:val="16"/>
          <w:szCs w:val="16"/>
          <w:color w:val="auto"/>
        </w:rPr>
        <w:t>We believe that our continued growth will provide further opportunities to improve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margin over time. Growth, both in revenue and stores, will enable us to leverage corporate overhead, our centralized laboratory network and our advertising spend. We expect to benefit from our national network television advertising campaign for America’s Best, which we believe is more cost effective than local market campaigns. This national campaign has helped raise our brand awareness in both existing and new markets, allowing us to save advertising spend when entering new markets. We also believe that continued efficiencies in store operations and technological advancements in our centralized laboratory network will further enhance margins.</w:t>
      </w:r>
    </w:p>
    <w:p>
      <w:pPr>
        <w:spacing w:after="0" w:line="59" w:lineRule="exact"/>
        <w:rPr>
          <w:rFonts w:ascii="Arial" w:cs="Arial" w:eastAsia="Arial" w:hAnsi="Arial"/>
          <w:sz w:val="16"/>
          <w:szCs w:val="16"/>
          <w:color w:val="auto"/>
        </w:rPr>
      </w:pPr>
    </w:p>
    <w:p>
      <w:pPr>
        <w:ind w:left="820" w:right="20"/>
        <w:spacing w:after="0" w:line="272" w:lineRule="auto"/>
        <w:rPr>
          <w:rFonts w:ascii="Arial" w:cs="Arial" w:eastAsia="Arial" w:hAnsi="Arial"/>
          <w:sz w:val="16"/>
          <w:szCs w:val="16"/>
          <w:color w:val="auto"/>
        </w:rPr>
      </w:pPr>
      <w:r>
        <w:rPr>
          <w:rFonts w:ascii="Arial" w:cs="Arial" w:eastAsia="Arial" w:hAnsi="Arial"/>
          <w:sz w:val="17"/>
          <w:szCs w:val="17"/>
          <w:color w:val="auto"/>
        </w:rPr>
        <w:t>In the past three years, we have accelerated store openings of America’s Best and Eyeglass World to 75 stores per annum. Based on the consistency and predictability of the maturation process for our existing store base, we believe that there are significant embedded earnings in these maturing stores. For indicative purposes, assuming that each of our open but not mature America’s Best and Eyeglass World stores as of December 30, 2017 were able to attain the average fifth-year financial performance of our existing mature America’s Best and Eyeglass World stores, we would have generated an additional approximately $58 million of revenues and approximately $48 million of EBITDA for our owned &amp; host segment in fiscal year 2017.</w:t>
      </w:r>
    </w:p>
    <w:p>
      <w:pPr>
        <w:spacing w:after="0" w:line="69" w:lineRule="exact"/>
        <w:rPr>
          <w:rFonts w:ascii="Arial" w:cs="Arial" w:eastAsia="Arial" w:hAnsi="Arial"/>
          <w:sz w:val="16"/>
          <w:szCs w:val="16"/>
          <w:color w:val="auto"/>
        </w:rPr>
      </w:pPr>
    </w:p>
    <w:p>
      <w:pPr>
        <w:ind w:left="800" w:hanging="342"/>
        <w:spacing w:after="0" w:line="287" w:lineRule="auto"/>
        <w:tabs>
          <w:tab w:leader="none" w:pos="80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Leverage Technology to Optimize and Expand the Business. </w:t>
      </w:r>
      <w:r>
        <w:rPr>
          <w:rFonts w:ascii="Arial" w:cs="Arial" w:eastAsia="Arial" w:hAnsi="Arial"/>
          <w:sz w:val="16"/>
          <w:szCs w:val="16"/>
          <w:color w:val="auto"/>
        </w:rPr>
        <w:t>Our experienced management team has consistently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leveraged innovative strategies to grow our business and remain at the forefront of technological development in the optical retail industry. We have invested significantly in technological improvements to position us for future growth. We plan to continue investing in software solutions that further develop our omni-channel platform and enhance our customer engagement capabilities, and we will also continue to invest in tools to improve the quality of the in-store eye exam experience. Since eye exams are a critical service element of our business, we believe that investing in technology to improve this experience will aid in retention of both customers and optometric talent. We are regularly presented with opportunities to invest in technological innovators across the optical retail industry and we have invested $8.6 million in venture-backed emerging companies since June 2014. We believe that these investments provide direct access to optical technology innovators, giving us a deeper understanding of emerging trends and developments. We are thus in a better position to evolve our products and services to meet the needs of our customers.</w:t>
      </w:r>
    </w:p>
    <w:p>
      <w:pPr>
        <w:spacing w:after="0" w:line="64" w:lineRule="exact"/>
        <w:rPr>
          <w:rFonts w:ascii="Arial" w:cs="Arial" w:eastAsia="Arial" w:hAnsi="Arial"/>
          <w:sz w:val="16"/>
          <w:szCs w:val="16"/>
          <w:color w:val="auto"/>
        </w:rPr>
      </w:pPr>
    </w:p>
    <w:p>
      <w:pPr>
        <w:ind w:left="800" w:right="200" w:hanging="342"/>
        <w:spacing w:after="0" w:line="277"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Explore Strategic Opportunities. </w:t>
      </w:r>
      <w:r>
        <w:rPr>
          <w:rFonts w:ascii="Arial" w:cs="Arial" w:eastAsia="Arial" w:hAnsi="Arial"/>
          <w:sz w:val="18"/>
          <w:szCs w:val="18"/>
          <w:color w:val="auto"/>
        </w:rPr>
        <w:t>We will selectively evaluate strategic acquisition opportunities from time to time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 of our growth strategy.</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Risks Related to Our Business and this Offering</w:t>
      </w:r>
    </w:p>
    <w:p>
      <w:pPr>
        <w:spacing w:after="0" w:line="121" w:lineRule="exact"/>
        <w:rPr>
          <w:sz w:val="20"/>
          <w:szCs w:val="20"/>
          <w:color w:val="auto"/>
        </w:rPr>
      </w:pPr>
    </w:p>
    <w:p>
      <w:pPr>
        <w:ind w:left="100" w:right="120" w:firstLine="360"/>
        <w:spacing w:after="0" w:line="264" w:lineRule="auto"/>
        <w:rPr>
          <w:sz w:val="20"/>
          <w:szCs w:val="20"/>
          <w:color w:val="auto"/>
        </w:rPr>
      </w:pPr>
      <w:r>
        <w:rPr>
          <w:rFonts w:ascii="Arial" w:cs="Arial" w:eastAsia="Arial" w:hAnsi="Arial"/>
          <w:sz w:val="18"/>
          <w:szCs w:val="18"/>
          <w:color w:val="auto"/>
        </w:rPr>
        <w:t>Investing in our common stock involves substantial risk, and our ability to successfully operate our business is subject to numerous risks, including those that are generally associated with operating in the optical retail industry. Below is a summary of some of the principal risks we face:</w:t>
      </w:r>
    </w:p>
    <w:p>
      <w:pPr>
        <w:spacing w:after="0" w:line="73" w:lineRule="exact"/>
        <w:rPr>
          <w:sz w:val="20"/>
          <w:szCs w:val="20"/>
          <w:color w:val="auto"/>
        </w:rPr>
      </w:pPr>
    </w:p>
    <w:p>
      <w:pPr>
        <w:ind w:left="800" w:hanging="342"/>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800" w:right="160" w:hanging="342"/>
        <w:spacing w:after="0" w:line="277"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loss of, or disruption in the operations of, one or more of our distribution centers and/or optical laboratories;</w:t>
      </w:r>
    </w:p>
    <w:p>
      <w:pPr>
        <w:spacing w:after="0" w:line="128" w:lineRule="exact"/>
        <w:rPr>
          <w:rFonts w:ascii="Arial" w:cs="Arial" w:eastAsia="Arial" w:hAnsi="Arial"/>
          <w:sz w:val="17"/>
          <w:szCs w:val="17"/>
          <w:color w:val="auto"/>
        </w:rPr>
      </w:pPr>
    </w:p>
    <w:p>
      <w:pPr>
        <w:ind w:left="800" w:hanging="342"/>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5964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2825" cy="5964555"/>
                    </a:xfrm>
                    <a:prstGeom prst="rect">
                      <a:avLst/>
                    </a:prstGeom>
                    <a:noFill/>
                  </pic:spPr>
                </pic:pic>
              </a:graphicData>
            </a:graphic>
          </wp:anchor>
        </w:drawing>
      </w:r>
    </w:p>
    <w:p>
      <w:pPr>
        <w:spacing w:after="0" w:line="246" w:lineRule="exact"/>
        <w:rPr>
          <w:sz w:val="20"/>
          <w:szCs w:val="20"/>
          <w:color w:val="auto"/>
        </w:rPr>
      </w:pPr>
    </w:p>
    <w:p>
      <w:pPr>
        <w:ind w:left="800" w:hanging="34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 and</w:t>
      </w:r>
    </w:p>
    <w:p>
      <w:pPr>
        <w:spacing w:after="0" w:line="117" w:lineRule="exact"/>
        <w:rPr>
          <w:rFonts w:ascii="Arial" w:cs="Arial" w:eastAsia="Arial" w:hAnsi="Arial"/>
          <w:sz w:val="18"/>
          <w:szCs w:val="18"/>
          <w:color w:val="auto"/>
        </w:rPr>
      </w:pPr>
    </w:p>
    <w:p>
      <w:pPr>
        <w:ind w:left="800" w:hanging="342"/>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sz w:val="20"/>
          <w:szCs w:val="20"/>
          <w:color w:val="auto"/>
        </w:rPr>
      </w:pPr>
    </w:p>
    <w:p>
      <w:pPr>
        <w:ind w:left="100" w:right="40" w:firstLine="360"/>
        <w:spacing w:after="0" w:line="276" w:lineRule="auto"/>
        <w:rPr>
          <w:sz w:val="20"/>
          <w:szCs w:val="20"/>
          <w:color w:val="auto"/>
        </w:rPr>
      </w:pPr>
      <w:r>
        <w:rPr>
          <w:rFonts w:ascii="Arial" w:cs="Arial" w:eastAsia="Arial" w:hAnsi="Arial"/>
          <w:sz w:val="17"/>
          <w:szCs w:val="17"/>
          <w:color w:val="auto"/>
        </w:rPr>
        <w:t>Any of the factors set forth under “Risk Factors” in this prospectus and under “Risk Factors” in our Annual Report, which is incorporated herein by reference, may limit our ability to successfully execute our business strategy. You should carefully consider all of the information set forth, or incorporated by reference, in this prospectus and, in particular, should evaluate the specific factors set forth under “Risk Factors” in this prospectus and under “Risk Factors” in our Annual Report, which is incorporated herein by reference, in deciding whether to invest in our common stock.</w:t>
      </w:r>
    </w:p>
    <w:p>
      <w:pPr>
        <w:spacing w:after="0" w:line="16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Corporate History and Information</w:t>
      </w:r>
    </w:p>
    <w:p>
      <w:pPr>
        <w:spacing w:after="0" w:line="121" w:lineRule="exact"/>
        <w:rPr>
          <w:sz w:val="20"/>
          <w:szCs w:val="20"/>
          <w:color w:val="auto"/>
        </w:rPr>
      </w:pPr>
    </w:p>
    <w:p>
      <w:pPr>
        <w:ind w:left="100" w:right="120" w:firstLine="360"/>
        <w:spacing w:after="0" w:line="259" w:lineRule="auto"/>
        <w:rPr>
          <w:sz w:val="20"/>
          <w:szCs w:val="20"/>
          <w:color w:val="auto"/>
        </w:rPr>
      </w:pPr>
      <w:r>
        <w:rPr>
          <w:rFonts w:ascii="Arial" w:cs="Arial" w:eastAsia="Arial" w:hAnsi="Arial"/>
          <w:sz w:val="18"/>
          <w:szCs w:val="18"/>
          <w:color w:val="auto"/>
        </w:rPr>
        <w:t>Through its predecessors, NVI commenced operations in 1990. In 2005, private equity funds managed by Berkshire acquired both NVI and Consolidated Vision Group, Inc., which operated America’s Best stores, and merged these entities, with NVI surviving. In 2009, NVI acquired the Eyeglass World store chain. In 2011, after a multi-year partnership, NVI acquired AC Lens to bolster its e-commerce platform.</w:t>
      </w:r>
    </w:p>
    <w:p>
      <w:pPr>
        <w:spacing w:after="0" w:line="79" w:lineRule="exact"/>
        <w:rPr>
          <w:sz w:val="20"/>
          <w:szCs w:val="20"/>
          <w:color w:val="auto"/>
        </w:rPr>
      </w:pPr>
    </w:p>
    <w:p>
      <w:pPr>
        <w:ind w:left="100" w:right="80" w:firstLine="360"/>
        <w:spacing w:after="0" w:line="257" w:lineRule="auto"/>
        <w:rPr>
          <w:sz w:val="20"/>
          <w:szCs w:val="20"/>
          <w:color w:val="auto"/>
        </w:rPr>
      </w:pPr>
      <w:r>
        <w:rPr>
          <w:rFonts w:ascii="Arial" w:cs="Arial" w:eastAsia="Arial" w:hAnsi="Arial"/>
          <w:sz w:val="18"/>
          <w:szCs w:val="18"/>
          <w:color w:val="auto"/>
        </w:rPr>
        <w:t>In March 2014, NVI was acquired by affiliates of KKR Sponsor. National Vision Holdings, Inc. was incorporated in Delaware on February 14, 2014 under the name “Nautilus Parent, Inc.” and NVI became our wholly-owned subsidiary in connection with the KKR Acquisition. We changed our name to “National Vision Holdings, Inc.” in June 2017. Our common stock began trading on NASDAQ under the symbol “EYE” on October 26, 2017 and we consummated our initial public offering of our common stock, or the IPO, on October 30, 2017.</w:t>
      </w:r>
    </w:p>
    <w:p>
      <w:pPr>
        <w:spacing w:after="0" w:line="80" w:lineRule="exact"/>
        <w:rPr>
          <w:sz w:val="20"/>
          <w:szCs w:val="20"/>
          <w:color w:val="auto"/>
        </w:rPr>
      </w:pPr>
    </w:p>
    <w:p>
      <w:pPr>
        <w:ind w:left="100" w:right="60" w:firstLine="360"/>
        <w:spacing w:after="0" w:line="279" w:lineRule="auto"/>
        <w:rPr>
          <w:sz w:val="20"/>
          <w:szCs w:val="20"/>
          <w:color w:val="auto"/>
        </w:rPr>
      </w:pPr>
      <w:r>
        <w:rPr>
          <w:rFonts w:ascii="Arial" w:cs="Arial" w:eastAsia="Arial" w:hAnsi="Arial"/>
          <w:sz w:val="17"/>
          <w:szCs w:val="17"/>
          <w:color w:val="auto"/>
        </w:rPr>
        <w:t xml:space="preserve">Our principal executive offices are located at 2435 Commerce Avenue, Bldg. 2200, Duluth, Georgia 30096. The telephone number of our principal executive offices is (770) 822-3600. We maintain a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contained on, or that can be accessed through, our corporate website or other company websites referenced elsewhere in this prospectus neither constitutes part of this prospectus nor is incorporated by reference herein.</w:t>
      </w:r>
    </w:p>
    <w:p>
      <w:pPr>
        <w:spacing w:after="0" w:line="16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KKR &amp; Co.</w:t>
      </w:r>
    </w:p>
    <w:p>
      <w:pPr>
        <w:spacing w:after="0" w:line="121" w:lineRule="exact"/>
        <w:rPr>
          <w:sz w:val="20"/>
          <w:szCs w:val="20"/>
          <w:color w:val="auto"/>
        </w:rPr>
      </w:pPr>
    </w:p>
    <w:p>
      <w:pPr>
        <w:ind w:left="100" w:firstLine="360"/>
        <w:spacing w:after="0" w:line="255" w:lineRule="auto"/>
        <w:rPr>
          <w:sz w:val="20"/>
          <w:szCs w:val="20"/>
          <w:color w:val="auto"/>
        </w:rPr>
      </w:pPr>
      <w:r>
        <w:rPr>
          <w:rFonts w:ascii="Arial" w:cs="Arial" w:eastAsia="Arial" w:hAnsi="Arial"/>
          <w:sz w:val="18"/>
          <w:szCs w:val="18"/>
          <w:color w:val="auto"/>
        </w:rPr>
        <w:t>KKR &amp; Co. L.P., which, together with its subsidiaries, we refer to as KKR &amp; Co., is a leading global investment firm that manages multiple alternative asset classes including private equity, energy, infrastructure, real estate and credit, with its strategic manager partnerships that manage hedge funds. KKR &amp; Co. aims to generate attractive investment returns for its fund investors by following a patient and disciplined investment approach, employing world-class people, and driving growth and value creation with its portfolio companies. KKR &amp; Co. invests its own capital alongside the capital it manages for fund investors and provides financing solutions and investment opportunities through its capital markets business. KKR &amp; Co. L.P. is listed on The New York Stock Exchange (NYSE: KKR).</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About Berkshire</w:t>
      </w:r>
    </w:p>
    <w:p>
      <w:pPr>
        <w:spacing w:after="0" w:line="121" w:lineRule="exact"/>
        <w:rPr>
          <w:sz w:val="20"/>
          <w:szCs w:val="20"/>
          <w:color w:val="auto"/>
        </w:rPr>
      </w:pPr>
    </w:p>
    <w:p>
      <w:pPr>
        <w:ind w:left="100" w:right="280" w:firstLine="360"/>
        <w:spacing w:after="0" w:line="257" w:lineRule="auto"/>
        <w:rPr>
          <w:sz w:val="20"/>
          <w:szCs w:val="20"/>
          <w:color w:val="auto"/>
        </w:rPr>
      </w:pPr>
      <w:r>
        <w:rPr>
          <w:rFonts w:ascii="Arial" w:cs="Arial" w:eastAsia="Arial" w:hAnsi="Arial"/>
          <w:sz w:val="18"/>
          <w:szCs w:val="18"/>
          <w:color w:val="auto"/>
        </w:rPr>
        <w:t>Berkshire, a Boston-based investment firm, has raised nine private equity funds with more than $16 billion in aggregate capital and has made over 120 investments in primarily middle market companies since its founding in 1986. Berkshire has developed specific industry experience in several areas including consumer and retail, communications, business services, industrials and healthcare. Berkshire has a strong history of partnering with management teams to grow companies in which it invests.</w:t>
      </w: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3074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92825" cy="6307455"/>
                    </a:xfrm>
                    <a:prstGeom prst="rect">
                      <a:avLst/>
                    </a:prstGeom>
                    <a:noFill/>
                  </pic:spPr>
                </pic:pic>
              </a:graphicData>
            </a:graphic>
          </wp:anchor>
        </w:drawing>
      </w:r>
    </w:p>
    <w:p>
      <w:pPr>
        <w:spacing w:after="0" w:line="35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340" w:type="dxa"/>
            <w:vAlign w:val="bottom"/>
            <w:gridSpan w:val="3"/>
          </w:tcPr>
          <w:p>
            <w:pPr>
              <w:ind w:left="160"/>
              <w:spacing w:after="0"/>
              <w:rPr>
                <w:sz w:val="20"/>
                <w:szCs w:val="20"/>
                <w:color w:val="auto"/>
              </w:rPr>
            </w:pPr>
            <w:r>
              <w:rPr>
                <w:rFonts w:ascii="Arial" w:cs="Arial" w:eastAsia="Arial" w:hAnsi="Arial"/>
                <w:sz w:val="18"/>
                <w:szCs w:val="18"/>
                <w:b w:val="1"/>
                <w:bCs w:val="1"/>
                <w:color w:val="auto"/>
              </w:rPr>
              <w:t>The Offering</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offered by the selling stockholders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10,000,000 shares.</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w w:val="95"/>
              </w:rPr>
              <w:t>Underwriters’ option to purchase additional shares of</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The selling stockholders have granted the underwriters a 30-day</w:t>
            </w:r>
          </w:p>
        </w:tc>
      </w:tr>
      <w:tr>
        <w:trPr>
          <w:trHeight w:val="216"/>
        </w:trPr>
        <w:tc>
          <w:tcPr>
            <w:tcW w:w="402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option to purchase up to 1,500,000 additional shares of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stock at the public offering price, less underwriting discounts and</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commissions.</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Common stock outstanding</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74,656,175 shares (as of February 28, 2018)</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Use of proceeds</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We will not receive any proceeds from the sale of shares being sold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this offering, including from any exercise by the underwriters of their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option to purchase additional shares. The selling stockholders will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receive all of the net proceeds and bear all commissions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discounts, if any, from the sale of our common stock pursuant to this</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prospectus. See “Use of Proceeds” and “Selling Stockholders.”</w:t>
            </w:r>
          </w:p>
        </w:tc>
      </w:tr>
      <w:tr>
        <w:trPr>
          <w:trHeight w:val="284"/>
        </w:trPr>
        <w:tc>
          <w:tcPr>
            <w:tcW w:w="4020" w:type="dxa"/>
            <w:vAlign w:val="bottom"/>
          </w:tcPr>
          <w:p>
            <w:pPr>
              <w:spacing w:after="0"/>
              <w:rPr>
                <w:sz w:val="20"/>
                <w:szCs w:val="20"/>
                <w:color w:val="auto"/>
              </w:rPr>
            </w:pPr>
            <w:r>
              <w:rPr>
                <w:rFonts w:ascii="Arial" w:cs="Arial" w:eastAsia="Arial" w:hAnsi="Arial"/>
                <w:sz w:val="18"/>
                <w:szCs w:val="18"/>
                <w:color w:val="auto"/>
              </w:rPr>
              <w:t>Risk factors</w:t>
            </w:r>
          </w:p>
        </w:tc>
        <w:tc>
          <w:tcPr>
            <w:tcW w:w="5340" w:type="dxa"/>
            <w:vAlign w:val="bottom"/>
            <w:gridSpan w:val="3"/>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See “Risk Factors” beginning on page </w:t>
            </w:r>
            <w:hyperlink w:anchor="page28">
              <w:r>
                <w:rPr>
                  <w:rFonts w:ascii="Arial" w:cs="Arial" w:eastAsia="Arial" w:hAnsi="Arial"/>
                  <w:sz w:val="18"/>
                  <w:szCs w:val="18"/>
                  <w:color w:val="0000EE"/>
                  <w:w w:val="99"/>
                </w:rPr>
                <w:t>17</w:t>
              </w:r>
              <w:r>
                <w:rPr>
                  <w:rFonts w:ascii="Arial" w:cs="Arial" w:eastAsia="Arial" w:hAnsi="Arial"/>
                  <w:sz w:val="18"/>
                  <w:szCs w:val="18"/>
                  <w:color w:val="auto"/>
                  <w:w w:val="99"/>
                </w:rPr>
                <w:t xml:space="preserve"> </w:t>
              </w:r>
            </w:hyperlink>
            <w:r>
              <w:rPr>
                <w:rFonts w:ascii="Arial" w:cs="Arial" w:eastAsia="Arial" w:hAnsi="Arial"/>
                <w:sz w:val="18"/>
                <w:szCs w:val="18"/>
                <w:color w:val="auto"/>
                <w:w w:val="99"/>
              </w:rPr>
              <w:t>and other information</w:t>
            </w:r>
          </w:p>
        </w:tc>
      </w:tr>
      <w:tr>
        <w:trPr>
          <w:trHeight w:val="20"/>
        </w:trPr>
        <w:tc>
          <w:tcPr>
            <w:tcW w:w="40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r>
      <w:tr>
        <w:trPr>
          <w:trHeight w:val="222"/>
        </w:trPr>
        <w:tc>
          <w:tcPr>
            <w:tcW w:w="4020" w:type="dxa"/>
            <w:vAlign w:val="bottom"/>
          </w:tcPr>
          <w:p>
            <w:pPr>
              <w:spacing w:after="0"/>
              <w:rPr>
                <w:sz w:val="19"/>
                <w:szCs w:val="19"/>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included, and incorporated by reference, in this prospectus for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1"/>
              </w:rPr>
              <w:t>discussion of factors you should carefully consider before deciding to</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invest in our common stock.</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Dividend policy</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We do not currently anticipate paying any dividends on our common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stock and currently expect to retain all future earnings for use in the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operation and expansion of our business. Any decision to declare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pay dividends in the future will be made at the sole discretion of our</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2"/>
              </w:rPr>
              <w:t>Board of Directors and will depend on various factors. See “Dividend</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Policy.”</w:t>
            </w:r>
          </w:p>
        </w:tc>
      </w:tr>
      <w:tr>
        <w:trPr>
          <w:trHeight w:val="310"/>
        </w:trPr>
        <w:tc>
          <w:tcPr>
            <w:tcW w:w="4020" w:type="dxa"/>
            <w:vAlign w:val="bottom"/>
          </w:tcPr>
          <w:p>
            <w:pPr>
              <w:spacing w:after="0"/>
              <w:rPr>
                <w:sz w:val="20"/>
                <w:szCs w:val="20"/>
                <w:color w:val="auto"/>
              </w:rPr>
            </w:pPr>
            <w:r>
              <w:rPr>
                <w:rFonts w:ascii="Arial" w:cs="Arial" w:eastAsia="Arial" w:hAnsi="Arial"/>
                <w:sz w:val="18"/>
                <w:szCs w:val="18"/>
                <w:color w:val="auto"/>
              </w:rPr>
              <w:t>Conflicts of Interest</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Affiliates of KKR Sponsor beneficially own (through investment in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7"/>
              </w:rPr>
              <w:t>KKR Vision Aggregator L.P.) in excess of 10% of our issued and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outstanding common stock. Because KKR Capital Markets LLC, an</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8"/>
              </w:rPr>
              <w:t>affiliate of KKR Sponsor, is an underwriter in this offering and its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affiliates own in excess of 10% of our issued and outstanding</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common stock, KKR Capital Markets LLC is deemed to have a</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3"/>
              </w:rPr>
              <w:t>“conflict of interest” under Rule 5121, or Rule 5121, of the Financial</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Industry Regulatory Authority, Inc., or FINRA. Accordingly,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4"/>
              </w:rPr>
              <w:t>offering is being made in compliance with the requirements of Rule</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5121. Pursuant to that rule, the appointment of a “qualified</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independent underwriter” is not required in connection with this</w:t>
            </w:r>
          </w:p>
        </w:tc>
      </w:tr>
      <w:tr>
        <w:trPr>
          <w:trHeight w:val="216"/>
        </w:trPr>
        <w:tc>
          <w:tcPr>
            <w:tcW w:w="4020" w:type="dxa"/>
            <w:vAlign w:val="bottom"/>
          </w:tcPr>
          <w:p>
            <w:pPr>
              <w:spacing w:after="0"/>
              <w:rPr>
                <w:sz w:val="18"/>
                <w:szCs w:val="18"/>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0"/>
              </w:rPr>
              <w:t>offering as a bona fide public market exists in the shares, as that term</w:t>
            </w:r>
          </w:p>
        </w:tc>
      </w:tr>
      <w:tr>
        <w:trPr>
          <w:trHeight w:val="230"/>
        </w:trPr>
        <w:tc>
          <w:tcPr>
            <w:tcW w:w="4020" w:type="dxa"/>
            <w:vAlign w:val="bottom"/>
          </w:tcPr>
          <w:p>
            <w:pPr>
              <w:spacing w:after="0"/>
              <w:rPr>
                <w:sz w:val="20"/>
                <w:szCs w:val="20"/>
                <w:color w:val="auto"/>
              </w:rPr>
            </w:pP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w w:val="96"/>
              </w:rPr>
              <w:t>is defined in Rule 5121. See “Underwriting (Conflicts of Interest).”</w:t>
            </w:r>
          </w:p>
        </w:tc>
      </w:tr>
      <w:tr>
        <w:trPr>
          <w:trHeight w:val="324"/>
        </w:trPr>
        <w:tc>
          <w:tcPr>
            <w:tcW w:w="4020" w:type="dxa"/>
            <w:vAlign w:val="bottom"/>
          </w:tcPr>
          <w:p>
            <w:pPr>
              <w:spacing w:after="0"/>
              <w:rPr>
                <w:sz w:val="20"/>
                <w:szCs w:val="20"/>
                <w:color w:val="auto"/>
              </w:rPr>
            </w:pPr>
            <w:r>
              <w:rPr>
                <w:rFonts w:ascii="Arial" w:cs="Arial" w:eastAsia="Arial" w:hAnsi="Arial"/>
                <w:sz w:val="18"/>
                <w:szCs w:val="18"/>
                <w:color w:val="auto"/>
              </w:rPr>
              <w:t>NASDAQ ticker symbol</w:t>
            </w:r>
          </w:p>
        </w:tc>
        <w:tc>
          <w:tcPr>
            <w:tcW w:w="5340" w:type="dxa"/>
            <w:vAlign w:val="bottom"/>
            <w:gridSpan w:val="3"/>
          </w:tcPr>
          <w:p>
            <w:pPr>
              <w:ind w:left="300"/>
              <w:spacing w:after="0"/>
              <w:rPr>
                <w:sz w:val="20"/>
                <w:szCs w:val="20"/>
                <w:color w:val="auto"/>
              </w:rPr>
            </w:pPr>
            <w:r>
              <w:rPr>
                <w:rFonts w:ascii="Arial" w:cs="Arial" w:eastAsia="Arial" w:hAnsi="Arial"/>
                <w:sz w:val="18"/>
                <w:szCs w:val="18"/>
                <w:color w:val="auto"/>
              </w:rPr>
              <w:t>“EYE”</w:t>
            </w:r>
          </w:p>
        </w:tc>
      </w:tr>
    </w:tbl>
    <w:p>
      <w:pPr>
        <w:spacing w:after="0" w:line="94" w:lineRule="exact"/>
        <w:rPr>
          <w:sz w:val="20"/>
          <w:szCs w:val="20"/>
          <w:color w:val="auto"/>
        </w:rPr>
      </w:pPr>
    </w:p>
    <w:p>
      <w:pPr>
        <w:ind w:left="100" w:right="260" w:firstLine="360"/>
        <w:spacing w:after="0" w:line="277" w:lineRule="auto"/>
        <w:rPr>
          <w:sz w:val="20"/>
          <w:szCs w:val="20"/>
          <w:color w:val="auto"/>
        </w:rPr>
      </w:pPr>
      <w:r>
        <w:rPr>
          <w:rFonts w:ascii="Arial" w:cs="Arial" w:eastAsia="Arial" w:hAnsi="Arial"/>
          <w:sz w:val="18"/>
          <w:szCs w:val="18"/>
          <w:color w:val="auto"/>
        </w:rPr>
        <w:t>Unless we indicate otherwise or the context otherwise requires, all information in this prospectus reflects and assumes no exercise of the underwriters’ option to purchase 1,500,000 additional shares of our common stock.</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260286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092825" cy="2602865"/>
                    </a:xfrm>
                    <a:prstGeom prst="rect">
                      <a:avLst/>
                    </a:prstGeom>
                    <a:noFill/>
                  </pic:spPr>
                </pic:pic>
              </a:graphicData>
            </a:graphic>
          </wp:anchor>
        </w:drawing>
      </w:r>
    </w:p>
    <w:p>
      <w:pPr>
        <w:spacing w:after="0" w:line="246" w:lineRule="exact"/>
        <w:rPr>
          <w:sz w:val="20"/>
          <w:szCs w:val="20"/>
          <w:color w:val="auto"/>
        </w:rPr>
      </w:pPr>
    </w:p>
    <w:p>
      <w:pPr>
        <w:ind w:left="100" w:firstLine="360"/>
        <w:spacing w:after="0" w:line="264" w:lineRule="auto"/>
        <w:rPr>
          <w:sz w:val="20"/>
          <w:szCs w:val="20"/>
          <w:color w:val="auto"/>
        </w:rPr>
      </w:pPr>
      <w:r>
        <w:rPr>
          <w:rFonts w:ascii="Arial" w:cs="Arial" w:eastAsia="Arial" w:hAnsi="Arial"/>
          <w:sz w:val="18"/>
          <w:szCs w:val="18"/>
          <w:color w:val="auto"/>
        </w:rPr>
        <w:t>Additionally, the number of shares of our common stock to be outstanding after this offering is based on 74,656,175 of shares of our common stock outstanding as of February 28, 2018, including 8,720 shares of restricted stock outstanding, and does not reflect:</w:t>
      </w:r>
    </w:p>
    <w:p>
      <w:pPr>
        <w:spacing w:after="0" w:line="73" w:lineRule="exact"/>
        <w:rPr>
          <w:sz w:val="20"/>
          <w:szCs w:val="20"/>
          <w:color w:val="auto"/>
        </w:rPr>
      </w:pPr>
    </w:p>
    <w:p>
      <w:pPr>
        <w:ind w:left="800" w:right="100" w:hanging="342"/>
        <w:spacing w:after="0" w:line="290" w:lineRule="auto"/>
        <w:tabs>
          <w:tab w:leader="none" w:pos="8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10,608,559 shares of common stock issuable upon the exercise of options outstanding as of February 28, 2018, (1) of which 1,843,550 were then vested and exercisable and (2) of which 4,084,407 were time-based options and 6,524,152 were performance-based options. The performance-based options (other than 217,390 performance-based options held by Jeff McAllister, which have different vesting terms and 43,478 of which have vested), have not previously vested, will not vest upon the consummation of this offering and are eligible to vest only upon affiliates of KKR Sponsor achieving certain internal rate of return threshold and multiples of invested capital. See “Executive Compensation— Narrative to Summary Compensation Table and 2017 Grants of Plan-Based Awards—Equity Awards” in our Annual Report, which is incorporated herein by reference, for additional details around vesting terms;</w:t>
      </w:r>
    </w:p>
    <w:p>
      <w:pPr>
        <w:spacing w:after="0" w:line="58" w:lineRule="exact"/>
        <w:rPr>
          <w:rFonts w:ascii="Arial" w:cs="Arial" w:eastAsia="Arial" w:hAnsi="Arial"/>
          <w:sz w:val="16"/>
          <w:szCs w:val="16"/>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182,234 restricted stock units outstanding as of February 28, 2018;</w:t>
      </w:r>
    </w:p>
    <w:p>
      <w:pPr>
        <w:spacing w:after="0" w:line="117" w:lineRule="exact"/>
        <w:rPr>
          <w:rFonts w:ascii="Arial" w:cs="Arial" w:eastAsia="Arial" w:hAnsi="Arial"/>
          <w:sz w:val="18"/>
          <w:szCs w:val="18"/>
          <w:color w:val="auto"/>
        </w:rPr>
      </w:pPr>
    </w:p>
    <w:p>
      <w:pPr>
        <w:ind w:left="800" w:right="140" w:hanging="342"/>
        <w:spacing w:after="0" w:line="277"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3,794,775 shares of common stock available for issuance under our 2014 Stock Incentive Plan and our 2017 Omnibus Incentive Plan; and</w:t>
      </w:r>
    </w:p>
    <w:p>
      <w:pPr>
        <w:spacing w:after="0" w:line="62" w:lineRule="exact"/>
        <w:rPr>
          <w:rFonts w:ascii="Arial" w:cs="Arial" w:eastAsia="Arial" w:hAnsi="Arial"/>
          <w:sz w:val="18"/>
          <w:szCs w:val="18"/>
          <w:color w:val="auto"/>
        </w:rPr>
      </w:pPr>
    </w:p>
    <w:p>
      <w:pPr>
        <w:ind w:left="800" w:hanging="342"/>
        <w:spacing w:after="0"/>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exercises of vested options by the management selling stockholders in connection with this offering.</w:t>
      </w: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79965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092825" cy="7996555"/>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Summary Historical Consolidated Financial and Other Data</w:t>
      </w:r>
    </w:p>
    <w:p>
      <w:pPr>
        <w:spacing w:after="0" w:line="121" w:lineRule="exact"/>
        <w:rPr>
          <w:sz w:val="20"/>
          <w:szCs w:val="20"/>
          <w:color w:val="auto"/>
        </w:rPr>
      </w:pPr>
    </w:p>
    <w:p>
      <w:pPr>
        <w:ind w:left="100" w:firstLine="360"/>
        <w:spacing w:after="0" w:line="271" w:lineRule="auto"/>
        <w:rPr>
          <w:sz w:val="20"/>
          <w:szCs w:val="20"/>
          <w:color w:val="auto"/>
        </w:rPr>
      </w:pPr>
      <w:r>
        <w:rPr>
          <w:rFonts w:ascii="Arial" w:cs="Arial" w:eastAsia="Arial" w:hAnsi="Arial"/>
          <w:sz w:val="17"/>
          <w:szCs w:val="17"/>
          <w:color w:val="auto"/>
        </w:rPr>
        <w:t>Set forth below is our summary historical consolidated financial and other data as of the dates and for the periods indicated. The summary historical financial data as of December 31, 2016 and December 30, 2017 and for the years ended January 2, 2016, December 31, 2016 and December 30, 2017 has been derived from our audited consolidated financial statements and related notes thereto incorporated by reference in this prospectus, and the summary historical financial data as of January 2, 2016 has been derived from our audited consolidated financial statements and related notes thereto not included or incorporated by reference in this prospectus. The results of operations for any period are not necessarily indicative of the results to be expected for any future period. Share and per share data in the table below has been retroactively adjusted to give effect to the 1.96627-for-one reverse stock split, effected on October 24, 2017.</w:t>
      </w:r>
    </w:p>
    <w:p>
      <w:pPr>
        <w:spacing w:after="0" w:line="71" w:lineRule="exact"/>
        <w:rPr>
          <w:sz w:val="20"/>
          <w:szCs w:val="20"/>
          <w:color w:val="auto"/>
        </w:rPr>
      </w:pPr>
    </w:p>
    <w:p>
      <w:pPr>
        <w:ind w:left="100" w:right="40" w:firstLine="360"/>
        <w:spacing w:after="0" w:line="259" w:lineRule="auto"/>
        <w:rPr>
          <w:sz w:val="20"/>
          <w:szCs w:val="20"/>
          <w:color w:val="auto"/>
        </w:rPr>
      </w:pPr>
      <w:r>
        <w:rPr>
          <w:rFonts w:ascii="Arial" w:cs="Arial" w:eastAsia="Arial" w:hAnsi="Arial"/>
          <w:sz w:val="18"/>
          <w:szCs w:val="18"/>
          <w:color w:val="auto"/>
        </w:rPr>
        <w:t>The summary historical consolidated financial and other data should be read in conjunction with, and are qualified by reference to, “Capitalization” in this prospectus, as well as the section entitled “Selected Financial Data,” “Management’s Discussion and Analysis of Financial Condition and Results of Operations” and our audited consolidated financial statements and related notes thereto incorporated by reference in this prospectus.</w:t>
      </w:r>
    </w:p>
    <w:p>
      <w:pPr>
        <w:spacing w:after="0" w:line="43" w:lineRule="exact"/>
        <w:rPr>
          <w:sz w:val="20"/>
          <w:szCs w:val="20"/>
          <w:color w:val="auto"/>
        </w:rPr>
      </w:pPr>
    </w:p>
    <w:tbl>
      <w:tblPr>
        <w:tblLayout w:type="fixed"/>
        <w:tblInd w:w="10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Year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December 30,</w:t>
            </w:r>
          </w:p>
        </w:tc>
        <w:tc>
          <w:tcPr>
            <w:tcW w:w="0" w:type="dxa"/>
            <w:vAlign w:val="bottom"/>
          </w:tcPr>
          <w:p>
            <w:pPr>
              <w:spacing w:after="0"/>
              <w:rPr>
                <w:sz w:val="1"/>
                <w:szCs w:val="1"/>
                <w:color w:val="auto"/>
              </w:rPr>
            </w:pPr>
          </w:p>
        </w:tc>
      </w:tr>
      <w:tr>
        <w:trPr>
          <w:trHeight w:val="171"/>
        </w:trPr>
        <w:tc>
          <w:tcPr>
            <w:tcW w:w="520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amounts and store data)</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January 2, 2016</w:t>
            </w:r>
          </w:p>
        </w:tc>
        <w:tc>
          <w:tcPr>
            <w:tcW w:w="120" w:type="dxa"/>
            <w:vAlign w:val="bottom"/>
          </w:tcPr>
          <w:p>
            <w:pPr>
              <w:spacing w:after="0"/>
              <w:rPr>
                <w:sz w:val="14"/>
                <w:szCs w:val="14"/>
                <w:color w:val="auto"/>
              </w:rPr>
            </w:pPr>
          </w:p>
        </w:tc>
        <w:tc>
          <w:tcPr>
            <w:tcW w:w="1020" w:type="dxa"/>
            <w:vAlign w:val="bottom"/>
          </w:tcPr>
          <w:p>
            <w:pPr>
              <w:jc w:val="center"/>
              <w:ind w:right="52"/>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revenue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1,062,528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1,196,195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1,375,308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applicable to revenue</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491,100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544,781</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636,966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2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526,751</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585,030</w:t>
            </w: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671,106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44,677</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66,384</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67,236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36,741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39,092</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55,536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Debt issuance costs</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Earnings before income taxes</w:t>
            </w:r>
          </w:p>
        </w:tc>
        <w:tc>
          <w:tcPr>
            <w:tcW w:w="200" w:type="dxa"/>
            <w:vAlign w:val="bottom"/>
            <w:tcBorders>
              <w:top w:val="single" w:sz="8" w:color="CCEEFF"/>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5,385</w:t>
            </w:r>
          </w:p>
        </w:tc>
        <w:tc>
          <w:tcPr>
            <w:tcW w:w="18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27,292</w:t>
            </w:r>
          </w:p>
        </w:tc>
        <w:tc>
          <w:tcPr>
            <w:tcW w:w="180" w:type="dxa"/>
            <w:vAlign w:val="bottom"/>
            <w:tcBorders>
              <w:top w:val="single" w:sz="8" w:color="CCEEFF"/>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7,173</w:t>
            </w:r>
          </w:p>
        </w:tc>
        <w:tc>
          <w:tcPr>
            <w:tcW w:w="8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 provision</w:t>
            </w:r>
          </w:p>
        </w:tc>
        <w:tc>
          <w:tcPr>
            <w:tcW w:w="2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(38,647)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3780" w:type="dxa"/>
            <w:vAlign w:val="bottom"/>
            <w:shd w:val="clear" w:color="auto" w:fill="CCEEFF"/>
          </w:tcPr>
          <w:p>
            <w:pPr>
              <w:spacing w:after="0"/>
              <w:rPr>
                <w:sz w:val="2"/>
                <w:szCs w:val="2"/>
                <w:color w:val="auto"/>
              </w:rPr>
            </w:pPr>
          </w:p>
        </w:tc>
        <w:tc>
          <w:tcPr>
            <w:tcW w:w="20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auto"/>
            </w:tcBorders>
            <w:shd w:val="clear" w:color="auto" w:fill="000000"/>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3,617</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14,758</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w:t>
            </w:r>
            <w:r>
              <w:rPr>
                <w:rFonts w:ascii="Arial" w:cs="Arial" w:eastAsia="Arial" w:hAnsi="Arial"/>
                <w:sz w:val="18"/>
                <w:szCs w:val="18"/>
                <w:color w:val="auto"/>
              </w:rPr>
              <w:t>:</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0.77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shares outstanding</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56,185</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59,895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55,962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57,001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Cash Flow Data:</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83,131</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97,588</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90,252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(80,051)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(91,664)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(94,827)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Net cash (used for) provided by financing activities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(4,317)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(6,574)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Sheet Data (at period end):</w:t>
            </w:r>
          </w:p>
        </w:tc>
        <w:tc>
          <w:tcPr>
            <w:tcW w:w="200" w:type="dxa"/>
            <w:vAlign w:val="bottom"/>
            <w:tcBorders>
              <w:right w:val="single" w:sz="8" w:color="CCEEFF"/>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5,595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4,945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1,475,595</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1,531,117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1,583,791</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747,825</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745,625</w:t>
            </w:r>
          </w:p>
        </w:tc>
        <w:tc>
          <w:tcPr>
            <w:tcW w:w="1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569,238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386,230</w:t>
            </w: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401,887</w:t>
            </w:r>
          </w:p>
        </w:tc>
        <w:tc>
          <w:tcPr>
            <w:tcW w:w="180" w:type="dxa"/>
            <w:vAlign w:val="bottom"/>
            <w:tcBorders>
              <w:right w:val="single" w:sz="8" w:color="CCEEFF"/>
            </w:tcBorders>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659,588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 (unaudited)</w:t>
            </w: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stores open at period end</w:t>
            </w:r>
          </w:p>
        </w:tc>
        <w:tc>
          <w:tcPr>
            <w:tcW w:w="200" w:type="dxa"/>
            <w:vAlign w:val="bottom"/>
            <w:tcBorders>
              <w:righ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tcPr>
          <w:p>
            <w:pPr>
              <w:spacing w:after="0" w:line="243" w:lineRule="exact"/>
              <w:rPr>
                <w:sz w:val="20"/>
                <w:szCs w:val="20"/>
                <w:color w:val="auto"/>
              </w:rPr>
            </w:pPr>
            <w:r>
              <w:rPr>
                <w:rFonts w:ascii="Arial" w:cs="Arial" w:eastAsia="Arial" w:hAnsi="Arial"/>
                <w:sz w:val="17"/>
                <w:szCs w:val="17"/>
                <w:color w:val="auto"/>
              </w:rPr>
              <w:t>Adjusted EBITDA</w:t>
            </w:r>
            <w:r>
              <w:rPr>
                <w:rFonts w:ascii="Arial" w:cs="Arial" w:eastAsia="Arial" w:hAnsi="Arial"/>
                <w:sz w:val="28"/>
                <w:szCs w:val="28"/>
                <w:color w:val="auto"/>
                <w:vertAlign w:val="superscript"/>
              </w:rPr>
              <w:t>(1)</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112,585</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137,774</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159,721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180" w:type="dxa"/>
            <w:vAlign w:val="bottom"/>
            <w:gridSpan w:val="2"/>
            <w:shd w:val="clear" w:color="auto" w:fill="CCEEFF"/>
          </w:tcPr>
          <w:p>
            <w:pPr>
              <w:spacing w:after="0" w:line="243"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8"/>
                <w:szCs w:val="28"/>
                <w:color w:val="auto"/>
                <w:vertAlign w:val="superscript"/>
              </w:rPr>
              <w:t>(1)</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26,184</w:t>
            </w:r>
          </w:p>
        </w:tc>
        <w:tc>
          <w:tcPr>
            <w:tcW w:w="18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33,183</w:t>
            </w:r>
          </w:p>
        </w:tc>
        <w:tc>
          <w:tcPr>
            <w:tcW w:w="18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3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60" w:right="300" w:hanging="353"/>
        <w:spacing w:after="0" w:line="273"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define EBITDA as net income, plus interest expense, income tax (benefit) provision and depreciation and amortization. We define Adjusted EBITDA as EBITDA, further adjusted to exclude stock compensation expense, costs associated with debt refinancing, asset impairment, non-cash inventory write-offs, management fees, new store pre-opening expenses, non-cash rent, litigation settlement and other expenses. We describe these adjustments reconciling</w:t>
      </w:r>
    </w:p>
    <w:p>
      <w:pPr>
        <w:sectPr>
          <w:pgSz w:w="11900" w:h="16838" w:orient="portrait"/>
          <w:cols w:equalWidth="0" w:num="1">
            <w:col w:w="9480"/>
          </w:cols>
          <w:pgMar w:left="1180" w:top="279" w:right="1239"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629856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92825" cy="6298565"/>
                    </a:xfrm>
                    <a:prstGeom prst="rect">
                      <a:avLst/>
                    </a:prstGeom>
                    <a:noFill/>
                  </pic:spPr>
                </pic:pic>
              </a:graphicData>
            </a:graphic>
          </wp:anchor>
        </w:drawing>
      </w:r>
    </w:p>
    <w:p>
      <w:pPr>
        <w:spacing w:after="0" w:line="251" w:lineRule="exact"/>
        <w:rPr>
          <w:sz w:val="20"/>
          <w:szCs w:val="20"/>
          <w:color w:val="auto"/>
        </w:rPr>
      </w:pPr>
    </w:p>
    <w:p>
      <w:pPr>
        <w:ind w:left="460" w:right="100"/>
        <w:spacing w:after="0" w:line="253" w:lineRule="auto"/>
        <w:rPr>
          <w:sz w:val="20"/>
          <w:szCs w:val="20"/>
          <w:color w:val="auto"/>
        </w:rPr>
      </w:pPr>
      <w:r>
        <w:rPr>
          <w:rFonts w:ascii="Arial" w:cs="Arial" w:eastAsia="Arial" w:hAnsi="Arial"/>
          <w:sz w:val="16"/>
          <w:szCs w:val="16"/>
          <w:color w:val="auto"/>
        </w:rPr>
        <w:t>net income to EBITDA and Adjusted EBITDA in the tables below. We define Adjusted Net Income as net income, plus stock compensation expense, costs associated with debt refinancing, asset impairment, non-cash inventory write-offs, management fees, new store pre-opening expenses, non-cash rent, litigation settlement, amortization of acquisition intangibles and deferred financing costs, tax legislation adjustments and other expenses, less the tax effect of these adjustments. We describe these adjustments reconciling net income to Adjusted Net Income in the tables below.</w:t>
      </w:r>
    </w:p>
    <w:p>
      <w:pPr>
        <w:spacing w:after="0" w:line="84" w:lineRule="exact"/>
        <w:rPr>
          <w:sz w:val="20"/>
          <w:szCs w:val="20"/>
          <w:color w:val="auto"/>
        </w:rPr>
      </w:pPr>
    </w:p>
    <w:p>
      <w:pPr>
        <w:ind w:left="460" w:right="20" w:firstLine="360"/>
        <w:spacing w:after="0" w:line="289" w:lineRule="auto"/>
        <w:rPr>
          <w:sz w:val="20"/>
          <w:szCs w:val="20"/>
          <w:color w:val="auto"/>
        </w:rPr>
      </w:pPr>
      <w:r>
        <w:rPr>
          <w:rFonts w:ascii="Arial" w:cs="Arial" w:eastAsia="Arial" w:hAnsi="Arial"/>
          <w:sz w:val="14"/>
          <w:szCs w:val="14"/>
          <w:color w:val="auto"/>
        </w:rPr>
        <w:t>EBITDA, Adjusted EBITDA and Adjusted Net Income have been presented in this prospectus as supplemental measures of financial performance that are not required by, or presented in accordance with GAAP, because we believe they assist investors and analysts in comparing our operating performance across reporting periods on a consistent basis by excluding items that we do not believe are indicative of our core operating performance. Management believes EBITDA, Adjusted EBITDA and Adjusted Net Income are useful to investors in highlighting trends in our operating performance, while other measures can differ significantly depending on long-term strategic decisions regarding capital structure, the tax jurisdictions in which we operate and capital investments. We also use EBITDA, Adjusted EBITDA and Adjusted Net Income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60" w:lineRule="exact"/>
        <w:rPr>
          <w:sz w:val="20"/>
          <w:szCs w:val="20"/>
          <w:color w:val="auto"/>
        </w:rPr>
      </w:pPr>
    </w:p>
    <w:p>
      <w:pPr>
        <w:ind w:left="460" w:firstLine="360"/>
        <w:spacing w:after="0" w:line="249" w:lineRule="auto"/>
        <w:rPr>
          <w:sz w:val="20"/>
          <w:szCs w:val="20"/>
          <w:color w:val="auto"/>
        </w:rPr>
      </w:pPr>
      <w:r>
        <w:rPr>
          <w:rFonts w:ascii="Arial" w:cs="Arial" w:eastAsia="Arial" w:hAnsi="Arial"/>
          <w:sz w:val="16"/>
          <w:szCs w:val="16"/>
          <w:color w:val="auto"/>
        </w:rPr>
        <w:t>EBITDA, Adjusted EBITDA and Adjusted Net Income are not recognized terms under GAAP and should not be considered as an alternative to net income or income from operations, as a measure of financial performance, or cash flows provided by operating activities, as a measure of liquidity,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Our presentation of EBITDA, Adjusted EBITDA and Adjusted Net Income should not be construed to imply that our future results will be unaffected by unusual or non-recurring items. In evaluating EBITDA, Adjusted EBITDA and Adjusted Net Income, you should be aware that in the future we may incur expenses that are the same as or similar to some of the adjustments in this presentation. Our presentation of EBITDA, Adjusted EBITDA and Adjusted Net Income should not be construed to imply that our future results will be unaffected by any such adjustments. Management compensates for these limitations by primarily relying on our GAAP results in addition to using EBITDA, Adjusted EBITDA and Adjusted Net Income supplementally.</w:t>
      </w:r>
    </w:p>
    <w:p>
      <w:pPr>
        <w:spacing w:after="0" w:line="88" w:lineRule="exact"/>
        <w:rPr>
          <w:sz w:val="20"/>
          <w:szCs w:val="20"/>
          <w:color w:val="auto"/>
        </w:rPr>
      </w:pPr>
    </w:p>
    <w:p>
      <w:pPr>
        <w:ind w:left="460" w:right="160" w:firstLine="360"/>
        <w:spacing w:after="0" w:line="275" w:lineRule="auto"/>
        <w:rPr>
          <w:sz w:val="20"/>
          <w:szCs w:val="20"/>
          <w:color w:val="auto"/>
        </w:rPr>
      </w:pPr>
      <w:r>
        <w:rPr>
          <w:rFonts w:ascii="Arial" w:cs="Arial" w:eastAsia="Arial" w:hAnsi="Arial"/>
          <w:sz w:val="16"/>
          <w:szCs w:val="16"/>
          <w:color w:val="auto"/>
        </w:rPr>
        <w:t>The presentations of these measures have limitations as analytical tools and should not be considered in isolation, or as a substitute for analysis of our results as reported under GAAP. Some of these limitations are:</w:t>
      </w:r>
    </w:p>
    <w:p>
      <w:pPr>
        <w:spacing w:after="0" w:line="65" w:lineRule="exact"/>
        <w:rPr>
          <w:sz w:val="20"/>
          <w:szCs w:val="20"/>
          <w:color w:val="auto"/>
        </w:rPr>
      </w:pPr>
    </w:p>
    <w:p>
      <w:pPr>
        <w:ind w:left="1180" w:hanging="358"/>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they do not reflect costs or cash outlays for capital expenditures or contractual commitments;</w:t>
      </w:r>
    </w:p>
    <w:p>
      <w:pPr>
        <w:spacing w:after="0" w:line="126" w:lineRule="exact"/>
        <w:rPr>
          <w:rFonts w:ascii="Arial" w:cs="Arial" w:eastAsia="Arial" w:hAnsi="Arial"/>
          <w:sz w:val="16"/>
          <w:szCs w:val="16"/>
          <w:color w:val="auto"/>
        </w:rPr>
      </w:pPr>
    </w:p>
    <w:p>
      <w:pPr>
        <w:ind w:left="1180" w:hanging="358"/>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they do not reflect changes in, or cash requirements for, our working capital needs;</w:t>
      </w:r>
    </w:p>
    <w:p>
      <w:pPr>
        <w:spacing w:after="0" w:line="126" w:lineRule="exact"/>
        <w:rPr>
          <w:rFonts w:ascii="Arial" w:cs="Arial" w:eastAsia="Arial" w:hAnsi="Arial"/>
          <w:sz w:val="16"/>
          <w:szCs w:val="16"/>
          <w:color w:val="auto"/>
        </w:rPr>
      </w:pPr>
    </w:p>
    <w:p>
      <w:pPr>
        <w:ind w:left="1180" w:right="260" w:hanging="358"/>
        <w:spacing w:after="0" w:line="293"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EBITDA and Adjusted EBITDA do not reflect the interest expense, or the cash requirements necessary to service interest or principal payments, on our debt;</w:t>
      </w:r>
    </w:p>
    <w:p>
      <w:pPr>
        <w:spacing w:after="0" w:line="63" w:lineRule="exact"/>
        <w:rPr>
          <w:rFonts w:ascii="Arial" w:cs="Arial" w:eastAsia="Arial" w:hAnsi="Arial"/>
          <w:sz w:val="16"/>
          <w:szCs w:val="16"/>
          <w:color w:val="auto"/>
        </w:rPr>
      </w:pPr>
    </w:p>
    <w:p>
      <w:pPr>
        <w:ind w:left="1180" w:right="160" w:hanging="358"/>
        <w:spacing w:after="0" w:line="293"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EBITDA and Adjusted EBITDA do not reflect period to period changes in taxes, income tax expense or the cash necessary to pay income taxes;</w:t>
      </w:r>
    </w:p>
    <w:p>
      <w:pPr>
        <w:spacing w:after="0" w:line="63" w:lineRule="exact"/>
        <w:rPr>
          <w:rFonts w:ascii="Arial" w:cs="Arial" w:eastAsia="Arial" w:hAnsi="Arial"/>
          <w:sz w:val="16"/>
          <w:szCs w:val="16"/>
          <w:color w:val="auto"/>
        </w:rPr>
      </w:pPr>
    </w:p>
    <w:p>
      <w:pPr>
        <w:ind w:left="1180" w:right="340" w:hanging="358"/>
        <w:spacing w:after="0" w:line="278"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they do not reflect the impact of earnings or charges resulting from matters we consider not to be indicative of our ongoing operations, including costs related to new store openings, which are incurred on a non-recurring basis with respect to any particular store when opened;</w:t>
      </w:r>
    </w:p>
    <w:p>
      <w:pPr>
        <w:spacing w:after="0" w:line="76" w:lineRule="exact"/>
        <w:rPr>
          <w:rFonts w:ascii="Arial" w:cs="Arial" w:eastAsia="Arial" w:hAnsi="Arial"/>
          <w:sz w:val="16"/>
          <w:szCs w:val="16"/>
          <w:color w:val="auto"/>
        </w:rPr>
      </w:pPr>
    </w:p>
    <w:p>
      <w:pPr>
        <w:ind w:left="1180" w:right="140" w:hanging="358"/>
        <w:spacing w:after="0" w:line="369" w:lineRule="auto"/>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will often have to be replaced in the future, and EBITDA and Adjusted EBITDA do not reflect cash requirements for such replacements; and</w:t>
      </w:r>
    </w:p>
    <w:p>
      <w:pPr>
        <w:spacing w:after="0" w:line="18" w:lineRule="exact"/>
        <w:rPr>
          <w:rFonts w:ascii="Arial" w:cs="Arial" w:eastAsia="Arial" w:hAnsi="Arial"/>
          <w:sz w:val="14"/>
          <w:szCs w:val="14"/>
          <w:color w:val="auto"/>
        </w:rPr>
      </w:pPr>
    </w:p>
    <w:p>
      <w:pPr>
        <w:ind w:left="1180" w:right="160" w:hanging="358"/>
        <w:spacing w:after="0" w:line="293"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companies in our industry may calculate these measures differently than we do, limiting their usefulness as comparative measures.</w:t>
      </w:r>
    </w:p>
    <w:p>
      <w:pPr>
        <w:spacing w:after="0" w:line="64" w:lineRule="exact"/>
        <w:rPr>
          <w:sz w:val="20"/>
          <w:szCs w:val="20"/>
          <w:color w:val="auto"/>
        </w:rPr>
      </w:pPr>
    </w:p>
    <w:p>
      <w:pPr>
        <w:ind w:left="460" w:right="500" w:firstLine="360"/>
        <w:spacing w:after="0" w:line="275" w:lineRule="auto"/>
        <w:rPr>
          <w:sz w:val="20"/>
          <w:szCs w:val="20"/>
          <w:color w:val="auto"/>
        </w:rPr>
      </w:pPr>
      <w:r>
        <w:rPr>
          <w:rFonts w:ascii="Arial" w:cs="Arial" w:eastAsia="Arial" w:hAnsi="Arial"/>
          <w:sz w:val="16"/>
          <w:szCs w:val="16"/>
          <w:color w:val="auto"/>
        </w:rPr>
        <w:t>Because of these limitations, EBITDA, Adjusted EBITDA and Adjusted Net Income should not be considered as measures of discretionary cash available to invest in business growth or to reduce indebtedness.</w:t>
      </w: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8185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92825" cy="8185150"/>
                    </a:xfrm>
                    <a:prstGeom prst="rect">
                      <a:avLst/>
                    </a:prstGeom>
                    <a:noFill/>
                  </pic:spPr>
                </pic:pic>
              </a:graphicData>
            </a:graphic>
          </wp:anchor>
        </w:drawing>
      </w:r>
    </w:p>
    <w:p>
      <w:pPr>
        <w:spacing w:after="0" w:line="251" w:lineRule="exact"/>
        <w:rPr>
          <w:sz w:val="20"/>
          <w:szCs w:val="20"/>
          <w:color w:val="auto"/>
        </w:rPr>
      </w:pPr>
    </w:p>
    <w:p>
      <w:pPr>
        <w:ind w:left="820"/>
        <w:spacing w:after="0"/>
        <w:rPr>
          <w:sz w:val="20"/>
          <w:szCs w:val="20"/>
          <w:color w:val="auto"/>
        </w:rPr>
      </w:pPr>
      <w:r>
        <w:rPr>
          <w:rFonts w:ascii="Arial" w:cs="Arial" w:eastAsia="Arial" w:hAnsi="Arial"/>
          <w:sz w:val="15"/>
          <w:szCs w:val="15"/>
          <w:color w:val="auto"/>
        </w:rPr>
        <w:t>The following tables reconcile our net income to EBITDA, Adjusted EBITDA and Adjusted Net Income for the periods presented:</w:t>
      </w:r>
    </w:p>
    <w:p>
      <w:pPr>
        <w:spacing w:after="0" w:line="85" w:lineRule="exact"/>
        <w:rPr>
          <w:sz w:val="20"/>
          <w:szCs w:val="20"/>
          <w:color w:val="auto"/>
        </w:rPr>
      </w:pPr>
    </w:p>
    <w:tbl>
      <w:tblPr>
        <w:tblLayout w:type="fixed"/>
        <w:tblInd w:w="4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20"/>
        </w:trPr>
        <w:tc>
          <w:tcPr>
            <w:tcW w:w="5220" w:type="dxa"/>
            <w:vAlign w:val="bottom"/>
            <w:gridSpan w:val="3"/>
          </w:tcPr>
          <w:p>
            <w:pPr>
              <w:spacing w:after="0"/>
              <w:rPr>
                <w:sz w:val="20"/>
                <w:szCs w:val="20"/>
                <w:color w:val="auto"/>
              </w:rPr>
            </w:pPr>
            <w:r>
              <w:rPr>
                <w:rFonts w:ascii="Arial" w:cs="Arial" w:eastAsia="Arial" w:hAnsi="Arial"/>
                <w:sz w:val="16"/>
                <w:szCs w:val="16"/>
                <w:color w:val="auto"/>
              </w:rPr>
              <w:t>Interest expense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36,741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39,092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55,536</w:t>
            </w:r>
          </w:p>
        </w:tc>
        <w:tc>
          <w:tcPr>
            <w:tcW w:w="80" w:type="dxa"/>
            <w:vAlign w:val="bottom"/>
          </w:tcPr>
          <w:p>
            <w:pPr>
              <w:spacing w:after="0"/>
              <w:rPr>
                <w:sz w:val="19"/>
                <w:szCs w:val="19"/>
                <w:color w:val="auto"/>
              </w:rPr>
            </w:pPr>
          </w:p>
        </w:tc>
      </w:tr>
      <w:tr>
        <w:trPr>
          <w:trHeight w:val="239"/>
        </w:trPr>
        <w:tc>
          <w:tcPr>
            <w:tcW w:w="20" w:type="dxa"/>
            <w:vAlign w:val="bottom"/>
          </w:tcPr>
          <w:p>
            <w:pPr>
              <w:spacing w:after="0"/>
              <w:rPr>
                <w:sz w:val="20"/>
                <w:szCs w:val="20"/>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Income tax (benefit) provision</w:t>
            </w:r>
          </w:p>
        </w:tc>
        <w:tc>
          <w:tcPr>
            <w:tcW w:w="18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1,768</w:t>
            </w:r>
          </w:p>
        </w:tc>
        <w:tc>
          <w:tcPr>
            <w:tcW w:w="16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12,534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(38,647)</w:t>
            </w:r>
          </w:p>
        </w:tc>
      </w:tr>
      <w:tr>
        <w:trPr>
          <w:trHeight w:val="223"/>
        </w:trPr>
        <w:tc>
          <w:tcPr>
            <w:tcW w:w="5220" w:type="dxa"/>
            <w:vAlign w:val="bottom"/>
            <w:gridSpan w:val="3"/>
          </w:tcPr>
          <w:p>
            <w:pPr>
              <w:spacing w:after="0"/>
              <w:rPr>
                <w:sz w:val="20"/>
                <w:szCs w:val="20"/>
                <w:color w:val="auto"/>
              </w:rPr>
            </w:pPr>
            <w:r>
              <w:rPr>
                <w:rFonts w:ascii="Arial" w:cs="Arial" w:eastAsia="Arial" w:hAnsi="Arial"/>
                <w:sz w:val="16"/>
                <w:szCs w:val="16"/>
                <w:color w:val="auto"/>
              </w:rPr>
              <w:t>Depreciation and amortization</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44,069</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51,993</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61,115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EBITDA</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86,195</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123,824</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23"/>
        </w:trPr>
        <w:tc>
          <w:tcPr>
            <w:tcW w:w="5220" w:type="dxa"/>
            <w:vAlign w:val="bottom"/>
            <w:gridSpan w:val="3"/>
          </w:tcPr>
          <w:p>
            <w:pPr>
              <w:spacing w:after="0" w:line="216" w:lineRule="exact"/>
              <w:rPr>
                <w:sz w:val="20"/>
                <w:szCs w:val="20"/>
                <w:color w:val="auto"/>
              </w:rPr>
            </w:pPr>
            <w:r>
              <w:rPr>
                <w:rFonts w:ascii="Arial" w:cs="Arial" w:eastAsia="Arial" w:hAnsi="Arial"/>
                <w:sz w:val="15"/>
                <w:szCs w:val="15"/>
                <w:color w:val="auto"/>
              </w:rPr>
              <w:t>Other</w:t>
            </w:r>
            <w:r>
              <w:rPr>
                <w:rFonts w:ascii="Arial" w:cs="Arial" w:eastAsia="Arial" w:hAnsi="Arial"/>
                <w:sz w:val="25"/>
                <w:szCs w:val="25"/>
                <w:color w:val="auto"/>
                <w:vertAlign w:val="superscript"/>
              </w:rPr>
              <w:t>(i)</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5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Adjusted EBITDA</w:t>
            </w:r>
          </w:p>
        </w:tc>
        <w:tc>
          <w:tcPr>
            <w:tcW w:w="18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112,585</w:t>
            </w:r>
          </w:p>
        </w:tc>
        <w:tc>
          <w:tcPr>
            <w:tcW w:w="160" w:type="dxa"/>
            <w:vAlign w:val="bottom"/>
            <w:tcBorders>
              <w:bottom w:val="single" w:sz="8" w:color="CCEEFF"/>
              <w:right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137,774</w:t>
            </w:r>
          </w:p>
        </w:tc>
        <w:tc>
          <w:tcPr>
            <w:tcW w:w="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159,721</w:t>
            </w:r>
          </w:p>
        </w:tc>
        <w:tc>
          <w:tcPr>
            <w:tcW w:w="80" w:type="dxa"/>
            <w:vAlign w:val="bottom"/>
            <w:tcBorders>
              <w:bottom w:val="single" w:sz="8" w:color="CCEEFF"/>
            </w:tcBorders>
            <w:shd w:val="clear" w:color="auto" w:fill="CCEEFF"/>
          </w:tcPr>
          <w:p>
            <w:pPr>
              <w:spacing w:after="0"/>
              <w:rPr>
                <w:sz w:val="22"/>
                <w:szCs w:val="22"/>
                <w:color w:val="auto"/>
              </w:rPr>
            </w:pPr>
          </w:p>
        </w:tc>
      </w:tr>
      <w:tr>
        <w:trPr>
          <w:trHeight w:val="220"/>
        </w:trPr>
        <w:tc>
          <w:tcPr>
            <w:tcW w:w="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Year</w:t>
            </w:r>
          </w:p>
        </w:tc>
        <w:tc>
          <w:tcPr>
            <w:tcW w:w="80" w:type="dxa"/>
            <w:vAlign w:val="bottom"/>
          </w:tcPr>
          <w:p>
            <w:pPr>
              <w:spacing w:after="0"/>
              <w:rPr>
                <w:sz w:val="19"/>
                <w:szCs w:val="19"/>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Ended</w:t>
            </w:r>
          </w:p>
        </w:tc>
        <w:tc>
          <w:tcPr>
            <w:tcW w:w="8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w:t>
            </w:r>
          </w:p>
        </w:tc>
        <w:tc>
          <w:tcPr>
            <w:tcW w:w="12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Year Ended</w:t>
            </w:r>
          </w:p>
        </w:tc>
      </w:tr>
      <w:tr>
        <w:trPr>
          <w:trHeight w:val="162"/>
        </w:trPr>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5"/>
              </w:rPr>
              <w:t>January 2,</w:t>
            </w:r>
          </w:p>
        </w:tc>
        <w:tc>
          <w:tcPr>
            <w:tcW w:w="80" w:type="dxa"/>
            <w:vAlign w:val="bottom"/>
          </w:tcPr>
          <w:p>
            <w:pPr>
              <w:spacing w:after="0"/>
              <w:rPr>
                <w:sz w:val="14"/>
                <w:szCs w:val="14"/>
                <w:color w:val="auto"/>
              </w:rPr>
            </w:pPr>
          </w:p>
        </w:tc>
        <w:tc>
          <w:tcPr>
            <w:tcW w:w="840" w:type="dxa"/>
            <w:vAlign w:val="bottom"/>
          </w:tcPr>
          <w:p>
            <w:pPr>
              <w:jc w:val="center"/>
              <w:ind w:right="21"/>
              <w:spacing w:after="0"/>
              <w:rPr>
                <w:sz w:val="20"/>
                <w:szCs w:val="20"/>
                <w:color w:val="auto"/>
              </w:rPr>
            </w:pPr>
            <w:r>
              <w:rPr>
                <w:rFonts w:ascii="Arial" w:cs="Arial" w:eastAsia="Arial" w:hAnsi="Arial"/>
                <w:sz w:val="14"/>
                <w:szCs w:val="14"/>
                <w:b w:val="1"/>
                <w:bCs w:val="1"/>
                <w:color w:val="auto"/>
                <w:w w:val="92"/>
              </w:rPr>
              <w:t>31,</w:t>
            </w:r>
          </w:p>
        </w:tc>
        <w:tc>
          <w:tcPr>
            <w:tcW w:w="160" w:type="dxa"/>
            <w:vAlign w:val="bottom"/>
          </w:tcPr>
          <w:p>
            <w:pPr>
              <w:spacing w:after="0"/>
              <w:rPr>
                <w:sz w:val="14"/>
                <w:szCs w:val="14"/>
                <w:color w:val="auto"/>
              </w:rPr>
            </w:pPr>
          </w:p>
        </w:tc>
        <w:tc>
          <w:tcPr>
            <w:tcW w:w="1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December 30,</w:t>
            </w:r>
          </w:p>
        </w:tc>
      </w:tr>
      <w:tr>
        <w:trPr>
          <w:trHeight w:val="171"/>
        </w:trPr>
        <w:tc>
          <w:tcPr>
            <w:tcW w:w="52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81"/>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1"/>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38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3,617</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14,758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45,820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Stock compensation expense</w:t>
            </w:r>
            <w:r>
              <w:rPr>
                <w:rFonts w:ascii="Arial" w:cs="Arial" w:eastAsia="Arial" w:hAnsi="Arial"/>
                <w:sz w:val="26"/>
                <w:szCs w:val="26"/>
                <w:color w:val="auto"/>
                <w:vertAlign w:val="superscript"/>
              </w:rPr>
              <w:t>(a)</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6,635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4,293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5,152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Debt issuance costs</w:t>
            </w:r>
            <w:r>
              <w:rPr>
                <w:rFonts w:ascii="Arial" w:cs="Arial" w:eastAsia="Arial" w:hAnsi="Arial"/>
                <w:sz w:val="26"/>
                <w:szCs w:val="26"/>
                <w:color w:val="auto"/>
                <w:vertAlign w:val="superscript"/>
              </w:rPr>
              <w:t>(b)</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2,551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Asset impairment</w:t>
            </w:r>
            <w:r>
              <w:rPr>
                <w:rFonts w:ascii="Arial" w:cs="Arial" w:eastAsia="Arial" w:hAnsi="Arial"/>
                <w:sz w:val="26"/>
                <w:szCs w:val="26"/>
                <w:color w:val="auto"/>
                <w:vertAlign w:val="superscript"/>
              </w:rPr>
              <w:t>(c)</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7,716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Non-cash inventory write-offs</w:t>
            </w:r>
            <w:r>
              <w:rPr>
                <w:rFonts w:ascii="Arial" w:cs="Arial" w:eastAsia="Arial" w:hAnsi="Arial"/>
                <w:sz w:val="26"/>
                <w:szCs w:val="26"/>
                <w:color w:val="auto"/>
                <w:vertAlign w:val="superscript"/>
              </w:rPr>
              <w:t>(d)</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2,271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Management fees</w:t>
            </w:r>
            <w:r>
              <w:rPr>
                <w:rFonts w:ascii="Arial" w:cs="Arial" w:eastAsia="Arial" w:hAnsi="Arial"/>
                <w:sz w:val="26"/>
                <w:szCs w:val="26"/>
                <w:color w:val="auto"/>
                <w:vertAlign w:val="superscript"/>
              </w:rPr>
              <w:t>(e)</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1,649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1,126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5,263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New store pre-opening expenses</w:t>
            </w:r>
            <w:r>
              <w:rPr>
                <w:rFonts w:ascii="Arial" w:cs="Arial" w:eastAsia="Arial" w:hAnsi="Arial"/>
                <w:sz w:val="26"/>
                <w:szCs w:val="26"/>
                <w:color w:val="auto"/>
                <w:vertAlign w:val="superscript"/>
              </w:rPr>
              <w:t>(f)</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1,962</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1,983</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Non-cash rent</w:t>
            </w:r>
            <w:r>
              <w:rPr>
                <w:rFonts w:ascii="Arial" w:cs="Arial" w:eastAsia="Arial" w:hAnsi="Arial"/>
                <w:sz w:val="26"/>
                <w:szCs w:val="26"/>
                <w:color w:val="auto"/>
                <w:vertAlign w:val="superscript"/>
              </w:rPr>
              <w:t>(g)</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Litigation settlement</w:t>
            </w:r>
            <w:r>
              <w:rPr>
                <w:rFonts w:ascii="Arial" w:cs="Arial" w:eastAsia="Arial" w:hAnsi="Arial"/>
                <w:sz w:val="26"/>
                <w:szCs w:val="26"/>
                <w:color w:val="auto"/>
                <w:vertAlign w:val="superscript"/>
              </w:rPr>
              <w:t>(h)</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7,000</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Other</w:t>
            </w:r>
            <w:r>
              <w:rPr>
                <w:rFonts w:ascii="Arial" w:cs="Arial" w:eastAsia="Arial" w:hAnsi="Arial"/>
                <w:sz w:val="26"/>
                <w:szCs w:val="26"/>
                <w:color w:val="auto"/>
                <w:vertAlign w:val="superscript"/>
              </w:rPr>
              <w:t>(i)</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3,520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shd w:val="clear" w:color="auto" w:fill="CCEEFF"/>
          </w:tcPr>
          <w:p>
            <w:pPr>
              <w:spacing w:after="0" w:line="230" w:lineRule="exact"/>
              <w:rPr>
                <w:sz w:val="20"/>
                <w:szCs w:val="20"/>
                <w:color w:val="auto"/>
              </w:rPr>
            </w:pPr>
            <w:r>
              <w:rPr>
                <w:rFonts w:ascii="Arial" w:cs="Arial" w:eastAsia="Arial" w:hAnsi="Arial"/>
                <w:sz w:val="16"/>
                <w:szCs w:val="16"/>
                <w:color w:val="auto"/>
              </w:rPr>
              <w:t>Amortization of acquisition intangibles and deferred financing costs</w:t>
            </w:r>
            <w:r>
              <w:rPr>
                <w:rFonts w:ascii="Arial" w:cs="Arial" w:eastAsia="Arial" w:hAnsi="Arial"/>
                <w:sz w:val="26"/>
                <w:szCs w:val="26"/>
                <w:color w:val="auto"/>
                <w:vertAlign w:val="superscript"/>
              </w:rPr>
              <w:t>(j)</w:t>
            </w: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11,221</w:t>
            </w:r>
          </w:p>
        </w:tc>
        <w:tc>
          <w:tcPr>
            <w:tcW w:w="16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200" w:type="dxa"/>
            <w:vAlign w:val="bottom"/>
            <w:gridSpan w:val="2"/>
          </w:tcPr>
          <w:p>
            <w:pPr>
              <w:spacing w:after="0" w:line="230" w:lineRule="exact"/>
              <w:rPr>
                <w:sz w:val="20"/>
                <w:szCs w:val="20"/>
                <w:color w:val="auto"/>
              </w:rPr>
            </w:pPr>
            <w:r>
              <w:rPr>
                <w:rFonts w:ascii="Arial" w:cs="Arial" w:eastAsia="Arial" w:hAnsi="Arial"/>
                <w:sz w:val="16"/>
                <w:szCs w:val="16"/>
                <w:color w:val="auto"/>
              </w:rPr>
              <w:t>Tax legislation adjustments</w:t>
            </w:r>
            <w:r>
              <w:rPr>
                <w:rFonts w:ascii="Arial" w:cs="Arial" w:eastAsia="Arial" w:hAnsi="Arial"/>
                <w:sz w:val="26"/>
                <w:szCs w:val="26"/>
                <w:color w:val="auto"/>
                <w:vertAlign w:val="superscript"/>
              </w:rPr>
              <w:t>(k)</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(42,965)</w:t>
            </w:r>
          </w:p>
        </w:tc>
      </w:tr>
      <w:tr>
        <w:trPr>
          <w:trHeight w:val="216"/>
        </w:trPr>
        <w:tc>
          <w:tcPr>
            <w:tcW w:w="20" w:type="dxa"/>
            <w:vAlign w:val="bottom"/>
          </w:tcPr>
          <w:p>
            <w:pPr>
              <w:spacing w:after="0"/>
              <w:rPr>
                <w:sz w:val="18"/>
                <w:szCs w:val="18"/>
                <w:color w:val="auto"/>
              </w:rPr>
            </w:pPr>
          </w:p>
        </w:tc>
        <w:tc>
          <w:tcPr>
            <w:tcW w:w="5200" w:type="dxa"/>
            <w:vAlign w:val="bottom"/>
            <w:gridSpan w:val="2"/>
            <w:shd w:val="clear" w:color="auto" w:fill="CCEEFF"/>
          </w:tcPr>
          <w:p>
            <w:pPr>
              <w:spacing w:after="0" w:line="216" w:lineRule="exact"/>
              <w:rPr>
                <w:sz w:val="20"/>
                <w:szCs w:val="20"/>
                <w:color w:val="auto"/>
              </w:rPr>
            </w:pPr>
            <w:r>
              <w:rPr>
                <w:rFonts w:ascii="Arial" w:cs="Arial" w:eastAsia="Arial" w:hAnsi="Arial"/>
                <w:sz w:val="15"/>
                <w:szCs w:val="15"/>
                <w:color w:val="auto"/>
              </w:rPr>
              <w:t>Tax effect of total adjustments</w:t>
            </w:r>
            <w:r>
              <w:rPr>
                <w:rFonts w:ascii="Arial" w:cs="Arial" w:eastAsia="Arial" w:hAnsi="Arial"/>
                <w:sz w:val="25"/>
                <w:szCs w:val="25"/>
                <w:color w:val="auto"/>
                <w:vertAlign w:val="superscript"/>
              </w:rPr>
              <w:t>(l)</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(15,044)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(12,283)</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(20,152)</w:t>
            </w:r>
          </w:p>
        </w:tc>
      </w:tr>
      <w:tr>
        <w:trPr>
          <w:trHeight w:val="27"/>
        </w:trPr>
        <w:tc>
          <w:tcPr>
            <w:tcW w:w="20" w:type="dxa"/>
            <w:vAlign w:val="bottom"/>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80" w:type="dxa"/>
            <w:vAlign w:val="bottom"/>
            <w:tcBorders>
              <w:righ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tcBorders>
              <w:right w:val="single" w:sz="8" w:color="auto"/>
            </w:tcBorders>
            <w:shd w:val="clear" w:color="auto" w:fill="000000"/>
          </w:tcPr>
          <w:p>
            <w:pPr>
              <w:spacing w:after="0"/>
              <w:rPr>
                <w:sz w:val="2"/>
                <w:szCs w:val="2"/>
                <w:color w:val="auto"/>
              </w:rPr>
            </w:pPr>
          </w:p>
        </w:tc>
        <w:tc>
          <w:tcPr>
            <w:tcW w:w="160" w:type="dxa"/>
            <w:vAlign w:val="bottom"/>
            <w:tcBorders>
              <w:right w:val="single" w:sz="8" w:color="auto"/>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16"/>
        </w:trPr>
        <w:tc>
          <w:tcPr>
            <w:tcW w:w="5220" w:type="dxa"/>
            <w:vAlign w:val="bottom"/>
            <w:gridSpan w:val="3"/>
          </w:tcPr>
          <w:p>
            <w:pPr>
              <w:spacing w:after="0"/>
              <w:rPr>
                <w:sz w:val="20"/>
                <w:szCs w:val="20"/>
                <w:color w:val="auto"/>
              </w:rPr>
            </w:pPr>
            <w:r>
              <w:rPr>
                <w:rFonts w:ascii="Arial" w:cs="Arial" w:eastAsia="Arial" w:hAnsi="Arial"/>
                <w:sz w:val="16"/>
                <w:szCs w:val="16"/>
                <w:b w:val="1"/>
                <w:bCs w:val="1"/>
                <w:color w:val="auto"/>
              </w:rPr>
              <w:t>Adjusted Net Income</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26,184</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33,183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33,081</w:t>
            </w:r>
          </w:p>
        </w:tc>
        <w:tc>
          <w:tcPr>
            <w:tcW w:w="8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r>
    </w:tbl>
    <w:p>
      <w:pPr>
        <w:spacing w:after="0" w:line="103" w:lineRule="exact"/>
        <w:rPr>
          <w:sz w:val="20"/>
          <w:szCs w:val="20"/>
          <w:color w:val="auto"/>
        </w:rPr>
      </w:pPr>
    </w:p>
    <w:p>
      <w:pPr>
        <w:ind w:left="800" w:hanging="342"/>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w:t>
      </w:r>
    </w:p>
    <w:p>
      <w:pPr>
        <w:spacing w:after="0" w:line="109" w:lineRule="exact"/>
        <w:rPr>
          <w:rFonts w:ascii="Arial" w:cs="Arial" w:eastAsia="Arial" w:hAnsi="Arial"/>
          <w:sz w:val="14"/>
          <w:szCs w:val="14"/>
          <w:color w:val="auto"/>
        </w:rPr>
      </w:pPr>
    </w:p>
    <w:p>
      <w:pPr>
        <w:ind w:left="800" w:hanging="342"/>
        <w:spacing w:after="0" w:line="252"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Includes $2.6 million of fees associated with the borrowing of $150.0 million in additional principal under our first lien credit agreement during the second fiscal quarter of 2015, $2.7 million of fees associated with the borrowing of $175.0 million in additional principal under our first lien credit agreement in the first quarter of 2017 and $1.8 million of fees associated with the refinancing of our first lien credit agreement in the fourth quarter of 2017.</w:t>
      </w:r>
    </w:p>
    <w:p>
      <w:pPr>
        <w:spacing w:after="0" w:line="80" w:lineRule="exact"/>
        <w:rPr>
          <w:rFonts w:ascii="Arial" w:cs="Arial" w:eastAsia="Arial" w:hAnsi="Arial"/>
          <w:sz w:val="14"/>
          <w:szCs w:val="14"/>
          <w:color w:val="auto"/>
        </w:rPr>
      </w:pPr>
    </w:p>
    <w:p>
      <w:pPr>
        <w:jc w:val="both"/>
        <w:ind w:left="800" w:right="40" w:hanging="342"/>
        <w:spacing w:after="0" w:line="257"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Vista Optical in Fred Meyer brand and our AC Lens business during fiscal years 2015 and 2016. Reflects write-off of a cost basis investment, and write-off of capitalized software and property and equipment for the fiscal year 2017.</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lenses that could not be sold and required disposal.</w:t>
      </w:r>
    </w:p>
    <w:p>
      <w:pPr>
        <w:spacing w:after="0" w:line="109" w:lineRule="exact"/>
        <w:rPr>
          <w:rFonts w:ascii="Arial" w:cs="Arial" w:eastAsia="Arial" w:hAnsi="Arial"/>
          <w:sz w:val="14"/>
          <w:szCs w:val="14"/>
          <w:color w:val="auto"/>
        </w:rPr>
      </w:pPr>
    </w:p>
    <w:p>
      <w:pPr>
        <w:ind w:left="800" w:right="120" w:hanging="342"/>
        <w:spacing w:after="0" w:line="257"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Reflects management fees paid to KKR Sponsor and Berkshire in accordance with our monitoring agreement with them. The monitoring agreement was terminated automatically in accordance with its terms upon the consummation of the IPO and we paid termination fees of approximately $3.6 million and $0.8 million to KKR Sponsor and Berkshire, respectively.</w:t>
      </w:r>
    </w:p>
    <w:p>
      <w:pPr>
        <w:spacing w:after="0" w:line="77" w:lineRule="exact"/>
        <w:rPr>
          <w:rFonts w:ascii="Arial" w:cs="Arial" w:eastAsia="Arial" w:hAnsi="Arial"/>
          <w:sz w:val="14"/>
          <w:szCs w:val="14"/>
          <w:color w:val="auto"/>
        </w:rPr>
      </w:pPr>
    </w:p>
    <w:p>
      <w:pPr>
        <w:ind w:left="800" w:right="40" w:hanging="342"/>
        <w:spacing w:after="0" w:line="249" w:lineRule="auto"/>
        <w:tabs>
          <w:tab w:leader="none" w:pos="8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 Pre-opening costs are permitted exclusions in our calculation of Adjusted EBITDA pursuant to the terms of our existing credit agreement.</w:t>
      </w:r>
    </w:p>
    <w:p>
      <w:pPr>
        <w:sectPr>
          <w:pgSz w:w="11900" w:h="16838" w:orient="portrait"/>
          <w:cols w:equalWidth="0" w:num="1">
            <w:col w:w="9440"/>
          </w:cols>
          <w:pgMar w:left="1180" w:top="279" w:right="1279" w:bottom="1440" w:gutter="0" w:footer="0" w:header="0"/>
        </w:sectPr>
      </w:pPr>
    </w:p>
    <w:p>
      <w:pPr>
        <w:spacing w:after="0" w:line="200" w:lineRule="exact"/>
        <w:rPr>
          <w:sz w:val="20"/>
          <w:szCs w:val="20"/>
          <w:color w:val="auto"/>
        </w:rPr>
      </w:pPr>
    </w:p>
    <w:p>
      <w:pPr>
        <w:spacing w:after="0" w:line="27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312420</wp:posOffset>
            </wp:positionV>
            <wp:extent cx="6071870" cy="431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40"/>
          </w:cols>
          <w:pgMar w:left="1180" w:top="279" w:right="1279" w:bottom="1440" w:gutter="0" w:footer="0" w:header="0"/>
          <w:type w:val="continuous"/>
        </w:sectPr>
      </w:pPr>
    </w:p>
    <w:bookmarkStart w:id="26" w:name="page27"/>
    <w:bookmarkEnd w:id="2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90170</wp:posOffset>
            </wp:positionV>
            <wp:extent cx="6092825" cy="33915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2825" cy="3391535"/>
                    </a:xfrm>
                    <a:prstGeom prst="rect">
                      <a:avLst/>
                    </a:prstGeom>
                    <a:noFill/>
                  </pic:spPr>
                </pic:pic>
              </a:graphicData>
            </a:graphic>
          </wp:anchor>
        </w:drawing>
      </w:r>
    </w:p>
    <w:p>
      <w:pPr>
        <w:spacing w:after="0" w:line="255" w:lineRule="exact"/>
        <w:rPr>
          <w:sz w:val="20"/>
          <w:szCs w:val="20"/>
          <w:color w:val="auto"/>
        </w:rPr>
      </w:pPr>
    </w:p>
    <w:p>
      <w:pPr>
        <w:ind w:left="800" w:right="40" w:hanging="342"/>
        <w:spacing w:after="0" w:line="252"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Consists of the non-cash portion of rent expense, which reflects the extent to which our straight-line rent expense recognized under GAAP exceeds or is less than our cash rent payments. The adjustment can vary depending on the average age of our lease portfolio, which has been impacted by our significant growth in recent years. For newer leases, our rent expense recognized typically exceeds our cash rent payments, while for more mature leases, rent expense recognized under GAAP is typically less than our cash rent payments.</w:t>
      </w:r>
    </w:p>
    <w:p>
      <w:pPr>
        <w:spacing w:after="0" w:line="80" w:lineRule="exact"/>
        <w:rPr>
          <w:rFonts w:ascii="Arial" w:cs="Arial" w:eastAsia="Arial" w:hAnsi="Arial"/>
          <w:sz w:val="14"/>
          <w:szCs w:val="14"/>
          <w:color w:val="auto"/>
        </w:rPr>
      </w:pPr>
    </w:p>
    <w:p>
      <w:pPr>
        <w:ind w:left="800" w:right="220" w:hanging="342"/>
        <w:spacing w:after="0" w:line="273"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Amounts accrued related to settlement of litigation. See “Legal Proceedings” and Note 12 in our audited consolidated financial statements, each in our Annual Report, incorporated by reference in this prospectus, for further details.</w:t>
      </w:r>
    </w:p>
    <w:p>
      <w:pPr>
        <w:spacing w:after="0" w:line="65" w:lineRule="exact"/>
        <w:rPr>
          <w:rFonts w:ascii="Arial" w:cs="Arial" w:eastAsia="Arial" w:hAnsi="Arial"/>
          <w:sz w:val="14"/>
          <w:szCs w:val="14"/>
          <w:color w:val="auto"/>
        </w:rPr>
      </w:pPr>
    </w:p>
    <w:p>
      <w:pPr>
        <w:ind w:left="800" w:right="20" w:hanging="342"/>
        <w:spacing w:after="0" w:line="266" w:lineRule="auto"/>
        <w:tabs>
          <w:tab w:leader="none" w:pos="800" w:val="left"/>
        </w:tabs>
        <w:numPr>
          <w:ilvl w:val="0"/>
          <w:numId w:val="22"/>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(amounts in brackets represent reductions in Adjusted EBITDA and Adjusted Net Income), including our share of losses on equity method investments of $0.9 million, $1.4 million and $1.0 million for fiscal years 2015, 2016 and 2017, respectively; the amortization impact of the KKR Acquisition-related adjustments (e.g., fair value of leasehold interests) of $(1.3) million, $(0.7) million and $(0.3) million for fiscal years 2015, 2016 and 2017, respectively; expenses related to preparation for being an SEC registrant that were not directly attributable to the IPO and therefore not charged to equity of $0.5 million, $2.0 million and $1.8 million for fiscal years 2015, 2016 and 2017, respectively; differences between the timing of expense versus cash payments related to contributions to charitable organizations of $3.0 million, $(1.0) million and $(1.0) million for fiscal years 2015, 2016 and 2017, respectively; costs of severance and relocation of $0.5 million, $1.1 million and $1.4 million for fiscal years 2015, 2016 and 2017, respectively; non-cash write-down of property and equipment of $0.2 million, $0.2 million and $0.4 million for fiscal years 2015, 2016 and 2017, respectively; and other expenses and adjustments totaling $0.8 million, $0.6 million and $0.6 million for fiscal years 2015, 2016 and 2017, respectively.</w:t>
      </w:r>
    </w:p>
    <w:p>
      <w:pPr>
        <w:spacing w:after="0" w:line="71" w:lineRule="exact"/>
        <w:rPr>
          <w:rFonts w:ascii="Arial" w:cs="Arial" w:eastAsia="Arial" w:hAnsi="Arial"/>
          <w:sz w:val="13"/>
          <w:szCs w:val="13"/>
          <w:color w:val="auto"/>
        </w:rPr>
      </w:pPr>
    </w:p>
    <w:p>
      <w:pPr>
        <w:ind w:left="800" w:hanging="342"/>
        <w:spacing w:after="0" w:line="246"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Amortization of acquisition intangibles related to the increase in the carrying values of definite-lived intangible assets resulting from the application of purchase accounting to the KKR Acquisition of $7.4 million for each of fiscal years 2015, 2016 and 2017. Amortization of deferred financing costs is primarily associated with the March 2014 term loan borrowings in connection with the KKR Acquisition and, to a lesser extent, amortization of debt discounts associated with the May 2015 and February 2017 incremental first lien term loans and the November 2017 first lien refinancing, aggregating to $3.8 million, $3.9 million and $7.1 million for fiscal years 2015, 2016 and 2017, respectively. The $7.1 million amortization of deferred financing costs in 2017 includes $3.3 million of the write-off of debt discounts associated with the repayment of all outstanding $125 million of second lien term loans in November 2017.</w:t>
      </w:r>
    </w:p>
    <w:p>
      <w:pPr>
        <w:spacing w:after="0" w:line="87" w:lineRule="exact"/>
        <w:rPr>
          <w:rFonts w:ascii="Arial" w:cs="Arial" w:eastAsia="Arial" w:hAnsi="Arial"/>
          <w:sz w:val="14"/>
          <w:szCs w:val="14"/>
          <w:color w:val="auto"/>
        </w:rPr>
      </w:pPr>
    </w:p>
    <w:p>
      <w:pPr>
        <w:ind w:left="800" w:right="20" w:hanging="342"/>
        <w:spacing w:after="0" w:line="257" w:lineRule="auto"/>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audited consolidated financial statements incorporated by reference in this prospectus for additional information regarding the 2017 Tax Cuts and Jobs Act.</w:t>
      </w:r>
    </w:p>
    <w:p>
      <w:pPr>
        <w:spacing w:after="0" w:line="77" w:lineRule="exact"/>
        <w:rPr>
          <w:rFonts w:ascii="Arial" w:cs="Arial" w:eastAsia="Arial" w:hAnsi="Arial"/>
          <w:sz w:val="14"/>
          <w:szCs w:val="14"/>
          <w:color w:val="auto"/>
        </w:rPr>
      </w:pPr>
    </w:p>
    <w:p>
      <w:pPr>
        <w:ind w:left="800" w:hanging="342"/>
        <w:spacing w:after="0"/>
        <w:tabs>
          <w:tab w:leader="none" w:pos="80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estimated effective tax rate.</w:t>
      </w:r>
    </w:p>
    <w:p>
      <w:pPr>
        <w:spacing w:after="0" w:line="200" w:lineRule="exact"/>
        <w:rPr>
          <w:sz w:val="20"/>
          <w:szCs w:val="20"/>
          <w:color w:val="auto"/>
        </w:rPr>
      </w:pPr>
    </w:p>
    <w:p>
      <w:pPr>
        <w:spacing w:after="0" w:line="2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i w:val="1"/>
          <w:iCs w:val="1"/>
          <w:color w:val="auto"/>
        </w:rPr>
        <w:t>An investment in our common stock involves risk. You should carefully consider the risks and uncertainties described below, together with all of the other information included or incorporated by reference in this prospectus, including the risks and uncertainties discussed under the “Summary Historical Consolidated Financial and Other Data” contained elsewhere in this prospectus and “Risk Factors,” “Management’s Discussion and Analysis of Financial Condition and Results of Operations,” and our audited consolidated financial statements and related notes thereto in our Annual Report, which is incorporated by reference in this prospectus, before investing in our common stock. Any of the following risks could materially and adversely affect our business, financial condition, or results of operations. The selected risks described below or incorporated by reference in this prospectus, however, are not the only risks facing us. Additional risks and uncertainties not currently known to us or those we currently view to be immaterial may also materially and adversely affect our business, financial condition, or results of operations. In such a case, the trading price of our common stock could decline and you may lose all or part of your investment.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121" w:lineRule="exact"/>
        <w:rPr>
          <w:sz w:val="20"/>
          <w:szCs w:val="20"/>
          <w:color w:val="auto"/>
        </w:rPr>
      </w:pPr>
    </w:p>
    <w:p>
      <w:pPr>
        <w:spacing w:after="0" w:line="357" w:lineRule="auto"/>
        <w:rPr>
          <w:sz w:val="20"/>
          <w:szCs w:val="20"/>
          <w:color w:val="auto"/>
        </w:rPr>
      </w:pPr>
      <w:r>
        <w:rPr>
          <w:rFonts w:ascii="Arial" w:cs="Arial" w:eastAsia="Arial" w:hAnsi="Arial"/>
          <w:sz w:val="15"/>
          <w:szCs w:val="15"/>
          <w:b w:val="1"/>
          <w:bCs w:val="1"/>
          <w:i w:val="1"/>
          <w:iCs w:val="1"/>
          <w:color w:val="auto"/>
        </w:rPr>
        <w:t>Our stock price may be volatile or may decline regardless of our operating performance, and you may not be able to resell shares of our common stock at or above the price you paid or at all, and you could lose all or part of your investment as a result.</w:t>
      </w:r>
    </w:p>
    <w:p>
      <w:pPr>
        <w:ind w:right="80" w:firstLine="360"/>
        <w:spacing w:after="0" w:line="302" w:lineRule="auto"/>
        <w:rPr>
          <w:sz w:val="20"/>
          <w:szCs w:val="20"/>
          <w:color w:val="auto"/>
        </w:rPr>
      </w:pPr>
      <w:r>
        <w:rPr>
          <w:rFonts w:ascii="Arial" w:cs="Arial" w:eastAsia="Arial" w:hAnsi="Arial"/>
          <w:sz w:val="16"/>
          <w:szCs w:val="16"/>
          <w:color w:val="auto"/>
        </w:rPr>
        <w:t>We completed our IPO in October 2017. Since our IPO, the price of our common stock, as reported on NASDAQ, has ranged from a low of $27.19 on October 26, 2017 to a high of $43.80 on January 19, 2018. The trading price of our common stock may be volatile and may be adversely affected due to a number of factors, most of which we cannot control, including those listed under “Risk Factors” in our Annual Report, which is incorporated by reference in this prospectus, and the following:</w:t>
      </w:r>
    </w:p>
    <w:p>
      <w:pPr>
        <w:spacing w:after="0" w:line="46" w:lineRule="exact"/>
        <w:rPr>
          <w:sz w:val="20"/>
          <w:szCs w:val="20"/>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117" w:lineRule="exact"/>
        <w:rPr>
          <w:rFonts w:ascii="Arial" w:cs="Arial" w:eastAsia="Arial" w:hAnsi="Arial"/>
          <w:sz w:val="18"/>
          <w:szCs w:val="18"/>
          <w:color w:val="auto"/>
        </w:rPr>
      </w:pPr>
    </w:p>
    <w:p>
      <w:pPr>
        <w:ind w:left="700" w:right="104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economic conditions for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market valuations of, or earnings and other announcements by, companies in our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declines in the market prices of stocks generally, particularly those of optical retail companies;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17" w:lineRule="exact"/>
        <w:rPr>
          <w:rFonts w:ascii="Arial" w:cs="Arial" w:eastAsia="Arial" w:hAnsi="Arial"/>
          <w:sz w:val="18"/>
          <w:szCs w:val="18"/>
          <w:color w:val="auto"/>
        </w:rPr>
      </w:pPr>
    </w:p>
    <w:p>
      <w:pPr>
        <w:ind w:left="700" w:right="220" w:hanging="356"/>
        <w:spacing w:after="0" w:line="264"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by us, our competitors, our suppliers or our host and legacy organizations of significant contracts, price reductions, new products or technologies, acquisitions, joint marketing relationships, joint ventures, other strategic relationships or capital commitments;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preference of our customers;</w:t>
      </w:r>
    </w:p>
    <w:p>
      <w:pPr>
        <w:spacing w:after="0" w:line="117" w:lineRule="exact"/>
        <w:rPr>
          <w:rFonts w:ascii="Arial" w:cs="Arial" w:eastAsia="Arial" w:hAnsi="Arial"/>
          <w:sz w:val="18"/>
          <w:szCs w:val="18"/>
          <w:color w:val="auto"/>
        </w:rPr>
      </w:pPr>
    </w:p>
    <w:p>
      <w:pPr>
        <w:ind w:left="700" w:right="14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the economy as a whole and, in particular, in the consumer spending environment;</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117" w:lineRule="exact"/>
        <w:rPr>
          <w:rFonts w:ascii="Arial" w:cs="Arial" w:eastAsia="Arial" w:hAnsi="Arial"/>
          <w:sz w:val="18"/>
          <w:szCs w:val="18"/>
          <w:color w:val="auto"/>
        </w:rPr>
      </w:pPr>
    </w:p>
    <w:p>
      <w:pPr>
        <w:ind w:left="700" w:right="44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investor perceptions of or the investment opportunity associated with our common stock relative to other investment alternatives;</w:t>
      </w:r>
    </w:p>
    <w:p>
      <w:pPr>
        <w:spacing w:after="0" w:line="62" w:lineRule="exact"/>
        <w:rPr>
          <w:rFonts w:ascii="Arial" w:cs="Arial" w:eastAsia="Arial" w:hAnsi="Arial"/>
          <w:sz w:val="18"/>
          <w:szCs w:val="18"/>
          <w:color w:val="auto"/>
        </w:rPr>
      </w:pPr>
    </w:p>
    <w:p>
      <w:pPr>
        <w:ind w:left="700" w:right="100" w:hanging="356"/>
        <w:spacing w:after="0" w:line="277" w:lineRule="auto"/>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litigation or governmental investigations;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guidance, if any, that we provide to the public, any changes in this guidance or our failure to meet this guidance;</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accounting principles; and</w:t>
      </w:r>
    </w:p>
    <w:p>
      <w:pPr>
        <w:spacing w:after="0" w:line="117"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informational technology system failures and disruptions, natural disasters, war, acts of terrorism or responses to these events.</w:t>
      </w:r>
    </w:p>
    <w:p>
      <w:pPr>
        <w:spacing w:after="0" w:line="62" w:lineRule="exact"/>
        <w:rPr>
          <w:sz w:val="20"/>
          <w:szCs w:val="20"/>
          <w:color w:val="auto"/>
        </w:rPr>
      </w:pPr>
    </w:p>
    <w:p>
      <w:pPr>
        <w:jc w:val="both"/>
        <w:ind w:right="100" w:firstLine="360"/>
        <w:spacing w:after="0" w:line="259" w:lineRule="auto"/>
        <w:rPr>
          <w:sz w:val="20"/>
          <w:szCs w:val="20"/>
          <w:color w:val="auto"/>
        </w:rPr>
      </w:pPr>
      <w:r>
        <w:rPr>
          <w:rFonts w:ascii="Arial" w:cs="Arial" w:eastAsia="Arial" w:hAnsi="Arial"/>
          <w:sz w:val="18"/>
          <w:szCs w:val="18"/>
          <w:color w:val="auto"/>
        </w:rPr>
        <w:t>Furthermore, the stock market may experience extreme volatility that, in some cases, may be unrelated or disproportionate to the operating performance of particular companies. 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79"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In the past, following periods of market volatility, stockholders have instituted securities class action litigation. If we were to become involved in securities litigation, it could have a substantial cost and divert resources and the attention of executive management from our business regardless of the outcome of such litigation.</w:t>
      </w:r>
    </w:p>
    <w:p>
      <w:pPr>
        <w:spacing w:after="0" w:line="168"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you may not receive any return on investment unless you sell your common stock for a price greater than that which you paid for it.</w:t>
      </w:r>
    </w:p>
    <w:p>
      <w:pPr>
        <w:spacing w:after="0" w:line="75" w:lineRule="exact"/>
        <w:rPr>
          <w:sz w:val="20"/>
          <w:szCs w:val="20"/>
          <w:color w:val="auto"/>
        </w:rPr>
      </w:pPr>
    </w:p>
    <w:p>
      <w:pPr>
        <w:ind w:right="220" w:firstLine="360"/>
        <w:spacing w:after="0" w:line="293" w:lineRule="auto"/>
        <w:rPr>
          <w:sz w:val="20"/>
          <w:szCs w:val="20"/>
          <w:color w:val="auto"/>
        </w:rPr>
      </w:pPr>
      <w:r>
        <w:rPr>
          <w:rFonts w:ascii="Arial" w:cs="Arial" w:eastAsia="Arial" w:hAnsi="Arial"/>
          <w:sz w:val="16"/>
          <w:szCs w:val="16"/>
          <w:color w:val="auto"/>
        </w:rPr>
        <w:t>We have no current plans to pay cash dividends on our common stock. The declaration, amount and payment of any future dividends on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See “Dividend Policy.”</w:t>
      </w:r>
    </w:p>
    <w:p>
      <w:pPr>
        <w:spacing w:after="0" w:line="57" w:lineRule="exact"/>
        <w:rPr>
          <w:sz w:val="20"/>
          <w:szCs w:val="20"/>
          <w:color w:val="auto"/>
        </w:rPr>
      </w:pPr>
    </w:p>
    <w:p>
      <w:pPr>
        <w:ind w:right="360" w:firstLine="360"/>
        <w:spacing w:after="0" w:line="277" w:lineRule="auto"/>
        <w:rPr>
          <w:sz w:val="20"/>
          <w:szCs w:val="20"/>
          <w:color w:val="auto"/>
        </w:rPr>
      </w:pPr>
      <w:r>
        <w:rPr>
          <w:rFonts w:ascii="Arial" w:cs="Arial" w:eastAsia="Arial" w:hAnsi="Arial"/>
          <w:sz w:val="18"/>
          <w:szCs w:val="18"/>
          <w:color w:val="auto"/>
        </w:rPr>
        <w:t>As a result, you may not receive any return on an investment in our common stock unless you sell our common stock for a price greater than your purchase price.</w:t>
      </w:r>
    </w:p>
    <w:p>
      <w:pPr>
        <w:spacing w:after="0" w:line="157"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b w:val="1"/>
          <w:bCs w:val="1"/>
          <w:i w:val="1"/>
          <w:iCs w:val="1"/>
          <w:color w:val="auto"/>
        </w:rPr>
        <w:t>We are a holding company with no operations of our own and, as such, we depend on our subsidiaries for cash to fund all of our operations and expenses, including future dividend payments, if any.</w:t>
      </w:r>
    </w:p>
    <w:p>
      <w:pPr>
        <w:spacing w:after="0" w:line="75"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Our operations are conducted entirely through our subsidiaries and our ability to generate cash to meet our debt service obligations or to make future dividend payments, if any, is highly dependent on the earnings and the receipt of funds from our subsidiaries via dividends or intercompany loans. We do not currently expect to declare or pay dividends on our common stock for the foreseeable future; however, to the extent that we determine in the future to pay dividends on our common stock, the agreements governing our indebtedness may restrict the ability of our subsidiaries to pay dividends or otherwise transfer assets to us.</w:t>
      </w:r>
    </w:p>
    <w:p>
      <w:pPr>
        <w:spacing w:after="0" w:line="145"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downgrade our stock or our sector, our stock price and trading volume could decline.</w:t>
      </w:r>
    </w:p>
    <w:p>
      <w:pPr>
        <w:spacing w:after="0" w:line="7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trading market for our common stock relies in part on the research and reports that industry or financial analysts publish about us or our business. We do not control these analysts. Furthermore, if one or more of the analysts who do cover us downgrade our stock or our industry, or change their views regarding the stock of any of our competitors, or publish inaccurate or unfavorable research about our business, the price of our stock could decline. If one or more of these analysts stop covering us or fail to publish reports on us regularly, we could lose visibility in the market, which in turn could cause our stock price or trading volume to decline.</w:t>
      </w:r>
    </w:p>
    <w:p>
      <w:pPr>
        <w:spacing w:after="0" w:line="145"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Maintaining the requirements of being a public company may strain our resources, divert management’s attention and affect our ability to attract and retain qualified board members.</w:t>
      </w:r>
    </w:p>
    <w:p>
      <w:pPr>
        <w:spacing w:after="0" w:line="75" w:lineRule="exact"/>
        <w:rPr>
          <w:sz w:val="20"/>
          <w:szCs w:val="20"/>
          <w:color w:val="auto"/>
        </w:rPr>
      </w:pPr>
    </w:p>
    <w:p>
      <w:pPr>
        <w:ind w:right="180" w:firstLine="360"/>
        <w:spacing w:after="0" w:line="264" w:lineRule="auto"/>
        <w:rPr>
          <w:sz w:val="20"/>
          <w:szCs w:val="20"/>
          <w:color w:val="auto"/>
        </w:rPr>
      </w:pPr>
      <w:r>
        <w:rPr>
          <w:rFonts w:ascii="Arial" w:cs="Arial" w:eastAsia="Arial" w:hAnsi="Arial"/>
          <w:sz w:val="18"/>
          <w:szCs w:val="18"/>
          <w:color w:val="auto"/>
        </w:rPr>
        <w:t>As a public company, we incur significant legal, accounting, insurance and other expenses that we did not incur as a private company, including costs associated with public company governance and reporting requirements. We also have incurred and will continue to incur costs associated with our compliance with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Sarbanes-Oxley Act of 2002, or the Sarbanes-Oxley Act, and the Dodd-Frank Wall Street Reform and Consumer Protection Act, or the Dodd-Frank Act, as well as rules and regulations implemented by the SEC, and costs in connection with continued listing on NASDAQ. Our efforts to comply with these rules and regulations have significantly increased our legal and financial compliance costs, including costs associated with the hiring of additional personnel, and have made some activities more difficult, time-consuming or costly. Our management devote a substantial amount of time to ensure that we comply with all of these requirements, diverting the attention of management away from revenue-producing activities. The expenses incurred by public companies generally for reporting and corporate governance purposes have been increasing.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our board committees or as our executive officers. Furthermore, if we are unable to satisfy our obligations as a public company, we could be subject to delisting of our common stock, fines, sanctions and other regulatory action and potentially civil litigation.</w:t>
      </w:r>
    </w:p>
    <w:p>
      <w:pPr>
        <w:spacing w:after="0" w:line="174" w:lineRule="exact"/>
        <w:rPr>
          <w:sz w:val="20"/>
          <w:szCs w:val="20"/>
          <w:color w:val="auto"/>
        </w:rPr>
      </w:pPr>
    </w:p>
    <w:p>
      <w:pPr>
        <w:ind w:right="40"/>
        <w:spacing w:after="0" w:line="276" w:lineRule="auto"/>
        <w:rPr>
          <w:sz w:val="20"/>
          <w:szCs w:val="20"/>
          <w:color w:val="auto"/>
        </w:rPr>
      </w:pPr>
      <w:r>
        <w:rPr>
          <w:rFonts w:ascii="Arial" w:cs="Arial" w:eastAsia="Arial" w:hAnsi="Arial"/>
          <w:sz w:val="16"/>
          <w:szCs w:val="16"/>
          <w:b w:val="1"/>
          <w:bCs w:val="1"/>
          <w:i w:val="1"/>
          <w:iCs w:val="1"/>
          <w:color w:val="auto"/>
        </w:rPr>
        <w:t>Failure to comply with requirements to design, implement and maintain effective internal controls could have a material adverse effect on our business and stock price, and any failure to maintain financial controls could result in our financial statements becoming unreliable. We currently have material weaknesses in our internal control over financial reporting.</w:t>
      </w:r>
    </w:p>
    <w:p>
      <w:pPr>
        <w:spacing w:after="0" w:line="54" w:lineRule="exact"/>
        <w:rPr>
          <w:sz w:val="20"/>
          <w:szCs w:val="20"/>
          <w:color w:val="auto"/>
        </w:rPr>
      </w:pPr>
    </w:p>
    <w:p>
      <w:pPr>
        <w:ind w:firstLine="360"/>
        <w:spacing w:after="0" w:line="285" w:lineRule="auto"/>
        <w:rPr>
          <w:sz w:val="20"/>
          <w:szCs w:val="20"/>
          <w:color w:val="auto"/>
        </w:rPr>
      </w:pPr>
      <w:r>
        <w:rPr>
          <w:rFonts w:ascii="Arial" w:cs="Arial" w:eastAsia="Arial" w:hAnsi="Arial"/>
          <w:sz w:val="16"/>
          <w:szCs w:val="16"/>
          <w:color w:val="auto"/>
        </w:rPr>
        <w:t>As a public company, we have significant requirements for enhanced financial reporting and internal controls. We have made, and will continue to make, changes to our internal controls and procedures for financial reporting and accounting systems to meet our reporting obligations as a public company.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measures we take may not be sufficient to satisfy our obligations as a public company and if we are unable to establish or maintain appropriate internal financial reporting controls and procedures, it could cause us to fail to meet our reporting obligations on a timely basis, result in material misstatements in our consolidated financial statements and harm our results of operations. In addition, we will be required, pursuant to Section 404(a) of the Sarbanes-Oxley Act, or Section 404, to furnish a report by management on, among other things, the effectiveness of our internal control over financial reporting in the annual report for the fiscal year ending December 29, 2018. This assessment will need to include disclosure of any material weaknesses identified by our management in our internal control over financial reporting. The rules governing the standards that must be met for our management to assess our internal control over financial reporting are complex and require significant documentation, testing and possible remediation. Testing and maintaining internal controls may divert our management’s attention from other matters that are important to our business. Our independent registered public accounting firm will be required to issue an attestation report on the effectiveness of our internal controls in the annual report for the fiscal year ending December 29, 2018.</w:t>
      </w:r>
    </w:p>
    <w:p>
      <w:pPr>
        <w:spacing w:after="0" w:line="70" w:lineRule="exact"/>
        <w:rPr>
          <w:sz w:val="20"/>
          <w:szCs w:val="20"/>
          <w:color w:val="auto"/>
        </w:rPr>
      </w:pPr>
    </w:p>
    <w:p>
      <w:pPr>
        <w:ind w:right="180" w:firstLine="360"/>
        <w:spacing w:after="0" w:line="257" w:lineRule="auto"/>
        <w:rPr>
          <w:sz w:val="20"/>
          <w:szCs w:val="20"/>
          <w:color w:val="auto"/>
        </w:rPr>
      </w:pPr>
      <w:r>
        <w:rPr>
          <w:rFonts w:ascii="Arial" w:cs="Arial" w:eastAsia="Arial" w:hAnsi="Arial"/>
          <w:sz w:val="18"/>
          <w:szCs w:val="18"/>
          <w:color w:val="auto"/>
        </w:rPr>
        <w:t>In connection with the implementation of the necessary procedures and practices related to internal control over financial reporting, we have identified and may identify additional deficiencies that we may not be able to remediate in time to meet the deadline imposed by the Sarbanes-Oxley Act for compliance with the requirements of Section 404. In addition, we may encounter problems or delays in completing the remediation of any deficiencies identified by our independent registered public accounting firm in connection with the issuance of their attestation report.</w:t>
      </w:r>
    </w:p>
    <w:p>
      <w:pPr>
        <w:spacing w:after="0" w:line="80"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As disclosed in the final prospectus for our IPO, management concluded that we have material weaknesses in our internal control over financial reporting. A material weakness is a deficiency, or a combination of deficiencies, in internal control over financial reporting, such that there is a reasonable possibility that a material misstatement of the company’s annual or interim consolidated financial statements will not be prevented or detected on a timely basis. We identified a deficiency in the design of controls related to the timely detection of damaged, expired or expiring contact lens inventory for purposes of recording inventory at net realizable value. We also identified a material weakness related to a deficiency in the design of entity level controls to identify and assess changes in our business environment that could significantly impact the system of internal control over financial reporting. As a result of these material weaknesses, we wrote off $2.3 million of inventory related to the expired or expiring contact lens inventory in fiscal year 2017. As a result of the material weakness in our</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entity level controls, we overstated net sales of services and plans in our legacy segment and consolidated net sales of services and plans and understated net product sales in our legacy segment and consolidated net product sales by $7.2 million and $7.6 million for fiscal years 2016 and 2015, respectively. We have designed and are implementing controls to remediate these material weaknesses. These remediation measures may be time consuming, costly, and may place significant demands on our financial and operational resources. Our efforts to remediate these material weaknesses may not be effective. If our efforts to remediate these material weaknesses are not successful, the remediated material weaknesses may reoccur or related material weaknesses could occur in the future.</w:t>
      </w:r>
    </w:p>
    <w:p>
      <w:pPr>
        <w:spacing w:after="0" w:line="8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controls over financial reporting that are deemed to be material weaknesses in addition to the material weaknesses described above. The material weaknesses described above or any newly-identified material weaknesses could result in a material misstatement of our annual or quarterly consolidated financial statements or disclosures that may not be prevented or detected.</w:t>
      </w:r>
    </w:p>
    <w:p>
      <w:pPr>
        <w:spacing w:after="0" w:line="46"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We may not be able to conclude on an ongoing basis that we have effective internal control over financial reporting in accordance with Section 404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have a material adverse effect on the trading price of our common stock.</w:t>
      </w:r>
    </w:p>
    <w:p>
      <w:pPr>
        <w:spacing w:after="0" w:line="159" w:lineRule="exact"/>
        <w:rPr>
          <w:sz w:val="20"/>
          <w:szCs w:val="20"/>
          <w:color w:val="auto"/>
        </w:rPr>
      </w:pPr>
    </w:p>
    <w:p>
      <w:pPr>
        <w:ind w:right="340"/>
        <w:spacing w:after="0" w:line="246" w:lineRule="auto"/>
        <w:rPr>
          <w:sz w:val="20"/>
          <w:szCs w:val="20"/>
          <w:color w:val="auto"/>
        </w:rPr>
      </w:pPr>
      <w:r>
        <w:rPr>
          <w:rFonts w:ascii="Arial" w:cs="Arial" w:eastAsia="Arial" w:hAnsi="Arial"/>
          <w:sz w:val="18"/>
          <w:szCs w:val="18"/>
          <w:b w:val="1"/>
          <w:bCs w:val="1"/>
          <w:i w:val="1"/>
          <w:iCs w:val="1"/>
          <w:color w:val="auto"/>
        </w:rPr>
        <w:t>Future sales, or the perception of future sales, by us or our existing stockholders in the public market following this offering could cause the market price for our common stock to decline.</w:t>
      </w:r>
    </w:p>
    <w:p>
      <w:pPr>
        <w:spacing w:after="0" w:line="75" w:lineRule="exact"/>
        <w:rPr>
          <w:sz w:val="20"/>
          <w:szCs w:val="20"/>
          <w:color w:val="auto"/>
        </w:rPr>
      </w:pPr>
    </w:p>
    <w:p>
      <w:pPr>
        <w:jc w:val="both"/>
        <w:ind w:right="80" w:firstLine="360"/>
        <w:spacing w:after="0" w:line="259" w:lineRule="auto"/>
        <w:rPr>
          <w:sz w:val="20"/>
          <w:szCs w:val="20"/>
          <w:color w:val="auto"/>
        </w:rPr>
      </w:pPr>
      <w:r>
        <w:rPr>
          <w:rFonts w:ascii="Arial" w:cs="Arial" w:eastAsia="Arial" w:hAnsi="Arial"/>
          <w:sz w:val="18"/>
          <w:szCs w:val="18"/>
          <w:color w:val="auto"/>
        </w:rPr>
        <w:t>After this offering, the sale of shares of our common stock in the public market, or the perception that such sales could occur, including sales by our existing stockholders, could harm the prevailing market price of shares of our common stock. These sales, or the possibility that these sales may occur, also might make it more difficult for us to sell equity securities in the future at a time and at a price that we deem appropriate.</w:t>
      </w:r>
    </w:p>
    <w:p>
      <w:pPr>
        <w:spacing w:after="0" w:line="79"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Upon the consummation of this offering, we will have a total of 74,656,175 shares of our common stock outstanding. Of the outstanding shares, the 28,170,000 shares sold in the IPO and this offering (or 29,670,000 shares if the underwriters exercise in full their option to purchase additional shares in this offering) will be freely tradable without restriction or further registration under the Securities Act of 1933, as amended, or the Securities Act. Additionally, in connection with this offering, our board of directors, or the Board of Directors, will, pursuant to the management stockholder’s agreements, elect to waive the transfer restrictions with respect to the number of shares of our common stock that management stockholders not participating in this offering would have been eligible to sell in this offering if they had exercised their piggyback registration rights. Of these shares, 616,711 shares are held by non-executive officers and as such, may be sold during the 90-day lock-up period after this offering, subject to compliance with our securities trading policy and applicable securities laws.</w:t>
      </w:r>
    </w:p>
    <w:p>
      <w:pPr>
        <w:spacing w:after="0" w:line="74"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The 46,031,727 shares of common stock (or 44,531,727 shares if the underwriters exercise in full their option to purchase additional shares) held by affiliates of KKR Sponsor, affiliates of Berkshire and our directors and executive officers after this offering, representing 61.7% (or 59.6% if the underwriters exercise in full their option to purchase additional shares) of the total outstanding shares of our common stock following this offering, will be “restricted securities” within the meaning of Rule 144 and subject to certain restrictions on resale. Restricted securities may be sold in the public market only if they are registered under the Securities Act or are sold pursuant to an exemption from registration such as Rule 144, as described in “Shares Eligible for Future Sale.”</w:t>
      </w:r>
    </w:p>
    <w:p>
      <w:pPr>
        <w:spacing w:after="0" w:line="81" w:lineRule="exact"/>
        <w:rPr>
          <w:sz w:val="20"/>
          <w:szCs w:val="20"/>
          <w:color w:val="auto"/>
        </w:rPr>
      </w:pPr>
    </w:p>
    <w:p>
      <w:pPr>
        <w:ind w:right="100" w:firstLine="360"/>
        <w:spacing w:after="0" w:line="271" w:lineRule="auto"/>
        <w:rPr>
          <w:sz w:val="20"/>
          <w:szCs w:val="20"/>
          <w:color w:val="auto"/>
        </w:rPr>
      </w:pPr>
      <w:r>
        <w:rPr>
          <w:rFonts w:ascii="Arial" w:cs="Arial" w:eastAsia="Arial" w:hAnsi="Arial"/>
          <w:sz w:val="17"/>
          <w:szCs w:val="17"/>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common stock, each held by them for days following the date of this prospectus, except with the prior written consent of any two of Merrill Lynch, Pierce, Fenner &amp; Smith Incorporated, Citigroup Global Markets Inc. and Goldman Sachs &amp; Co. LLC. See “Underwriting (Conflicts of Interest)” for a description of these lock-up agreements. In addition, holders of substantially all of our common stock outstanding prior to the IPO agreed to not transfer shares of their common stock, except in certain circumstances, until the date that is 180 days from the date of the final prospectus for the IPO. The representatives of the underwriters of the IPO</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have waived certain of such initial public offering lock-up agreements to permit the filing of this registration statement and are expected to waive certain of the initial public offering lock-up agreements to permit the sale of our common stock in this offering by the selling stockholders (which include officers of the Company).</w:t>
      </w:r>
    </w:p>
    <w:p>
      <w:pPr>
        <w:spacing w:after="0" w:line="73" w:lineRule="exact"/>
        <w:rPr>
          <w:sz w:val="20"/>
          <w:szCs w:val="20"/>
          <w:color w:val="auto"/>
        </w:rPr>
      </w:pPr>
    </w:p>
    <w:p>
      <w:pPr>
        <w:ind w:right="120" w:firstLine="360"/>
        <w:spacing w:after="0" w:line="302" w:lineRule="auto"/>
        <w:rPr>
          <w:sz w:val="20"/>
          <w:szCs w:val="20"/>
          <w:color w:val="auto"/>
        </w:rPr>
      </w:pPr>
      <w:r>
        <w:rPr>
          <w:rFonts w:ascii="Arial" w:cs="Arial" w:eastAsia="Arial" w:hAnsi="Arial"/>
          <w:sz w:val="16"/>
          <w:szCs w:val="16"/>
          <w:color w:val="auto"/>
        </w:rPr>
        <w:t>We expect that KKR Sponsor and certain of its affiliates will be considered an affiliate upon the expiration of the lock-up period based on their expected share ownership, as well as their board nomination rights. We also expect that Berkshire and certain of its affiliates will be considered an affiliate upon the expiration of the lock-up period based on their expected share ownership, as well as their board nomination rights. Certain other of our stockholders may also be considered affiliates at that time.</w:t>
      </w:r>
    </w:p>
    <w:p>
      <w:pPr>
        <w:spacing w:after="0" w:line="46" w:lineRule="exact"/>
        <w:rPr>
          <w:sz w:val="20"/>
          <w:szCs w:val="20"/>
          <w:color w:val="auto"/>
        </w:rPr>
      </w:pPr>
    </w:p>
    <w:p>
      <w:pPr>
        <w:ind w:right="120" w:firstLine="360"/>
        <w:spacing w:after="0" w:line="290" w:lineRule="auto"/>
        <w:rPr>
          <w:sz w:val="20"/>
          <w:szCs w:val="20"/>
          <w:color w:val="auto"/>
        </w:rPr>
      </w:pPr>
      <w:r>
        <w:rPr>
          <w:rFonts w:ascii="Arial" w:cs="Arial" w:eastAsia="Arial" w:hAnsi="Arial"/>
          <w:sz w:val="16"/>
          <w:szCs w:val="16"/>
          <w:color w:val="auto"/>
        </w:rPr>
        <w:t>In addition, pursuant to a registration rights agreement, each of the Sponsors has the right, subject to certain conditions, to require us to register the sale of their shares of our common stock under the Securities Act. By exercising its registration rights and selling a large number of shares, a Sponsor could cause the prevailing market price of our common stock to decline. Certain of our other stockholders have “piggyback” registration rights with respect to future registered offerings of our common stock. Following completion of this offering, the shares covered by registration rights would represent approximately 62.3% of our total common stock outstanding (or 60.3% if the underwriters exercise in full their option to purchase additional shares). Registration of any of these outstanding shares of common stock would result in such shares becoming freely tradable without compliance with Rule 144 upon effectiveness of the registration statement. See “Shares Eligible for Future Sale.”</w:t>
      </w:r>
    </w:p>
    <w:p>
      <w:pPr>
        <w:spacing w:after="0" w:line="58" w:lineRule="exact"/>
        <w:rPr>
          <w:sz w:val="20"/>
          <w:szCs w:val="20"/>
          <w:color w:val="auto"/>
        </w:rPr>
      </w:pPr>
    </w:p>
    <w:p>
      <w:pPr>
        <w:ind w:right="80" w:firstLine="360"/>
        <w:spacing w:after="0" w:line="273" w:lineRule="auto"/>
        <w:rPr>
          <w:sz w:val="20"/>
          <w:szCs w:val="20"/>
          <w:color w:val="auto"/>
        </w:rPr>
      </w:pPr>
      <w:r>
        <w:rPr>
          <w:rFonts w:ascii="Arial" w:cs="Arial" w:eastAsia="Arial" w:hAnsi="Arial"/>
          <w:sz w:val="17"/>
          <w:szCs w:val="17"/>
          <w:color w:val="auto"/>
        </w:rPr>
        <w:t>14,585,568 shares of our common stock subject to our outstanding options or subject to issuance under our 2013 Equity Incentive Plan, our 2014 Stock Incentive Plan and our 2017 Omnibus Incentive Plan have been registered with a registration statement on Form S-8 and will be available for sale in the open market, subject to limitations in the management stockholder’s agreements. As of February 28, 2018, there were stock options outstanding to purchase a total of 10,608,559 shares of our common stock and 182,234 shares of our common stock subject to restricted stock units. In addition, as of February 28, 2018, 3,794,775 shares of our common stock were reserved for future issuance under our incentive plans.</w:t>
      </w:r>
    </w:p>
    <w:p>
      <w:pPr>
        <w:spacing w:after="0" w:line="70" w:lineRule="exact"/>
        <w:rPr>
          <w:sz w:val="20"/>
          <w:szCs w:val="20"/>
          <w:color w:val="auto"/>
        </w:rPr>
      </w:pPr>
    </w:p>
    <w:p>
      <w:pPr>
        <w:ind w:right="160" w:firstLine="360"/>
        <w:spacing w:after="0" w:line="259" w:lineRule="auto"/>
        <w:rPr>
          <w:sz w:val="20"/>
          <w:szCs w:val="20"/>
          <w:color w:val="auto"/>
        </w:rPr>
      </w:pPr>
      <w:r>
        <w:rPr>
          <w:rFonts w:ascii="Arial" w:cs="Arial" w:eastAsia="Arial" w:hAnsi="Arial"/>
          <w:sz w:val="18"/>
          <w:szCs w:val="18"/>
          <w:color w:val="auto"/>
        </w:rPr>
        <w:t>As restrictions on resale end, or if the existing stockholders exercise their registration rights, the market price of our shares of common stock could drop significantly if the holders of these shares sell them or are perceived by the market as intending to sell them. These factors could also make it more difficult for us to raise additional funds through future offerings of our shares of common stock or other securities.</w:t>
      </w:r>
    </w:p>
    <w:p>
      <w:pPr>
        <w:spacing w:after="0" w:line="79" w:lineRule="exact"/>
        <w:rPr>
          <w:sz w:val="20"/>
          <w:szCs w:val="20"/>
          <w:color w:val="auto"/>
        </w:rPr>
      </w:pPr>
    </w:p>
    <w:p>
      <w:pPr>
        <w:ind w:right="280" w:firstLine="360"/>
        <w:spacing w:after="0" w:line="259" w:lineRule="auto"/>
        <w:rPr>
          <w:sz w:val="20"/>
          <w:szCs w:val="20"/>
          <w:color w:val="auto"/>
        </w:rPr>
      </w:pPr>
      <w:r>
        <w:rPr>
          <w:rFonts w:ascii="Arial" w:cs="Arial" w:eastAsia="Arial" w:hAnsi="Arial"/>
          <w:sz w:val="18"/>
          <w:szCs w:val="18"/>
          <w:color w:val="auto"/>
        </w:rPr>
        <w:t>In the future, we may also issue our securities in connection with investments or acquisitions. The number of shares of our common stock issued in connection with an investment or acquisition could constitute a material portion of our then-outstanding shares of our common stock. Any issuance of additional securities in connection with investments or acquisitions may result in additional dilution to you.</w:t>
      </w:r>
    </w:p>
    <w:p>
      <w:pPr>
        <w:spacing w:after="0" w:line="173"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are a “controlled company” within the meaning of NASDAQ rules and the rules of the SEC and, as a result, qualify for, and rely on, exemptions from certain corporate governance requirements. You will not have the same protections afforded to stockholders of other companies that are subject to such requirements.</w:t>
      </w:r>
    </w:p>
    <w:p>
      <w:pPr>
        <w:spacing w:after="0" w:line="81"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After completion of this offering, the Sponsors will continue to control a majority of the voting power of our outstanding common stock. As a result, we will continue to be a “controlled company” within the meaning of the corporate governance standards of NASDAQ. Under these rules, a company of which more than 50% of the voting power is held by an individual, group or another company is a “controlled company” and may elect not to comply with certain corporate governance requirements, including the requirements that:</w:t>
      </w:r>
    </w:p>
    <w:p>
      <w:pPr>
        <w:spacing w:after="0" w:line="80" w:lineRule="exact"/>
        <w:rPr>
          <w:sz w:val="20"/>
          <w:szCs w:val="20"/>
          <w:color w:val="auto"/>
        </w:rPr>
      </w:pPr>
    </w:p>
    <w:p>
      <w:pPr>
        <w:ind w:left="700" w:hanging="356"/>
        <w:spacing w:after="0"/>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majority of our Board of Directors consist of “independent directors” as defined under the rules of NASDAQ;</w:t>
      </w:r>
    </w:p>
    <w:p>
      <w:pPr>
        <w:spacing w:after="0" w:line="117" w:lineRule="exact"/>
        <w:rPr>
          <w:rFonts w:ascii="Arial" w:cs="Arial" w:eastAsia="Arial" w:hAnsi="Arial"/>
          <w:sz w:val="18"/>
          <w:szCs w:val="18"/>
          <w:color w:val="auto"/>
        </w:rPr>
      </w:pPr>
    </w:p>
    <w:p>
      <w:pPr>
        <w:ind w:left="700" w:right="160" w:hanging="356"/>
        <w:spacing w:after="0" w:line="277"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Board of Directors have a compensation committee that is composed entirely of independent directors with a written charter addressing the committee purpose and responsibilities; and</w:t>
      </w:r>
    </w:p>
    <w:p>
      <w:pPr>
        <w:spacing w:after="0" w:line="62" w:lineRule="exact"/>
        <w:rPr>
          <w:rFonts w:ascii="Arial" w:cs="Arial" w:eastAsia="Arial" w:hAnsi="Arial"/>
          <w:sz w:val="18"/>
          <w:szCs w:val="18"/>
          <w:color w:val="auto"/>
        </w:rPr>
      </w:pPr>
    </w:p>
    <w:p>
      <w:pPr>
        <w:jc w:val="both"/>
        <w:ind w:left="700" w:right="280" w:hanging="356"/>
        <w:spacing w:after="0" w:line="264" w:lineRule="auto"/>
        <w:tabs>
          <w:tab w:leader="none" w:pos="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director nominations be made, or recommended to the full Board of Directors, by our independent directors or by a nominations committee that is composed entirely of independent directors and that we adopt a written charter or board resolution addressing the nominations process.</w:t>
      </w:r>
    </w:p>
    <w:p>
      <w:pPr>
        <w:spacing w:after="0" w:line="73"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Because we utilize these exemptions, we do not have a majority of independent directors, our compensation committee does not consist entirely of independent directors and our director nominations are not made,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recommended to the full Board of Directors, by our independent directors and we do not have a nominating/corporate governance committee. Accordingly, you will not have the same protections afforded to stockholders of companies that are subject to all of the corporate governance requirements of NASDAQ.</w:t>
      </w:r>
    </w:p>
    <w:p>
      <w:pPr>
        <w:spacing w:after="0" w:line="73"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In addition, Rule 10C-1 under the Securities Exchange Act of 1934, as amended, or the Exchange Act, implements provisions of the Dodd-Frank Act pertaining to compensation committee independence and the role and disclosure of compensation consultants and other advisers to the compensation committee. The listing standards of the national securities exchanges (including NASDAQ) comply with provisions of Rule 10C-1 and require, among others, that:</w:t>
      </w:r>
    </w:p>
    <w:p>
      <w:pPr>
        <w:spacing w:after="0" w:line="79" w:lineRule="exact"/>
        <w:rPr>
          <w:sz w:val="20"/>
          <w:szCs w:val="20"/>
          <w:color w:val="auto"/>
        </w:rPr>
      </w:pPr>
    </w:p>
    <w:p>
      <w:pPr>
        <w:ind w:left="700" w:right="62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composed of fully independent directors, as determined pursuant to new and existing independence requirements;</w:t>
      </w:r>
    </w:p>
    <w:p>
      <w:pPr>
        <w:spacing w:after="0" w:line="62" w:lineRule="exact"/>
        <w:rPr>
          <w:rFonts w:ascii="Arial" w:cs="Arial" w:eastAsia="Arial" w:hAnsi="Arial"/>
          <w:sz w:val="18"/>
          <w:szCs w:val="18"/>
          <w:color w:val="auto"/>
        </w:rPr>
      </w:pPr>
    </w:p>
    <w:p>
      <w:pPr>
        <w:ind w:left="700" w:right="240" w:hanging="35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explicitly charged with hiring and overseeing compensation consultants, legal counsel and other committee advisers; and</w:t>
      </w:r>
    </w:p>
    <w:p>
      <w:pPr>
        <w:spacing w:after="0" w:line="62" w:lineRule="exact"/>
        <w:rPr>
          <w:rFonts w:ascii="Arial" w:cs="Arial" w:eastAsia="Arial" w:hAnsi="Arial"/>
          <w:sz w:val="18"/>
          <w:szCs w:val="18"/>
          <w:color w:val="auto"/>
        </w:rPr>
      </w:pPr>
    </w:p>
    <w:p>
      <w:pPr>
        <w:ind w:left="700" w:right="120" w:hanging="356"/>
        <w:spacing w:after="0" w:line="264"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compensation committees be required to consider, when engaging compensation consultants, legal counsel or other advisers, certain independence factors, including factors that examine the relationship between the consultant or adviser’s employer and us.</w:t>
      </w:r>
    </w:p>
    <w:p>
      <w:pPr>
        <w:spacing w:after="0" w:line="7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As a “controlled company,” we are not subject to these compensation committee independence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Sponsors control us and their interests may conflict with ours or yours in the future.</w:t>
      </w:r>
    </w:p>
    <w:p>
      <w:pPr>
        <w:spacing w:after="0" w:line="117" w:lineRule="exact"/>
        <w:rPr>
          <w:sz w:val="20"/>
          <w:szCs w:val="20"/>
          <w:color w:val="auto"/>
        </w:rPr>
      </w:pPr>
    </w:p>
    <w:p>
      <w:pPr>
        <w:ind w:right="20" w:firstLine="360"/>
        <w:spacing w:after="0" w:line="289" w:lineRule="auto"/>
        <w:rPr>
          <w:sz w:val="20"/>
          <w:szCs w:val="20"/>
          <w:color w:val="auto"/>
        </w:rPr>
      </w:pPr>
      <w:r>
        <w:rPr>
          <w:rFonts w:ascii="Arial" w:cs="Arial" w:eastAsia="Arial" w:hAnsi="Arial"/>
          <w:sz w:val="16"/>
          <w:szCs w:val="16"/>
          <w:color w:val="auto"/>
        </w:rPr>
        <w:t>Immediately following this offering, the Sponsors will beneficially own 58.6% of our common stock, or 56.6% if the underwriters exercise in full their option to purchase additional shares. As a result, the Sponsors will be able to continue to control the election and removal of our directors and thereby control our policies and operations, including the appointment of management, future issuances of our common stock or other securities, payment of dividends, if any, on our common stock, the incurrence or modification of indebtedness by us, amendment of our amended and restated certificate of incorporation and amended and restated bylaws and the entering into of extraordinary transactions, and their interests may not in all cases be aligned with your interests. In addition, the Sponsors and their affiliates may have an interest in pursuing acquisitions, divestitures and other transactions that, in their judgment, could enhance their investment, even though such transactions might involve risks to you. For example, the Sponsors could cause us to make acquisitions that increase our indebtedness or cause us to sell revenue-generating assets.</w:t>
      </w:r>
    </w:p>
    <w:p>
      <w:pPr>
        <w:spacing w:after="0" w:line="59"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Our Sponsors and their affiliates are in the business of making investments in companies and may from time to time acquire and hold interests in businesses that compete directly or indirectly with us. Our amended and restated certificate of incorporation provides that none of the Sponsors, any of their affiliates or any director who is not employed by us (including any non-employee director who serves as one of our officers in both his director and officer capacities) or his or her affiliates have any duty to refrain from engaging, directly or indirectly, in the same business activities or similar business activities or lines of business in which we operate. The Sponsors and their affiliates also may pursue acquisition opportunities that may be complementary to our business and, as a result, those acquisition opportunities may not be available to us.</w:t>
      </w:r>
    </w:p>
    <w:p>
      <w:pPr>
        <w:spacing w:after="0" w:line="70"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In addition, the Sponsors and their affiliates will be able to determine the outcome of all matters requiring stockholder approval and will be able to cause or prevent a change of control of our company or a change in the composition of our Board of Directors and could preclude any acquisition of our company. This concentration of voting control could deprive you of an opportunity to receive a premium for your shares of common stock as part of a sale of our company and ultimately might affect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117" w:lineRule="exact"/>
        <w:rPr>
          <w:sz w:val="20"/>
          <w:szCs w:val="20"/>
          <w:color w:val="auto"/>
        </w:rPr>
      </w:pPr>
    </w:p>
    <w:p>
      <w:pPr>
        <w:ind w:right="40" w:firstLine="360"/>
        <w:spacing w:after="0" w:line="259"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provisions provide for, among other things: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right="34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classified board of directors, as a result of which our Board of Directors is divided into three classes, with each class serving for staggered three-year terms;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117" w:lineRule="exact"/>
        <w:rPr>
          <w:rFonts w:ascii="Arial" w:cs="Arial" w:eastAsia="Arial" w:hAnsi="Arial"/>
          <w:sz w:val="18"/>
          <w:szCs w:val="18"/>
          <w:color w:val="auto"/>
        </w:rPr>
      </w:pPr>
    </w:p>
    <w:p>
      <w:pPr>
        <w:ind w:left="700" w:right="300" w:hanging="35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advance notice requirements for nominations of directors by stockholders and for stockholders to include matters to be considered at our annual meetings;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107" w:lineRule="exact"/>
        <w:rPr>
          <w:rFonts w:ascii="Arial" w:cs="Arial" w:eastAsia="Arial" w:hAnsi="Arial"/>
          <w:sz w:val="18"/>
          <w:szCs w:val="18"/>
          <w:color w:val="auto"/>
        </w:rPr>
      </w:pPr>
    </w:p>
    <w:p>
      <w:pPr>
        <w:jc w:val="both"/>
        <w:ind w:left="700" w:right="20" w:hanging="356"/>
        <w:spacing w:after="0" w:line="233" w:lineRule="auto"/>
        <w:tabs>
          <w:tab w:leader="none" w:pos="7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the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shares of common stock entitled to vote generally in the election of directors if the Sponsors and their affiliates cease to beneficially own at least 40% of shares of common stock entitled to vote generally in the election of directors; and</w:t>
      </w:r>
    </w:p>
    <w:p>
      <w:pPr>
        <w:spacing w:after="0" w:line="86" w:lineRule="exact"/>
        <w:rPr>
          <w:rFonts w:ascii="Arial" w:cs="Arial" w:eastAsia="Arial" w:hAnsi="Arial"/>
          <w:sz w:val="17"/>
          <w:szCs w:val="17"/>
          <w:color w:val="auto"/>
        </w:rPr>
      </w:pPr>
    </w:p>
    <w:p>
      <w:pPr>
        <w:ind w:left="700" w:right="80" w:hanging="356"/>
        <w:spacing w:after="0" w:line="222"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of shares of common stock entitled to vote generally in the election of directors if the Sponsors and their affiliates cease to beneficially own at least 40% of shares of common stock entitled to vote generally in the election of directors.</w:t>
      </w:r>
    </w:p>
    <w:p>
      <w:pPr>
        <w:spacing w:after="0" w:line="96" w:lineRule="exact"/>
        <w:rPr>
          <w:sz w:val="20"/>
          <w:szCs w:val="20"/>
          <w:color w:val="auto"/>
        </w:rPr>
      </w:pPr>
    </w:p>
    <w:p>
      <w:pPr>
        <w:jc w:val="both"/>
        <w:ind w:right="40" w:firstLine="360"/>
        <w:spacing w:after="0" w:line="264" w:lineRule="auto"/>
        <w:rPr>
          <w:sz w:val="20"/>
          <w:szCs w:val="20"/>
          <w:color w:val="auto"/>
        </w:rPr>
      </w:pPr>
      <w:r>
        <w:rPr>
          <w:rFonts w:ascii="Arial" w:cs="Arial" w:eastAsia="Arial" w:hAnsi="Arial"/>
          <w:sz w:val="18"/>
          <w:szCs w:val="18"/>
          <w:color w:val="auto"/>
        </w:rPr>
        <w:t>These anti-takeover provisions could make it more difficult for a third party to acquire us, even if the third party’s offer may be considered beneficial by many of our stockholders. As a result, our stockholders may be limited in their ability to obtain a premium for their shares. See “Description of Capital Stock.”</w:t>
      </w:r>
    </w:p>
    <w:p>
      <w:pPr>
        <w:spacing w:after="0" w:line="168"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i w:val="1"/>
          <w:iCs w:val="1"/>
          <w:color w:val="auto"/>
        </w:rPr>
        <w:t>Our Board of Directors is authorized to issue and designate shares of our preferred stock in additional series without stockholder approval.</w:t>
      </w:r>
    </w:p>
    <w:p>
      <w:pPr>
        <w:spacing w:after="0" w:line="75"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Our amended and restated certificate of incorporation authorizes our Board of Directors, without the approval of our stockholders, to issue 50,000,000 shares of our preferred stock, subject to limitations prescribed by applicable law, rules and regulations and the provisions of our amended and restated certificate of incorporation, as shares of preferred stock in series,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151" w:lineRule="exact"/>
        <w:rPr>
          <w:sz w:val="20"/>
          <w:szCs w:val="20"/>
          <w:color w:val="auto"/>
        </w:rPr>
      </w:pPr>
    </w:p>
    <w:p>
      <w:pPr>
        <w:ind w:right="140"/>
        <w:spacing w:after="0" w:line="231"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subject to limited exceptions, that the Court of Chancery of the State of Delaware will be the sole and exclusive forum for certain stockholder litigation matters, which could limit our stockholders’ ability to obtain a favorable judicial forum for disputes with us or our directors, officers, employees or stockholders.</w:t>
      </w:r>
    </w:p>
    <w:p>
      <w:pPr>
        <w:spacing w:after="0" w:line="81"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w:t>
      </w:r>
    </w:p>
    <w:p>
      <w:pPr>
        <w:spacing w:after="0" w:line="74"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Any person or entity purchasing or otherwise acquiring any interest in shares of our capital stock shall be deemed to have notice of and consented to the forum provisions in our amended and restated certificate of incorporation. This choice of forum provision may limit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21" w:lineRule="exact"/>
        <w:rPr>
          <w:sz w:val="20"/>
          <w:szCs w:val="20"/>
          <w:color w:val="auto"/>
        </w:rPr>
      </w:pPr>
    </w:p>
    <w:p>
      <w:pPr>
        <w:ind w:right="20" w:firstLine="360"/>
        <w:spacing w:after="0" w:line="269" w:lineRule="auto"/>
        <w:rPr>
          <w:sz w:val="20"/>
          <w:szCs w:val="20"/>
          <w:color w:val="auto"/>
        </w:rPr>
      </w:pPr>
      <w:r>
        <w:rPr>
          <w:rFonts w:ascii="Arial" w:cs="Arial" w:eastAsia="Arial" w:hAnsi="Arial"/>
          <w:sz w:val="17"/>
          <w:szCs w:val="17"/>
          <w:color w:val="auto"/>
        </w:rPr>
        <w:t>Certain matters we discuss in this prospectus and in the documents we incorporate by reference herein may constitute forward-looking statements. You can identify forward-looking statements because they contain words such as “believes,” “expects,” “may,” “will,” “should,” “seeks,” “intends,” “plans,” “estimates,” or “anticipates,” or similar expressions which concern our strategy, plans, projections or intentions. These forward-looking statements relate to matters such as our industry, growth strategy, goals and expectations concerning our market position, future operations, margins, profitability, capital expenditures, liquidity and capital resources and other financial and operating information. By their nature, forward-looking statements: speak only as of the date they are made; are not statements of historical fact or guarantees of future performance; and are subject to risks, uncertainties, assumptions, or changes in circumstances that are difficult to predict or quantify. Our expectations, beliefs, and projections are expressed in good faith and we believe there is a reasonable basis for them. However, there can be no assurance that management’s expectations, beliefs and projections will result or be achieved and actual results may vary materially from what is expressed in or indicated by the forward-looking statements.</w:t>
      </w:r>
    </w:p>
    <w:p>
      <w:pPr>
        <w:spacing w:after="0" w:line="75"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There are a number of risks, uncertainties, and other important factors, many of which are beyond our control, that could cause our actual results to differ materially from the forward-looking statements contained or incorporated by reference in this prospectus. Such risks, uncertainties, and other important factors include, among others, the risks, uncertainties and factors set forth under “Risk Factors” in this prospectus and “Risk Factors” in our Annual Report, which is incorporated herein by reference in this prospectus, and the following:</w:t>
      </w:r>
    </w:p>
    <w:p>
      <w:pPr>
        <w:spacing w:after="0" w:line="80" w:lineRule="exact"/>
        <w:rPr>
          <w:sz w:val="20"/>
          <w:szCs w:val="20"/>
          <w:color w:val="auto"/>
        </w:rPr>
      </w:pPr>
    </w:p>
    <w:p>
      <w:pPr>
        <w:ind w:left="700" w:hanging="356"/>
        <w:spacing w:after="0"/>
        <w:tabs>
          <w:tab w:leader="none" w:pos="7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ability to open and operate new stores in a timely and cost-effective manner, and to successfully enter new markets;</w:t>
      </w:r>
    </w:p>
    <w:p>
      <w:pPr>
        <w:spacing w:after="0" w:line="140" w:lineRule="exact"/>
        <w:rPr>
          <w:rFonts w:ascii="Arial" w:cs="Arial" w:eastAsia="Arial" w:hAnsi="Arial"/>
          <w:sz w:val="16"/>
          <w:szCs w:val="16"/>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sufficient levels of cash flow from our operations to grow;</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recruit and retain vision care professionals for our stores;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adhere to extensive state, local and federal vision care and healthcare laws and regulations;</w:t>
      </w:r>
    </w:p>
    <w:p>
      <w:pPr>
        <w:spacing w:after="0" w:line="117" w:lineRule="exact"/>
        <w:rPr>
          <w:rFonts w:ascii="Arial" w:cs="Arial" w:eastAsia="Arial" w:hAnsi="Arial"/>
          <w:sz w:val="18"/>
          <w:szCs w:val="18"/>
          <w:color w:val="auto"/>
        </w:rPr>
      </w:pPr>
    </w:p>
    <w:p>
      <w:pPr>
        <w:ind w:left="700" w:right="340" w:hanging="356"/>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maintain relationships with managed vision care companies, vision insurance providers and other third-party payors;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maintain our current operating relationships with our host and legacy partners;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loss of, or disruption in the operations of, one or more of our distribution centers and/or optical laboratories;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vendors from whom our products are sourced;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compete in the highly competitive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dependence on a limited number of suppliers;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and our vendors’ ability to safeguard personal information and payment card data;</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failure, inadequacy, interruption, security failure or breach of our information technology systems;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overall decline in the health of the economy and consumer spending affecting consumer purchases;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growth strategy straining our existing resources and causing the performance of our existing stores to suffer;</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our existing senior management team and attract qualified new personnel;</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impact of wage rate increases, inflation, cost increases and increases in raw material prices and energy prices;</w:t>
      </w:r>
    </w:p>
    <w:p>
      <w:pPr>
        <w:spacing w:after="0" w:line="128" w:lineRule="exact"/>
        <w:rPr>
          <w:rFonts w:ascii="Arial" w:cs="Arial" w:eastAsia="Arial" w:hAnsi="Arial"/>
          <w:sz w:val="17"/>
          <w:szCs w:val="17"/>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successfully implement our marketing, advertising and promotional efforts;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risks associated with leasing substantial amounts of space;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liability, product recall or personal injury issues;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compliance with managed vision care laws and regulations;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reliance on third-party reimbursement for a portion of our revenues;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manage our inventory balances and inventory shrinkage;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associated with our e-commerce business;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seasonal fluctuations in our operating results and inventory levels;</w:t>
      </w:r>
    </w:p>
    <w:p>
      <w:pPr>
        <w:spacing w:after="0" w:line="117" w:lineRule="exact"/>
        <w:rPr>
          <w:rFonts w:ascii="Arial" w:cs="Arial" w:eastAsia="Arial" w:hAnsi="Arial"/>
          <w:sz w:val="18"/>
          <w:szCs w:val="18"/>
          <w:color w:val="auto"/>
        </w:rPr>
      </w:pPr>
    </w:p>
    <w:p>
      <w:pPr>
        <w:ind w:left="700" w:hanging="356"/>
        <w:spacing w:after="0" w:line="264"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certain technological advances, and the greater availability of, or increased consumer preferences for, vision correction alternatives to prescription eyeglasses or contact lenses, and future drug development for the correction of vision-related problems;</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risks of losses arising from our investments in technological innovators in the optical retail industry;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comply with, or changes in, laws, regulations, enforcement activities and other requirements;</w:t>
      </w:r>
    </w:p>
    <w:p>
      <w:pPr>
        <w:spacing w:after="0" w:line="117" w:lineRule="exact"/>
        <w:rPr>
          <w:rFonts w:ascii="Arial" w:cs="Arial" w:eastAsia="Arial" w:hAnsi="Arial"/>
          <w:sz w:val="18"/>
          <w:szCs w:val="18"/>
          <w:color w:val="auto"/>
        </w:rPr>
      </w:pPr>
    </w:p>
    <w:p>
      <w:pPr>
        <w:ind w:left="700" w:right="280" w:hanging="356"/>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 of any adverse litigation judgments or settlements resulting from legal proceedings relating to our business operations;</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adequately protect our intellectual property;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leverage;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restrictions in our credit agreement that limits our flexibility in operating our business;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generate sufficient cash flow to satisfy our significant debt service obligations.</w:t>
      </w:r>
    </w:p>
    <w:p>
      <w:pPr>
        <w:spacing w:after="0" w:line="11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There may be other factors that could cause our actual results to differ materially from the forward-looking statements, including factors disclosed under “Risk Factors” in this prospectus and under “Risk Factors” and “Management’s Discussion and Analysis of Financial Condition and Results of Operations” in our Annual Report, which is incorporated herein by reference. You should evaluate all forward-looking statements made, or incorporated by reference, in this prospectus in the context of these risks and uncertainties.</w:t>
      </w:r>
    </w:p>
    <w:p>
      <w:pPr>
        <w:spacing w:after="0" w:line="80" w:lineRule="exact"/>
        <w:rPr>
          <w:sz w:val="20"/>
          <w:szCs w:val="20"/>
          <w:color w:val="auto"/>
        </w:rPr>
      </w:pPr>
    </w:p>
    <w:p>
      <w:pPr>
        <w:ind w:right="80" w:firstLine="360"/>
        <w:spacing w:after="0" w:line="272" w:lineRule="auto"/>
        <w:rPr>
          <w:sz w:val="20"/>
          <w:szCs w:val="20"/>
          <w:color w:val="auto"/>
        </w:rPr>
      </w:pPr>
      <w:r>
        <w:rPr>
          <w:rFonts w:ascii="Arial" w:cs="Arial" w:eastAsia="Arial" w:hAnsi="Arial"/>
          <w:sz w:val="17"/>
          <w:szCs w:val="17"/>
          <w:color w:val="auto"/>
        </w:rPr>
        <w:t>We caution you that the risks, uncertainties, and other factors referenced above may not contain all of the risks, uncertainties and other factors that are important to you. In addition, we cannot assure you that we will realize the results, benefits, or developments that we expect or anticipate or, even if substantially realized, that they will result in the consequences or affect us or our business in the way expected. All forward-looking statements in this prospectus or in the documents incorporated by reference herein apply only as of the date made and are expressly qualified in their entirety by the cautionary statements included in this prospectus or in the documents incorporated by reference herein. We undertake no obligation to publicly update or revise any forward-looking statements to reflect subsequent events or circumstances.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USE OF PROCEEDS</w:t>
      </w:r>
    </w:p>
    <w:p>
      <w:pPr>
        <w:spacing w:after="0" w:line="121"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selling stockholders will receive all of the net proceeds from the sale of shares of our common stock offered pursuant to this prospectus. We will not receive any proceeds from the sale of shares being sold in this offering, including from any exercise by the underwriters of their option to purchase additional shares. The selling stockholders will bear the underwriting commissions and discounts, if any, attributable to their sale of our common stock, and we will bear the remaining expenses. See “Selling Stockholders.”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60"/>
          </w:cols>
          <w:pgMar w:left="1180" w:top="279" w:right="125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firstLine="360"/>
        <w:spacing w:after="0" w:line="271" w:lineRule="auto"/>
        <w:rPr>
          <w:sz w:val="20"/>
          <w:szCs w:val="20"/>
          <w:color w:val="auto"/>
        </w:rPr>
      </w:pPr>
      <w:r>
        <w:rPr>
          <w:rFonts w:ascii="Arial" w:cs="Arial" w:eastAsia="Arial" w:hAnsi="Arial"/>
          <w:sz w:val="17"/>
          <w:szCs w:val="17"/>
          <w:color w:val="auto"/>
        </w:rPr>
        <w:t>We do not currently anticipate paying any dividends on our common stock and currently expect to retain all future earnings for use in the operation and expansion of our business. The declaration, amount and payment of any future dividends on our common stock will be at the sole discretion of our Board of Directors, which may take into account general and economic conditions, our financial condition and results of operations, our available cash and current and anticipated cash needs, capital requirements, contractual, legal, tax and regulatory restrictions and implications on the payment of dividends by us to our stockholders or by our subsidiaries to us, including restrictions under our credit agreement and other indebtedness we may incur, and such other factors as our Board of Directors may deem relevant. If we elect to pay such dividends in the future, we may reduce or discontinue entirely the payment of such dividends at any time.</w:t>
      </w:r>
    </w:p>
    <w:p>
      <w:pPr>
        <w:spacing w:after="0" w:line="71" w:lineRule="exact"/>
        <w:rPr>
          <w:sz w:val="20"/>
          <w:szCs w:val="20"/>
          <w:color w:val="auto"/>
        </w:rPr>
      </w:pPr>
    </w:p>
    <w:p>
      <w:pPr>
        <w:ind w:right="140" w:firstLine="360"/>
        <w:spacing w:after="0" w:line="255" w:lineRule="auto"/>
        <w:rPr>
          <w:sz w:val="20"/>
          <w:szCs w:val="20"/>
          <w:color w:val="auto"/>
        </w:rPr>
      </w:pPr>
      <w:r>
        <w:rPr>
          <w:rFonts w:ascii="Arial" w:cs="Arial" w:eastAsia="Arial" w:hAnsi="Arial"/>
          <w:sz w:val="18"/>
          <w:szCs w:val="18"/>
          <w:color w:val="auto"/>
        </w:rPr>
        <w:t>Because a significant portion of our operations is through our subsidiaries, our ability to pay dividends depends in part on our receipt of cash dividends from our operating subsidiaries, which may further restrict our ability to pay dividends as a result of the laws of their jurisdiction of organization, agreements of our subsidiaries or covenants under any existing and future outstanding indebtedness we or our subsidiaries incur. In addition, our ability to pay dividends is limited by covenants in our credit agreement. See “Management’s Discussion and Analysis of Financial Condition and Results of Operations— Liquidity and Capital Resources —Debt” in our Annual Report, which is incorporated herein by reference in this prospectus, for a description of the restrictions on our ability to pay dividends.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21" w:lineRule="exact"/>
        <w:rPr>
          <w:sz w:val="20"/>
          <w:szCs w:val="20"/>
          <w:color w:val="auto"/>
        </w:rPr>
      </w:pPr>
    </w:p>
    <w:p>
      <w:pPr>
        <w:ind w:right="160" w:firstLine="360"/>
        <w:spacing w:after="0" w:line="257" w:lineRule="auto"/>
        <w:rPr>
          <w:sz w:val="20"/>
          <w:szCs w:val="20"/>
          <w:color w:val="auto"/>
        </w:rPr>
      </w:pPr>
      <w:r>
        <w:rPr>
          <w:rFonts w:ascii="Arial" w:cs="Arial" w:eastAsia="Arial" w:hAnsi="Arial"/>
          <w:sz w:val="18"/>
          <w:szCs w:val="18"/>
          <w:color w:val="auto"/>
        </w:rPr>
        <w:t>Our common stock began trading publicly on NASDAQ under the symbol “EYE” as of October 26, 2017. Prior to that time, there was no public market for our common stock. As of February 28, 2018, there were 51 holders of record of our common stock. This stockholder figure does not include a substantially greater number of holders whose shares are held of record by banks, brokers, and other financial institutions. The following table sets forth the high and low intra-day sale prices per share for our common stock as reported on the NASDAQ for the period indicated: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9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Stock Price</w:t>
            </w:r>
          </w:p>
        </w:tc>
        <w:tc>
          <w:tcPr>
            <w:tcW w:w="100" w:type="dxa"/>
            <w:vAlign w:val="bottom"/>
          </w:tcPr>
          <w:p>
            <w:pPr>
              <w:spacing w:after="0"/>
              <w:rPr>
                <w:sz w:val="14"/>
                <w:szCs w:val="14"/>
                <w:color w:val="auto"/>
              </w:rPr>
            </w:pPr>
          </w:p>
        </w:tc>
      </w:tr>
      <w:tr>
        <w:trPr>
          <w:trHeight w:val="190"/>
        </w:trPr>
        <w:tc>
          <w:tcPr>
            <w:tcW w:w="20" w:type="dxa"/>
            <w:vAlign w:val="bottom"/>
          </w:tcPr>
          <w:p>
            <w:pPr>
              <w:spacing w:after="0"/>
              <w:rPr>
                <w:sz w:val="16"/>
                <w:szCs w:val="16"/>
                <w:color w:val="auto"/>
              </w:rPr>
            </w:pPr>
          </w:p>
        </w:tc>
        <w:tc>
          <w:tcPr>
            <w:tcW w:w="7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jc w:val="right"/>
              <w:ind w:right="11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Low</w:t>
            </w:r>
          </w:p>
        </w:tc>
      </w:tr>
      <w:tr>
        <w:trPr>
          <w:trHeight w:val="243"/>
        </w:trPr>
        <w:tc>
          <w:tcPr>
            <w:tcW w:w="20" w:type="dxa"/>
            <w:vAlign w:val="bottom"/>
          </w:tcPr>
          <w:p>
            <w:pPr>
              <w:spacing w:after="0"/>
              <w:rPr>
                <w:sz w:val="21"/>
                <w:szCs w:val="21"/>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30, 2017:</w:t>
            </w:r>
          </w:p>
        </w:tc>
        <w:tc>
          <w:tcPr>
            <w:tcW w:w="160" w:type="dxa"/>
            <w:vAlign w:val="bottom"/>
            <w:tcBorders>
              <w:top w:val="single" w:sz="8" w:color="auto"/>
            </w:tcBorders>
            <w:shd w:val="clear" w:color="auto" w:fill="CCEEFF"/>
          </w:tcPr>
          <w:p>
            <w:pPr>
              <w:spacing w:after="0"/>
              <w:rPr>
                <w:sz w:val="21"/>
                <w:szCs w:val="21"/>
                <w:color w:val="auto"/>
              </w:rPr>
            </w:pPr>
          </w:p>
        </w:tc>
        <w:tc>
          <w:tcPr>
            <w:tcW w:w="540" w:type="dxa"/>
            <w:vAlign w:val="bottom"/>
            <w:tcBorders>
              <w:top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Fourth Quarter ended December 30, 2017 (from October 26,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40.76</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December 29, 2018:</w:t>
            </w:r>
          </w:p>
        </w:tc>
        <w:tc>
          <w:tcPr>
            <w:tcW w:w="1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20"/>
                <w:szCs w:val="20"/>
                <w:color w:val="auto"/>
              </w:rPr>
            </w:pPr>
          </w:p>
        </w:tc>
        <w:tc>
          <w:tcPr>
            <w:tcW w:w="7900" w:type="dxa"/>
            <w:vAlign w:val="bottom"/>
          </w:tcPr>
          <w:p>
            <w:pPr>
              <w:ind w:left="160"/>
              <w:spacing w:after="0"/>
              <w:rPr>
                <w:sz w:val="20"/>
                <w:szCs w:val="20"/>
                <w:color w:val="auto"/>
              </w:rPr>
            </w:pPr>
            <w:r>
              <w:rPr>
                <w:rFonts w:ascii="Arial" w:cs="Arial" w:eastAsia="Arial" w:hAnsi="Arial"/>
                <w:sz w:val="18"/>
                <w:szCs w:val="18"/>
                <w:color w:val="auto"/>
              </w:rPr>
              <w:t>First Quarter ending March 31, 2018 (through March 9, 2018)</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43.80</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32.62</w:t>
            </w:r>
          </w:p>
        </w:tc>
        <w:tc>
          <w:tcPr>
            <w:tcW w:w="100" w:type="dxa"/>
            <w:vAlign w:val="bottom"/>
          </w:tcPr>
          <w:p>
            <w:pPr>
              <w:spacing w:after="0"/>
              <w:rPr>
                <w:sz w:val="20"/>
                <w:szCs w:val="20"/>
                <w:color w:val="auto"/>
              </w:rPr>
            </w:pPr>
          </w:p>
        </w:tc>
      </w:tr>
    </w:tbl>
    <w:p>
      <w:pPr>
        <w:spacing w:after="0" w:line="10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closing sale price per share of our common stock, as reported on the NASDAQ, on March 9, 2018 was $34.11.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Computershare Trust Company, N.A. is the transfer agent and registrar for our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39" w:name="page40"/>
    <w:bookmarkEnd w:id="39"/>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4007"/>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8"/>
          <w:szCs w:val="18"/>
          <w:color w:val="auto"/>
        </w:rPr>
        <w:t>The following table sets forth our cash and cash equivalents and capitalization as of December 30, 2017:</w:t>
      </w:r>
    </w:p>
    <w:p>
      <w:pPr>
        <w:spacing w:after="0" w:line="117" w:lineRule="exact"/>
        <w:rPr>
          <w:sz w:val="20"/>
          <w:szCs w:val="20"/>
          <w:color w:val="auto"/>
        </w:rPr>
      </w:pPr>
    </w:p>
    <w:p>
      <w:pPr>
        <w:jc w:val="both"/>
        <w:ind w:left="7" w:right="180" w:firstLine="360"/>
        <w:spacing w:after="0" w:line="259" w:lineRule="auto"/>
        <w:rPr>
          <w:sz w:val="20"/>
          <w:szCs w:val="20"/>
          <w:color w:val="auto"/>
        </w:rPr>
      </w:pPr>
      <w:r>
        <w:rPr>
          <w:rFonts w:ascii="Arial" w:cs="Arial" w:eastAsia="Arial" w:hAnsi="Arial"/>
          <w:sz w:val="18"/>
          <w:szCs w:val="18"/>
          <w:color w:val="auto"/>
        </w:rPr>
        <w:t>You should read this table in conjunction with the information contained in “Summary Historical Consolidated Financial and Other Data” included elsewhere in this prospectus, as well as “Management’s Discussion and Analysis of Financial Condition and Results of Operations” and our audited consolidated financial statements and related notes thereto in our Annual Report, which is incorporated by reference in the prospectus.</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As of</w:t>
            </w:r>
          </w:p>
        </w:tc>
      </w:tr>
      <w:tr>
        <w:trPr>
          <w:trHeight w:val="162"/>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December 30,</w:t>
            </w:r>
          </w:p>
        </w:tc>
      </w:tr>
      <w:tr>
        <w:trPr>
          <w:trHeight w:val="178"/>
        </w:trPr>
        <w:tc>
          <w:tcPr>
            <w:tcW w:w="822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8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gridSpan w:val="2"/>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line="249" w:lineRule="exact"/>
              <w:rPr>
                <w:sz w:val="20"/>
                <w:szCs w:val="20"/>
                <w:color w:val="auto"/>
              </w:rPr>
            </w:pPr>
            <w:r>
              <w:rPr>
                <w:rFonts w:ascii="Arial" w:cs="Arial" w:eastAsia="Arial" w:hAnsi="Arial"/>
                <w:sz w:val="17"/>
                <w:szCs w:val="17"/>
                <w:color w:val="auto"/>
              </w:rPr>
              <w:t>First lien term loans</w:t>
            </w:r>
            <w:r>
              <w:rPr>
                <w:rFonts w:ascii="Arial" w:cs="Arial" w:eastAsia="Arial" w:hAnsi="Arial"/>
                <w:sz w:val="28"/>
                <w:szCs w:val="28"/>
                <w:color w:val="auto"/>
                <w:vertAlign w:val="superscript"/>
              </w:rPr>
              <w:t>(1)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568,575</w:t>
            </w:r>
          </w:p>
        </w:tc>
        <w:tc>
          <w:tcPr>
            <w:tcW w:w="100" w:type="dxa"/>
            <w:vAlign w:val="bottom"/>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200" w:type="dxa"/>
            <w:vAlign w:val="bottom"/>
            <w:gridSpan w:val="2"/>
          </w:tcPr>
          <w:p>
            <w:pPr>
              <w:ind w:left="160"/>
              <w:spacing w:after="0" w:line="243" w:lineRule="exact"/>
              <w:rPr>
                <w:sz w:val="20"/>
                <w:szCs w:val="20"/>
                <w:color w:val="auto"/>
              </w:rPr>
            </w:pPr>
            <w:r>
              <w:rPr>
                <w:rFonts w:ascii="Arial" w:cs="Arial" w:eastAsia="Arial" w:hAnsi="Arial"/>
                <w:sz w:val="17"/>
                <w:szCs w:val="17"/>
                <w:color w:val="auto"/>
              </w:rPr>
              <w:t>Revolving credit facility</w:t>
            </w:r>
            <w:r>
              <w:rPr>
                <w:rFonts w:ascii="Arial" w:cs="Arial" w:eastAsia="Arial" w:hAnsi="Arial"/>
                <w:sz w:val="28"/>
                <w:szCs w:val="28"/>
                <w:color w:val="auto"/>
                <w:vertAlign w:val="superscript"/>
              </w:rPr>
              <w:t>(2)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Capital leases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Unamortized debt transaction costs and prepayment premiums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(11,322)</w:t>
            </w: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debt</w:t>
            </w:r>
          </w:p>
        </w:tc>
        <w:tc>
          <w:tcPr>
            <w:tcW w:w="160" w:type="dxa"/>
            <w:vAlign w:val="bottom"/>
            <w:shd w:val="clear" w:color="auto" w:fill="CCEEFF"/>
          </w:tcPr>
          <w:p>
            <w:pPr>
              <w:spacing w:after="0"/>
              <w:rPr>
                <w:sz w:val="21"/>
                <w:szCs w:val="21"/>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569,238</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6"/>
              </w:rPr>
              <w:t>Common stock, $0.01 par value (200,000 shares authorized and 74,654 shares issued and outstanding)</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00" w:type="dxa"/>
            <w:vAlign w:val="bottom"/>
            <w:shd w:val="clear" w:color="auto" w:fill="CCEEFF"/>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631,798</w:t>
            </w:r>
          </w:p>
        </w:tc>
        <w:tc>
          <w:tcPr>
            <w:tcW w:w="100" w:type="dxa"/>
            <w:vAlign w:val="bottom"/>
          </w:tcPr>
          <w:p>
            <w:pPr>
              <w:spacing w:after="0"/>
              <w:rPr>
                <w:sz w:val="20"/>
                <w:szCs w:val="20"/>
                <w:color w:val="auto"/>
              </w:rPr>
            </w:pPr>
          </w:p>
        </w:tc>
      </w:tr>
      <w:tr>
        <w:trPr>
          <w:trHeight w:val="249"/>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(9,868)</w:t>
            </w:r>
          </w:p>
        </w:tc>
      </w:tr>
      <w:tr>
        <w:trPr>
          <w:trHeight w:val="237"/>
        </w:trPr>
        <w:tc>
          <w:tcPr>
            <w:tcW w:w="20" w:type="dxa"/>
            <w:vAlign w:val="bottom"/>
          </w:tcPr>
          <w:p>
            <w:pPr>
              <w:spacing w:after="0"/>
              <w:rPr>
                <w:sz w:val="20"/>
                <w:szCs w:val="20"/>
                <w:color w:val="auto"/>
              </w:rPr>
            </w:pPr>
          </w:p>
        </w:tc>
        <w:tc>
          <w:tcPr>
            <w:tcW w:w="8200" w:type="dxa"/>
            <w:vAlign w:val="bottom"/>
            <w:gridSpan w:val="2"/>
          </w:tcPr>
          <w:p>
            <w:pPr>
              <w:ind w:left="16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37,145</w:t>
            </w: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(28 shares)</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w:t>
            </w:r>
          </w:p>
        </w:tc>
      </w:tr>
      <w:tr>
        <w:trPr>
          <w:trHeight w:val="237"/>
        </w:trPr>
        <w:tc>
          <w:tcPr>
            <w:tcW w:w="20" w:type="dxa"/>
            <w:vAlign w:val="bottom"/>
          </w:tcPr>
          <w:p>
            <w:pPr>
              <w:spacing w:after="0"/>
              <w:rPr>
                <w:sz w:val="20"/>
                <w:szCs w:val="20"/>
                <w:color w:val="auto"/>
              </w:rPr>
            </w:pPr>
          </w:p>
        </w:tc>
        <w:tc>
          <w:tcPr>
            <w:tcW w:w="8200" w:type="dxa"/>
            <w:vAlign w:val="bottom"/>
            <w:tcBorders>
              <w:top w:val="single" w:sz="8" w:color="CCEEFF"/>
            </w:tcBorders>
            <w:gridSpan w:val="2"/>
          </w:tcPr>
          <w:p>
            <w:pPr>
              <w:ind w:left="3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tcPr>
          <w:p>
            <w:pPr>
              <w:spacing w:after="0"/>
              <w:rPr>
                <w:sz w:val="20"/>
                <w:szCs w:val="20"/>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659,588</w:t>
            </w:r>
          </w:p>
        </w:tc>
        <w:tc>
          <w:tcPr>
            <w:tcW w:w="100" w:type="dxa"/>
            <w:vAlign w:val="bottom"/>
            <w:tcBorders>
              <w:top w:val="single" w:sz="8" w:color="CCEEFF"/>
            </w:tcBorders>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capitalization</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1,228,826</w:t>
            </w:r>
          </w:p>
        </w:tc>
        <w:tc>
          <w:tcPr>
            <w:tcW w:w="100" w:type="dxa"/>
            <w:vAlign w:val="bottom"/>
            <w:shd w:val="clear" w:color="auto" w:fill="CCEEFF"/>
          </w:tcPr>
          <w:p>
            <w:pPr>
              <w:spacing w:after="0"/>
              <w:rPr>
                <w:sz w:val="24"/>
                <w:szCs w:val="24"/>
                <w:color w:val="auto"/>
              </w:rPr>
            </w:pPr>
          </w:p>
        </w:tc>
      </w:tr>
      <w:tr>
        <w:trPr>
          <w:trHeight w:val="176"/>
        </w:trPr>
        <w:tc>
          <w:tcPr>
            <w:tcW w:w="20" w:type="dxa"/>
            <w:vAlign w:val="bottom"/>
          </w:tcPr>
          <w:p>
            <w:pPr>
              <w:spacing w:after="0"/>
              <w:rPr>
                <w:sz w:val="15"/>
                <w:szCs w:val="15"/>
                <w:color w:val="auto"/>
              </w:rPr>
            </w:pPr>
          </w:p>
        </w:tc>
        <w:tc>
          <w:tcPr>
            <w:tcW w:w="1420" w:type="dxa"/>
            <w:vAlign w:val="bottom"/>
            <w:tcBorders>
              <w:top w:val="single" w:sz="8" w:color="CCEEFF"/>
              <w:bottom w:val="single" w:sz="8" w:color="auto"/>
            </w:tcBorders>
          </w:tcPr>
          <w:p>
            <w:pPr>
              <w:spacing w:after="0"/>
              <w:rPr>
                <w:sz w:val="15"/>
                <w:szCs w:val="15"/>
                <w:color w:val="auto"/>
              </w:rPr>
            </w:pPr>
          </w:p>
        </w:tc>
        <w:tc>
          <w:tcPr>
            <w:tcW w:w="67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103" w:lineRule="exact"/>
        <w:rPr>
          <w:sz w:val="20"/>
          <w:szCs w:val="20"/>
          <w:color w:val="auto"/>
        </w:rPr>
      </w:pPr>
    </w:p>
    <w:p>
      <w:pPr>
        <w:ind w:left="347" w:right="120" w:hanging="347"/>
        <w:spacing w:after="0" w:line="257" w:lineRule="auto"/>
        <w:tabs>
          <w:tab w:leader="none" w:pos="347"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Represents the aggregate face amount of our first lien term loans. The first lien term loans mature on November 20, 2024. For a further description of our first lien credit agreement, see “Management’s Discussion and Analysis of Financial Condition and Results of Operations— Liquidity and Capital Resources— Debt” in our Annual Report, which is incorporated herein by reference.</w:t>
      </w:r>
    </w:p>
    <w:p>
      <w:pPr>
        <w:spacing w:after="0" w:line="77" w:lineRule="exact"/>
        <w:rPr>
          <w:rFonts w:ascii="Arial" w:cs="Arial" w:eastAsia="Arial" w:hAnsi="Arial"/>
          <w:sz w:val="14"/>
          <w:szCs w:val="14"/>
          <w:color w:val="auto"/>
        </w:rPr>
      </w:pPr>
    </w:p>
    <w:p>
      <w:pPr>
        <w:ind w:left="347" w:right="320" w:hanging="347"/>
        <w:spacing w:after="0" w:line="286" w:lineRule="auto"/>
        <w:tabs>
          <w:tab w:leader="none" w:pos="347" w:val="left"/>
        </w:tabs>
        <w:numPr>
          <w:ilvl w:val="0"/>
          <w:numId w:val="30"/>
        </w:numPr>
        <w:rPr>
          <w:rFonts w:ascii="Arial" w:cs="Arial" w:eastAsia="Arial" w:hAnsi="Arial"/>
          <w:sz w:val="13"/>
          <w:szCs w:val="13"/>
          <w:color w:val="auto"/>
        </w:rPr>
      </w:pPr>
      <w:r>
        <w:rPr>
          <w:rFonts w:ascii="Arial" w:cs="Arial" w:eastAsia="Arial" w:hAnsi="Arial"/>
          <w:sz w:val="13"/>
          <w:szCs w:val="13"/>
          <w:color w:val="auto"/>
        </w:rPr>
        <w:t>As of December 30, 2017, we had no outstanding borrowings and $11.2 million in outstanding letters of credit under our first lien revolving credit facility, which matures on October 15, 2022. For a further description of our first lien credit agreement, see “Management’s Discussion and Analysis of Financial Condition and Results of Operations— Liquidity and Capital Resources—Debt” in our Annual Report, which is incorporated herein by reference.</w:t>
      </w:r>
    </w:p>
    <w:p>
      <w:pPr>
        <w:spacing w:after="0" w:line="1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0" w:name="page41"/>
    <w:bookmarkEnd w:id="40"/>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ind w:right="-6"/>
        <w:spacing w:after="0"/>
        <w:rPr>
          <w:sz w:val="20"/>
          <w:szCs w:val="20"/>
          <w:color w:val="auto"/>
        </w:rPr>
      </w:pPr>
      <w:r>
        <w:rPr>
          <w:rFonts w:ascii="Arial" w:cs="Arial" w:eastAsia="Arial" w:hAnsi="Arial"/>
          <w:sz w:val="18"/>
          <w:szCs w:val="18"/>
          <w:b w:val="1"/>
          <w:bCs w:val="1"/>
          <w:color w:val="auto"/>
        </w:rPr>
        <w:t>SELLING STOCKHOLDERS</w:t>
      </w:r>
    </w:p>
    <w:p>
      <w:pPr>
        <w:spacing w:after="0" w:line="121" w:lineRule="exact"/>
        <w:rPr>
          <w:sz w:val="20"/>
          <w:szCs w:val="20"/>
          <w:color w:val="auto"/>
        </w:rPr>
      </w:pPr>
    </w:p>
    <w:p>
      <w:pPr>
        <w:ind w:left="7" w:right="120" w:firstLine="360"/>
        <w:spacing w:after="0" w:line="264" w:lineRule="auto"/>
        <w:rPr>
          <w:sz w:val="20"/>
          <w:szCs w:val="20"/>
          <w:color w:val="auto"/>
        </w:rPr>
      </w:pPr>
      <w:r>
        <w:rPr>
          <w:rFonts w:ascii="Arial" w:cs="Arial" w:eastAsia="Arial" w:hAnsi="Arial"/>
          <w:sz w:val="18"/>
          <w:szCs w:val="18"/>
          <w:color w:val="auto"/>
        </w:rPr>
        <w:t>The following table and accompanying footnotes set forth information with respect to the beneficial ownership of the selling stockholders, the number of shares of our common stock offered hereby by the selling stockholders and information with respect to shares to be beneficially owned by the selling stockholders after completion of this offering.</w:t>
      </w:r>
    </w:p>
    <w:p>
      <w:pPr>
        <w:spacing w:after="0" w:line="73" w:lineRule="exact"/>
        <w:rPr>
          <w:sz w:val="20"/>
          <w:szCs w:val="20"/>
          <w:color w:val="auto"/>
        </w:rPr>
      </w:pPr>
    </w:p>
    <w:p>
      <w:pPr>
        <w:ind w:left="7" w:right="40" w:firstLine="360"/>
        <w:spacing w:after="0" w:line="264" w:lineRule="auto"/>
        <w:rPr>
          <w:sz w:val="20"/>
          <w:szCs w:val="20"/>
          <w:color w:val="auto"/>
        </w:rPr>
      </w:pPr>
      <w:r>
        <w:rPr>
          <w:rFonts w:ascii="Arial" w:cs="Arial" w:eastAsia="Arial" w:hAnsi="Arial"/>
          <w:sz w:val="18"/>
          <w:szCs w:val="18"/>
          <w:color w:val="auto"/>
        </w:rPr>
        <w:t>The number of shares and percentages of beneficial ownership provided in the table below are based on the beneficial ownership as of February 28, 2018 and are based on 74,656,175 shares of our common stock, par value $0.01 per share, outstanding as of February 28, 2018.</w:t>
      </w:r>
    </w:p>
    <w:p>
      <w:pPr>
        <w:spacing w:after="0" w:line="73" w:lineRule="exact"/>
        <w:rPr>
          <w:sz w:val="20"/>
          <w:szCs w:val="20"/>
          <w:color w:val="auto"/>
        </w:rPr>
      </w:pPr>
    </w:p>
    <w:p>
      <w:pPr>
        <w:jc w:val="both"/>
        <w:ind w:left="7" w:right="120" w:firstLine="360"/>
        <w:spacing w:after="0" w:line="264" w:lineRule="auto"/>
        <w:rPr>
          <w:sz w:val="20"/>
          <w:szCs w:val="20"/>
          <w:color w:val="auto"/>
        </w:rPr>
      </w:pPr>
      <w:r>
        <w:rPr>
          <w:rFonts w:ascii="Arial" w:cs="Arial" w:eastAsia="Arial" w:hAnsi="Arial"/>
          <w:sz w:val="18"/>
          <w:szCs w:val="18"/>
          <w:color w:val="auto"/>
        </w:rPr>
        <w:t>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w:t>
      </w:r>
    </w:p>
    <w:p>
      <w:pPr>
        <w:spacing w:after="0" w:line="73" w:lineRule="exact"/>
        <w:rPr>
          <w:sz w:val="20"/>
          <w:szCs w:val="20"/>
          <w:color w:val="auto"/>
        </w:rPr>
      </w:pPr>
    </w:p>
    <w:p>
      <w:pPr>
        <w:ind w:left="7" w:right="60" w:firstLine="360"/>
        <w:spacing w:after="0" w:line="342" w:lineRule="auto"/>
        <w:rPr>
          <w:sz w:val="20"/>
          <w:szCs w:val="20"/>
          <w:color w:val="auto"/>
        </w:rPr>
      </w:pPr>
      <w:r>
        <w:rPr>
          <w:rFonts w:ascii="Arial" w:cs="Arial" w:eastAsia="Arial" w:hAnsi="Arial"/>
          <w:sz w:val="16"/>
          <w:szCs w:val="16"/>
          <w:color w:val="auto"/>
        </w:rPr>
        <w:t>To our knowledge, unless otherwise noted in the footnotes to the table below, and subject to applicable community property laws, the persons named in the table have sole voting and investment power with respect to their beneficially owned common stock.</w:t>
      </w:r>
    </w:p>
    <w:p>
      <w:pPr>
        <w:spacing w:after="0" w:line="16" w:lineRule="exact"/>
        <w:rPr>
          <w:sz w:val="20"/>
          <w:szCs w:val="20"/>
          <w:color w:val="auto"/>
        </w:rPr>
      </w:pPr>
    </w:p>
    <w:p>
      <w:pPr>
        <w:ind w:left="7" w:right="60" w:firstLine="360"/>
        <w:spacing w:after="0" w:line="264" w:lineRule="auto"/>
        <w:rPr>
          <w:sz w:val="20"/>
          <w:szCs w:val="20"/>
          <w:color w:val="auto"/>
        </w:rPr>
      </w:pPr>
      <w:r>
        <w:rPr>
          <w:rFonts w:ascii="Arial" w:cs="Arial" w:eastAsia="Arial" w:hAnsi="Arial"/>
          <w:sz w:val="18"/>
          <w:szCs w:val="18"/>
          <w:color w:val="auto"/>
        </w:rPr>
        <w:t>Securities subject to option grants that have vested or will vest within 60 days are deemed outstanding for calculating the percentage ownership of the person holding the options, but are not deemed outstanding for calculating the percentage ownership of any other person.</w:t>
      </w:r>
    </w:p>
    <w:p>
      <w:pPr>
        <w:spacing w:after="0" w:line="73" w:lineRule="exact"/>
        <w:rPr>
          <w:sz w:val="20"/>
          <w:szCs w:val="20"/>
          <w:color w:val="auto"/>
        </w:rPr>
      </w:pPr>
    </w:p>
    <w:p>
      <w:pPr>
        <w:ind w:left="7" w:right="360" w:firstLine="360"/>
        <w:spacing w:after="0" w:line="277" w:lineRule="auto"/>
        <w:rPr>
          <w:sz w:val="20"/>
          <w:szCs w:val="20"/>
          <w:color w:val="auto"/>
        </w:rPr>
      </w:pPr>
      <w:r>
        <w:rPr>
          <w:rFonts w:ascii="Arial" w:cs="Arial" w:eastAsia="Arial" w:hAnsi="Arial"/>
          <w:sz w:val="18"/>
          <w:szCs w:val="18"/>
          <w:color w:val="auto"/>
        </w:rPr>
        <w:t>Except as otherwise indicated in the footnotes below, the address of each beneficial owner is c/o National Vision Holdings, Inc., 2435 Commerce Avenue, Bldg. 2200, Duluth, Georgia 30096.</w:t>
      </w:r>
    </w:p>
    <w:p>
      <w:pPr>
        <w:spacing w:after="0" w:line="27" w:lineRule="exact"/>
        <w:rPr>
          <w:sz w:val="20"/>
          <w:szCs w:val="20"/>
          <w:color w:val="auto"/>
        </w:rPr>
      </w:pPr>
    </w:p>
    <w:tbl>
      <w:tblPr>
        <w:tblLayout w:type="fixed"/>
        <w:tblInd w:w="7"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8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6"/>
              </w:rPr>
              <w:t>Shares to be Sold in this Offering</w:t>
            </w:r>
          </w:p>
        </w:tc>
        <w:tc>
          <w:tcPr>
            <w:tcW w:w="180" w:type="dxa"/>
            <w:vAlign w:val="bottom"/>
          </w:tcPr>
          <w:p>
            <w:pPr>
              <w:spacing w:after="0"/>
              <w:rPr>
                <w:sz w:val="14"/>
                <w:szCs w:val="14"/>
                <w:color w:val="auto"/>
              </w:rPr>
            </w:pPr>
          </w:p>
        </w:tc>
        <w:tc>
          <w:tcPr>
            <w:tcW w:w="3740" w:type="dxa"/>
            <w:vAlign w:val="bottom"/>
            <w:gridSpan w:val="8"/>
          </w:tcPr>
          <w:p>
            <w:pPr>
              <w:jc w:val="right"/>
              <w:ind w:right="500"/>
              <w:spacing w:after="0"/>
              <w:rPr>
                <w:sz w:val="20"/>
                <w:szCs w:val="20"/>
                <w:color w:val="auto"/>
              </w:rPr>
            </w:pPr>
            <w:r>
              <w:rPr>
                <w:rFonts w:ascii="Arial" w:cs="Arial" w:eastAsia="Arial" w:hAnsi="Arial"/>
                <w:sz w:val="14"/>
                <w:szCs w:val="14"/>
                <w:b w:val="1"/>
                <w:bCs w:val="1"/>
                <w:color w:val="auto"/>
              </w:rPr>
              <w:t>Shares Beneficially Owned After the Offering</w:t>
            </w:r>
          </w:p>
        </w:tc>
      </w:tr>
      <w:tr>
        <w:trPr>
          <w:trHeight w:val="173"/>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Assuming No</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Assuming Full</w:t>
            </w:r>
          </w:p>
        </w:tc>
        <w:tc>
          <w:tcPr>
            <w:tcW w:w="18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Shares Beneficially</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0"/>
              </w:rPr>
              <w:t>Exercise of the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1"/>
              </w:rPr>
              <w:t>Assuming Full Exercise</w:t>
            </w: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Owned Prior to the</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7"/>
              </w:rPr>
              <w:t>Underwriters’</w:t>
            </w:r>
          </w:p>
        </w:tc>
        <w:tc>
          <w:tcPr>
            <w:tcW w:w="180" w:type="dxa"/>
            <w:vAlign w:val="bottom"/>
          </w:tcPr>
          <w:p>
            <w:pPr>
              <w:spacing w:after="0"/>
              <w:rPr>
                <w:sz w:val="14"/>
                <w:szCs w:val="14"/>
                <w:color w:val="auto"/>
              </w:rPr>
            </w:pPr>
          </w:p>
        </w:tc>
        <w:tc>
          <w:tcPr>
            <w:tcW w:w="19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1"/>
              </w:rPr>
              <w:t>Assuming No Exercise of</w:t>
            </w:r>
          </w:p>
        </w:tc>
        <w:tc>
          <w:tcPr>
            <w:tcW w:w="18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5"/>
              </w:rPr>
              <w:t>of the Underwriters’</w:t>
            </w:r>
          </w:p>
        </w:tc>
      </w:tr>
      <w:tr>
        <w:trPr>
          <w:trHeight w:val="171"/>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8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8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6"/>
              </w:rPr>
              <w:t>the Underwriters’ Option</w:t>
            </w:r>
          </w:p>
        </w:tc>
        <w:tc>
          <w:tcPr>
            <w:tcW w:w="180" w:type="dxa"/>
            <w:vAlign w:val="bottom"/>
          </w:tcPr>
          <w:p>
            <w:pPr>
              <w:spacing w:after="0"/>
              <w:rPr>
                <w:sz w:val="14"/>
                <w:szCs w:val="14"/>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 w:type="dxa"/>
            <w:vAlign w:val="bottom"/>
          </w:tcPr>
          <w:p>
            <w:pPr>
              <w:spacing w:after="0"/>
              <w:rPr>
                <w:sz w:val="14"/>
                <w:szCs w:val="14"/>
                <w:color w:val="auto"/>
              </w:rPr>
            </w:pPr>
          </w:p>
        </w:tc>
      </w:tr>
      <w:tr>
        <w:trPr>
          <w:trHeight w:val="173"/>
        </w:trPr>
        <w:tc>
          <w:tcPr>
            <w:tcW w:w="1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Percentage</w:t>
            </w: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Percentage</w:t>
            </w: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Percentage</w:t>
            </w:r>
          </w:p>
        </w:tc>
      </w:tr>
      <w:tr>
        <w:trPr>
          <w:trHeight w:val="162"/>
        </w:trPr>
        <w:tc>
          <w:tcPr>
            <w:tcW w:w="1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of Total</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of Total</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of Total</w:t>
            </w:r>
          </w:p>
        </w:tc>
      </w:tr>
      <w:tr>
        <w:trPr>
          <w:trHeight w:val="162"/>
        </w:trPr>
        <w:tc>
          <w:tcPr>
            <w:tcW w:w="1500" w:type="dxa"/>
            <w:vAlign w:val="bottom"/>
            <w:gridSpan w:val="2"/>
          </w:tcPr>
          <w:p>
            <w:pPr>
              <w:spacing w:after="0"/>
              <w:rPr>
                <w:sz w:val="20"/>
                <w:szCs w:val="20"/>
                <w:color w:val="auto"/>
              </w:rPr>
            </w:pPr>
            <w:r>
              <w:rPr>
                <w:rFonts w:ascii="Arial" w:cs="Arial" w:eastAsia="Arial" w:hAnsi="Arial"/>
                <w:sz w:val="14"/>
                <w:szCs w:val="14"/>
                <w:b w:val="1"/>
                <w:bCs w:val="1"/>
                <w:color w:val="auto"/>
              </w:rPr>
              <w:t>Name of Beneficial</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Common</w:t>
            </w: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Common</w:t>
            </w: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Common</w:t>
            </w:r>
          </w:p>
        </w:tc>
      </w:tr>
      <w:tr>
        <w:trPr>
          <w:trHeight w:val="178"/>
        </w:trPr>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Owner</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80" w:type="dxa"/>
            <w:vAlign w:val="bottom"/>
          </w:tcPr>
          <w:p>
            <w:pPr>
              <w:spacing w:after="0"/>
              <w:rPr>
                <w:sz w:val="15"/>
                <w:szCs w:val="15"/>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5"/>
                <w:szCs w:val="15"/>
                <w:color w:val="auto"/>
              </w:rPr>
            </w:pPr>
          </w:p>
        </w:tc>
      </w:tr>
      <w:tr>
        <w:trPr>
          <w:trHeight w:val="189"/>
        </w:trPr>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Selling Stockholders:</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53"/>
        </w:trPr>
        <w:tc>
          <w:tcPr>
            <w:tcW w:w="1500" w:type="dxa"/>
            <w:vAlign w:val="bottom"/>
            <w:gridSpan w:val="2"/>
          </w:tcPr>
          <w:p>
            <w:pPr>
              <w:spacing w:after="0" w:line="153" w:lineRule="exact"/>
              <w:rPr>
                <w:sz w:val="20"/>
                <w:szCs w:val="20"/>
                <w:color w:val="auto"/>
              </w:rPr>
            </w:pPr>
            <w:r>
              <w:rPr>
                <w:rFonts w:ascii="Arial" w:cs="Arial" w:eastAsia="Arial" w:hAnsi="Arial"/>
                <w:sz w:val="14"/>
                <w:szCs w:val="14"/>
                <w:color w:val="auto"/>
              </w:rPr>
              <w:t>KKR Vision</w:t>
            </w: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98"/>
        </w:trPr>
        <w:tc>
          <w:tcPr>
            <w:tcW w:w="1500" w:type="dxa"/>
            <w:vAlign w:val="bottom"/>
            <w:gridSpan w:val="2"/>
          </w:tcPr>
          <w:p>
            <w:pPr>
              <w:spacing w:after="0" w:line="198" w:lineRule="exact"/>
              <w:rPr>
                <w:sz w:val="20"/>
                <w:szCs w:val="20"/>
                <w:color w:val="auto"/>
              </w:rPr>
            </w:pPr>
            <w:r>
              <w:rPr>
                <w:rFonts w:ascii="Arial" w:cs="Arial" w:eastAsia="Arial" w:hAnsi="Arial"/>
                <w:sz w:val="13"/>
                <w:szCs w:val="13"/>
                <w:color w:val="auto"/>
              </w:rPr>
              <w:t>Aggregator L.P.</w:t>
            </w:r>
            <w:r>
              <w:rPr>
                <w:rFonts w:ascii="Arial" w:cs="Arial" w:eastAsia="Arial" w:hAnsi="Arial"/>
                <w:sz w:val="22"/>
                <w:szCs w:val="22"/>
                <w:color w:val="auto"/>
                <w:vertAlign w:val="superscript"/>
              </w:rPr>
              <w:t>(1)</w:t>
            </w:r>
          </w:p>
        </w:tc>
        <w:tc>
          <w:tcPr>
            <w:tcW w:w="760" w:type="dxa"/>
            <w:vAlign w:val="bottom"/>
          </w:tcPr>
          <w:p>
            <w:pPr>
              <w:jc w:val="right"/>
              <w:spacing w:after="0"/>
              <w:rPr>
                <w:sz w:val="20"/>
                <w:szCs w:val="20"/>
                <w:color w:val="auto"/>
              </w:rPr>
            </w:pPr>
            <w:r>
              <w:rPr>
                <w:rFonts w:ascii="Arial" w:cs="Arial" w:eastAsia="Arial" w:hAnsi="Arial"/>
                <w:sz w:val="14"/>
                <w:szCs w:val="14"/>
                <w:color w:val="auto"/>
              </w:rPr>
              <w:t>43,475,462</w:t>
            </w:r>
          </w:p>
        </w:tc>
        <w:tc>
          <w:tcPr>
            <w:tcW w:w="1100" w:type="dxa"/>
            <w:vAlign w:val="bottom"/>
            <w:gridSpan w:val="3"/>
          </w:tcPr>
          <w:p>
            <w:pPr>
              <w:jc w:val="right"/>
              <w:ind w:right="80"/>
              <w:spacing w:after="0"/>
              <w:rPr>
                <w:sz w:val="20"/>
                <w:szCs w:val="20"/>
                <w:color w:val="auto"/>
              </w:rPr>
            </w:pPr>
            <w:r>
              <w:rPr>
                <w:rFonts w:ascii="Arial" w:cs="Arial" w:eastAsia="Arial" w:hAnsi="Arial"/>
                <w:sz w:val="14"/>
                <w:szCs w:val="14"/>
                <w:color w:val="auto"/>
              </w:rPr>
              <w:t>58.2%</w:t>
            </w:r>
          </w:p>
        </w:tc>
        <w:tc>
          <w:tcPr>
            <w:tcW w:w="1060" w:type="dxa"/>
            <w:vAlign w:val="bottom"/>
          </w:tcPr>
          <w:p>
            <w:pPr>
              <w:jc w:val="right"/>
              <w:spacing w:after="0"/>
              <w:rPr>
                <w:sz w:val="20"/>
                <w:szCs w:val="20"/>
                <w:color w:val="auto"/>
              </w:rPr>
            </w:pPr>
            <w:r>
              <w:rPr>
                <w:rFonts w:ascii="Arial" w:cs="Arial" w:eastAsia="Arial" w:hAnsi="Arial"/>
                <w:sz w:val="14"/>
                <w:szCs w:val="14"/>
                <w:color w:val="auto"/>
              </w:rPr>
              <w:t>8,026,789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9,230,807</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35,448,673</w:t>
            </w:r>
          </w:p>
        </w:tc>
        <w:tc>
          <w:tcPr>
            <w:tcW w:w="1140" w:type="dxa"/>
            <w:vAlign w:val="bottom"/>
            <w:gridSpan w:val="3"/>
          </w:tcPr>
          <w:p>
            <w:pPr>
              <w:jc w:val="right"/>
              <w:ind w:right="100"/>
              <w:spacing w:after="0"/>
              <w:rPr>
                <w:sz w:val="20"/>
                <w:szCs w:val="20"/>
                <w:color w:val="auto"/>
              </w:rPr>
            </w:pPr>
            <w:r>
              <w:rPr>
                <w:rFonts w:ascii="Arial" w:cs="Arial" w:eastAsia="Arial" w:hAnsi="Arial"/>
                <w:sz w:val="14"/>
                <w:szCs w:val="14"/>
                <w:color w:val="auto"/>
              </w:rPr>
              <w:t>47.5%</w:t>
            </w:r>
          </w:p>
        </w:tc>
        <w:tc>
          <w:tcPr>
            <w:tcW w:w="760" w:type="dxa"/>
            <w:vAlign w:val="bottom"/>
          </w:tcPr>
          <w:p>
            <w:pPr>
              <w:jc w:val="right"/>
              <w:spacing w:after="0"/>
              <w:rPr>
                <w:sz w:val="20"/>
                <w:szCs w:val="20"/>
                <w:color w:val="auto"/>
              </w:rPr>
            </w:pPr>
            <w:r>
              <w:rPr>
                <w:rFonts w:ascii="Arial" w:cs="Arial" w:eastAsia="Arial" w:hAnsi="Arial"/>
                <w:sz w:val="14"/>
                <w:szCs w:val="14"/>
                <w:color w:val="auto"/>
              </w:rPr>
              <w:t>34,244,655</w:t>
            </w:r>
          </w:p>
        </w:tc>
        <w:tc>
          <w:tcPr>
            <w:tcW w:w="1060" w:type="dxa"/>
            <w:vAlign w:val="bottom"/>
            <w:gridSpan w:val="3"/>
          </w:tcPr>
          <w:p>
            <w:pPr>
              <w:jc w:val="right"/>
              <w:spacing w:after="0"/>
              <w:rPr>
                <w:sz w:val="20"/>
                <w:szCs w:val="20"/>
                <w:color w:val="auto"/>
              </w:rPr>
            </w:pPr>
            <w:r>
              <w:rPr>
                <w:rFonts w:ascii="Arial" w:cs="Arial" w:eastAsia="Arial" w:hAnsi="Arial"/>
                <w:sz w:val="14"/>
                <w:szCs w:val="14"/>
                <w:color w:val="auto"/>
              </w:rPr>
              <w:t>45.9%</w:t>
            </w:r>
          </w:p>
        </w:tc>
      </w:tr>
      <w:tr>
        <w:trPr>
          <w:trHeight w:val="170"/>
        </w:trPr>
        <w:tc>
          <w:tcPr>
            <w:tcW w:w="15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Investment funds</w:t>
            </w: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45"/>
        </w:trPr>
        <w:tc>
          <w:tcPr>
            <w:tcW w:w="1500" w:type="dxa"/>
            <w:vAlign w:val="bottom"/>
            <w:gridSpan w:val="2"/>
            <w:shd w:val="clear" w:color="auto" w:fill="CCEEFF"/>
          </w:tcPr>
          <w:p>
            <w:pPr>
              <w:spacing w:after="0" w:line="145" w:lineRule="exact"/>
              <w:rPr>
                <w:sz w:val="20"/>
                <w:szCs w:val="20"/>
                <w:color w:val="auto"/>
              </w:rPr>
            </w:pPr>
            <w:r>
              <w:rPr>
                <w:rFonts w:ascii="Arial" w:cs="Arial" w:eastAsia="Arial" w:hAnsi="Arial"/>
                <w:sz w:val="14"/>
                <w:szCs w:val="14"/>
                <w:color w:val="auto"/>
              </w:rPr>
              <w:t>affiliated with</w:t>
            </w: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98"/>
        </w:trPr>
        <w:tc>
          <w:tcPr>
            <w:tcW w:w="1500" w:type="dxa"/>
            <w:vAlign w:val="bottom"/>
            <w:gridSpan w:val="2"/>
            <w:shd w:val="clear" w:color="auto" w:fill="CCEEFF"/>
          </w:tcPr>
          <w:p>
            <w:pPr>
              <w:spacing w:after="0" w:line="198" w:lineRule="exact"/>
              <w:rPr>
                <w:sz w:val="20"/>
                <w:szCs w:val="20"/>
                <w:color w:val="auto"/>
              </w:rPr>
            </w:pPr>
            <w:r>
              <w:rPr>
                <w:rFonts w:ascii="Arial" w:cs="Arial" w:eastAsia="Arial" w:hAnsi="Arial"/>
                <w:sz w:val="13"/>
                <w:szCs w:val="13"/>
                <w:color w:val="auto"/>
              </w:rPr>
              <w:t>Berkshire</w:t>
            </w:r>
            <w:r>
              <w:rPr>
                <w:rFonts w:ascii="Arial" w:cs="Arial" w:eastAsia="Arial" w:hAnsi="Arial"/>
                <w:sz w:val="22"/>
                <w:szCs w:val="22"/>
                <w:color w:val="auto"/>
                <w:vertAlign w:val="superscript"/>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10,171,541</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13.6%</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1,877,951</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2,159,644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8,293,590</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11.1%</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8,011,897</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10.7%</w:t>
            </w: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13"/>
                <w:szCs w:val="13"/>
                <w:color w:val="auto"/>
              </w:rPr>
              <w:t>Jeff Busbee</w:t>
            </w:r>
            <w:r>
              <w:rPr>
                <w:rFonts w:ascii="Arial" w:cs="Arial" w:eastAsia="Arial" w:hAnsi="Arial"/>
                <w:sz w:val="21"/>
                <w:szCs w:val="21"/>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169,253</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31,249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35,936</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138,004</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133,317</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Charlie Foell</w:t>
            </w:r>
            <w:r>
              <w:rPr>
                <w:rFonts w:ascii="Arial" w:cs="Arial" w:eastAsia="Arial" w:hAnsi="Arial"/>
                <w:sz w:val="21"/>
                <w:szCs w:val="21"/>
                <w:color w:val="auto"/>
                <w:vertAlign w:val="superscript"/>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63,876</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11,793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13,562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52,083</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50,314</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tcPr>
          <w:p>
            <w:pPr>
              <w:spacing w:after="0" w:line="189" w:lineRule="exact"/>
              <w:rPr>
                <w:sz w:val="20"/>
                <w:szCs w:val="20"/>
                <w:color w:val="auto"/>
              </w:rPr>
            </w:pPr>
            <w:r>
              <w:rPr>
                <w:rFonts w:ascii="Arial" w:cs="Arial" w:eastAsia="Arial" w:hAnsi="Arial"/>
                <w:sz w:val="13"/>
                <w:szCs w:val="13"/>
                <w:color w:val="auto"/>
              </w:rPr>
              <w:t>Mitchell Goodman</w:t>
            </w:r>
            <w:r>
              <w:rPr>
                <w:rFonts w:ascii="Arial" w:cs="Arial" w:eastAsia="Arial" w:hAnsi="Arial"/>
                <w:sz w:val="21"/>
                <w:szCs w:val="21"/>
                <w:color w:val="auto"/>
                <w:vertAlign w:val="superscript"/>
              </w:rPr>
              <w:t>(4)</w:t>
            </w:r>
          </w:p>
        </w:tc>
        <w:tc>
          <w:tcPr>
            <w:tcW w:w="760" w:type="dxa"/>
            <w:vAlign w:val="bottom"/>
          </w:tcPr>
          <w:p>
            <w:pPr>
              <w:jc w:val="right"/>
              <w:spacing w:after="0"/>
              <w:rPr>
                <w:sz w:val="20"/>
                <w:szCs w:val="20"/>
                <w:color w:val="auto"/>
              </w:rPr>
            </w:pPr>
            <w:r>
              <w:rPr>
                <w:rFonts w:ascii="Arial" w:cs="Arial" w:eastAsia="Arial" w:hAnsi="Arial"/>
                <w:sz w:val="14"/>
                <w:szCs w:val="14"/>
                <w:color w:val="auto"/>
              </w:rPr>
              <w:t>215,635</w:t>
            </w: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39,812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45,784</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175,823</w:t>
            </w:r>
          </w:p>
        </w:tc>
        <w:tc>
          <w:tcPr>
            <w:tcW w:w="11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169,851</w:t>
            </w:r>
          </w:p>
        </w:tc>
        <w:tc>
          <w:tcPr>
            <w:tcW w:w="10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r>
      <w:tr>
        <w:trPr>
          <w:trHeight w:val="189"/>
        </w:trPr>
        <w:tc>
          <w:tcPr>
            <w:tcW w:w="1500" w:type="dxa"/>
            <w:vAlign w:val="bottom"/>
            <w:gridSpan w:val="2"/>
            <w:shd w:val="clear" w:color="auto" w:fill="CCEEFF"/>
          </w:tcPr>
          <w:p>
            <w:pPr>
              <w:spacing w:after="0" w:line="189" w:lineRule="exact"/>
              <w:rPr>
                <w:sz w:val="20"/>
                <w:szCs w:val="20"/>
                <w:color w:val="auto"/>
              </w:rPr>
            </w:pPr>
            <w:r>
              <w:rPr>
                <w:rFonts w:ascii="Arial" w:cs="Arial" w:eastAsia="Arial" w:hAnsi="Arial"/>
                <w:sz w:val="13"/>
                <w:szCs w:val="13"/>
                <w:color w:val="auto"/>
              </w:rPr>
              <w:t>John Vaught</w:t>
            </w:r>
            <w:r>
              <w:rPr>
                <w:rFonts w:ascii="Arial" w:cs="Arial" w:eastAsia="Arial" w:hAnsi="Arial"/>
                <w:sz w:val="21"/>
                <w:szCs w:val="21"/>
                <w:color w:val="auto"/>
                <w:vertAlign w:val="superscript"/>
              </w:rPr>
              <w:t>(4)</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67,194</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12,406</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14,267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54,788</w:t>
            </w:r>
          </w:p>
        </w:tc>
        <w:tc>
          <w:tcPr>
            <w:tcW w:w="114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52,927</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111760</wp:posOffset>
            </wp:positionV>
            <wp:extent cx="909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09320" cy="8890"/>
                    </a:xfrm>
                    <a:prstGeom prst="rect">
                      <a:avLst/>
                    </a:prstGeom>
                    <a:noFill/>
                  </pic:spPr>
                </pic:pic>
              </a:graphicData>
            </a:graphic>
          </wp:anchor>
        </w:drawing>
      </w:r>
    </w:p>
    <w:p>
      <w:pPr>
        <w:spacing w:after="0" w:line="272" w:lineRule="exact"/>
        <w:rPr>
          <w:sz w:val="20"/>
          <w:szCs w:val="20"/>
          <w:color w:val="auto"/>
        </w:rPr>
      </w:pPr>
    </w:p>
    <w:p>
      <w:pPr>
        <w:ind w:left="347" w:hanging="347"/>
        <w:spacing w:after="0"/>
        <w:tabs>
          <w:tab w:leader="none" w:pos="347"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109" w:lineRule="exact"/>
        <w:rPr>
          <w:sz w:val="20"/>
          <w:szCs w:val="20"/>
          <w:color w:val="auto"/>
        </w:rPr>
      </w:pPr>
    </w:p>
    <w:p>
      <w:pPr>
        <w:ind w:left="347" w:hanging="347"/>
        <w:spacing w:after="0" w:line="244" w:lineRule="auto"/>
        <w:tabs>
          <w:tab w:leader="none" w:pos="347" w:val="left"/>
        </w:tabs>
        <w:numPr>
          <w:ilvl w:val="0"/>
          <w:numId w:val="32"/>
        </w:numPr>
        <w:rPr>
          <w:rFonts w:ascii="Arial" w:cs="Arial" w:eastAsia="Arial" w:hAnsi="Arial"/>
          <w:sz w:val="14"/>
          <w:szCs w:val="14"/>
          <w:color w:val="auto"/>
        </w:rPr>
      </w:pPr>
      <w:r>
        <w:rPr>
          <w:rFonts w:ascii="Arial" w:cs="Arial" w:eastAsia="Arial" w:hAnsi="Arial"/>
          <w:sz w:val="14"/>
          <w:szCs w:val="14"/>
          <w:color w:val="auto"/>
        </w:rPr>
        <w:t>Includes 43,475,462 shares directly owned by KKR Vision Aggregator L.P. KKR Vision Aggregator GP LLC, as the general partner of KKR Vision Aggregator L.P., KKR North America Fund XI L.P., as the sole member of KKR Vision Aggregator GP LLC, KKR Associates North America XI L.P., as the general partner of KKR North America Fund XI L.P., KKR North America XI Limited, as the general partner of KKR Associates North America XI L.P., KKR Fund Holdings L.P., as the sole shareholder of KKR North America XI Limited, KKR Fund Holdings GP Limited, as a general partner of KKR Fund Holdings L.P., KKR Group Holdings L.P., as the sole shareholder of KKR Fund Holdings GP Limited and a general partner of KKR Fund Holdings L.P., KKR Group Limited, as the general partner of KKR Group Holdings L.P., KKR &amp; Co. L.P., as the sole shareholder of KKR Group Limited, KKR Management LLC, as the general partner of KKR &amp; Co. L.P., and Messrs. Henry R. Kravis and George R. Roberts, as the designated members of KKR Management LLC, may be deemed to be the beneficial owners having shared voting and investment power with respect to the shares described in this footnote. The principal business address of each of the entities and persons identified in this paragraph, except Mr. Roberts, is c/o Kohlberg Kravis Roberts &amp; Co. L.P., 9 West 57th Street, Suite 4200, New York, NY 10019. The principal business address for Mr. Roberts is c/o Kohlberg Kravis Roberts &amp; Co. L.P., 2800 Sand Hill Road, Suite 200, Menlo Park, CA 94025. Each of Messrs. Taylor and Gernburd is a member of our Board of Directors and serves as an executive of Kohlberg Kravis Roberts &amp; Co. L.P. and/or one or more of its affiliates. Each of Messrs. Kravis, Roberts, Taylor and Gernburd disclaims beneficial ownership of the shares held by KKR Vision Aggregator L.P. The principal business address of each of Messrs. Taylor and Gernburd is c/o Kohlberg Kravis Roberts &amp; Co. L.P., 9 West 57th Street, New York, New York 10019.</w:t>
      </w:r>
    </w:p>
    <w:p>
      <w:pPr>
        <w:spacing w:after="0" w:line="184"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41" w:name="page42"/>
    <w:bookmarkEnd w:id="41"/>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40" w:lineRule="exact"/>
        <w:rPr>
          <w:sz w:val="20"/>
          <w:szCs w:val="20"/>
          <w:color w:val="auto"/>
        </w:rPr>
      </w:pPr>
    </w:p>
    <w:p>
      <w:pPr>
        <w:ind w:left="347" w:hanging="347"/>
        <w:spacing w:after="0" w:line="265" w:lineRule="auto"/>
        <w:tabs>
          <w:tab w:leader="none" w:pos="347" w:val="left"/>
        </w:tabs>
        <w:numPr>
          <w:ilvl w:val="0"/>
          <w:numId w:val="33"/>
        </w:numPr>
        <w:rPr>
          <w:rFonts w:ascii="Arial" w:cs="Arial" w:eastAsia="Arial" w:hAnsi="Arial"/>
          <w:sz w:val="13"/>
          <w:szCs w:val="13"/>
          <w:color w:val="auto"/>
        </w:rPr>
      </w:pPr>
      <w:r>
        <w:rPr>
          <w:rFonts w:ascii="Arial" w:cs="Arial" w:eastAsia="Arial" w:hAnsi="Arial"/>
          <w:sz w:val="13"/>
          <w:szCs w:val="13"/>
          <w:color w:val="auto"/>
        </w:rPr>
        <w:t>Represents (i) 9,988,898 shares of common stock held by Berkshire Fund VI, Limited Partnership, or Fund VI, (ii) 129,780 shares of common stock held by Berkshire Investors LLC, or Berkshire Investors, and (iii) 52,863 shares of common stock held by Berkshire Investors III LLC, or Berkshire Investors III. Sixth Berkshire Associates LLC, or 6BA, is the general partner of Fund VI. 6BA is managed by a number of individuals who are managing directors of Berkshire, including D. Randolph Peeler who serves as one of our directors. Certain of the managing directors of Berkshire, including Mr. Peeler, are also the managing members of Berkshire Investors and Berkshire Investors III. Fund VI, Berkshire Investors and Berkshire Investors III often make acquisitions in, and dispose of, securities of an issuer on the same terms and conditions and at the same time. Berkshire is the investment adviser to Fund VI. Berkshire Partners Holdings LLC, or BPH, is the general partner of BPSP, L.P., or BPSP, which is the managing member of Berkshire. BPH, BPSP, Berkshire, Fund VI, 6BA, Berkshire Investors and Berkshire Investors III may be deemed to constitute a “group” for purposes of Section 13(d) of the Exchange Act although they do not admit to being part of a group nor have they agreed to act as part of a group. By virtue of the relationships described above, each of BPH, BPSP and 6BA may be deemed to share beneficial ownership with respect to the shares of common stock held by Fund VI. The principal business address of each of the entities identified in this paragraph is c/o Berkshire Partners LLC, 200 Clarendon St., 35th Floor, Boston, MA 02116.</w:t>
      </w:r>
    </w:p>
    <w:p>
      <w:pPr>
        <w:spacing w:after="0" w:line="75" w:lineRule="exact"/>
        <w:rPr>
          <w:rFonts w:ascii="Arial" w:cs="Arial" w:eastAsia="Arial" w:hAnsi="Arial"/>
          <w:sz w:val="13"/>
          <w:szCs w:val="13"/>
          <w:color w:val="auto"/>
        </w:rPr>
      </w:pPr>
    </w:p>
    <w:p>
      <w:pPr>
        <w:ind w:left="347" w:right="40" w:hanging="347"/>
        <w:spacing w:after="0" w:line="247"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Of the shares being offered by the investment funds affiliated with Berkshire: (i) 1,844,230 shares are being sold in this offering by Fund VI, assuming the underwriters’ option is not exercised, and 2,120,865 shares are being sold in this offering by Fund VI, assuming the underwriters’ option is exercised in full; (ii) 23,961 shares are being sold in this offering by Berkshire Investors, assuming the underwriters’ option is not exercised, 27,555 shares are being sold in this offering by Berkshire Investors, assuming the underwriters’ option is exercised in full; and (iii) 9,760 shares are being sold in this offering by Berkshire Investors III, assuming the underwriters’ option is not exercised, 11,224 shares are being sold in this offering by Berkshire Investors III, assuming the underwriters’ option is exercised in full.</w:t>
      </w:r>
    </w:p>
    <w:p>
      <w:pPr>
        <w:spacing w:after="0" w:line="86" w:lineRule="exact"/>
        <w:rPr>
          <w:rFonts w:ascii="Arial" w:cs="Arial" w:eastAsia="Arial" w:hAnsi="Arial"/>
          <w:sz w:val="14"/>
          <w:szCs w:val="14"/>
          <w:color w:val="auto"/>
        </w:rPr>
      </w:pPr>
    </w:p>
    <w:p>
      <w:pPr>
        <w:ind w:left="347" w:right="180" w:hanging="347"/>
        <w:spacing w:after="0" w:line="273" w:lineRule="auto"/>
        <w:tabs>
          <w:tab w:leader="none" w:pos="347"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number of shares reported includes shares covered by options that are exercisable within 60 days as follows: Mr. Busbee, 65,911, Mr. Foell, 53,705, Mr. Goodman, 113,920; and Mr. Vaught, 67,194.</w:t>
      </w:r>
    </w:p>
    <w:p>
      <w:pPr>
        <w:spacing w:after="0" w:line="165" w:lineRule="exact"/>
        <w:rPr>
          <w:sz w:val="20"/>
          <w:szCs w:val="20"/>
          <w:color w:val="auto"/>
        </w:rPr>
      </w:pPr>
    </w:p>
    <w:p>
      <w:pPr>
        <w:jc w:val="center"/>
        <w:ind w:right="-26"/>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7"/>
          </w:cols>
          <w:pgMar w:left="1173" w:top="279" w:right="117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following is a description of the material terms of, and is qualified in its entirety by, our amended and restated certificate of incorporation and amended and restated bylaws, each as in effect as of the date of this prospectus, copies of which are incorporated by reference as exhibits to the registration statement of which this prospectus is a part.</w:t>
      </w:r>
    </w:p>
    <w:p>
      <w:pPr>
        <w:spacing w:after="0" w:line="73"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Our purpose is to engage in any lawful act or activity for which corporations may now or hereafter be organized under the DGCL. Our authorized capital stock consists of 200,000,000 shares of common stock, par value $0.01 per share, and 50,000,000 shares of preferred stock, par value $0.01 per share. No shares of preferred stock are issued or outstanding as of the date of this prospectus. Unless our Board of Directors determines otherwise, we will issue all shares of our capital stock in uncertificated form.</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20" w:firstLine="360"/>
        <w:spacing w:after="0" w:line="288"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subject to certain limitations. The holders of our common stock do not have cumulative voting rights in the election of directors. Upon our liquidation, dissolution or winding up or the sale of all or substantially all of our assets and after payment in full of all amounts required to be paid to creditors and to the holders of preferred stock having liquidation preferences, if any, the holders of our common stock will be entitled to receive our remaining assets available for distribution on a pro rata basis. Holders of our common stock do not have preemptive, subscription, redemption or conversion rights. The common stock is not subject to further calls or assessment by us. There are no redemption or sinking fund provisions applicable to the common stock. All shares of our common stock outstanding as of the date of this prospectus are fully paid and non-assessable. The rights, powers, preferences and privileges of holders of our common stock will be subject to those of the holders of any shares of our preferred stock we may authorize and issue in the future.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right="160" w:firstLine="360"/>
        <w:spacing w:after="0" w:line="279" w:lineRule="auto"/>
        <w:rPr>
          <w:sz w:val="20"/>
          <w:szCs w:val="20"/>
          <w:color w:val="auto"/>
        </w:rPr>
      </w:pPr>
      <w:r>
        <w:rPr>
          <w:rFonts w:ascii="Arial" w:cs="Arial" w:eastAsia="Arial" w:hAnsi="Arial"/>
          <w:sz w:val="17"/>
          <w:szCs w:val="17"/>
          <w:color w:val="auto"/>
        </w:rPr>
        <w:t>Our amended and restated certificate of incorporation authorizes our Board of Directors to establish one or more series of preferred stock (including convertible preferred stock). Unless required by law or by NASDAQ, the authorized shares of preferred stock will be available for issuance without further action by you. Our Board of Directors is able to determine, with respect to any series of preferred stock, the terms and rights of that series, including:</w:t>
      </w:r>
    </w:p>
    <w:p>
      <w:pPr>
        <w:spacing w:after="0" w:line="63" w:lineRule="exact"/>
        <w:rPr>
          <w:sz w:val="20"/>
          <w:szCs w:val="20"/>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17" w:lineRule="exact"/>
        <w:rPr>
          <w:rFonts w:ascii="Arial" w:cs="Arial" w:eastAsia="Arial" w:hAnsi="Arial"/>
          <w:sz w:val="18"/>
          <w:szCs w:val="18"/>
          <w:color w:val="auto"/>
        </w:rPr>
      </w:pPr>
    </w:p>
    <w:p>
      <w:pPr>
        <w:jc w:val="both"/>
        <w:ind w:left="700" w:right="240" w:hanging="356"/>
        <w:spacing w:after="0" w:line="264"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number of shares of the series, which our Board of Directors may, except where otherwise provided in the preferred stock designation, increase (but not above the total number of authorized shares of the class) or decrease (but not below the number of shares then outstanding);</w:t>
      </w:r>
    </w:p>
    <w:p>
      <w:pPr>
        <w:spacing w:after="0" w:line="73"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whether dividends, if any, will be cumulative or non-cumulative and the dividend rate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dates at which dividends, if any, will be payable;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redemption rights and price or prices, if any, for shares of the series;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terms and amounts of any sinking fund provided for the purchase or redemption of shares of the series;</w:t>
      </w:r>
    </w:p>
    <w:p>
      <w:pPr>
        <w:spacing w:after="0" w:line="117" w:lineRule="exact"/>
        <w:rPr>
          <w:rFonts w:ascii="Arial" w:cs="Arial" w:eastAsia="Arial" w:hAnsi="Arial"/>
          <w:sz w:val="18"/>
          <w:szCs w:val="18"/>
          <w:color w:val="auto"/>
        </w:rPr>
      </w:pPr>
    </w:p>
    <w:p>
      <w:pPr>
        <w:ind w:left="700" w:right="640" w:hanging="356"/>
        <w:spacing w:after="0" w:line="277" w:lineRule="auto"/>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amounts payable on shares of the series in the event of any voluntary or involuntary liquidation, dissolution or winding-up of the affairs of our company;</w:t>
      </w:r>
    </w:p>
    <w:p>
      <w:pPr>
        <w:spacing w:after="0" w:line="62" w:lineRule="exact"/>
        <w:rPr>
          <w:rFonts w:ascii="Arial" w:cs="Arial" w:eastAsia="Arial" w:hAnsi="Arial"/>
          <w:sz w:val="18"/>
          <w:szCs w:val="18"/>
          <w:color w:val="auto"/>
        </w:rPr>
      </w:pPr>
    </w:p>
    <w:p>
      <w:pPr>
        <w:ind w:left="700" w:right="80" w:hanging="356"/>
        <w:spacing w:after="0" w:line="279" w:lineRule="auto"/>
        <w:tabs>
          <w:tab w:leader="none" w:pos="7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whether the shares of the series will be convertible into shares of any other class or series, or any other security, of our company or any other corporation, and, if so, the specification of the other class or series or other security, the conversion price or prices or rate or rates, any rate adjustments, the date or dates as of which the shares will be convertible and all other terms and conditions upon which the conversion may be made;</w:t>
      </w:r>
    </w:p>
    <w:p>
      <w:pPr>
        <w:spacing w:after="0" w:line="63" w:lineRule="exact"/>
        <w:rPr>
          <w:rFonts w:ascii="Arial" w:cs="Arial" w:eastAsia="Arial" w:hAnsi="Arial"/>
          <w:sz w:val="17"/>
          <w:szCs w:val="17"/>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issuance of shares of the same series or of any other class or series; and</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voting rights, if any, of the holders of the series.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We could issue a series of preferred stock that could, depending on the terms of the series, impede or discourage an acquisition attempt or other transaction that some, or a majority, of you might believe to be in your best interests or in which you might receive a premium for your common stock over the market price of the common stock.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The DGCL permits a corporation to declare and pay dividends out of “surplus” or, if there is no “surplus,” out of its net profits for the fiscal year in which the dividend is declared and/or the preceding fiscal year. “Surplus” is defined as the excess of the net assets of the corporation over the amount determined to be the capital of the corporation by the board of directors. The capital of the corporation is typically calculated to be (and cannot be less than) the aggregate par value of all issued shares of capital stock. Net assets equal the fair value of the total assets minus total liabilities. The DGCL also provides that dividends may not be paid out of net profits if, after the payment of the dividend, capital is less than the capital represented by the outstanding stock of all classes having a preference upon the distribution of assets.</w:t>
      </w:r>
    </w:p>
    <w:p>
      <w:pPr>
        <w:spacing w:after="0" w:line="70" w:lineRule="exact"/>
        <w:rPr>
          <w:sz w:val="20"/>
          <w:szCs w:val="20"/>
          <w:color w:val="auto"/>
        </w:rPr>
      </w:pPr>
    </w:p>
    <w:p>
      <w:pPr>
        <w:ind w:right="200" w:firstLine="360"/>
        <w:spacing w:after="0" w:line="302" w:lineRule="auto"/>
        <w:rPr>
          <w:sz w:val="20"/>
          <w:szCs w:val="20"/>
          <w:color w:val="auto"/>
        </w:rPr>
      </w:pPr>
      <w:r>
        <w:rPr>
          <w:rFonts w:ascii="Arial" w:cs="Arial" w:eastAsia="Arial" w:hAnsi="Arial"/>
          <w:sz w:val="16"/>
          <w:szCs w:val="16"/>
          <w:color w:val="auto"/>
        </w:rPr>
        <w:t>Declaration and payment of any dividend will be subject to the discretion of our Board of Directors. The time and amount of dividends will be dependent upon our financial condition, operations, cash requirements and availability, debt repayment obligations, capital expenditure needs and restrictions in our debt instruments, industry trends, the provisions of Delaware law affecting the payment of dividends to stockholders and any other factors our Board of Directors may consider relevant.</w:t>
      </w:r>
    </w:p>
    <w:p>
      <w:pPr>
        <w:spacing w:after="0" w:line="137"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b w:val="1"/>
          <w:bCs w:val="1"/>
          <w:color w:val="auto"/>
        </w:rPr>
        <w:t>Anti-Takeover Effects of Our Amended and Restated Certificate of Incorporation and Amended and Restated Bylaws and Certain Provisions of Delaware Law</w:t>
      </w:r>
    </w:p>
    <w:p>
      <w:pPr>
        <w:spacing w:after="0" w:line="71"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Our amended and restated certificate of incorporation, amended and restated bylaws and the DGCL, which are summarized in the following paragraphs, contain provisions that are intended to enhance the likelihood of continuity and stability in the composition of our Board of Directors. These provisions are intended to avoid costly takeover battles, reduce our vulnerability to a hostile change of control and enhance the ability of our Board of Directors to maximize stockholder value in connection with any unsolicited offer to acquire us. However, these provisions may have an anti-takeover effect and may delay, deter or prevent a merger or acquisition of our company by means of a tender offer, a proxy contest or other takeover attempt that a stockholder might consider is in its best interest, including those attempts that might result in a premium over the prevailing market price for the shares of common stock held by stockholders.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Capital Stock</w:t>
      </w:r>
    </w:p>
    <w:p>
      <w:pPr>
        <w:spacing w:after="0" w:line="11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80"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Our Board of Directors may issue shares of preferred stock on terms calculated to discourage, delay or prevent a change of control of our company or the removal of our management. Moreover, our authorized but unissued shares of preferred stock will be available for future issuances without stockholder approval and could be utilized for a variety of corporate purposes, including future offerings to raise additional capital, acquisitions and employee benefit plans.</w:t>
      </w:r>
    </w:p>
    <w:p>
      <w:pPr>
        <w:spacing w:after="0" w:line="79" w:lineRule="exact"/>
        <w:rPr>
          <w:sz w:val="20"/>
          <w:szCs w:val="20"/>
          <w:color w:val="auto"/>
        </w:rPr>
      </w:pPr>
    </w:p>
    <w:p>
      <w:pPr>
        <w:ind w:right="60" w:firstLine="360"/>
        <w:spacing w:after="0" w:line="257" w:lineRule="auto"/>
        <w:rPr>
          <w:sz w:val="20"/>
          <w:szCs w:val="20"/>
          <w:color w:val="auto"/>
        </w:rPr>
      </w:pPr>
      <w:r>
        <w:rPr>
          <w:rFonts w:ascii="Arial" w:cs="Arial" w:eastAsia="Arial" w:hAnsi="Arial"/>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Board of Directors and our management and possibly deprive our stockholders of opportunities to sell their shares of common stock at prices higher than prevailing market prices.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Our amended and restated certificate of incorporation provides that our Board of Directors be divided into three classes of directors, with the classes to be as nearly equal in number as possible, and with the directors serving three-year terms. As a result, approximately one-third of our Board of Directors is elected each year. The classification of directors has the effect of making it more difficult for stockholders to change the composition of our Board of Directors. Our amended and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right="340" w:firstLine="360"/>
        <w:spacing w:after="0" w:line="286" w:lineRule="auto"/>
        <w:rPr>
          <w:sz w:val="20"/>
          <w:szCs w:val="20"/>
          <w:color w:val="auto"/>
        </w:rPr>
      </w:pPr>
      <w:r>
        <w:rPr>
          <w:rFonts w:ascii="Arial" w:cs="Arial" w:eastAsia="Arial" w:hAnsi="Arial"/>
          <w:sz w:val="17"/>
          <w:szCs w:val="17"/>
          <w:color w:val="auto"/>
        </w:rPr>
        <w:t>We have opted out of Section 203 of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57" w:lineRule="exact"/>
        <w:rPr>
          <w:sz w:val="20"/>
          <w:szCs w:val="20"/>
          <w:color w:val="auto"/>
        </w:rPr>
      </w:pPr>
    </w:p>
    <w:p>
      <w:pPr>
        <w:ind w:left="700" w:right="220" w:hanging="356"/>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62" w:lineRule="exact"/>
        <w:rPr>
          <w:rFonts w:ascii="Arial" w:cs="Arial" w:eastAsia="Arial" w:hAnsi="Arial"/>
          <w:sz w:val="18"/>
          <w:szCs w:val="18"/>
          <w:color w:val="auto"/>
        </w:rPr>
      </w:pPr>
    </w:p>
    <w:p>
      <w:pPr>
        <w:ind w:left="700" w:right="80" w:hanging="356"/>
        <w:spacing w:after="0" w:line="264"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73" w:lineRule="exact"/>
        <w:rPr>
          <w:rFonts w:ascii="Arial" w:cs="Arial" w:eastAsia="Arial" w:hAnsi="Arial"/>
          <w:sz w:val="18"/>
          <w:szCs w:val="18"/>
          <w:color w:val="auto"/>
        </w:rPr>
      </w:pPr>
    </w:p>
    <w:p>
      <w:pPr>
        <w:ind w:left="700" w:right="100" w:hanging="356"/>
        <w:spacing w:after="0" w:line="269" w:lineRule="auto"/>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at or subsequent to that time, the business combination is approved by our Board of Directors and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of the outstanding voting stock that is not owned by the interested stockholder.</w:t>
      </w:r>
    </w:p>
    <w:p>
      <w:pPr>
        <w:spacing w:after="0" w:line="2" w:lineRule="exact"/>
        <w:rPr>
          <w:sz w:val="20"/>
          <w:szCs w:val="20"/>
          <w:color w:val="auto"/>
        </w:rPr>
      </w:pPr>
    </w:p>
    <w:p>
      <w:pPr>
        <w:ind w:firstLine="360"/>
        <w:spacing w:after="0" w:line="273"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voting stock. For purposes of this section only, “voting stock” has the meaning given to it in Section 203 of the DGCL.</w:t>
      </w:r>
    </w:p>
    <w:p>
      <w:pPr>
        <w:spacing w:after="0" w:line="67" w:lineRule="exact"/>
        <w:rPr>
          <w:sz w:val="20"/>
          <w:szCs w:val="20"/>
          <w:color w:val="auto"/>
        </w:rPr>
      </w:pPr>
    </w:p>
    <w:p>
      <w:pPr>
        <w:ind w:right="20" w:firstLine="360"/>
        <w:spacing w:after="0" w:line="293" w:lineRule="auto"/>
        <w:rPr>
          <w:sz w:val="20"/>
          <w:szCs w:val="20"/>
          <w:color w:val="auto"/>
        </w:rPr>
      </w:pPr>
      <w:r>
        <w:rPr>
          <w:rFonts w:ascii="Arial" w:cs="Arial" w:eastAsia="Arial" w:hAnsi="Arial"/>
          <w:sz w:val="16"/>
          <w:szCs w:val="16"/>
          <w:color w:val="auto"/>
        </w:rPr>
        <w:t>Under certain circumstances, this provision makes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57" w:lineRule="exact"/>
        <w:rPr>
          <w:sz w:val="20"/>
          <w:szCs w:val="20"/>
          <w:color w:val="auto"/>
        </w:rPr>
      </w:pPr>
    </w:p>
    <w:p>
      <w:pPr>
        <w:ind w:right="60" w:firstLine="360"/>
        <w:spacing w:after="0" w:line="264" w:lineRule="auto"/>
        <w:rPr>
          <w:sz w:val="20"/>
          <w:szCs w:val="20"/>
          <w:color w:val="auto"/>
        </w:rPr>
      </w:pPr>
      <w:r>
        <w:rPr>
          <w:rFonts w:ascii="Arial" w:cs="Arial" w:eastAsia="Arial" w:hAnsi="Arial"/>
          <w:sz w:val="18"/>
          <w:szCs w:val="18"/>
          <w:color w:val="auto"/>
        </w:rPr>
        <w:t>Our amended and restated certificate of incorporation provides that the Sponsors and their affiliates and any of their respective direct or indirect transferees and any group as to which such persons are a party do not constitute “interested stockholders” for purposes of this provision.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Removal of Directors; Vacancies</w:t>
      </w:r>
    </w:p>
    <w:p>
      <w:pPr>
        <w:spacing w:after="0" w:line="117" w:lineRule="exact"/>
        <w:rPr>
          <w:sz w:val="20"/>
          <w:szCs w:val="20"/>
          <w:color w:val="auto"/>
        </w:rPr>
      </w:pPr>
    </w:p>
    <w:p>
      <w:pPr>
        <w:ind w:right="40" w:firstLine="360"/>
        <w:spacing w:after="0" w:line="255" w:lineRule="auto"/>
        <w:rPr>
          <w:sz w:val="20"/>
          <w:szCs w:val="20"/>
          <w:color w:val="auto"/>
        </w:rPr>
      </w:pPr>
      <w:r>
        <w:rPr>
          <w:rFonts w:ascii="Arial" w:cs="Arial" w:eastAsia="Arial" w:hAnsi="Arial"/>
          <w:sz w:val="17"/>
          <w:szCs w:val="17"/>
          <w:color w:val="auto"/>
        </w:rPr>
        <w:t xml:space="preserve">Under the DGCL, unless otherwise provided in our amended and restated certificate of incorporation, directors serving on a classified board may be removed by the stockholders only for cause. Our amended and restated certificate of incorporation and amended and restated bylaws provide that directors may be removed with or without cause upon the affirmative vote of a majority in voting power of all outstanding shares of stock entitled to vote generally in the election of directors, voting together as a single class;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at any time when the Sponsors and their affiliates beneficially own, in the aggregate, less than 40% of the voting power of all outstanding shares of stock entitled to vote generally in the election of directors, directors may only be removed for cause and only by the affirmative vote of holders of at least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in voting power of all the then outstanding shares of stock entitled to vote generally in the election of directors, voting together as a single class. In addition, our amended and restated certificate of incorporation and our amended and restated bylaws also</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provide that, subject to the rights granted to one or more series of preferred stock then outstanding or the rights granted to the Sponsors under the stockholders agreement, any vacancies on our Board of Directors will be filled only by the affirmative vote of a majority of the remaining directors, even if less than a quorum, by a sole remaining director or by the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at any time when the Sponsors and their affiliates beneficially own, in the aggregate, less than 40% of the voting power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outstanding shares of stock entitled to vote generally in the election of directors, any newly created directorship on the Board of Directors that results from an increase in the number of directors and any vacancy occurring on the Board of Directors may only be filled by a majority of the directors then in office, even if less than a quorum, or by a sole remaining director (and not by the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Delaware law, the right to vote cumulatively does not exist unless the certificate of incorporation specifically authorizes cumulative voting. Our amended and restated certificate of incorporation does not authorize cumulative voting. Therefore, stockholders holding a majority in voting power of the shares of our stock entitled to vote generally in the election of directors are able to elect all our directors.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Stockholder Meetings</w:t>
      </w:r>
    </w:p>
    <w:p>
      <w:pPr>
        <w:spacing w:after="0" w:line="117" w:lineRule="exact"/>
        <w:rPr>
          <w:sz w:val="20"/>
          <w:szCs w:val="20"/>
          <w:color w:val="auto"/>
        </w:rPr>
      </w:pPr>
    </w:p>
    <w:p>
      <w:pPr>
        <w:ind w:right="60" w:firstLine="360"/>
        <w:spacing w:after="0" w:line="255" w:lineRule="auto"/>
        <w:rPr>
          <w:sz w:val="20"/>
          <w:szCs w:val="20"/>
          <w:color w:val="auto"/>
        </w:rPr>
      </w:pPr>
      <w:r>
        <w:rPr>
          <w:rFonts w:ascii="Arial" w:cs="Arial" w:eastAsia="Arial" w:hAnsi="Arial"/>
          <w:sz w:val="18"/>
          <w:szCs w:val="18"/>
          <w:color w:val="auto"/>
        </w:rPr>
        <w:t xml:space="preserve">Our amended and restated certificate of incorporation provides that special meetings of our stockholders may be called at any time only by or at the direction of the Board of Directors or the chairman of the Board of Directors;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Sponsors and their affiliates are permitted to call special meetings of our stockholders for so long as they hold, in the aggregate, at least 40% of the voting power of all outstanding shares of stock entitled to vote generally in the election of directors. Our amended and restated bylaws prohibits the conduct of any business at a special meeting other than as specified in the notice for such meeting. These provisions may have the effect of deferring, delaying or discouraging hostile takeovers, or changes in control or management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Requirements for Advance Notification of Director Nominations and Stockholder Proposals</w:t>
      </w:r>
    </w:p>
    <w:p>
      <w:pPr>
        <w:spacing w:after="0" w:line="117" w:lineRule="exact"/>
        <w:rPr>
          <w:sz w:val="20"/>
          <w:szCs w:val="20"/>
          <w:color w:val="auto"/>
        </w:rPr>
      </w:pPr>
    </w:p>
    <w:p>
      <w:pPr>
        <w:ind w:firstLine="360"/>
        <w:spacing w:after="0" w:line="289" w:lineRule="auto"/>
        <w:rPr>
          <w:sz w:val="20"/>
          <w:szCs w:val="20"/>
          <w:color w:val="auto"/>
        </w:rPr>
      </w:pPr>
      <w:r>
        <w:rPr>
          <w:rFonts w:ascii="Arial" w:cs="Arial" w:eastAsia="Arial" w:hAnsi="Arial"/>
          <w:sz w:val="16"/>
          <w:szCs w:val="16"/>
          <w:color w:val="auto"/>
        </w:rPr>
        <w:t>Our amended and restated bylaws establishes advance notice procedures with respect to stockholder proposals and the nomination of candidates for election as directors, other than nominations made by or at the direction of the Board of Directors or a committee of the Board of Directors. In order for any matter to be “properly brought” before a meeting, a stockholder has to comply with advance notice requirements and provide us with certain information. Generally, to be timely, a stockholder’s notice must be received at our principal executive offices not less than 90 days nor more than 120 days prior to the first anniversary date of the immediately preceding annual meeting of stockholders. Our amended and restated bylaws also specifies requirements as to the form and content of a stockholder’s notice. These notice requirements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Our amended and restated bylaws allows the chairman of the meeting at a meeting of the stockholders to adopt rules and regulations for the conduct of meetings which may have the effect of precluding the conduct of certain business at a meeting if the rules and regulations are not followed. These provisions do not apply to the Sponsors and their affiliates for as long as the stockholders agreement is in effect and/or the Sponsors and their affiliates hold, in the aggregate, at least 40% of the voting power of all outstanding shares of stock entitled to vote generally in the election of directors. These provisions may defer, delay or discourage a potential acquirer from conducting a solicitation of proxies to elect the acquirer’s own slate of directors or otherwise attempting to influence or obtain control of our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117"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our amended and restated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certificate of incorporation provides otherwise. Our amended and restated certificate of incorporation precludes stockholder action by written consent once the Sponsors and their affiliates beneficially own, in the aggregate, less than 40% of the voting power of all outstanding shares of stock entitled to vote generally in the election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Provisions</w:t>
      </w:r>
    </w:p>
    <w:p>
      <w:pPr>
        <w:spacing w:after="0" w:line="117" w:lineRule="exact"/>
        <w:rPr>
          <w:sz w:val="20"/>
          <w:szCs w:val="20"/>
          <w:color w:val="auto"/>
        </w:rPr>
      </w:pPr>
    </w:p>
    <w:p>
      <w:pPr>
        <w:ind w:right="20" w:firstLine="360"/>
        <w:spacing w:after="0" w:line="278" w:lineRule="auto"/>
        <w:rPr>
          <w:sz w:val="20"/>
          <w:szCs w:val="20"/>
          <w:color w:val="auto"/>
        </w:rPr>
      </w:pPr>
      <w:r>
        <w:rPr>
          <w:rFonts w:ascii="Arial" w:cs="Arial" w:eastAsia="Arial" w:hAnsi="Arial"/>
          <w:sz w:val="16"/>
          <w:szCs w:val="16"/>
          <w:color w:val="auto"/>
        </w:rPr>
        <w:t>Our amended and restated certificate of incorporation and amended and restated bylaws provide that the Board of Directors is expressly authorized to make, alter, amend, change, add to, rescind or repeal, in whole or in part, our amended and restated bylaws without a stockholder vote in any matter not inconsistent with the laws of the State of Delaware or our amended and restated certificate of incorporation. For as long as the Sponsors and their affiliates own, in the aggregate, at least 40% of the voting power of all outstanding shares of stock entitled to vote generally in the election of directors, any amendment, alteration, change, addition, rescission or repeal of our amended and restated bylaws by our stockholders will require the affirmative vote of a majority in voting power of the outstanding shares of our stock present in person or represented by proxy at the meeting of stockholders and entitled to vote on such amendment, alteration, change, addition, rescission or repeal. At any time when the Sponsors and their affiliates beneficially own, in the aggregate, less than 40% of the voting power of all outstanding shares of stock entitled to vote generally in the election of directors, any amendment, alteration, change, addition, rescission or repeal of our amended and restated bylaws by our stockholders will require the affirmative vote of the holders of at least 66</w:t>
      </w:r>
      <w:r>
        <w:rPr>
          <w:rFonts w:ascii="Arial" w:cs="Arial" w:eastAsia="Arial" w:hAnsi="Arial"/>
          <w:sz w:val="24"/>
          <w:szCs w:val="24"/>
          <w:color w:val="auto"/>
          <w:vertAlign w:val="superscript"/>
        </w:rPr>
        <w:t>2</w:t>
      </w:r>
      <w:r>
        <w:rPr>
          <w:rFonts w:ascii="Arial" w:cs="Arial" w:eastAsia="Arial" w:hAnsi="Arial"/>
          <w:sz w:val="16"/>
          <w:szCs w:val="16"/>
          <w:color w:val="auto"/>
        </w:rPr>
        <w:t>⁄</w:t>
      </w:r>
      <w:r>
        <w:rPr>
          <w:rFonts w:ascii="Arial" w:cs="Arial" w:eastAsia="Arial" w:hAnsi="Arial"/>
          <w:sz w:val="11"/>
          <w:szCs w:val="11"/>
          <w:color w:val="auto"/>
        </w:rPr>
        <w:t>3</w:t>
      </w:r>
      <w:r>
        <w:rPr>
          <w:rFonts w:ascii="Arial" w:cs="Arial" w:eastAsia="Arial" w:hAnsi="Arial"/>
          <w:sz w:val="16"/>
          <w:szCs w:val="16"/>
          <w:color w:val="auto"/>
        </w:rPr>
        <w:t>% in voting power of all the then-outstanding shares of stock entitled to vote generally in the election of directors, voting together as a single class.</w:t>
      </w:r>
    </w:p>
    <w:p>
      <w:pPr>
        <w:spacing w:after="0" w:line="51" w:lineRule="exact"/>
        <w:rPr>
          <w:sz w:val="20"/>
          <w:szCs w:val="20"/>
          <w:color w:val="auto"/>
        </w:rPr>
      </w:pPr>
    </w:p>
    <w:p>
      <w:pPr>
        <w:ind w:right="140" w:firstLine="360"/>
        <w:spacing w:after="0" w:line="264" w:lineRule="auto"/>
        <w:rPr>
          <w:sz w:val="20"/>
          <w:szCs w:val="20"/>
          <w:color w:val="auto"/>
        </w:rPr>
      </w:pPr>
      <w:r>
        <w:rPr>
          <w:rFonts w:ascii="Arial" w:cs="Arial" w:eastAsia="Arial" w:hAnsi="Arial"/>
          <w:sz w:val="18"/>
          <w:szCs w:val="18"/>
          <w:color w:val="auto"/>
        </w:rPr>
        <w:t>The DGCL provides generally that the affirmative vote of a majority of the outstanding shares entitled to vote thereon, voting together as a single class, is required to amend a corporation’s certificate of incorporation, unless the certificate of incorporation requires a greater percentage.</w:t>
      </w:r>
    </w:p>
    <w:p>
      <w:pPr>
        <w:spacing w:after="0" w:line="73" w:lineRule="exact"/>
        <w:rPr>
          <w:sz w:val="20"/>
          <w:szCs w:val="20"/>
          <w:color w:val="auto"/>
        </w:rPr>
      </w:pPr>
    </w:p>
    <w:p>
      <w:pPr>
        <w:ind w:firstLine="360"/>
        <w:spacing w:after="0" w:line="233" w:lineRule="auto"/>
        <w:rPr>
          <w:sz w:val="20"/>
          <w:szCs w:val="20"/>
          <w:color w:val="auto"/>
        </w:rPr>
      </w:pPr>
      <w:r>
        <w:rPr>
          <w:rFonts w:ascii="Arial" w:cs="Arial" w:eastAsia="Arial" w:hAnsi="Arial"/>
          <w:sz w:val="18"/>
          <w:szCs w:val="18"/>
          <w:color w:val="auto"/>
        </w:rPr>
        <w:t>Our amended and restated certificate of incorporation provides that once the Sponsors and their affiliates own less than 40% of the voting power of all outstanding shares of stock entitled to vote generally in the election of directors, the following provisions in our amended and restated certificate of incorporation may be amended, altered, repealed or rescinded only by the affirmative vote of the holders of at least 66</w:t>
      </w:r>
      <w:r>
        <w:rPr>
          <w:rFonts w:ascii="Arial" w:cs="Arial" w:eastAsia="Arial" w:hAnsi="Arial"/>
          <w:sz w:val="27"/>
          <w:szCs w:val="27"/>
          <w:color w:val="auto"/>
          <w:vertAlign w:val="superscript"/>
        </w:rPr>
        <w:t>2</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in the voting power of all outstanding shares of stock entitled to vote generally in the election of directors, voting together as a single class:</w:t>
      </w:r>
    </w:p>
    <w:p>
      <w:pPr>
        <w:spacing w:after="0" w:line="87" w:lineRule="exact"/>
        <w:rPr>
          <w:sz w:val="20"/>
          <w:szCs w:val="20"/>
          <w:color w:val="auto"/>
        </w:rPr>
      </w:pPr>
    </w:p>
    <w:p>
      <w:pPr>
        <w:ind w:left="700" w:hanging="35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provision requiring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 for stockholders to amend our amended and restated bylaws;</w:t>
      </w:r>
    </w:p>
    <w:p>
      <w:pPr>
        <w:spacing w:after="0" w:line="51" w:lineRule="exact"/>
        <w:rPr>
          <w:rFonts w:ascii="Arial" w:cs="Arial" w:eastAsia="Arial" w:hAnsi="Arial"/>
          <w:sz w:val="17"/>
          <w:szCs w:val="17"/>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providing for a classified board of directors (the election and term of our directors);</w:t>
      </w:r>
    </w:p>
    <w:p>
      <w:pPr>
        <w:spacing w:after="0" w:line="101"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resignation and removal of directors;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competition and corporate opportunities;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entering into business combinations with interested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stockholder action by written consent;</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regarding filling vacancies on our Board of Directors and newly created directorships;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provisions eliminating monetary damages for breaches of fiduciary duty by a director; and</w:t>
      </w:r>
    </w:p>
    <w:p>
      <w:pPr>
        <w:spacing w:after="0" w:line="107" w:lineRule="exact"/>
        <w:rPr>
          <w:rFonts w:ascii="Arial" w:cs="Arial" w:eastAsia="Arial" w:hAnsi="Arial"/>
          <w:sz w:val="18"/>
          <w:szCs w:val="18"/>
          <w:color w:val="auto"/>
        </w:rPr>
      </w:pPr>
    </w:p>
    <w:p>
      <w:pPr>
        <w:ind w:left="700" w:hanging="356"/>
        <w:spacing w:after="0"/>
        <w:tabs>
          <w:tab w:leader="none" w:pos="7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amendment provision requiring that the above provisions be amended only with a 66</w:t>
      </w:r>
      <w:r>
        <w:rPr>
          <w:rFonts w:ascii="Arial" w:cs="Arial" w:eastAsia="Arial" w:hAnsi="Arial"/>
          <w:sz w:val="26"/>
          <w:szCs w:val="26"/>
          <w:color w:val="auto"/>
          <w:vertAlign w:val="superscript"/>
        </w:rPr>
        <w:t>2</w:t>
      </w:r>
      <w:r>
        <w:rPr>
          <w:rFonts w:ascii="Arial" w:cs="Arial" w:eastAsia="Arial" w:hAnsi="Arial"/>
          <w:sz w:val="17"/>
          <w:szCs w:val="17"/>
          <w:color w:val="auto"/>
        </w:rPr>
        <w:t>⁄</w:t>
      </w:r>
      <w:r>
        <w:rPr>
          <w:rFonts w:ascii="Arial" w:cs="Arial" w:eastAsia="Arial" w:hAnsi="Arial"/>
          <w:sz w:val="12"/>
          <w:szCs w:val="12"/>
          <w:color w:val="auto"/>
        </w:rPr>
        <w:t>3</w:t>
      </w:r>
      <w:r>
        <w:rPr>
          <w:rFonts w:ascii="Arial" w:cs="Arial" w:eastAsia="Arial" w:hAnsi="Arial"/>
          <w:sz w:val="17"/>
          <w:szCs w:val="17"/>
          <w:color w:val="auto"/>
        </w:rPr>
        <w:t>% supermajority vote.</w:t>
      </w:r>
    </w:p>
    <w:p>
      <w:pPr>
        <w:spacing w:after="0" w:line="51" w:lineRule="exact"/>
        <w:rPr>
          <w:sz w:val="20"/>
          <w:szCs w:val="20"/>
          <w:color w:val="auto"/>
        </w:rPr>
      </w:pPr>
    </w:p>
    <w:p>
      <w:pPr>
        <w:ind w:right="140" w:firstLine="360"/>
        <w:spacing w:after="0" w:line="252" w:lineRule="auto"/>
        <w:rPr>
          <w:sz w:val="20"/>
          <w:szCs w:val="20"/>
          <w:color w:val="auto"/>
        </w:rPr>
      </w:pPr>
      <w:r>
        <w:rPr>
          <w:rFonts w:ascii="Arial" w:cs="Arial" w:eastAsia="Arial" w:hAnsi="Arial"/>
          <w:sz w:val="18"/>
          <w:szCs w:val="18"/>
          <w:color w:val="auto"/>
        </w:rPr>
        <w:t>The combination of the classification of our Board of Directors, the lack of cumulative voting and the supermajority voting requirements makes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w:t>
      </w:r>
    </w:p>
    <w:p>
      <w:pPr>
        <w:spacing w:after="0" w:line="86" w:lineRule="exact"/>
        <w:rPr>
          <w:sz w:val="20"/>
          <w:szCs w:val="20"/>
          <w:color w:val="auto"/>
        </w:rPr>
      </w:pPr>
    </w:p>
    <w:p>
      <w:pPr>
        <w:ind w:right="740" w:firstLine="360"/>
        <w:spacing w:after="0" w:line="308" w:lineRule="auto"/>
        <w:rPr>
          <w:sz w:val="20"/>
          <w:szCs w:val="20"/>
          <w:color w:val="auto"/>
        </w:rPr>
      </w:pPr>
      <w:r>
        <w:rPr>
          <w:rFonts w:ascii="Arial" w:cs="Arial" w:eastAsia="Arial" w:hAnsi="Arial"/>
          <w:sz w:val="17"/>
          <w:szCs w:val="17"/>
          <w:color w:val="auto"/>
        </w:rPr>
        <w:t>These provisions may have the effect of deterring hostile takeovers, delaying, or preventing changes in control of our management or our company, such as a merger, reorganization or tender offer. These provisions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are intended to enhance the likelihood of continued stability in the composition of our Board of Directors and its policies and to discourage certain types of transactions that may involve an actual or threatened acquisition of us. These provisions are designed to reduce our vulnerability to an unsolicited acquisition proposal. The provisions are also intended to discourage certain tactics that may be used in proxy fights. However, such provisions could have the effect of discouraging others from making tender offers for our shares and, as a consequence, they also may inhibit fluctuations in the market price of our shares that could result from actual or rumored takeover attempts. Such provisions may also have the effect of preventing changes in management.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Dissenters’ Rights of Appraisal and Payment</w:t>
      </w:r>
    </w:p>
    <w:p>
      <w:pPr>
        <w:spacing w:after="0" w:line="121" w:lineRule="exact"/>
        <w:rPr>
          <w:sz w:val="20"/>
          <w:szCs w:val="20"/>
          <w:color w:val="auto"/>
        </w:rPr>
      </w:pPr>
    </w:p>
    <w:p>
      <w:pPr>
        <w:ind w:right="80" w:firstLine="360"/>
        <w:spacing w:after="0" w:line="259" w:lineRule="auto"/>
        <w:rPr>
          <w:sz w:val="20"/>
          <w:szCs w:val="20"/>
          <w:color w:val="auto"/>
        </w:rPr>
      </w:pPr>
      <w:r>
        <w:rPr>
          <w:rFonts w:ascii="Arial" w:cs="Arial" w:eastAsia="Arial" w:hAnsi="Arial"/>
          <w:sz w:val="18"/>
          <w:szCs w:val="18"/>
          <w:color w:val="auto"/>
        </w:rPr>
        <w:t>Under the DGCL, with certain exceptions, our stockholders will have appraisal rights in connection with a merger or consolidation of us. Pursuant to the DGCL, stockholders who properly request and perfect appraisal rights in connection with such merger or consolidation will have the right to receive payment of the fair value of their shares as determined by the Delaware Court of Chancery.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Derivative Actions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Our amended and restated certificate of incorporation provides, subject to limited exceptions, that unless we consent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or stockholder of our company to the Company or our stockholders, creditors or other constituents, (iii) action asserting a claim against the Company or any director or officer of the Company arising pursuant to any provision of the DGCL or our amended and restated certificate of incorporation or our amended and restated bylaws or as to which the DGCL confers jurisdiction on the Court of Chancery of the State of Delaware, or (iv) action asserting a claim against the Company or any director or officer of the Company governed by the internal affairs doctrine, in each such case subject to said Court of Chancery having personal jurisdiction over the indispensable parties named as defendants therein. Any person or entity purchasing or otherwise acquiring any interest in shares of capital stock of our company shall be deemed to have notice of and consented to the forum provisions in our amended and restated certificate of incorporation. However, the enforceability of similar forum provisions in other companies’ certificates of incorporation has been challenged in legal proceedings, and it is possible that a court could find these types of provisions to be unenforceable.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firstLine="360"/>
        <w:spacing w:after="0" w:line="286" w:lineRule="auto"/>
        <w:rPr>
          <w:sz w:val="20"/>
          <w:szCs w:val="20"/>
          <w:color w:val="auto"/>
        </w:rPr>
      </w:pPr>
      <w:r>
        <w:rPr>
          <w:rFonts w:ascii="Arial" w:cs="Arial" w:eastAsia="Arial" w:hAnsi="Arial"/>
          <w:sz w:val="16"/>
          <w:szCs w:val="16"/>
          <w:color w:val="auto"/>
        </w:rPr>
        <w:t>Delaware law permits corporations to adopt provisions renouncing any interest or expectancy in certain opportunities that are presented to the corporation or its officers, directors or stockholders. Our amended and restated certificate of incorporation, to the maximum extent permitted from time to time by Delaware law, renounces any interest or expectancy that we have in, or right to be offered an opportunity to participate in, specified business opportunities that are from time to time presented to our officers, directors or stockholders or their respective affiliates, other than those officers, directors, stockholders or affiliates who are our or our subsidiaries’ employees. Our amended and restated certificate of incorporation provides that, to the fullest extent permitted by law, none of the Sponsors or any of their affiliates or any director who is not employed by us (including any non-employee director who serves as one of our officers in both his or her director and officer capacities) or his or her affiliates will have any duty to refrain from (i) engaging in a corporate opportunity in the same or similar lines of business in which we or our affiliates now engage or propose to engage or (ii) otherwise competing with us or our affiliates. In addition, to the fullest extent permitted by law, in the event that the Sponsors or any of their affiliates or any non-employee director acquires knowledge of a potential transaction or other business opportunity which may be a corporate opportunity for itself or himself or its or his affiliates or for us or our affiliates, such person will have no duty to communicate or offer such transaction or business opportunity to us or any of our affiliates and they may take any such opportunity for themselves or</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offer it to another person or entity. Our amended and restated certificate of incorporation does not renounce our interest in any business opportunity that is expressly offered to a non-employee director solely in his or her capacity as a director or officer of the Company. To the fullest extent permitted by law, no business opportunity will be deemed to be a potential corporate opportunity for us unless we would be permitted to undertake the opportunity under our amended and restated certificate of incorporation, we have sufficient financial resources to undertake the opportunity and the opportunity would be in line with our business.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21" w:lineRule="exact"/>
        <w:rPr>
          <w:sz w:val="20"/>
          <w:szCs w:val="20"/>
          <w:color w:val="auto"/>
        </w:rPr>
      </w:pPr>
    </w:p>
    <w:p>
      <w:pPr>
        <w:ind w:firstLine="360"/>
        <w:spacing w:after="0" w:line="253" w:lineRule="auto"/>
        <w:rPr>
          <w:sz w:val="20"/>
          <w:szCs w:val="20"/>
          <w:color w:val="auto"/>
        </w:rPr>
      </w:pPr>
      <w:r>
        <w:rPr>
          <w:rFonts w:ascii="Arial" w:cs="Arial" w:eastAsia="Arial" w:hAnsi="Arial"/>
          <w:sz w:val="18"/>
          <w:szCs w:val="18"/>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w:t>
      </w:r>
    </w:p>
    <w:p>
      <w:pPr>
        <w:spacing w:after="0" w:line="89" w:lineRule="exact"/>
        <w:rPr>
          <w:sz w:val="20"/>
          <w:szCs w:val="20"/>
          <w:color w:val="auto"/>
        </w:rPr>
      </w:pPr>
    </w:p>
    <w:p>
      <w:pPr>
        <w:ind w:right="80" w:firstLine="360"/>
        <w:spacing w:after="0" w:line="291" w:lineRule="auto"/>
        <w:rPr>
          <w:sz w:val="20"/>
          <w:szCs w:val="20"/>
          <w:color w:val="auto"/>
        </w:rPr>
      </w:pPr>
      <w:r>
        <w:rPr>
          <w:rFonts w:ascii="Arial" w:cs="Arial" w:eastAsia="Arial" w:hAnsi="Arial"/>
          <w:sz w:val="16"/>
          <w:szCs w:val="16"/>
          <w:color w:val="auto"/>
        </w:rPr>
        <w:t>Our amended and restated bylaws provides that we must generally indemnify, and advance expenses to, our directors and officers to the fullest extent authorized by the DGCL. We also are expressly authorized to carry directors’ and officers’ liability insurance providing indemnification for our directors, officers and certain employees for some liabilities. We have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 We believe that these indemnification and advancement provisions and insurance are useful to attract and retain qualified directors and executive officers.</w:t>
      </w:r>
    </w:p>
    <w:p>
      <w:pPr>
        <w:spacing w:after="0" w:line="59"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spacing w:after="0" w:line="85"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There is currently no pending material litigation or proceeding involving any of our directors, officers or employees for which indemnification is sought.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Sales of substantial amounts of common stock, including shares issued upon the exercise of outstanding options, in the public market, or the perception that such sales could occur, could materially and adversely affect the market price of our common stock and could impair our future ability to raise capital through the sale of our equity or equity-related securities at a time and price that we deem appropriate. See “Risk Factors—Risks Related to this Offering and Ownership of Our Common Stock—Future sales, or the perception of future sales, by us or our existing stockholders in the public market following this offering could cause the market price for our common stock to decline.”</w:t>
      </w:r>
    </w:p>
    <w:p>
      <w:pPr>
        <w:spacing w:after="0" w:line="85" w:lineRule="exact"/>
        <w:rPr>
          <w:sz w:val="20"/>
          <w:szCs w:val="20"/>
          <w:color w:val="auto"/>
        </w:rPr>
      </w:pPr>
    </w:p>
    <w:p>
      <w:pPr>
        <w:ind w:firstLine="360"/>
        <w:spacing w:after="0" w:line="270" w:lineRule="auto"/>
        <w:rPr>
          <w:sz w:val="20"/>
          <w:szCs w:val="20"/>
          <w:color w:val="auto"/>
        </w:rPr>
      </w:pPr>
      <w:r>
        <w:rPr>
          <w:rFonts w:ascii="Arial" w:cs="Arial" w:eastAsia="Arial" w:hAnsi="Arial"/>
          <w:sz w:val="17"/>
          <w:szCs w:val="17"/>
          <w:color w:val="auto"/>
        </w:rPr>
        <w:t>Upon the consummation of this offering, we will have a total of 74,656,175 shares of common stock outstanding. In addition, options to purchase an aggregate of approximately 10,608,559 shares of our common stock will be outstanding as of the consummation of this offering. Of the outstanding shares, the 28,170,000 shares sold in the IPO and this offering (or 29,670,000 shares if the underwriters exercise in full their option to purchase additional shares in this offering) will be freely tradable without restriction or further registration under the Securities Act. Additionally, in connection with this offering, the Board of Directors will, pursuant to the management stockholder’s agreements, elect to waive the transfer restrictions with respect to the number of shares of our common stock that management stockholders not participating in this offering would have been eligible to sell in this offering if they had exercised their piggyback registration rights. Of these shares, 616,711 shares are held by non-executive officers and as such, may be sold during the 90-day lock-up period after this offering, subject to compliance with our securities trading policy and applicable securities laws.</w:t>
      </w:r>
    </w:p>
    <w:p>
      <w:pPr>
        <w:spacing w:after="0" w:line="70" w:lineRule="exact"/>
        <w:rPr>
          <w:sz w:val="20"/>
          <w:szCs w:val="20"/>
          <w:color w:val="auto"/>
        </w:rPr>
      </w:pPr>
    </w:p>
    <w:p>
      <w:pPr>
        <w:ind w:right="200" w:firstLine="360"/>
        <w:spacing w:after="0" w:line="293" w:lineRule="auto"/>
        <w:rPr>
          <w:sz w:val="20"/>
          <w:szCs w:val="20"/>
          <w:color w:val="auto"/>
        </w:rPr>
      </w:pPr>
      <w:r>
        <w:rPr>
          <w:rFonts w:ascii="Arial" w:cs="Arial" w:eastAsia="Arial" w:hAnsi="Arial"/>
          <w:sz w:val="16"/>
          <w:szCs w:val="16"/>
          <w:color w:val="auto"/>
        </w:rPr>
        <w:t>The 46,031,727 shares of common stock (or 44,531,727 shares if the underwriters exercise in full their option to purchase additional shares) held by affiliates of KKR Sponsor, affiliates of Berkshire and our directors and executive officers after this offering, representing 61.7% (or 59.6% if the underwriters exercise in full their option to purchase additional shares) of the total outstanding shares of our common stock following this offering, will be deemed “restricted securities” under the meaning of Rule 144 and may be sold in the public market only if registered under the Securities Act or if an exemption from registration is available, including the exemptions pursuant to Rule 144 and Rule 701 under the Securities Act, which we summarize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firstLine="360"/>
        <w:spacing w:after="0" w:line="272" w:lineRule="auto"/>
        <w:rPr>
          <w:sz w:val="20"/>
          <w:szCs w:val="20"/>
          <w:color w:val="auto"/>
        </w:rPr>
      </w:pPr>
      <w:r>
        <w:rPr>
          <w:rFonts w:ascii="Arial" w:cs="Arial" w:eastAsia="Arial" w:hAnsi="Arial"/>
          <w:sz w:val="17"/>
          <w:szCs w:val="17"/>
          <w:color w:val="auto"/>
        </w:rPr>
        <w:t>In general, under Rule 144, as currently in effect, a person (or persons whose shares are aggregated) who is not deemed to be or have been one of our affiliates for purposes of the Securities Act at any time during 90 days preceding a sale and who has beneficially owned the shares proposed to be sold for at least six months, including the holding period of any prior owner other than an affiliate, is entitled to sell such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 prior owner other than an affiliate, then such person is entitled to sell such shares without complying with any of the requirements of Rule 144.</w:t>
      </w:r>
    </w:p>
    <w:p>
      <w:pPr>
        <w:spacing w:after="0" w:line="70" w:lineRule="exact"/>
        <w:rPr>
          <w:sz w:val="20"/>
          <w:szCs w:val="20"/>
          <w:color w:val="auto"/>
        </w:rPr>
      </w:pPr>
    </w:p>
    <w:p>
      <w:pPr>
        <w:ind w:right="100" w:firstLine="360"/>
        <w:spacing w:after="0" w:line="302" w:lineRule="auto"/>
        <w:rPr>
          <w:sz w:val="20"/>
          <w:szCs w:val="20"/>
          <w:color w:val="auto"/>
        </w:rPr>
      </w:pPr>
      <w:r>
        <w:rPr>
          <w:rFonts w:ascii="Arial" w:cs="Arial" w:eastAsia="Arial" w:hAnsi="Arial"/>
          <w:sz w:val="16"/>
          <w:szCs w:val="16"/>
          <w:color w:val="auto"/>
        </w:rPr>
        <w:t>In general, under Rule 144, as currently in effect, our affiliates or persons selling shares of our common stock on behalf of our affiliates, who have met the six month holding period for beneficial ownership of “restricted shares” of our common stock, are entitled to sell upon the expiration of the lock-up agreements described below (but subject to restrictions in management stockholder’s agreements, if applicable), within any three-month period, a number of shares that does not exceed the greater of:</w:t>
      </w:r>
    </w:p>
    <w:p>
      <w:pPr>
        <w:spacing w:after="0" w:line="46" w:lineRule="exact"/>
        <w:rPr>
          <w:sz w:val="20"/>
          <w:szCs w:val="20"/>
          <w:color w:val="auto"/>
        </w:rPr>
      </w:pPr>
    </w:p>
    <w:p>
      <w:pPr>
        <w:ind w:left="700" w:right="5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746,562 shares immediately after this offering; or</w:t>
      </w:r>
    </w:p>
    <w:p>
      <w:pPr>
        <w:spacing w:after="0" w:line="62"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average reported weekly trading volume of our common stock on NASDAQ during the four calendar weeks preceding the filing of a notice on Form 144 with respect to such sale.</w:t>
      </w:r>
    </w:p>
    <w:p>
      <w:pPr>
        <w:spacing w:after="0" w:line="62" w:lineRule="exact"/>
        <w:rPr>
          <w:sz w:val="20"/>
          <w:szCs w:val="20"/>
          <w:color w:val="auto"/>
        </w:rPr>
      </w:pPr>
    </w:p>
    <w:p>
      <w:pPr>
        <w:ind w:firstLine="360"/>
        <w:spacing w:after="0" w:line="279" w:lineRule="auto"/>
        <w:rPr>
          <w:sz w:val="20"/>
          <w:szCs w:val="20"/>
          <w:color w:val="auto"/>
        </w:rPr>
      </w:pPr>
      <w:r>
        <w:rPr>
          <w:rFonts w:ascii="Arial" w:cs="Arial" w:eastAsia="Arial" w:hAnsi="Arial"/>
          <w:sz w:val="17"/>
          <w:szCs w:val="17"/>
          <w:color w:val="auto"/>
        </w:rPr>
        <w:t>Sales under Rule 144 by our affiliates or persons selling shares on behalf of our affiliates are also subject to certain manner of sale provisions and notice requirements and to the availability of current public information about us. The sale of these shares, or the perception that sales will be made, could adversely affect the price of our common stock after this offering because a great supply of shares would be, or would be perceived to be, available for sale in the public market.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general, under Rule 701 as currently in effect, any of our employees, directors, officers, consultants or advisors who received shares from us in connection with a compensatory stock or option plan or other written agreement before the effective date of the registration statement on Form S-1 for the IPO are entitled to sell such shares 90 days after the effective date of the registration statement on Form S-1 for the IPO in reliance on Rule 144, in the case of affiliates, without having to comply with the holding period requirements of Rule 144 and, in the case of non-affiliates, without having to comply with the public information, holding period, volume limitation or notice filing requirements of Rule 144.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60" w:firstLine="360"/>
        <w:spacing w:after="0" w:line="269" w:lineRule="auto"/>
        <w:rPr>
          <w:sz w:val="20"/>
          <w:szCs w:val="20"/>
          <w:color w:val="auto"/>
        </w:rPr>
      </w:pPr>
      <w:r>
        <w:rPr>
          <w:rFonts w:ascii="Arial" w:cs="Arial" w:eastAsia="Arial" w:hAnsi="Arial"/>
          <w:sz w:val="17"/>
          <w:szCs w:val="17"/>
          <w:color w:val="auto"/>
        </w:rPr>
        <w:t>In connection with this offering, we, our directors and executive officers and the selling stockholders will sign lock-up agreements with the underwriters that will, subject to certain exceptions, restrict the disposition of, or hedging with respect to, the shares of our common stock or securities convertible into or exchangeable for shares of our common stock, each held by them, during the period ending 90 days after the date of this prospectus, except with the prior written consent of any two of Merrill Lynch, Pierce, Fenner &amp; Smith Incorporated, Citigroup Global Markets Inc. and Goldman Sachs &amp; Co. LLC. See “Underwriting (Conflicts of Interest)” for a description of these lock-up agreements. In addition, holders of substantially all of our common stock outstanding prior to the IPO agreed to not transfer shares of their common stock, except in certain circumstances, until the date that is 180 days from the date of the final prospectus for the IPO. The representatives of the underwriters of the IPO have waived certain of such initial public offering lock-up agreements to permit the filing of this registration statement and are expected to waive certain of the initial public offering lock-up agreements to permit the sale of our common stock in this offering by the selling stockholders (which include officers of the Company).</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140" w:firstLine="360"/>
        <w:spacing w:after="0" w:line="276" w:lineRule="auto"/>
        <w:rPr>
          <w:sz w:val="20"/>
          <w:szCs w:val="20"/>
          <w:color w:val="auto"/>
        </w:rPr>
      </w:pPr>
      <w:r>
        <w:rPr>
          <w:rFonts w:ascii="Arial" w:cs="Arial" w:eastAsia="Arial" w:hAnsi="Arial"/>
          <w:sz w:val="17"/>
          <w:szCs w:val="17"/>
          <w:color w:val="auto"/>
        </w:rPr>
        <w:t>For a description of rights some holders of common stock have to require us to register the shares of common stock they own, see “Certain Relationships and Related Transactions and Director Independence—Registration Rights Agreement” and “Certain Relationships and Related Transactions and Director Independence—Management Stockholder’s Agreements” of our Annual Report, incorporated by reference herein. Registration of these shares under the Securities Act would result in these shares becoming freely tradable immediately upon effectiveness of such registration.</w:t>
      </w:r>
    </w:p>
    <w:p>
      <w:pPr>
        <w:spacing w:after="0" w:line="64" w:lineRule="exact"/>
        <w:rPr>
          <w:sz w:val="20"/>
          <w:szCs w:val="20"/>
          <w:color w:val="auto"/>
        </w:rPr>
      </w:pPr>
    </w:p>
    <w:p>
      <w:pPr>
        <w:ind w:right="240" w:firstLine="360"/>
        <w:spacing w:after="0" w:line="257" w:lineRule="auto"/>
        <w:rPr>
          <w:sz w:val="20"/>
          <w:szCs w:val="20"/>
          <w:color w:val="auto"/>
        </w:rPr>
      </w:pPr>
      <w:r>
        <w:rPr>
          <w:rFonts w:ascii="Arial" w:cs="Arial" w:eastAsia="Arial" w:hAnsi="Arial"/>
          <w:sz w:val="18"/>
          <w:szCs w:val="18"/>
          <w:color w:val="auto"/>
        </w:rPr>
        <w:t>Following completion of this offering, the shares of our common stock covered by registration rights would represent approximately 62.3% of our outstanding common stock (or 60.3%, if the underwriters exercise in full their option to purchase additional shares). These shares also may be sold under Rule 144 under the Securities Act, depending on their holding period and subject to restrictions in the case of shares held by persons deemed to be our affiliates and restrictions in the management stockholder’s agreements.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2013 Equity Incentive Plan, 2014 Stock Incentive Plan and 2017 Omnibus Incentive Plan</w:t>
      </w:r>
    </w:p>
    <w:p>
      <w:pPr>
        <w:spacing w:after="0" w:line="121" w:lineRule="exact"/>
        <w:rPr>
          <w:sz w:val="20"/>
          <w:szCs w:val="20"/>
          <w:color w:val="auto"/>
        </w:rPr>
      </w:pPr>
    </w:p>
    <w:p>
      <w:pPr>
        <w:ind w:right="20" w:firstLine="360"/>
        <w:spacing w:after="0" w:line="272" w:lineRule="auto"/>
        <w:rPr>
          <w:sz w:val="20"/>
          <w:szCs w:val="20"/>
          <w:color w:val="auto"/>
        </w:rPr>
      </w:pPr>
      <w:r>
        <w:rPr>
          <w:rFonts w:ascii="Arial" w:cs="Arial" w:eastAsia="Arial" w:hAnsi="Arial"/>
          <w:sz w:val="17"/>
          <w:szCs w:val="17"/>
          <w:color w:val="auto"/>
        </w:rPr>
        <w:t>We have filed a registration statement on Form S-8 to register 14,585,568 shares of common stock subject to outstanding stock options or subject to issuance under our 2013 Equity Incentive Plan, our 2014 Stock Incentive Plan and our 2017 Omnibus Incentive Plan and such shares are available for sale in the open market, unless such shares are subject to Rule 144 limitations applicable to affiliates, vesting restrictions on transfer under the management stockholder’s agreement, or the lock-up restrictions described above. The management stockholder’s agreements impose significant restrictions on transfers of shares of our common stock held by management stockholders. See “Certain Relationships and Related Transactions and Director Independence—Management Stockholder’s Agreements” of our Annual Report, incorporated by reference herein.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UNITED STATES FEDERAL INCOME AND ESTATE TAX CONSEQUENCES TO NON-U.S. HOLDERS</w:t>
      </w:r>
    </w:p>
    <w:p>
      <w:pPr>
        <w:spacing w:after="0" w:line="108"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The following is a summary of the material United States federal income and estate tax consequences to a non-U.S. holder (as defined below) of the purchase, ownership and disposition of our common stock as of the date hereof. Except where noted, this summary deals only with common stock that is held as a capital asset.</w:t>
      </w:r>
    </w:p>
    <w:p>
      <w:pPr>
        <w:spacing w:after="0" w:line="73"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A “non-U.S. holder” means a beneficial owner of our common stock (other than an entity treated as a partnership) that is not for United States federal income tax purposes any of the following:</w:t>
      </w:r>
    </w:p>
    <w:p>
      <w:pPr>
        <w:spacing w:after="0" w:line="62" w:lineRule="exact"/>
        <w:rPr>
          <w:sz w:val="20"/>
          <w:szCs w:val="20"/>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17" w:lineRule="exact"/>
        <w:rPr>
          <w:rFonts w:ascii="Arial" w:cs="Arial" w:eastAsia="Arial" w:hAnsi="Arial"/>
          <w:sz w:val="18"/>
          <w:szCs w:val="18"/>
          <w:color w:val="auto"/>
        </w:rPr>
      </w:pPr>
    </w:p>
    <w:p>
      <w:pPr>
        <w:ind w:left="700" w:right="580" w:hanging="356"/>
        <w:spacing w:after="0" w:line="308"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corporation (or any other entity treated as a corporation for United States federal income tax purposes) created or organized in or under the laws of the United States, any state thereof or the District of Columbia;</w:t>
      </w:r>
    </w:p>
    <w:p>
      <w:pPr>
        <w:spacing w:after="0" w:line="38" w:lineRule="exact"/>
        <w:rPr>
          <w:rFonts w:ascii="Arial" w:cs="Arial" w:eastAsia="Arial" w:hAnsi="Arial"/>
          <w:sz w:val="17"/>
          <w:szCs w:val="17"/>
          <w:color w:val="auto"/>
        </w:rPr>
      </w:pPr>
    </w:p>
    <w:p>
      <w:pPr>
        <w:ind w:left="700" w:hanging="356"/>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estate the income of which is subject to United States federal income taxation regardless of its source; or</w:t>
      </w:r>
    </w:p>
    <w:p>
      <w:pPr>
        <w:spacing w:after="0" w:line="117" w:lineRule="exact"/>
        <w:rPr>
          <w:rFonts w:ascii="Arial" w:cs="Arial" w:eastAsia="Arial" w:hAnsi="Arial"/>
          <w:sz w:val="18"/>
          <w:szCs w:val="18"/>
          <w:color w:val="auto"/>
        </w:rPr>
      </w:pPr>
    </w:p>
    <w:p>
      <w:pPr>
        <w:ind w:left="700" w:right="440" w:hanging="356"/>
        <w:spacing w:after="0" w:line="286" w:lineRule="auto"/>
        <w:tabs>
          <w:tab w:leader="none" w:pos="7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trust if it (1) is subject to the primary supervision of a court within the United States and one or more United States persons have the authority to control all substantial decisions of the trust or (2) has a valid election in effect under applicable United States Treasury regulations to be treated as a United States person.</w:t>
      </w:r>
    </w:p>
    <w:p>
      <w:pPr>
        <w:spacing w:after="0" w:line="57" w:lineRule="exact"/>
        <w:rPr>
          <w:sz w:val="20"/>
          <w:szCs w:val="20"/>
          <w:color w:val="auto"/>
        </w:rPr>
      </w:pPr>
    </w:p>
    <w:p>
      <w:pPr>
        <w:ind w:right="20" w:firstLine="360"/>
        <w:spacing w:after="0" w:line="290" w:lineRule="auto"/>
        <w:rPr>
          <w:sz w:val="20"/>
          <w:szCs w:val="20"/>
          <w:color w:val="auto"/>
        </w:rPr>
      </w:pPr>
      <w:r>
        <w:rPr>
          <w:rFonts w:ascii="Arial" w:cs="Arial" w:eastAsia="Arial" w:hAnsi="Arial"/>
          <w:sz w:val="16"/>
          <w:szCs w:val="16"/>
          <w:color w:val="auto"/>
        </w:rPr>
        <w:t>This summary is based upon provisions of the Code, and regulations, rulings and judicial decisions as of the date hereof. Those authorities may be changed, perhaps retroactively, so as to result in United States federal income and estate tax consequences different from those summarized below. We cannot assure you that such a change in law will not alter significantly the tax considerations we describe in this summary. This summary does not address all aspects of United States federal income and estate taxes and does not deal with foreign, state, local or other tax considerations that may be relevant to non-U.S. holders in light of their particular circumstances (including the Medicare contribution tax on net investment income). In addition, it does not represent a detailed description of the United States federal income tax consequences applicable to you if you are subject to special treatment under the United States federal income tax laws including, without limitation if you are:</w:t>
      </w:r>
    </w:p>
    <w:p>
      <w:pPr>
        <w:spacing w:after="0" w:line="58" w:lineRule="exact"/>
        <w:rPr>
          <w:sz w:val="20"/>
          <w:szCs w:val="20"/>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United States expatriate;</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“controlled foreign corporation”;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“passive foreign investment company”;</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bank, insurance company or other financial institution;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tax exempt organization or governmental organization;</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broker, dealer or trader in securities;</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subject to the alternative minimum tax;</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partnership or other pass-through entity for U.S. federal income tax purposes;</w:t>
      </w:r>
    </w:p>
    <w:p>
      <w:pPr>
        <w:spacing w:after="0" w:line="117" w:lineRule="exact"/>
        <w:rPr>
          <w:rFonts w:ascii="Arial" w:cs="Arial" w:eastAsia="Arial" w:hAnsi="Arial"/>
          <w:sz w:val="18"/>
          <w:szCs w:val="18"/>
          <w:color w:val="auto"/>
        </w:rPr>
      </w:pPr>
    </w:p>
    <w:p>
      <w:pPr>
        <w:ind w:left="700" w:right="74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holds our common stock as part of a hedge, straddle, or other risk reduction strategy or as part of a conversion transaction or other integrated investment;</w:t>
      </w:r>
    </w:p>
    <w:p>
      <w:pPr>
        <w:spacing w:after="0" w:line="62" w:lineRule="exact"/>
        <w:rPr>
          <w:rFonts w:ascii="Arial" w:cs="Arial" w:eastAsia="Arial" w:hAnsi="Arial"/>
          <w:sz w:val="18"/>
          <w:szCs w:val="18"/>
          <w:color w:val="auto"/>
        </w:rPr>
      </w:pPr>
    </w:p>
    <w:p>
      <w:pPr>
        <w:ind w:left="700" w:right="180" w:hanging="356"/>
        <w:spacing w:after="0" w:line="277" w:lineRule="auto"/>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who holds or receives our common stock pursuant to the exercise of any employee stock option or otherwise as compensation;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person deemed to sell our common stock under the constructive sale provisions of the Code.</w:t>
      </w:r>
    </w:p>
    <w:p>
      <w:pPr>
        <w:spacing w:after="0" w:line="117"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If a partnership (or other entity treated as a partnership for United States federal income tax purposes) holds our common stock, the tax treatment of a partner will generally depend upon the status of the partner and the activities of the partnership. If you are a partner of a partnership holding our common stock, you should consult your tax advisors.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If you are considering the purchase of our common stock, you should consult your own tax advisors concerning the particular United States federal income and estate tax consequences to you of the ownership of the common stock, as well as the consequences to you arising under the laws of any other taxing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In the event that we make distributions of cash or property (other than certain pro rata distributions of our stock) in respect of our common stock, such distributions generally will constitute dividends for United States federal income tax purposes to the extent paid from our current or accumulated earnings and profits, as determined under United States federal income tax principles. If a distribution exceeds our current and accumulated earnings and profits, the excess generally will be treated first as a tax-free return of capital to the extent of the non-U.S. holder’s adjusted tax basis in our common stock, causing a reduction in the adjusted basis of the non-U.S. holder’s common stock. Any remaining excess will be treated as capital gain and will be treated as described below under “—Gain on Disposition of Common Stock.”</w:t>
      </w:r>
    </w:p>
    <w:p>
      <w:pPr>
        <w:spacing w:after="0" w:line="81" w:lineRule="exact"/>
        <w:rPr>
          <w:sz w:val="20"/>
          <w:szCs w:val="20"/>
          <w:color w:val="auto"/>
        </w:rPr>
      </w:pPr>
    </w:p>
    <w:p>
      <w:pPr>
        <w:ind w:right="40" w:firstLine="360"/>
        <w:spacing w:after="0" w:line="290" w:lineRule="auto"/>
        <w:rPr>
          <w:sz w:val="20"/>
          <w:szCs w:val="20"/>
          <w:color w:val="auto"/>
        </w:rPr>
      </w:pPr>
      <w:r>
        <w:rPr>
          <w:rFonts w:ascii="Arial" w:cs="Arial" w:eastAsia="Arial" w:hAnsi="Arial"/>
          <w:sz w:val="16"/>
          <w:szCs w:val="16"/>
          <w:color w:val="auto"/>
        </w:rPr>
        <w:t>Dividends paid to a non-U.S. holder of our common stock generally will be subject to withholding of United States federal income tax at a 30% rate or such lower rate as may be specified by an applicable income tax treaty. However, dividends that are effectively connected with the conduct of a trade or business by the non-U.S. holder within the United States (and, if required by an applicable income tax treaty, are attributable to a United States permanent establishment of the non-U.S. holder) are not subject to such withholding tax, provided certain certification and disclosure requirements are satisfied. Instead, such dividends are subject to United States federal income tax on a net income basis in the same manner as if the non-U.S. holder were a United States person as defined under the Code. Any such effectively connected dividends received by a foreign corporation may be subject to an additional “branch profits tax” at a 30% rate or such lower rate as may be specified by an applicable income tax treaty.</w:t>
      </w:r>
    </w:p>
    <w:p>
      <w:pPr>
        <w:spacing w:after="0" w:line="58" w:lineRule="exact"/>
        <w:rPr>
          <w:sz w:val="20"/>
          <w:szCs w:val="20"/>
          <w:color w:val="auto"/>
        </w:rPr>
      </w:pPr>
    </w:p>
    <w:p>
      <w:pPr>
        <w:ind w:right="80" w:firstLine="360"/>
        <w:spacing w:after="0" w:line="255" w:lineRule="auto"/>
        <w:rPr>
          <w:sz w:val="20"/>
          <w:szCs w:val="20"/>
          <w:color w:val="auto"/>
        </w:rPr>
      </w:pPr>
      <w:r>
        <w:rPr>
          <w:rFonts w:ascii="Arial" w:cs="Arial" w:eastAsia="Arial" w:hAnsi="Arial"/>
          <w:sz w:val="18"/>
          <w:szCs w:val="18"/>
          <w:color w:val="auto"/>
        </w:rPr>
        <w:t>A non-U.S. holder of our common stock who wishes to claim the benefit of an applicable treaty rate and avoid backup withholding, as discussed below, for dividends will be required (a) to complete the applicable IRS Form W-8 and certify under penalty of perjury that such holder is not a United States person as defined under the Code and is eligible for treaty benefits or (b) if our common stock is held through certain foreign intermediaries, to satisfy the relevant certification requirements of applicable United States Treasury regulations. Special certification and other requirements apply to certain non-U.S. holders that are pass-through entities rather than corporations or individuals.</w:t>
      </w:r>
    </w:p>
    <w:p>
      <w:pPr>
        <w:spacing w:after="0" w:line="85" w:lineRule="exact"/>
        <w:rPr>
          <w:sz w:val="20"/>
          <w:szCs w:val="20"/>
          <w:color w:val="auto"/>
        </w:rPr>
      </w:pPr>
    </w:p>
    <w:p>
      <w:pPr>
        <w:ind w:right="20" w:firstLine="360"/>
        <w:spacing w:after="0" w:line="312" w:lineRule="auto"/>
        <w:rPr>
          <w:sz w:val="20"/>
          <w:szCs w:val="20"/>
          <w:color w:val="auto"/>
        </w:rPr>
      </w:pPr>
      <w:r>
        <w:rPr>
          <w:rFonts w:ascii="Arial" w:cs="Arial" w:eastAsia="Arial" w:hAnsi="Arial"/>
          <w:sz w:val="16"/>
          <w:szCs w:val="16"/>
          <w:color w:val="auto"/>
        </w:rPr>
        <w:t>A non-U.S. holder of our common stock eligible for a reduced rate of United States withholding tax pursuant to an income tax treaty may obtain a refund of any excess amounts withheld by timely filing an appropriate claim for refund with the IRS. Non-U.S. holders are urged to consult their own tax advisors regarding their entitlement to the benefits under any applicable income tax treaty.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121" w:lineRule="exact"/>
        <w:rPr>
          <w:sz w:val="20"/>
          <w:szCs w:val="20"/>
          <w:color w:val="auto"/>
        </w:rPr>
      </w:pPr>
    </w:p>
    <w:p>
      <w:pPr>
        <w:ind w:right="120" w:firstLine="360"/>
        <w:spacing w:after="0" w:line="342" w:lineRule="auto"/>
        <w:rPr>
          <w:sz w:val="20"/>
          <w:szCs w:val="20"/>
          <w:color w:val="auto"/>
        </w:rPr>
      </w:pPr>
      <w:r>
        <w:rPr>
          <w:rFonts w:ascii="Arial" w:cs="Arial" w:eastAsia="Arial" w:hAnsi="Arial"/>
          <w:sz w:val="16"/>
          <w:szCs w:val="16"/>
          <w:color w:val="auto"/>
        </w:rPr>
        <w:t>Subject to the discussion of backup withholding and FATCA (as defined below) below, any gain realized by a non-U.S. holder on the taxable disposition of our common stock generally will not be subject to United States federal income tax unless:</w:t>
      </w:r>
    </w:p>
    <w:p>
      <w:pPr>
        <w:spacing w:after="0" w:line="16" w:lineRule="exact"/>
        <w:rPr>
          <w:sz w:val="20"/>
          <w:szCs w:val="20"/>
          <w:color w:val="auto"/>
        </w:rPr>
      </w:pPr>
    </w:p>
    <w:p>
      <w:pPr>
        <w:ind w:left="700" w:right="20" w:hanging="356"/>
        <w:spacing w:after="0" w:line="342" w:lineRule="auto"/>
        <w:tabs>
          <w:tab w:leader="none" w:pos="7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of the non-U.S. holder in the United States (and, if required by an applicable income tax treaty, is attributable to a United States permanent establishment of the non-U.S. holder);</w:t>
      </w:r>
    </w:p>
    <w:p>
      <w:pPr>
        <w:spacing w:after="0" w:line="15" w:lineRule="exact"/>
        <w:rPr>
          <w:rFonts w:ascii="Arial" w:cs="Arial" w:eastAsia="Arial" w:hAnsi="Arial"/>
          <w:sz w:val="16"/>
          <w:szCs w:val="16"/>
          <w:color w:val="auto"/>
        </w:rPr>
      </w:pPr>
    </w:p>
    <w:p>
      <w:pPr>
        <w:ind w:left="700" w:right="32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in the taxable year of the disposition, and certain other conditions are met; or</w:t>
      </w:r>
    </w:p>
    <w:p>
      <w:pPr>
        <w:spacing w:after="0" w:line="62" w:lineRule="exact"/>
        <w:rPr>
          <w:rFonts w:ascii="Arial" w:cs="Arial" w:eastAsia="Arial" w:hAnsi="Arial"/>
          <w:sz w:val="18"/>
          <w:szCs w:val="18"/>
          <w:color w:val="auto"/>
        </w:rPr>
      </w:pPr>
    </w:p>
    <w:p>
      <w:pPr>
        <w:ind w:left="700" w:right="60" w:hanging="356"/>
        <w:spacing w:after="0" w:line="277" w:lineRule="auto"/>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United States federal income tax purposes and certain other conditions are met.</w:t>
      </w:r>
    </w:p>
    <w:p>
      <w:pPr>
        <w:spacing w:after="0" w:line="62" w:lineRule="exact"/>
        <w:rPr>
          <w:sz w:val="20"/>
          <w:szCs w:val="20"/>
          <w:color w:val="auto"/>
        </w:rPr>
      </w:pPr>
    </w:p>
    <w:p>
      <w:pPr>
        <w:ind w:right="20" w:firstLine="360"/>
        <w:spacing w:after="0" w:line="259" w:lineRule="auto"/>
        <w:rPr>
          <w:sz w:val="20"/>
          <w:szCs w:val="20"/>
          <w:color w:val="auto"/>
        </w:rPr>
      </w:pPr>
      <w:r>
        <w:rPr>
          <w:rFonts w:ascii="Arial" w:cs="Arial" w:eastAsia="Arial" w:hAnsi="Arial"/>
          <w:sz w:val="18"/>
          <w:szCs w:val="18"/>
          <w:color w:val="auto"/>
        </w:rPr>
        <w:t>An individual non-U.S. holder described in the first bullet point immediately above will be subject to tax on the net gain derived from the sale under regular graduated United States federal income tax rates. An individual non-U.S. holder described in the second bullet point immediately above will be subject to a tax equal to 30% (or such lower rate as may be specified by an applicable income tax treaty) on the gain derived from the sale, which</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may be offset by United States source capital losses, even though the individual is not considered a resident of the United States, provided that the individual has timely filed United States federal income tax returns with respect to such losses. If a non-U.S. holder that is a foreign corporation falls under the first bullet point immediately above, it will be subject to tax on its net gain in the same manner as if it were a United States person as defined under the Code and, in addition, may be subject to the branch profits tax equal to 30% (or such lower rate as may be specified by an applicable income tax treaty) of its effectively connected earnings and profits, subject to adjustments.</w:t>
      </w:r>
    </w:p>
    <w:p>
      <w:pPr>
        <w:spacing w:after="0" w:line="85" w:lineRule="exact"/>
        <w:rPr>
          <w:sz w:val="20"/>
          <w:szCs w:val="20"/>
          <w:color w:val="auto"/>
        </w:rPr>
      </w:pPr>
    </w:p>
    <w:p>
      <w:pPr>
        <w:ind w:right="280" w:firstLine="360"/>
        <w:spacing w:after="0" w:line="277" w:lineRule="auto"/>
        <w:rPr>
          <w:sz w:val="20"/>
          <w:szCs w:val="20"/>
          <w:color w:val="auto"/>
        </w:rPr>
      </w:pPr>
      <w:r>
        <w:rPr>
          <w:rFonts w:ascii="Arial" w:cs="Arial" w:eastAsia="Arial" w:hAnsi="Arial"/>
          <w:sz w:val="18"/>
          <w:szCs w:val="18"/>
          <w:color w:val="auto"/>
        </w:rPr>
        <w:t>We believe we are not and do not anticipate becoming a “United States real property holding corporation” for United States federal income tax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ind w:right="360" w:firstLine="360"/>
        <w:spacing w:after="0" w:line="308" w:lineRule="auto"/>
        <w:rPr>
          <w:sz w:val="20"/>
          <w:szCs w:val="20"/>
          <w:color w:val="auto"/>
        </w:rPr>
      </w:pPr>
      <w:r>
        <w:rPr>
          <w:rFonts w:ascii="Arial" w:cs="Arial" w:eastAsia="Arial" w:hAnsi="Arial"/>
          <w:sz w:val="17"/>
          <w:szCs w:val="17"/>
          <w:color w:val="auto"/>
        </w:rPr>
        <w:t>Common stock held by an individual non-U.S. holder at the time of death will be included in such holder’s gross estate for United States federal estate tax purposes, unless an applicable estate tax treaty provides otherwise.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right="320" w:firstLine="36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holder and the tax withheld with respect to such dividends, regardless of whether withholding was required. Copies of the information returns reporting such dividends and withholding may also be made available to the tax authorities in the country in which the non-U.S. holder resides under the provisions of an applicable income tax treaty.</w:t>
      </w:r>
    </w:p>
    <w:p>
      <w:pPr>
        <w:spacing w:after="0" w:line="79" w:lineRule="exact"/>
        <w:rPr>
          <w:sz w:val="20"/>
          <w:szCs w:val="20"/>
          <w:color w:val="auto"/>
        </w:rPr>
      </w:pPr>
    </w:p>
    <w:p>
      <w:pPr>
        <w:ind w:right="60" w:firstLine="360"/>
        <w:spacing w:after="0" w:line="286" w:lineRule="auto"/>
        <w:rPr>
          <w:sz w:val="20"/>
          <w:szCs w:val="20"/>
          <w:color w:val="auto"/>
        </w:rPr>
      </w:pPr>
      <w:r>
        <w:rPr>
          <w:rFonts w:ascii="Arial" w:cs="Arial" w:eastAsia="Arial" w:hAnsi="Arial"/>
          <w:sz w:val="17"/>
          <w:szCs w:val="17"/>
          <w:color w:val="auto"/>
        </w:rPr>
        <w:t>A non-U.S. holder will be subject to backup withholding for dividends paid to such holder unless such holder certifies under penalty of perjury that it is a non-U.S. holder (and the payor does not have actual knowledge or reason to know that such holder is a United States person as defined under the Code), or such holder otherwise establishes an exemption.</w:t>
      </w:r>
    </w:p>
    <w:p>
      <w:pPr>
        <w:spacing w:after="0" w:line="57" w:lineRule="exact"/>
        <w:rPr>
          <w:sz w:val="20"/>
          <w:szCs w:val="20"/>
          <w:color w:val="auto"/>
        </w:rPr>
      </w:pPr>
    </w:p>
    <w:p>
      <w:pPr>
        <w:ind w:right="120" w:firstLine="360"/>
        <w:spacing w:after="0" w:line="257" w:lineRule="auto"/>
        <w:rPr>
          <w:sz w:val="20"/>
          <w:szCs w:val="20"/>
          <w:color w:val="auto"/>
        </w:rPr>
      </w:pPr>
      <w:r>
        <w:rPr>
          <w:rFonts w:ascii="Arial" w:cs="Arial" w:eastAsia="Arial" w:hAnsi="Arial"/>
          <w:sz w:val="18"/>
          <w:szCs w:val="18"/>
          <w:color w:val="auto"/>
        </w:rPr>
        <w:t>Information reporting and, depending on the circumstances, backup withholding will apply to the proceeds of a sale of our common stock within the United States or conducted through certain United States-related financial intermediaries, unless the beneficial owner certifies under penalty of perjury that it is a non-U.S. holder (and the payor does not have actual knowledge or reason to know that the beneficial owner is a United States person as defined under the Code), or such owner otherwise establishes an exemption.</w:t>
      </w:r>
    </w:p>
    <w:p>
      <w:pPr>
        <w:spacing w:after="0" w:line="8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8"/>
          <w:szCs w:val="18"/>
          <w:color w:val="auto"/>
        </w:rPr>
        <w:t>Backup withholding is not an additional tax, and any amounts withheld under the backup withholding rules may be allowed as a refund or a credit against a non-U.S. holder’s United States federal income tax liability provided the required information is timely furnished to the IRS.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w:t>
      </w:r>
    </w:p>
    <w:p>
      <w:pPr>
        <w:spacing w:after="0" w:line="121"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Under Sections 1471 through 1474 of the Code, or such Sections commonly referred to as FATCA, a 30% United States federal withholding tax may apply to any dividends paid on our common stock and, for a disposition of our common stock occurring after December 31, 2018, the gross proceeds from such disposition, in each case paid to (i) a “foreign financial institution” (as specifically defined in the Code) which does not provide sufficient documentation, typically on IRS Form W-8BEN-E, evidencing either (x) an exemption from FATCA, or (y) its compliance (or deemed compliance) with FATCA (which may alternatively be in the form of compliance with an intergovernmental agreement with the United States) in a manner which avoids withholding, or (ii) a “non-financial foreign entity” (as specifically defined in the Code) which does not provide sufficient documentation, typically on IRS Form W-8BEN-E, evidencing either (x) an exemption from FATCA, or (y) adequate information regarding certain substantial United States beneficial owners of such entity (if any). If a dividend payment is both subject to withholding under FATCA and subject to the withholding tax discussed above under “—Distributions,” the withholding under FATCA may be credited against, and therefore reduce, such other withholding tax. You should consult your own tax advisor regarding these requirements and whether they may be relevant to your ownership and disposition of our common stock.</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121" w:lineRule="exact"/>
        <w:rPr>
          <w:sz w:val="20"/>
          <w:szCs w:val="20"/>
          <w:color w:val="auto"/>
        </w:rPr>
      </w:pPr>
    </w:p>
    <w:p>
      <w:pPr>
        <w:ind w:right="80" w:firstLine="360"/>
        <w:spacing w:after="0" w:line="257" w:lineRule="auto"/>
        <w:rPr>
          <w:sz w:val="20"/>
          <w:szCs w:val="20"/>
          <w:color w:val="auto"/>
        </w:rPr>
      </w:pPr>
      <w:r>
        <w:rPr>
          <w:rFonts w:ascii="Arial" w:cs="Arial" w:eastAsia="Arial" w:hAnsi="Arial"/>
          <w:sz w:val="18"/>
          <w:szCs w:val="18"/>
          <w:color w:val="auto"/>
        </w:rPr>
        <w:t>Subject to the terms and conditions set forth in an underwriting agreement among us, the selling stockholders and the underwriters, the selling stockholders have agreed to sell to the underwriters, and each of the underwriters has agreed, severally and not jointly, to purchase from the selling stockholders, the number of shares of common stock set forth opposite its name below. and Merrill Lynch, Pierce, Fenner &amp; Smith Incorporated, Citigroup Global Markets Inc., Goldman Sachs &amp; Co. LLC and Jefferies LLC are acting as the representatives of the underwriters.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w:t>
            </w:r>
          </w:p>
        </w:tc>
      </w:tr>
      <w:tr>
        <w:trPr>
          <w:trHeight w:val="178"/>
        </w:trPr>
        <w:tc>
          <w:tcPr>
            <w:tcW w:w="8220" w:type="dxa"/>
            <w:vAlign w:val="bottom"/>
            <w:gridSpan w:val="2"/>
          </w:tcPr>
          <w:p>
            <w:pPr>
              <w:spacing w:after="0"/>
              <w:rPr>
                <w:sz w:val="20"/>
                <w:szCs w:val="20"/>
                <w:color w:val="auto"/>
              </w:rPr>
            </w:pPr>
            <w:r>
              <w:rPr>
                <w:rFonts w:ascii="Arial" w:cs="Arial" w:eastAsia="Arial" w:hAnsi="Arial"/>
                <w:sz w:val="14"/>
                <w:szCs w:val="14"/>
                <w:b w:val="1"/>
                <w:bCs w:val="1"/>
                <w:color w:val="auto"/>
              </w:rPr>
              <w:t>Underwriter</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of Shares</w:t>
            </w:r>
          </w:p>
        </w:tc>
      </w:tr>
      <w:tr>
        <w:trPr>
          <w:trHeight w:val="215"/>
        </w:trPr>
        <w:tc>
          <w:tcPr>
            <w:tcW w:w="20" w:type="dxa"/>
            <w:vAlign w:val="bottom"/>
          </w:tcPr>
          <w:p>
            <w:pPr>
              <w:spacing w:after="0"/>
              <w:rPr>
                <w:sz w:val="18"/>
                <w:szCs w:val="18"/>
                <w:color w:val="auto"/>
              </w:rPr>
            </w:pPr>
          </w:p>
        </w:tc>
        <w:tc>
          <w:tcPr>
            <w:tcW w:w="8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Merrill Lynch, Pierce, Fenner &amp; Smith</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8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Citigroup Global Markets Inc.</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37"/>
        </w:trPr>
        <w:tc>
          <w:tcPr>
            <w:tcW w:w="20" w:type="dxa"/>
            <w:vAlign w:val="bottom"/>
          </w:tcPr>
          <w:p>
            <w:pPr>
              <w:spacing w:after="0"/>
              <w:rPr>
                <w:sz w:val="20"/>
                <w:szCs w:val="20"/>
                <w:color w:val="auto"/>
              </w:rPr>
            </w:pPr>
          </w:p>
        </w:tc>
        <w:tc>
          <w:tcPr>
            <w:tcW w:w="8200" w:type="dxa"/>
            <w:vAlign w:val="bottom"/>
          </w:tcPr>
          <w:p>
            <w:pPr>
              <w:spacing w:after="0"/>
              <w:rPr>
                <w:sz w:val="20"/>
                <w:szCs w:val="20"/>
                <w:color w:val="auto"/>
              </w:rPr>
            </w:pPr>
            <w:r>
              <w:rPr>
                <w:rFonts w:ascii="Arial" w:cs="Arial" w:eastAsia="Arial" w:hAnsi="Arial"/>
                <w:sz w:val="18"/>
                <w:szCs w:val="18"/>
                <w:color w:val="auto"/>
              </w:rPr>
              <w:t>Jefferies LLC</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KKR Capital Markets LLC</w:t>
            </w:r>
          </w:p>
        </w:tc>
        <w:tc>
          <w:tcPr>
            <w:tcW w:w="1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8200" w:type="dxa"/>
            <w:vAlign w:val="bottom"/>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8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firstLine="360"/>
        <w:spacing w:after="0" w:line="259" w:lineRule="auto"/>
        <w:rPr>
          <w:sz w:val="20"/>
          <w:szCs w:val="20"/>
          <w:color w:val="auto"/>
        </w:rPr>
      </w:pPr>
      <w:r>
        <w:rPr>
          <w:rFonts w:ascii="Arial" w:cs="Arial" w:eastAsia="Arial" w:hAnsi="Arial"/>
          <w:sz w:val="18"/>
          <w:szCs w:val="18"/>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79" w:lineRule="exact"/>
        <w:rPr>
          <w:sz w:val="20"/>
          <w:szCs w:val="20"/>
          <w:color w:val="auto"/>
        </w:rPr>
      </w:pPr>
    </w:p>
    <w:p>
      <w:pPr>
        <w:ind w:right="580" w:firstLine="360"/>
        <w:spacing w:after="0" w:line="264" w:lineRule="auto"/>
        <w:rPr>
          <w:sz w:val="20"/>
          <w:szCs w:val="20"/>
          <w:color w:val="auto"/>
        </w:rPr>
      </w:pPr>
      <w:r>
        <w:rPr>
          <w:rFonts w:ascii="Arial" w:cs="Arial" w:eastAsia="Arial" w:hAnsi="Arial"/>
          <w:sz w:val="18"/>
          <w:szCs w:val="18"/>
          <w:color w:val="auto"/>
        </w:rPr>
        <w:t>We and the selling stockholders have agreed to indemnify the several underwriters against certain liabilities, including liabilities under the Securities Act, or to contribute to payments the underwriters may be required to make in respect of those liabilities.</w:t>
      </w:r>
    </w:p>
    <w:p>
      <w:pPr>
        <w:spacing w:after="0" w:line="73" w:lineRule="exact"/>
        <w:rPr>
          <w:sz w:val="20"/>
          <w:szCs w:val="20"/>
          <w:color w:val="auto"/>
        </w:rPr>
      </w:pPr>
    </w:p>
    <w:p>
      <w:pPr>
        <w:ind w:right="180" w:firstLine="360"/>
        <w:spacing w:after="0" w:line="279" w:lineRule="auto"/>
        <w:rPr>
          <w:sz w:val="20"/>
          <w:szCs w:val="20"/>
          <w:color w:val="auto"/>
        </w:rPr>
      </w:pPr>
      <w:r>
        <w:rPr>
          <w:rFonts w:ascii="Arial" w:cs="Arial" w:eastAsia="Arial" w:hAnsi="Arial"/>
          <w:sz w:val="17"/>
          <w:szCs w:val="17"/>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representatives have advised us that the underwriters propose initially to offer the shares to the public at the public offering</w:t>
      </w:r>
    </w:p>
    <w:p>
      <w:pPr>
        <w:spacing w:after="0" w:line="46" w:lineRule="exact"/>
        <w:rPr>
          <w:sz w:val="20"/>
          <w:szCs w:val="20"/>
          <w:color w:val="auto"/>
        </w:rPr>
      </w:pPr>
    </w:p>
    <w:p>
      <w:pPr>
        <w:spacing w:after="0"/>
        <w:tabs>
          <w:tab w:leader="none" w:pos="8580" w:val="left"/>
        </w:tabs>
        <w:rPr>
          <w:sz w:val="20"/>
          <w:szCs w:val="20"/>
          <w:color w:val="auto"/>
        </w:rPr>
      </w:pPr>
      <w:r>
        <w:rPr>
          <w:rFonts w:ascii="Arial" w:cs="Arial" w:eastAsia="Arial" w:hAnsi="Arial"/>
          <w:sz w:val="18"/>
          <w:szCs w:val="18"/>
          <w:color w:val="auto"/>
        </w:rPr>
        <w:t>price set forth on the cover page of this prospectus and to dealers at that price less a concession not in excess of $</w:t>
      </w:r>
      <w:r>
        <w:rPr>
          <w:sz w:val="20"/>
          <w:szCs w:val="20"/>
          <w:color w:val="auto"/>
        </w:rPr>
        <w:tab/>
      </w:r>
      <w:r>
        <w:rPr>
          <w:rFonts w:ascii="Arial" w:cs="Arial" w:eastAsia="Arial" w:hAnsi="Arial"/>
          <w:sz w:val="15"/>
          <w:szCs w:val="15"/>
          <w:color w:val="auto"/>
        </w:rPr>
        <w:t>per share.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 the initial offering, the public offering price, concession or any other term of the offering may be changed.</w:t>
      </w:r>
    </w:p>
    <w:p>
      <w:pPr>
        <w:spacing w:after="0" w:line="103"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following table shows the public offering price, underwriting discounts and commissions, and proceeds before expenses to the selling stockholders. The information assumes either no exercise or full exercise by the underwriters of their option to purchase additional shares.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500" w:type="dxa"/>
            <w:vAlign w:val="bottom"/>
          </w:tcPr>
          <w:p>
            <w:pPr>
              <w:jc w:val="right"/>
              <w:ind w:right="57"/>
              <w:spacing w:after="0"/>
              <w:rPr>
                <w:sz w:val="20"/>
                <w:szCs w:val="20"/>
                <w:color w:val="auto"/>
              </w:rPr>
            </w:pPr>
            <w:r>
              <w:rPr>
                <w:rFonts w:ascii="Arial" w:cs="Arial" w:eastAsia="Arial" w:hAnsi="Arial"/>
                <w:sz w:val="14"/>
                <w:szCs w:val="14"/>
                <w:b w:val="1"/>
                <w:bCs w:val="1"/>
                <w:color w:val="auto"/>
              </w:rPr>
              <w:t>Per</w:t>
            </w:r>
          </w:p>
        </w:tc>
        <w:tc>
          <w:tcPr>
            <w:tcW w:w="160" w:type="dxa"/>
            <w:vAlign w:val="bottom"/>
          </w:tcPr>
          <w:p>
            <w:pPr>
              <w:spacing w:after="0"/>
              <w:rPr>
                <w:sz w:val="14"/>
                <w:szCs w:val="14"/>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Without</w:t>
            </w:r>
          </w:p>
        </w:tc>
        <w:tc>
          <w:tcPr>
            <w:tcW w:w="180" w:type="dxa"/>
            <w:vAlign w:val="bottom"/>
          </w:tcPr>
          <w:p>
            <w:pPr>
              <w:spacing w:after="0"/>
              <w:rPr>
                <w:sz w:val="14"/>
                <w:szCs w:val="14"/>
                <w:color w:val="auto"/>
              </w:rPr>
            </w:pPr>
          </w:p>
        </w:tc>
        <w:tc>
          <w:tcPr>
            <w:tcW w:w="660" w:type="dxa"/>
            <w:vAlign w:val="bottom"/>
            <w:gridSpan w:val="2"/>
          </w:tcPr>
          <w:p>
            <w:pPr>
              <w:ind w:left="160"/>
              <w:spacing w:after="0"/>
              <w:rPr>
                <w:sz w:val="20"/>
                <w:szCs w:val="20"/>
                <w:color w:val="auto"/>
              </w:rPr>
            </w:pPr>
            <w:r>
              <w:rPr>
                <w:rFonts w:ascii="Arial" w:cs="Arial" w:eastAsia="Arial" w:hAnsi="Arial"/>
                <w:sz w:val="14"/>
                <w:szCs w:val="14"/>
                <w:b w:val="1"/>
                <w:bCs w:val="1"/>
                <w:color w:val="auto"/>
              </w:rPr>
              <w:t>With</w:t>
            </w:r>
          </w:p>
        </w:tc>
      </w:tr>
      <w:tr>
        <w:trPr>
          <w:trHeight w:val="178"/>
        </w:trPr>
        <w:tc>
          <w:tcPr>
            <w:tcW w:w="20" w:type="dxa"/>
            <w:vAlign w:val="bottom"/>
          </w:tcPr>
          <w:p>
            <w:pPr>
              <w:spacing w:after="0"/>
              <w:rPr>
                <w:sz w:val="15"/>
                <w:szCs w:val="15"/>
                <w:color w:val="auto"/>
              </w:rPr>
            </w:pPr>
          </w:p>
        </w:tc>
        <w:tc>
          <w:tcPr>
            <w:tcW w:w="7360" w:type="dxa"/>
            <w:vAlign w:val="bottom"/>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8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w:t>
            </w:r>
          </w:p>
        </w:tc>
        <w:tc>
          <w:tcPr>
            <w:tcW w:w="10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Underwriting discounts and commissions</w:t>
            </w:r>
          </w:p>
        </w:tc>
        <w:tc>
          <w:tcPr>
            <w:tcW w:w="500" w:type="dxa"/>
            <w:vAlign w:val="bottom"/>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500" w:type="dxa"/>
            <w:vAlign w:val="bottom"/>
            <w:shd w:val="clear" w:color="auto" w:fill="CCEEFF"/>
          </w:tcPr>
          <w:p>
            <w:pPr>
              <w:jc w:val="right"/>
              <w:ind w:right="317"/>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r>
    </w:tbl>
    <w:p>
      <w:pPr>
        <w:spacing w:after="0" w:line="94"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8"/>
          <w:szCs w:val="18"/>
          <w:color w:val="auto"/>
        </w:rPr>
        <w:t>The expenses of the offering, not including the underwriting discounts and commissions for which the selling stockholders are responsible, are estimated at $856,000 and are payable by us. We have agreed to reimburse the underwriters for expenses relating to clearing of this offering with FINRA in an amount up to $25,000.</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121" w:lineRule="exact"/>
        <w:rPr>
          <w:sz w:val="20"/>
          <w:szCs w:val="20"/>
          <w:color w:val="auto"/>
        </w:rPr>
      </w:pPr>
    </w:p>
    <w:p>
      <w:pPr>
        <w:ind w:right="80" w:firstLine="360"/>
        <w:spacing w:after="0" w:line="279" w:lineRule="auto"/>
        <w:rPr>
          <w:sz w:val="20"/>
          <w:szCs w:val="20"/>
          <w:color w:val="auto"/>
        </w:rPr>
      </w:pPr>
      <w:r>
        <w:rPr>
          <w:rFonts w:ascii="Arial" w:cs="Arial" w:eastAsia="Arial" w:hAnsi="Arial"/>
          <w:sz w:val="17"/>
          <w:szCs w:val="17"/>
          <w:color w:val="auto"/>
        </w:rPr>
        <w:t>The underwriters have an option, exercisable for 30 days after the date of this prospectus, to purchase up to 1,500,000 additional shares at the public offering price, less the underwriting discount and commissions, from the selling stockholders.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121" w:lineRule="exact"/>
        <w:rPr>
          <w:sz w:val="20"/>
          <w:szCs w:val="20"/>
          <w:color w:val="auto"/>
        </w:rPr>
      </w:pPr>
    </w:p>
    <w:p>
      <w:pPr>
        <w:ind w:right="280" w:firstLine="360"/>
        <w:spacing w:after="0" w:line="286" w:lineRule="auto"/>
        <w:rPr>
          <w:sz w:val="20"/>
          <w:szCs w:val="20"/>
          <w:color w:val="auto"/>
        </w:rPr>
      </w:pPr>
      <w:r>
        <w:rPr>
          <w:rFonts w:ascii="Arial" w:cs="Arial" w:eastAsia="Arial" w:hAnsi="Arial"/>
          <w:sz w:val="17"/>
          <w:szCs w:val="17"/>
          <w:color w:val="auto"/>
        </w:rPr>
        <w:t>We, our directors and executive officers and the selling stockholders will agree, for 90 days after the date of this prospectus, without first obtaining the written consent of any two of Merrill Lynch, Pierce, Fenner &amp; Smith Incorporated, Citigroup Global Markets Inc. and Goldman Sachs &amp; Co. LLC, not to directly or indirectly, subject to certain exceptions:</w:t>
      </w:r>
    </w:p>
    <w:p>
      <w:pPr>
        <w:spacing w:after="0" w:line="57" w:lineRule="exact"/>
        <w:rPr>
          <w:sz w:val="20"/>
          <w:szCs w:val="20"/>
          <w:color w:val="auto"/>
        </w:rPr>
      </w:pPr>
    </w:p>
    <w:p>
      <w:pPr>
        <w:jc w:val="both"/>
        <w:ind w:left="700" w:right="60" w:hanging="356"/>
        <w:spacing w:after="0" w:line="264"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offer, sell, contract to sell, or otherwise dispose of (or enter into any transaction which is designed to, or might reasonably be expected to, result in the disposition of) any shares of our capital stock or any securities convertible into, or exercisable or exchangeable for such capital stock;</w:t>
      </w:r>
    </w:p>
    <w:p>
      <w:pPr>
        <w:spacing w:after="0" w:line="73" w:lineRule="exact"/>
        <w:rPr>
          <w:rFonts w:ascii="Arial" w:cs="Arial" w:eastAsia="Arial" w:hAnsi="Arial"/>
          <w:sz w:val="18"/>
          <w:szCs w:val="18"/>
          <w:color w:val="auto"/>
        </w:rPr>
      </w:pPr>
    </w:p>
    <w:p>
      <w:pPr>
        <w:ind w:left="700" w:hanging="356"/>
        <w:spacing w:after="0" w:line="259" w:lineRule="auto"/>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publicly file or participate in the public filing of a registration statement with the SEC in respect of, or establish or increase a put equivalent position or liquidate or decrease a call equivalent position within the meaning of Section 16 of the Exchange Act and related rules and regulations, any shares of our capital stock or any securities convertible into, or exercisable or exchangeable for such capital stock; or</w:t>
      </w:r>
    </w:p>
    <w:p>
      <w:pPr>
        <w:spacing w:after="0" w:line="78" w:lineRule="exact"/>
        <w:rPr>
          <w:rFonts w:ascii="Arial" w:cs="Arial" w:eastAsia="Arial" w:hAnsi="Arial"/>
          <w:sz w:val="18"/>
          <w:szCs w:val="18"/>
          <w:color w:val="auto"/>
        </w:rPr>
      </w:pPr>
    </w:p>
    <w:p>
      <w:pPr>
        <w:ind w:left="700" w:hanging="356"/>
        <w:spacing w:after="0"/>
        <w:tabs>
          <w:tab w:leader="none" w:pos="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publicly announce an intention to effect any such transaction.</w:t>
      </w:r>
    </w:p>
    <w:p>
      <w:pPr>
        <w:spacing w:after="0" w:line="117" w:lineRule="exact"/>
        <w:rPr>
          <w:sz w:val="20"/>
          <w:szCs w:val="20"/>
          <w:color w:val="auto"/>
        </w:rPr>
      </w:pPr>
    </w:p>
    <w:p>
      <w:pPr>
        <w:ind w:right="240" w:firstLine="360"/>
        <w:spacing w:after="0" w:line="259" w:lineRule="auto"/>
        <w:rPr>
          <w:sz w:val="20"/>
          <w:szCs w:val="20"/>
          <w:color w:val="auto"/>
        </w:rPr>
      </w:pPr>
      <w:r>
        <w:rPr>
          <w:rFonts w:ascii="Arial" w:cs="Arial" w:eastAsia="Arial" w:hAnsi="Arial"/>
          <w:sz w:val="18"/>
          <w:szCs w:val="18"/>
          <w:color w:val="auto"/>
        </w:rPr>
        <w:t>This agreement does not apply to any existing employee benefit plans. Any two of Merrill Lynch, Pierce, Fenner &amp; Smith Incorporated, Citigroup Global Markets Inc. and Goldman Sachs &amp; Co. LLC may, in their sole discretion and at any time or from time to time before the termination of the 90-day period, release all or any portion of the securities subject to lock-up agreements. See “Shares Eligible for Future Sale” for a discussion of certain transfer restrictions.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NASDAQ under the symbol “EYE.”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121"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underwriters may engage in transactions that stabilize the price of the common stock, such as bids or purchases to peg, fix or maintain that price.</w:t>
      </w:r>
    </w:p>
    <w:p>
      <w:pPr>
        <w:spacing w:after="0" w:line="73" w:lineRule="exact"/>
        <w:rPr>
          <w:sz w:val="20"/>
          <w:szCs w:val="20"/>
          <w:color w:val="auto"/>
        </w:rPr>
      </w:pPr>
    </w:p>
    <w:p>
      <w:pPr>
        <w:ind w:right="80" w:firstLine="360"/>
        <w:spacing w:after="0" w:line="268" w:lineRule="auto"/>
        <w:rPr>
          <w:sz w:val="20"/>
          <w:szCs w:val="20"/>
          <w:color w:val="auto"/>
        </w:rPr>
      </w:pPr>
      <w:r>
        <w:rPr>
          <w:rFonts w:ascii="Arial" w:cs="Arial" w:eastAsia="Arial" w:hAnsi="Arial"/>
          <w:sz w:val="17"/>
          <w:szCs w:val="17"/>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80" w:lineRule="exact"/>
        <w:rPr>
          <w:sz w:val="20"/>
          <w:szCs w:val="20"/>
          <w:color w:val="auto"/>
        </w:rPr>
      </w:pPr>
    </w:p>
    <w:p>
      <w:pPr>
        <w:ind w:right="20" w:firstLine="360"/>
        <w:spacing w:after="0" w:line="264"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other underwriters have repurchased shares sold by or for the account of such underwriter in stabilizing or short covering transactions.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79" w:lineRule="auto"/>
        <w:rPr>
          <w:sz w:val="20"/>
          <w:szCs w:val="20"/>
          <w:color w:val="auto"/>
        </w:rPr>
      </w:pPr>
      <w:r>
        <w:rPr>
          <w:rFonts w:ascii="Arial" w:cs="Arial" w:eastAsia="Arial" w:hAnsi="Arial"/>
          <w:sz w:val="17"/>
          <w:szCs w:val="17"/>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NASDAQ, in the over-the-counter market or otherwise.</w:t>
      </w:r>
    </w:p>
    <w:p>
      <w:pPr>
        <w:spacing w:after="0" w:line="63"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None of us, the selling stockholders and the underwriters make any representation or prediction as to the direction or magnitude of any effect that the transactions described above may have on the price of our common stock. In addition, none of us, the selling stockholders and the underwriters make any representation that the underwriters will engage in these transactions or that these transactions, once commenced, will not be discontinued without notice.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121"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In connection with the offering, certain of the underwriters or securities dealers may distribute prospectuses by electronic means, such as e-mail.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121"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financial and brokerage activities.</w:t>
      </w:r>
    </w:p>
    <w:p>
      <w:pPr>
        <w:spacing w:after="0" w:line="73" w:lineRule="exact"/>
        <w:rPr>
          <w:sz w:val="20"/>
          <w:szCs w:val="20"/>
          <w:color w:val="auto"/>
        </w:rPr>
      </w:pPr>
    </w:p>
    <w:p>
      <w:pPr>
        <w:ind w:firstLine="360"/>
        <w:spacing w:after="0" w:line="268" w:lineRule="auto"/>
        <w:rPr>
          <w:sz w:val="20"/>
          <w:szCs w:val="20"/>
          <w:color w:val="auto"/>
        </w:rPr>
      </w:pPr>
      <w:r>
        <w:rPr>
          <w:rFonts w:ascii="Arial" w:cs="Arial" w:eastAsia="Arial" w:hAnsi="Arial"/>
          <w:sz w:val="17"/>
          <w:szCs w:val="17"/>
          <w:color w:val="auto"/>
        </w:rPr>
        <w:t>Certain of the underwriters and their respective affiliates have provided, and may in the future provide, a variety of these services to us and to persons and entities with relationships with us, for which they received or will receive customary fees and expenses. An affiliate of Goldman Sachs &amp; Co. LLC serves as administrative agent, collateral agent, swingline lender and a lender under our first lien credit agreement and Goldman Sachs &amp; Co. LLC, Citigroup Global Markets Inc. and KKR Capital Markets LLC or their respective affiliates serve as joint lead arrangers and joint bookrunners under our first lien credit agreement. As of December 30, 2017, investment funds or accounts managed or advised by the global credit business of KKR &amp; Co. held a portion of the outstanding principal balance of our first lien term loans. Additionally, an affiliate of KKR Capital Markets LLC has been a participating lender under our revolving credit facility. 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21" w:lineRule="exact"/>
        <w:rPr>
          <w:sz w:val="20"/>
          <w:szCs w:val="20"/>
          <w:color w:val="auto"/>
        </w:rPr>
      </w:pPr>
    </w:p>
    <w:p>
      <w:pPr>
        <w:ind w:right="20" w:firstLine="360"/>
        <w:spacing w:after="0" w:line="254" w:lineRule="auto"/>
        <w:rPr>
          <w:sz w:val="20"/>
          <w:szCs w:val="20"/>
          <w:color w:val="auto"/>
        </w:rPr>
      </w:pPr>
      <w:r>
        <w:rPr>
          <w:rFonts w:ascii="Arial" w:cs="Arial" w:eastAsia="Arial" w:hAnsi="Arial"/>
          <w:sz w:val="18"/>
          <w:szCs w:val="18"/>
          <w:color w:val="auto"/>
        </w:rPr>
        <w:t>Affiliates of KKR Sponsor beneficially own (through investment in KKR Vision Aggregator L.P.) in excess of 10% of our issued and outstanding common stock. Because KKR Capital Markets LLC, an affiliate of KKR Sponsor, is an underwriter in this offering and its affiliates own in excess of 10% of our issued and outstanding common stock, KKR Capital Markets LLC is deemed to have a “conflict of interest” under Rule 5121. Accordingly, this offering is being made in compliance with the requirements of Rule 5121. Pursuant to that rule, the appointment of a “qualified independent underwriter” is not required in connection with this offering, because a bona fide public market exists in the shares, as that term is defined in Rule 5121. KKR Capital Markets LLC will not confirm sales of the securities to any account over which it exercises discretionary authority without the specific written approval of the account holder.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21" w:lineRule="exact"/>
        <w:rPr>
          <w:sz w:val="20"/>
          <w:szCs w:val="20"/>
          <w:color w:val="auto"/>
        </w:rPr>
      </w:pPr>
    </w:p>
    <w:p>
      <w:pPr>
        <w:ind w:right="140" w:firstLine="360"/>
        <w:spacing w:after="0" w:line="286"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or each, a “</w:t>
      </w:r>
      <w:r>
        <w:rPr>
          <w:rFonts w:ascii="Arial" w:cs="Arial" w:eastAsia="Arial" w:hAnsi="Arial"/>
          <w:sz w:val="17"/>
          <w:szCs w:val="17"/>
          <w:b w:val="1"/>
          <w:bCs w:val="1"/>
          <w:color w:val="auto"/>
        </w:rPr>
        <w:t>Relevant Member State</w:t>
      </w:r>
      <w:r>
        <w:rPr>
          <w:rFonts w:ascii="Arial" w:cs="Arial" w:eastAsia="Arial" w:hAnsi="Arial"/>
          <w:sz w:val="17"/>
          <w:szCs w:val="17"/>
          <w:color w:val="auto"/>
        </w:rPr>
        <w:t>”, with effect from and including the date on which the Prospectus Directive is implemented in that Relevant Member State, no offer of shares may be made to the public in that Relevant Member State other than:</w:t>
      </w:r>
    </w:p>
    <w:p>
      <w:pPr>
        <w:spacing w:after="0" w:line="57" w:lineRule="exact"/>
        <w:rPr>
          <w:sz w:val="20"/>
          <w:szCs w:val="20"/>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17" w:lineRule="exact"/>
        <w:rPr>
          <w:rFonts w:ascii="Arial" w:cs="Arial" w:eastAsia="Arial" w:hAnsi="Arial"/>
          <w:sz w:val="18"/>
          <w:szCs w:val="18"/>
          <w:color w:val="auto"/>
        </w:rPr>
      </w:pPr>
    </w:p>
    <w:p>
      <w:pPr>
        <w:ind w:left="700" w:right="40" w:hanging="356"/>
        <w:spacing w:after="0" w:line="277" w:lineRule="auto"/>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or</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17"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provided that no such offer of shares shall require the Company or any underwriter to publish a prospectus pursuant to Article 3 of the Prospectus Directive or supplement a prospectus pursuant to Article 16 of the Prospectus Directive and each person who initially acquires any shares or to whom any offer is made will be deemed to have represented, acknowledged and agreed to and with each of the underwriters and the Company that it is a “qualified investor” within the meaning of the law in that Relevant Member State implementing Article 2(1)(e) of the Prospectus Directive.</w:t>
      </w:r>
    </w:p>
    <w:p>
      <w:pPr>
        <w:spacing w:after="0" w:line="64"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In the case of any shares being offered to a financial intermediary as that term is used in Article 3(2) of the Prospectus Directive, each such financial intermediary will be deemed to have represented, acknowledged and agreed that the shares acquired by it in the offer have not been acquired on a non-discretionary basis on behalf of, nor have they been acquired with a view to their offer or resale to, persons in circumstances which may give rise to an offer of any shares to the public other than their offer or resale in a Relevant Member State to qualified investors as so defined or in circumstances in which the prior consent of the representatives have been obtained to each such proposed offer or resale.</w:t>
      </w:r>
    </w:p>
    <w:p>
      <w:pPr>
        <w:spacing w:after="0" w:line="66" w:lineRule="exact"/>
        <w:rPr>
          <w:sz w:val="20"/>
          <w:szCs w:val="20"/>
          <w:color w:val="auto"/>
        </w:rPr>
      </w:pPr>
    </w:p>
    <w:p>
      <w:pPr>
        <w:ind w:right="40" w:firstLine="360"/>
        <w:spacing w:after="0" w:line="256" w:lineRule="auto"/>
        <w:rPr>
          <w:sz w:val="20"/>
          <w:szCs w:val="20"/>
          <w:color w:val="auto"/>
        </w:rPr>
      </w:pPr>
      <w:r>
        <w:rPr>
          <w:rFonts w:ascii="Arial" w:cs="Arial" w:eastAsia="Arial" w:hAnsi="Arial"/>
          <w:sz w:val="18"/>
          <w:szCs w:val="18"/>
          <w:color w:val="auto"/>
        </w:rPr>
        <w:t>For the purposes of this provision, the expression an “</w:t>
      </w:r>
      <w:r>
        <w:rPr>
          <w:rFonts w:ascii="Arial" w:cs="Arial" w:eastAsia="Arial" w:hAnsi="Arial"/>
          <w:sz w:val="18"/>
          <w:szCs w:val="18"/>
          <w:b w:val="1"/>
          <w:bCs w:val="1"/>
          <w:color w:val="auto"/>
        </w:rPr>
        <w:t>offer of shares to the public</w:t>
      </w:r>
      <w:r>
        <w:rPr>
          <w:rFonts w:ascii="Arial" w:cs="Arial" w:eastAsia="Arial" w:hAnsi="Arial"/>
          <w:sz w:val="18"/>
          <w:szCs w:val="18"/>
          <w:color w:val="auto"/>
        </w:rPr>
        <w:t>” in relation to any shares in any Relevant Member State means the communication in any form and by means of sufficient information on the terms of the offer and the shares to be offered so as to enable an investor to decide to purchase shares, as the same may be varied in that Member State by any measure implementing the Prospectus Directive in that Member State, the expression “Prospectus Directive” means Directive 2003/71/EC (as amended, including by Directive 2010/73/EU), and includes any relevant implementing measure in the Relevant Member State.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21" w:lineRule="exact"/>
        <w:rPr>
          <w:sz w:val="20"/>
          <w:szCs w:val="20"/>
          <w:color w:val="auto"/>
        </w:rPr>
      </w:pPr>
    </w:p>
    <w:p>
      <w:pPr>
        <w:ind w:right="140" w:firstLine="360"/>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59" w:lineRule="exact"/>
        <w:rPr>
          <w:sz w:val="20"/>
          <w:szCs w:val="20"/>
          <w:color w:val="auto"/>
        </w:rPr>
      </w:pPr>
    </w:p>
    <w:p>
      <w:pPr>
        <w:ind w:right="160" w:firstLine="360"/>
        <w:spacing w:after="0" w:line="264"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0" w:firstLine="360"/>
        <w:spacing w:after="0" w:line="276"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64" w:lineRule="exact"/>
        <w:rPr>
          <w:sz w:val="20"/>
          <w:szCs w:val="20"/>
          <w:color w:val="auto"/>
        </w:rPr>
      </w:pPr>
    </w:p>
    <w:p>
      <w:pPr>
        <w:jc w:val="both"/>
        <w:ind w:right="40" w:firstLine="360"/>
        <w:spacing w:after="0" w:line="342" w:lineRule="auto"/>
        <w:rPr>
          <w:sz w:val="20"/>
          <w:szCs w:val="20"/>
          <w:color w:val="auto"/>
        </w:rPr>
      </w:pPr>
      <w:r>
        <w:rPr>
          <w:rFonts w:ascii="Arial" w:cs="Arial" w:eastAsia="Arial" w:hAnsi="Arial"/>
          <w:sz w:val="16"/>
          <w:szCs w:val="16"/>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70"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100" w:firstLine="360"/>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20" w:firstLine="360"/>
        <w:spacing w:after="0" w:line="257"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80" w:lineRule="exact"/>
        <w:rPr>
          <w:sz w:val="20"/>
          <w:szCs w:val="20"/>
          <w:color w:val="auto"/>
        </w:rPr>
      </w:pPr>
    </w:p>
    <w:p>
      <w:pPr>
        <w:ind w:right="20" w:firstLine="360"/>
        <w:spacing w:after="0" w:line="302" w:lineRule="auto"/>
        <w:rPr>
          <w:sz w:val="20"/>
          <w:szCs w:val="20"/>
          <w:color w:val="auto"/>
        </w:rPr>
      </w:pPr>
      <w:r>
        <w:rPr>
          <w:rFonts w:ascii="Arial" w:cs="Arial" w:eastAsia="Arial" w:hAnsi="Arial"/>
          <w:sz w:val="16"/>
          <w:szCs w:val="16"/>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46" w:lineRule="exact"/>
        <w:rPr>
          <w:sz w:val="20"/>
          <w:szCs w:val="20"/>
          <w:color w:val="auto"/>
        </w:rPr>
      </w:pPr>
    </w:p>
    <w:p>
      <w:pPr>
        <w:ind w:right="100" w:firstLine="360"/>
        <w:spacing w:after="0" w:line="257" w:lineRule="auto"/>
        <w:rPr>
          <w:sz w:val="20"/>
          <w:szCs w:val="20"/>
          <w:color w:val="auto"/>
        </w:rPr>
      </w:pPr>
      <w:r>
        <w:rPr>
          <w:rFonts w:ascii="Arial" w:cs="Arial" w:eastAsia="Arial" w:hAnsi="Arial"/>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59" w:name="page60"/>
    <w:bookmarkEnd w:id="59"/>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 w:right="40" w:firstLine="360"/>
        <w:spacing w:after="0" w:line="279"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67"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left="367"/>
        <w:spacing w:after="0"/>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w:t>
      </w:r>
    </w:p>
    <w:p>
      <w:pPr>
        <w:spacing w:after="0" w:line="46" w:lineRule="exact"/>
        <w:rPr>
          <w:sz w:val="20"/>
          <w:szCs w:val="20"/>
          <w:color w:val="auto"/>
        </w:rPr>
      </w:pPr>
    </w:p>
    <w:p>
      <w:pPr>
        <w:ind w:left="7" w:right="140" w:hanging="7"/>
        <w:spacing w:after="0" w:line="287" w:lineRule="auto"/>
        <w:tabs>
          <w:tab w:leader="none" w:pos="252" w:val="left"/>
        </w:tabs>
        <w:numPr>
          <w:ilvl w:val="0"/>
          <w:numId w:val="43"/>
        </w:numPr>
        <w:rPr>
          <w:rFonts w:ascii="Arial" w:cs="Arial" w:eastAsia="Arial" w:hAnsi="Arial"/>
          <w:sz w:val="16"/>
          <w:szCs w:val="16"/>
          <w:color w:val="auto"/>
        </w:rPr>
      </w:pPr>
      <w:r>
        <w:rPr>
          <w:rFonts w:ascii="Arial" w:cs="Arial" w:eastAsia="Arial" w:hAnsi="Arial"/>
          <w:sz w:val="16"/>
          <w:szCs w:val="16"/>
          <w:color w:val="auto"/>
        </w:rPr>
        <w:t>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jc w:val="both"/>
        <w:ind w:left="7" w:right="80" w:firstLine="360"/>
        <w:spacing w:after="0" w:line="27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74"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left="7" w:firstLine="360"/>
        <w:spacing w:after="0" w:line="272"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70" w:lineRule="exact"/>
        <w:rPr>
          <w:sz w:val="20"/>
          <w:szCs w:val="20"/>
          <w:color w:val="auto"/>
        </w:rPr>
      </w:pPr>
    </w:p>
    <w:p>
      <w:pPr>
        <w:ind w:left="367"/>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117" w:lineRule="exact"/>
        <w:rPr>
          <w:sz w:val="20"/>
          <w:szCs w:val="20"/>
          <w:color w:val="auto"/>
        </w:rPr>
      </w:pPr>
    </w:p>
    <w:p>
      <w:pPr>
        <w:ind w:left="707" w:right="40" w:hanging="356"/>
        <w:spacing w:after="0" w:line="264" w:lineRule="auto"/>
        <w:tabs>
          <w:tab w:leader="none" w:pos="7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73" w:lineRule="exact"/>
        <w:rPr>
          <w:rFonts w:ascii="Arial" w:cs="Arial" w:eastAsia="Arial" w:hAnsi="Arial"/>
          <w:sz w:val="18"/>
          <w:szCs w:val="18"/>
          <w:color w:val="auto"/>
        </w:rPr>
      </w:pPr>
    </w:p>
    <w:p>
      <w:pPr>
        <w:ind w:left="707" w:right="160" w:hanging="356"/>
        <w:spacing w:after="0" w:line="277" w:lineRule="auto"/>
        <w:tabs>
          <w:tab w:leader="none" w:pos="707"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62" w:lineRule="exact"/>
        <w:rPr>
          <w:sz w:val="20"/>
          <w:szCs w:val="20"/>
          <w:color w:val="auto"/>
        </w:rPr>
      </w:pPr>
    </w:p>
    <w:p>
      <w:pPr>
        <w:ind w:left="7" w:right="100"/>
        <w:spacing w:after="0" w:line="264"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73" w:lineRule="exact"/>
        <w:rPr>
          <w:sz w:val="20"/>
          <w:szCs w:val="20"/>
          <w:color w:val="auto"/>
        </w:rPr>
      </w:pPr>
    </w:p>
    <w:p>
      <w:pPr>
        <w:ind w:left="707" w:right="220" w:hanging="356"/>
        <w:spacing w:after="0" w:line="277" w:lineRule="auto"/>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62" w:lineRule="exact"/>
        <w:rPr>
          <w:rFonts w:ascii="Arial" w:cs="Arial" w:eastAsia="Arial" w:hAnsi="Arial"/>
          <w:sz w:val="18"/>
          <w:szCs w:val="18"/>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707" w:hanging="356"/>
        <w:spacing w:after="0"/>
        <w:tabs>
          <w:tab w:leader="none" w:pos="707"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306705</wp:posOffset>
            </wp:positionV>
            <wp:extent cx="6071870" cy="431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700" w:hanging="356"/>
        <w:spacing w:after="0"/>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700" w:right="220" w:hanging="356"/>
        <w:spacing w:after="0" w:line="277" w:lineRule="auto"/>
        <w:tabs>
          <w:tab w:leader="none" w:pos="7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Brazil</w:t>
      </w:r>
    </w:p>
    <w:p>
      <w:pPr>
        <w:spacing w:after="0" w:line="121" w:lineRule="exact"/>
        <w:rPr>
          <w:sz w:val="20"/>
          <w:szCs w:val="20"/>
          <w:color w:val="auto"/>
        </w:rPr>
      </w:pPr>
    </w:p>
    <w:p>
      <w:pPr>
        <w:ind w:right="120" w:firstLine="360"/>
        <w:spacing w:after="0" w:line="286" w:lineRule="auto"/>
        <w:rPr>
          <w:sz w:val="20"/>
          <w:szCs w:val="20"/>
          <w:color w:val="auto"/>
        </w:rPr>
      </w:pPr>
      <w:r>
        <w:rPr>
          <w:rFonts w:ascii="Arial" w:cs="Arial" w:eastAsia="Arial" w:hAnsi="Arial"/>
          <w:sz w:val="17"/>
          <w:szCs w:val="17"/>
          <w:color w:val="auto"/>
        </w:rPr>
        <w:t>For purposes of Brazilian law, this offer of securities is addressed to you personally, upon your request and for your sole benefit, and is not to be transmitted to anyone else, to be relied upon elsewhere or for any other purpose either quoted or referred to in any other public or private document or to be filed with anyone, without our prior express and written consent.</w:t>
      </w:r>
    </w:p>
    <w:p>
      <w:pPr>
        <w:spacing w:after="0" w:line="57"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This offering does not constitute or form part of any public offering of shares in Brazil and, accordingly, has not been and will not be registered under Brazilian Federal Law No. 6385 of December 7, 1976, as amended, Brazilian Securities Commission (CVM) Rule (Instrução) No. 400 of December 29, 2003, as amended, or under any other Brazilian securities law or regulation. Furthermore, our shares and we have not been and will not be registered before the CVM under CVM Rule (Instrução) No. 480 of December 7, 2009, as amended.</w:t>
      </w:r>
    </w:p>
    <w:p>
      <w:pPr>
        <w:spacing w:after="0" w:line="80" w:lineRule="exact"/>
        <w:rPr>
          <w:sz w:val="20"/>
          <w:szCs w:val="20"/>
          <w:color w:val="auto"/>
        </w:rPr>
      </w:pPr>
    </w:p>
    <w:p>
      <w:pPr>
        <w:ind w:right="260" w:firstLine="360"/>
        <w:spacing w:after="0" w:line="302" w:lineRule="auto"/>
        <w:rPr>
          <w:sz w:val="20"/>
          <w:szCs w:val="20"/>
          <w:color w:val="auto"/>
        </w:rPr>
      </w:pPr>
      <w:r>
        <w:rPr>
          <w:rFonts w:ascii="Arial" w:cs="Arial" w:eastAsia="Arial" w:hAnsi="Arial"/>
          <w:sz w:val="16"/>
          <w:szCs w:val="16"/>
          <w:color w:val="auto"/>
        </w:rPr>
        <w:t>Therefore, the shares offered hereby have not been, will not be and may not be offered for sale or sold in Brazil except in circumstances that do not constitute a public offering or other unauthorized distribution under applicable Brazilian laws and regulations. Documents relating to the shares, as well as the information contained therein, may not be supplied to the public as a public offering in Brazil or be used in connection with any offer for subscription or sale of the shares to the public in Brazil.</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21" w:lineRule="exact"/>
        <w:rPr>
          <w:sz w:val="20"/>
          <w:szCs w:val="20"/>
          <w:color w:val="auto"/>
        </w:rPr>
      </w:pPr>
    </w:p>
    <w:p>
      <w:pPr>
        <w:ind w:right="200" w:firstLine="360"/>
        <w:spacing w:after="0" w:line="264"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Simpson Thacher &amp; Bartlett LLP, New York, New York. Certain legal matters in connection with the offering will be passed upon for the underwriters by Latham &amp; Watkins LLP, New York, New York.</w:t>
      </w:r>
    </w:p>
    <w:p>
      <w:pPr>
        <w:spacing w:after="0" w:line="73" w:lineRule="exact"/>
        <w:rPr>
          <w:sz w:val="20"/>
          <w:szCs w:val="20"/>
          <w:color w:val="auto"/>
        </w:rPr>
      </w:pPr>
    </w:p>
    <w:p>
      <w:pPr>
        <w:jc w:val="both"/>
        <w:ind w:right="80" w:firstLine="360"/>
        <w:spacing w:after="0" w:line="264" w:lineRule="auto"/>
        <w:rPr>
          <w:sz w:val="20"/>
          <w:szCs w:val="20"/>
          <w:color w:val="auto"/>
        </w:rPr>
      </w:pPr>
      <w:r>
        <w:rPr>
          <w:rFonts w:ascii="Arial" w:cs="Arial" w:eastAsia="Arial" w:hAnsi="Arial"/>
          <w:sz w:val="18"/>
          <w:szCs w:val="18"/>
          <w:color w:val="auto"/>
        </w:rPr>
        <w:t>Certain partners of Simpson Thacher &amp; Bartlett LLP, members of their respective families, related persons, and others have an indirect interest, through limited partnerships that are investors in funds affiliated with KKR &amp; Co., in less than 1% of our common stock.</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21"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The consolidated financial statements, and the related financial statement schedule, incorporated in this prospectus by reference from the Company’s Annual Report on Form 10-K for the fiscal year ended December 30, 2017, have been audited by Deloitte &amp; Touche LLP, an independent registered public accounting firm, as stated in their report, which is incorporated herein by reference. Such consolidated financial statements and financial statement schedule have been so incorporated in reliance upon the report of such firm given upon their authority as experts in accounting and auditing.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121" w:lineRule="exact"/>
        <w:rPr>
          <w:sz w:val="20"/>
          <w:szCs w:val="20"/>
          <w:color w:val="auto"/>
        </w:rPr>
      </w:pPr>
    </w:p>
    <w:p>
      <w:pPr>
        <w:ind w:right="40" w:firstLine="360"/>
        <w:spacing w:after="0" w:line="272"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common stock offered by this prospectus. This prospectus is a part of the registration statement and does not contain all of the information set forth in the registration statement and its exhibits and schedules, portions of which have been omitted as permitted by the rules and regulations of the SEC. For further information about us and our common stock, you should refer to the registration statement and its exhibits and schedules. Statements in this prospectus about the contents of any contract, agreement or other document are not necessarily complete and in each instance that a copy of such contract, agreement or document has been filed as an exhibit to the registration statement, we refer you to the copy that we have filed as an exhibit.</w:t>
      </w:r>
    </w:p>
    <w:p>
      <w:pPr>
        <w:spacing w:after="0" w:line="70" w:lineRule="exact"/>
        <w:rPr>
          <w:sz w:val="20"/>
          <w:szCs w:val="20"/>
          <w:color w:val="auto"/>
        </w:rPr>
      </w:pPr>
    </w:p>
    <w:p>
      <w:pPr>
        <w:ind w:right="20" w:firstLine="360"/>
        <w:spacing w:after="0" w:line="271" w:lineRule="auto"/>
        <w:rPr>
          <w:sz w:val="20"/>
          <w:szCs w:val="20"/>
          <w:color w:val="auto"/>
        </w:rPr>
      </w:pPr>
      <w:r>
        <w:rPr>
          <w:rFonts w:ascii="Arial" w:cs="Arial" w:eastAsia="Arial" w:hAnsi="Arial"/>
          <w:sz w:val="17"/>
          <w:szCs w:val="17"/>
          <w:color w:val="auto"/>
        </w:rPr>
        <w:t xml:space="preserve">We file annual, quarterly and special reports and other information with the SEC. Our filings with the SEC, including the filings that are incorporated by reference to this prospectus, are available to the public on the SEC’s website at </w:t>
      </w:r>
      <w:r>
        <w:rPr>
          <w:rFonts w:ascii="Arial" w:cs="Arial" w:eastAsia="Arial" w:hAnsi="Arial"/>
          <w:sz w:val="17"/>
          <w:szCs w:val="17"/>
          <w:i w:val="1"/>
          <w:iCs w:val="1"/>
          <w:color w:val="auto"/>
        </w:rPr>
        <w:t>www.sec.gov</w:t>
      </w:r>
      <w:r>
        <w:rPr>
          <w:rFonts w:ascii="Arial" w:cs="Arial" w:eastAsia="Arial" w:hAnsi="Arial"/>
          <w:sz w:val="17"/>
          <w:szCs w:val="17"/>
          <w:color w:val="auto"/>
        </w:rPr>
        <w:t xml:space="preserve">. Those filings will also be available to the public on, or accessible through, our corporate website at </w:t>
      </w:r>
      <w:r>
        <w:rPr>
          <w:rFonts w:ascii="Arial" w:cs="Arial" w:eastAsia="Arial" w:hAnsi="Arial"/>
          <w:sz w:val="17"/>
          <w:szCs w:val="17"/>
          <w:i w:val="1"/>
          <w:iCs w:val="1"/>
          <w:color w:val="auto"/>
        </w:rPr>
        <w:t>www.nationalvision.com</w:t>
      </w:r>
      <w:r>
        <w:rPr>
          <w:rFonts w:ascii="Arial" w:cs="Arial" w:eastAsia="Arial" w:hAnsi="Arial"/>
          <w:sz w:val="17"/>
          <w:szCs w:val="17"/>
          <w:color w:val="auto"/>
        </w:rPr>
        <w:t>. The information we file with the SEC or contained on or accessible through our corporate website or any other website that we may maintain is not part of this prospectus or the registration statement of which this prospectus is a part. You may also read and copy, at SEC prescribed rates, any document we file with the SEC, including the registration statement (and its exhibits) of which this prospectus is a part, at the SEC’s Public Reference Room located at 100 F Street, N.E., Washington, D.C. 20549. You can call the SEC at 1-800-SEC-0330 to obtain information on the operation of the Public Reference Room.</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The rules of the SEC allow us to incorporate by reference into this prospectus the information we file with the SEC.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(other than any portions thereof, which under the Securities Exchange Act of 1934, as amended, or the Exchange Act, and applicable SEC rules, are not deemed “filed” under the Exchange Act):</w:t>
      </w:r>
    </w:p>
    <w:p>
      <w:pPr>
        <w:spacing w:after="0" w:line="85" w:lineRule="exact"/>
        <w:rPr>
          <w:sz w:val="20"/>
          <w:szCs w:val="20"/>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30, 2017, filed on March 8, 2018;</w:t>
      </w:r>
    </w:p>
    <w:p>
      <w:pPr>
        <w:spacing w:after="0" w:line="117" w:lineRule="exact"/>
        <w:rPr>
          <w:rFonts w:ascii="Arial" w:cs="Arial" w:eastAsia="Arial" w:hAnsi="Arial"/>
          <w:sz w:val="18"/>
          <w:szCs w:val="18"/>
          <w:color w:val="auto"/>
        </w:rPr>
      </w:pPr>
    </w:p>
    <w:p>
      <w:pPr>
        <w:ind w:left="700" w:hanging="356"/>
        <w:spacing w:after="0"/>
        <w:tabs>
          <w:tab w:leader="none" w:pos="7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Current Report on Form 8-K filed on January 23, 2018; and</w:t>
      </w:r>
    </w:p>
    <w:p>
      <w:pPr>
        <w:spacing w:after="0" w:line="117" w:lineRule="exact"/>
        <w:rPr>
          <w:rFonts w:ascii="Arial" w:cs="Arial" w:eastAsia="Arial" w:hAnsi="Arial"/>
          <w:sz w:val="18"/>
          <w:szCs w:val="18"/>
          <w:color w:val="auto"/>
        </w:rPr>
      </w:pPr>
    </w:p>
    <w:p>
      <w:pPr>
        <w:ind w:left="700" w:right="380" w:hanging="356"/>
        <w:spacing w:after="0" w:line="308" w:lineRule="auto"/>
        <w:tabs>
          <w:tab w:leader="none" w:pos="7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description of our common stock contained in the Registration Statement on Form 8-A filed on October 24, 2017, including any amendments or reports filed for the purposes of updating such description.</w:t>
      </w:r>
    </w:p>
    <w:p>
      <w:pPr>
        <w:spacing w:after="0" w:line="38" w:lineRule="exact"/>
        <w:rPr>
          <w:sz w:val="20"/>
          <w:szCs w:val="20"/>
          <w:color w:val="auto"/>
        </w:rPr>
      </w:pPr>
    </w:p>
    <w:p>
      <w:pPr>
        <w:ind w:right="80" w:firstLine="360"/>
        <w:spacing w:after="0" w:line="264" w:lineRule="auto"/>
        <w:rPr>
          <w:sz w:val="20"/>
          <w:szCs w:val="20"/>
          <w:color w:val="auto"/>
        </w:rPr>
      </w:pPr>
      <w:r>
        <w:rPr>
          <w:rFonts w:ascii="Arial" w:cs="Arial" w:eastAsia="Arial" w:hAnsi="Arial"/>
          <w:sz w:val="18"/>
          <w:szCs w:val="18"/>
          <w:color w:val="auto"/>
        </w:rPr>
        <w:t>If we have incorporated by reference any statement or information in this prospectus and we subsequently modify that statement or information with information contained in this prospectus, the statement or information previously incorporated in this prospectus is also modified or superseded in the same manner.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firstLine="360"/>
        <w:spacing w:after="0" w:line="302" w:lineRule="auto"/>
        <w:rPr>
          <w:sz w:val="20"/>
          <w:szCs w:val="20"/>
          <w:color w:val="auto"/>
        </w:rPr>
      </w:pPr>
      <w:r>
        <w:rPr>
          <w:rFonts w:ascii="Arial" w:cs="Arial" w:eastAsia="Arial" w:hAnsi="Arial"/>
          <w:sz w:val="16"/>
          <w:szCs w:val="16"/>
          <w:color w:val="auto"/>
        </w:rPr>
        <w:t>We will provide without charge to each person, including any beneficial owner, to whom a copy of this prospectus is delivered, upon written or oral request of such person, a copy of any or all of the documents referred to above which have been incorporated by reference in this prospectus. You should direct requests for those documents to National Vision Holdings, Inc., 2435 Commerce Avenue, Bldg. 2200, Duluth, Georgia 30096; Attention: Corporate Secretary (telephone: 770-822-3600).</w:t>
      </w:r>
    </w:p>
    <w:p>
      <w:pPr>
        <w:spacing w:after="0" w:line="46" w:lineRule="exact"/>
        <w:rPr>
          <w:sz w:val="20"/>
          <w:szCs w:val="20"/>
          <w:color w:val="auto"/>
        </w:rPr>
      </w:pPr>
    </w:p>
    <w:p>
      <w:pPr>
        <w:ind w:right="240" w:firstLine="360"/>
        <w:spacing w:after="0" w:line="277" w:lineRule="auto"/>
        <w:rPr>
          <w:sz w:val="20"/>
          <w:szCs w:val="20"/>
          <w:color w:val="auto"/>
        </w:rPr>
      </w:pPr>
      <w:r>
        <w:rPr>
          <w:rFonts w:ascii="Arial" w:cs="Arial" w:eastAsia="Arial" w:hAnsi="Arial"/>
          <w:sz w:val="18"/>
          <w:szCs w:val="18"/>
          <w:color w:val="auto"/>
        </w:rPr>
        <w:t>Exhibits to any documents incorporated by reference in this prospectus will not be sent, however, unless those exhibits have been specifically referenced in this prospectus.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20"/>
          </w:cols>
          <w:pgMar w:left="1180" w:top="279" w:right="119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60718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152400</wp:posOffset>
            </wp:positionV>
            <wp:extent cx="60718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7187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2349500</wp:posOffset>
            </wp:positionH>
            <wp:positionV relativeFrom="paragraph">
              <wp:posOffset>89535</wp:posOffset>
            </wp:positionV>
            <wp:extent cx="1346200" cy="10464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46200" cy="104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National Vision Holdings,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36"/>
          <w:szCs w:val="36"/>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1014095</wp:posOffset>
            </wp:positionV>
            <wp:extent cx="10375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right"/>
        <w:ind w:right="4200"/>
        <w:spacing w:after="0"/>
        <w:rPr>
          <w:sz w:val="20"/>
          <w:szCs w:val="20"/>
          <w:color w:val="auto"/>
        </w:rPr>
      </w:pPr>
      <w:r>
        <w:rPr>
          <w:rFonts w:ascii="Arial" w:cs="Arial" w:eastAsia="Arial" w:hAnsi="Arial"/>
          <w:sz w:val="25"/>
          <w:szCs w:val="25"/>
          <w:b w:val="1"/>
          <w:bCs w:val="1"/>
          <w:color w:val="auto"/>
        </w:rPr>
        <w:t>Prospectus</w:t>
      </w:r>
    </w:p>
    <w:p>
      <w:pPr>
        <w:spacing w:after="0" w:line="226" w:lineRule="exact"/>
        <w:rPr>
          <w:sz w:val="20"/>
          <w:szCs w:val="20"/>
          <w:color w:val="auto"/>
        </w:rPr>
      </w:pPr>
    </w:p>
    <w:p>
      <w:pPr>
        <w:jc w:val="right"/>
        <w:ind w:right="4180"/>
        <w:spacing w:after="0"/>
        <w:rPr>
          <w:sz w:val="20"/>
          <w:szCs w:val="20"/>
          <w:color w:val="auto"/>
        </w:rPr>
      </w:pPr>
      <w:r>
        <w:rPr>
          <w:rFonts w:ascii="Arial" w:cs="Arial" w:eastAsia="Arial" w:hAnsi="Arial"/>
          <w:sz w:val="25"/>
          <w:szCs w:val="25"/>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2512695</wp:posOffset>
            </wp:positionH>
            <wp:positionV relativeFrom="paragraph">
              <wp:posOffset>140970</wp:posOffset>
            </wp:positionV>
            <wp:extent cx="103759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tabs>
          <w:tab w:leader="none" w:pos="2540" w:val="left"/>
          <w:tab w:leader="none" w:pos="4180" w:val="left"/>
          <w:tab w:leader="none" w:pos="7240" w:val="left"/>
          <w:tab w:leader="none" w:pos="9040" w:val="left"/>
        </w:tabs>
        <w:rPr>
          <w:sz w:val="20"/>
          <w:szCs w:val="20"/>
          <w:color w:val="auto"/>
        </w:rPr>
      </w:pPr>
      <w:r>
        <w:rPr>
          <w:rFonts w:ascii="Arial" w:cs="Arial" w:eastAsia="Arial" w:hAnsi="Arial"/>
          <w:sz w:val="22"/>
          <w:szCs w:val="22"/>
          <w:b w:val="1"/>
          <w:bCs w:val="1"/>
          <w:color w:val="auto"/>
        </w:rPr>
        <w:t>BofA Merrill Lynch</w:t>
      </w:r>
      <w:r>
        <w:rPr>
          <w:sz w:val="20"/>
          <w:szCs w:val="20"/>
          <w:color w:val="auto"/>
        </w:rPr>
        <w:tab/>
      </w:r>
      <w:r>
        <w:rPr>
          <w:rFonts w:ascii="Arial" w:cs="Arial" w:eastAsia="Arial" w:hAnsi="Arial"/>
          <w:sz w:val="22"/>
          <w:szCs w:val="22"/>
          <w:b w:val="1"/>
          <w:bCs w:val="1"/>
          <w:color w:val="auto"/>
        </w:rPr>
        <w:t>Citigroup</w:t>
      </w:r>
      <w:r>
        <w:rPr>
          <w:sz w:val="20"/>
          <w:szCs w:val="20"/>
          <w:color w:val="auto"/>
        </w:rPr>
        <w:tab/>
      </w:r>
      <w:r>
        <w:rPr>
          <w:rFonts w:ascii="Arial" w:cs="Arial" w:eastAsia="Arial" w:hAnsi="Arial"/>
          <w:sz w:val="22"/>
          <w:szCs w:val="22"/>
          <w:b w:val="1"/>
          <w:bCs w:val="1"/>
          <w:color w:val="auto"/>
        </w:rPr>
        <w:t>Goldman Sachs Co. LLC</w:t>
      </w:r>
      <w:r>
        <w:rPr>
          <w:sz w:val="20"/>
          <w:szCs w:val="20"/>
          <w:color w:val="auto"/>
        </w:rPr>
        <w:tab/>
      </w:r>
      <w:r>
        <w:rPr>
          <w:rFonts w:ascii="Arial" w:cs="Arial" w:eastAsia="Arial" w:hAnsi="Arial"/>
          <w:sz w:val="22"/>
          <w:szCs w:val="22"/>
          <w:b w:val="1"/>
          <w:bCs w:val="1"/>
          <w:color w:val="auto"/>
        </w:rPr>
        <w:t>Jefferies</w:t>
      </w:r>
      <w:r>
        <w:rPr>
          <w:sz w:val="20"/>
          <w:szCs w:val="20"/>
          <w:color w:val="auto"/>
        </w:rPr>
        <w:tab/>
      </w:r>
      <w:r>
        <w:rPr>
          <w:rFonts w:ascii="Arial" w:cs="Arial" w:eastAsia="Arial" w:hAnsi="Arial"/>
          <w:sz w:val="22"/>
          <w:szCs w:val="22"/>
          <w:b w:val="1"/>
          <w:bCs w:val="1"/>
          <w:color w:val="auto"/>
        </w:rPr>
        <w:t>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156845</wp:posOffset>
            </wp:positionV>
            <wp:extent cx="60718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07187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200025</wp:posOffset>
            </wp:positionV>
            <wp:extent cx="60718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071870" cy="2603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508635</wp:posOffset>
            </wp:positionV>
            <wp:extent cx="6071870" cy="431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00" w:firstLine="360"/>
        <w:spacing w:after="0" w:line="259" w:lineRule="auto"/>
        <w:rPr>
          <w:sz w:val="20"/>
          <w:szCs w:val="20"/>
          <w:color w:val="auto"/>
        </w:rPr>
      </w:pPr>
      <w:r>
        <w:rPr>
          <w:rFonts w:ascii="Arial" w:cs="Arial" w:eastAsia="Arial" w:hAnsi="Arial"/>
          <w:sz w:val="18"/>
          <w:szCs w:val="18"/>
          <w:color w:val="auto"/>
        </w:rPr>
        <w:t>The following table sets forth the expenses payable by the Registrant expected to be incurred in connection with the issuance and distribution of common stock being registered hereby (other than underwriting discounts and commissions). All of such expenses are estimates, except for the Securities and Exchange Commission, or the SEC, registration fee and the Financial Industry Regulatory Authority, or FINRA, filing fee.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48,923</w:t>
            </w:r>
          </w:p>
        </w:tc>
        <w:tc>
          <w:tcPr>
            <w:tcW w:w="100" w:type="dxa"/>
            <w:vAlign w:val="bottom"/>
            <w:shd w:val="clear" w:color="auto" w:fill="CCEEFF"/>
          </w:tcPr>
          <w:p>
            <w:pPr>
              <w:spacing w:after="0"/>
              <w:rPr>
                <w:sz w:val="21"/>
                <w:szCs w:val="21"/>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FINRA filing fee</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58,793</w:t>
            </w:r>
          </w:p>
        </w:tc>
        <w:tc>
          <w:tcPr>
            <w:tcW w:w="100" w:type="dxa"/>
            <w:vAlign w:val="bottom"/>
          </w:tcPr>
          <w:p>
            <w:pPr>
              <w:spacing w:after="0"/>
              <w:rPr>
                <w:sz w:val="20"/>
                <w:szCs w:val="20"/>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Printing fees and expenses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100" w:type="dxa"/>
            <w:vAlign w:val="bottom"/>
            <w:shd w:val="clear" w:color="auto" w:fill="CCEEFF"/>
          </w:tcPr>
          <w:p>
            <w:pPr>
              <w:spacing w:after="0"/>
              <w:rPr>
                <w:sz w:val="22"/>
                <w:szCs w:val="22"/>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400,000</w:t>
            </w:r>
          </w:p>
        </w:tc>
        <w:tc>
          <w:tcPr>
            <w:tcW w:w="100" w:type="dxa"/>
            <w:vAlign w:val="bottom"/>
          </w:tcPr>
          <w:p>
            <w:pPr>
              <w:spacing w:after="0"/>
              <w:rPr>
                <w:sz w:val="20"/>
                <w:szCs w:val="20"/>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2"/>
                <w:szCs w:val="22"/>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Registrar and transfer agent fees</w:t>
            </w: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20"/>
                <w:szCs w:val="20"/>
                <w:color w:val="auto"/>
              </w:rPr>
            </w:pPr>
          </w:p>
        </w:tc>
      </w:tr>
      <w:tr>
        <w:trPr>
          <w:trHeight w:val="25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6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250,000</w:t>
            </w:r>
          </w:p>
        </w:tc>
        <w:tc>
          <w:tcPr>
            <w:tcW w:w="100" w:type="dxa"/>
            <w:vAlign w:val="bottom"/>
            <w:shd w:val="clear" w:color="auto" w:fill="CCEEFF"/>
          </w:tcPr>
          <w:p>
            <w:pPr>
              <w:spacing w:after="0"/>
              <w:rPr>
                <w:sz w:val="22"/>
                <w:szCs w:val="22"/>
                <w:color w:val="auto"/>
              </w:rPr>
            </w:pPr>
          </w:p>
        </w:tc>
      </w:tr>
      <w:tr>
        <w:trPr>
          <w:trHeight w:val="237"/>
        </w:trPr>
        <w:tc>
          <w:tcPr>
            <w:tcW w:w="8680" w:type="dxa"/>
            <w:vAlign w:val="bottom"/>
          </w:tcPr>
          <w:p>
            <w:pPr>
              <w:spacing w:after="0"/>
              <w:rPr>
                <w:sz w:val="20"/>
                <w:szCs w:val="20"/>
                <w:color w:val="auto"/>
              </w:rPr>
            </w:pPr>
            <w:r>
              <w:rPr>
                <w:rFonts w:ascii="Arial" w:cs="Arial" w:eastAsia="Arial" w:hAnsi="Arial"/>
                <w:sz w:val="18"/>
                <w:szCs w:val="18"/>
                <w:color w:val="auto"/>
              </w:rPr>
              <w:t>Miscellaneous expenses</w:t>
            </w: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0"/>
                <w:szCs w:val="20"/>
                <w:color w:val="auto"/>
              </w:rPr>
            </w:pPr>
          </w:p>
        </w:tc>
      </w:tr>
      <w:tr>
        <w:trPr>
          <w:trHeight w:val="27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855,716</w:t>
            </w:r>
          </w:p>
        </w:tc>
        <w:tc>
          <w:tcPr>
            <w:tcW w:w="100" w:type="dxa"/>
            <w:vAlign w:val="bottom"/>
            <w:tcBorders>
              <w:bottom w:val="single" w:sz="8" w:color="CCEEFF"/>
            </w:tcBorders>
            <w:shd w:val="clear" w:color="auto" w:fill="CCEEFF"/>
          </w:tcPr>
          <w:p>
            <w:pPr>
              <w:spacing w:after="0"/>
              <w:rPr>
                <w:sz w:val="24"/>
                <w:szCs w:val="24"/>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40" w:firstLine="360"/>
        <w:spacing w:after="0" w:line="255" w:lineRule="auto"/>
        <w:rPr>
          <w:sz w:val="20"/>
          <w:szCs w:val="20"/>
          <w:color w:val="auto"/>
        </w:rPr>
      </w:pPr>
      <w:r>
        <w:rPr>
          <w:rFonts w:ascii="Arial" w:cs="Arial" w:eastAsia="Arial" w:hAnsi="Arial"/>
          <w:sz w:val="18"/>
          <w:szCs w:val="18"/>
          <w:color w:val="auto"/>
        </w:rPr>
        <w:t>Section 102(b)(7) of the Delaware General Corporation Law, or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Our amended and restated certificate of incorporation provides for this limitation of liability.</w:t>
      </w:r>
    </w:p>
    <w:p>
      <w:pPr>
        <w:spacing w:after="0" w:line="85" w:lineRule="exact"/>
        <w:rPr>
          <w:sz w:val="20"/>
          <w:szCs w:val="20"/>
          <w:color w:val="auto"/>
        </w:rPr>
      </w:pPr>
    </w:p>
    <w:p>
      <w:pPr>
        <w:ind w:right="40" w:firstLine="360"/>
        <w:spacing w:after="0" w:line="285" w:lineRule="auto"/>
        <w:rPr>
          <w:sz w:val="20"/>
          <w:szCs w:val="20"/>
          <w:color w:val="auto"/>
        </w:rPr>
      </w:pPr>
      <w:r>
        <w:rPr>
          <w:rFonts w:ascii="Arial" w:cs="Arial" w:eastAsia="Arial" w:hAnsi="Arial"/>
          <w:sz w:val="16"/>
          <w:szCs w:val="16"/>
          <w:color w:val="auto"/>
        </w:rPr>
        <w:t>Section 145 of the DGCL, or Section 145, provides, among other things,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or she reasonably believed to be in or not opposed to the corporation’s best interests and, with respect to any criminal action or proceeding, had no reasonable cause to believe that his or her conduct was unlawful. A Delaware corporation may indemnify any persons who were or are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or she reasonably believed to be in or not opposed to the corporation’s best interests, provided further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or her against the expenses (including attorneys’ fees) which such officer or director has actually and reasonably incurred.</w:t>
      </w:r>
    </w:p>
    <w:p>
      <w:pPr>
        <w:spacing w:after="0" w:line="67" w:lineRule="exact"/>
        <w:rPr>
          <w:sz w:val="20"/>
          <w:szCs w:val="20"/>
          <w:color w:val="auto"/>
        </w:rPr>
      </w:pPr>
    </w:p>
    <w:p>
      <w:pPr>
        <w:ind w:right="380" w:firstLine="360"/>
        <w:spacing w:after="0" w:line="276" w:lineRule="auto"/>
        <w:rPr>
          <w:sz w:val="20"/>
          <w:szCs w:val="20"/>
          <w:color w:val="auto"/>
        </w:rPr>
      </w:pPr>
      <w:r>
        <w:rPr>
          <w:rFonts w:ascii="Arial" w:cs="Arial" w:eastAsia="Arial" w:hAnsi="Arial"/>
          <w:sz w:val="17"/>
          <w:szCs w:val="17"/>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such person and incurred by such person in any such capacity, or arising out of his or her status as such, whether or not the corporation would otherwise have the power to indemnify such person under Section 145.</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40" w:firstLine="360"/>
        <w:spacing w:after="0" w:line="257" w:lineRule="auto"/>
        <w:rPr>
          <w:sz w:val="20"/>
          <w:szCs w:val="20"/>
          <w:color w:val="auto"/>
        </w:rPr>
      </w:pPr>
      <w:r>
        <w:rPr>
          <w:rFonts w:ascii="Arial" w:cs="Arial" w:eastAsia="Arial" w:hAnsi="Arial"/>
          <w:sz w:val="18"/>
          <w:szCs w:val="18"/>
          <w:color w:val="auto"/>
        </w:rPr>
        <w:t>Our amended and restated bylaws provides that we must indemnify, and advance expenses to, our directors and officers to the full extent authorized by the DGCL. We have also entered into indemnification agreements with our directors, which agreements require us to indemnify these individuals to the fullest extent permitted under Delaware law against liabilities that may arise by reason of their service to us, and to advance expenses incurred as a result of any proceeding against them as to which they could be indemnified.</w:t>
      </w:r>
    </w:p>
    <w:p>
      <w:pPr>
        <w:spacing w:after="0" w:line="80" w:lineRule="exact"/>
        <w:rPr>
          <w:sz w:val="20"/>
          <w:szCs w:val="20"/>
          <w:color w:val="auto"/>
        </w:rPr>
      </w:pPr>
    </w:p>
    <w:p>
      <w:pPr>
        <w:ind w:firstLine="360"/>
        <w:spacing w:after="0" w:line="255" w:lineRule="auto"/>
        <w:rPr>
          <w:sz w:val="20"/>
          <w:szCs w:val="20"/>
          <w:color w:val="auto"/>
        </w:rPr>
      </w:pPr>
      <w:r>
        <w:rPr>
          <w:rFonts w:ascii="Arial" w:cs="Arial" w:eastAsia="Arial" w:hAnsi="Arial"/>
          <w:sz w:val="18"/>
          <w:szCs w:val="18"/>
          <w:color w:val="auto"/>
        </w:rPr>
        <w:t>The indemnification rights set forth above shall not be exclusive of any other right which an indemnified person may have or hereafter acquire under any statute, provision of our amended and restated certificate of incorporation, our amended and restated bylaws, agreement, vote of stockholders or disinterested directors or otherwise. Notwithstanding the foregoing, we shall not be obligated to indemnify a director or officer in respect of a proceeding (or part thereof) instituted by such director or officer, unless such proceeding (or part thereof) has been authorized by our Board of Directors pursuant to the applicable procedure outlined in the amended and restated bylaws.</w:t>
      </w:r>
    </w:p>
    <w:p>
      <w:pPr>
        <w:spacing w:after="0" w:line="85" w:lineRule="exact"/>
        <w:rPr>
          <w:sz w:val="20"/>
          <w:szCs w:val="20"/>
          <w:color w:val="auto"/>
        </w:rPr>
      </w:pPr>
    </w:p>
    <w:p>
      <w:pPr>
        <w:ind w:right="40" w:firstLine="360"/>
        <w:spacing w:after="0" w:line="297" w:lineRule="auto"/>
        <w:rPr>
          <w:sz w:val="20"/>
          <w:szCs w:val="20"/>
          <w:color w:val="auto"/>
        </w:rPr>
      </w:pPr>
      <w:r>
        <w:rPr>
          <w:rFonts w:ascii="Arial" w:cs="Arial" w:eastAsia="Arial" w:hAnsi="Arial"/>
          <w:sz w:val="16"/>
          <w:szCs w:val="16"/>
          <w:color w:val="auto"/>
        </w:rPr>
        <w:t>Section 174 of the DGCL provides, among other things, that a director, who willfully or negligently approves of an unlawful payment of dividends or an unlawful stock purchase or redemption, may be held jointly and severally liable for such actions. A director who was either absent when the unlawful actions were approved or dissented at the time may avoid liability by causing his or her dissent to such actions to be entered in the books containing the minutes of the meetings of the board of directors at the time such action occurred or immediately after such absent director receives notice of the unlawful acts.</w:t>
      </w:r>
    </w:p>
    <w:p>
      <w:pPr>
        <w:spacing w:after="0" w:line="50" w:lineRule="exact"/>
        <w:rPr>
          <w:sz w:val="20"/>
          <w:szCs w:val="20"/>
          <w:color w:val="auto"/>
        </w:rPr>
      </w:pPr>
    </w:p>
    <w:p>
      <w:pPr>
        <w:ind w:right="100" w:firstLine="360"/>
        <w:spacing w:after="0" w:line="264" w:lineRule="auto"/>
        <w:rPr>
          <w:sz w:val="20"/>
          <w:szCs w:val="20"/>
          <w:color w:val="auto"/>
        </w:rPr>
      </w:pPr>
      <w:r>
        <w:rPr>
          <w:rFonts w:ascii="Arial" w:cs="Arial" w:eastAsia="Arial" w:hAnsi="Arial"/>
          <w:sz w:val="18"/>
          <w:szCs w:val="18"/>
          <w:color w:val="auto"/>
        </w:rPr>
        <w:t>We maintain standard policies of insurance that provide coverage (1) to our directors and officers against loss rising from claims made by reason of breach of duty or other wrongful act and (2) to us with respect to indemnification payments that we may make to such directors and officers.</w:t>
      </w:r>
    </w:p>
    <w:p>
      <w:pPr>
        <w:spacing w:after="0" w:line="73" w:lineRule="exact"/>
        <w:rPr>
          <w:sz w:val="20"/>
          <w:szCs w:val="20"/>
          <w:color w:val="auto"/>
        </w:rPr>
      </w:pPr>
    </w:p>
    <w:p>
      <w:pPr>
        <w:ind w:firstLine="360"/>
        <w:spacing w:after="0" w:line="264" w:lineRule="auto"/>
        <w:rPr>
          <w:sz w:val="20"/>
          <w:szCs w:val="20"/>
          <w:color w:val="auto"/>
        </w:rPr>
      </w:pPr>
      <w:r>
        <w:rPr>
          <w:rFonts w:ascii="Arial" w:cs="Arial" w:eastAsia="Arial" w:hAnsi="Arial"/>
          <w:sz w:val="18"/>
          <w:szCs w:val="18"/>
          <w:color w:val="auto"/>
        </w:rPr>
        <w:t>The underwriting agreement provides for indemnification by the underwriters of us and our officers and directors, and by us of the underwriters, for certain liabilities arising under the Securities Act of 1933, as amended, or the Securities Act, or otherwise in connection with this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right="420" w:firstLine="360"/>
        <w:spacing w:after="0" w:line="277" w:lineRule="auto"/>
        <w:rPr>
          <w:sz w:val="20"/>
          <w:szCs w:val="20"/>
          <w:color w:val="auto"/>
        </w:rPr>
      </w:pPr>
      <w:r>
        <w:rPr>
          <w:rFonts w:ascii="Arial" w:cs="Arial" w:eastAsia="Arial" w:hAnsi="Arial"/>
          <w:sz w:val="18"/>
          <w:szCs w:val="18"/>
          <w:color w:val="auto"/>
        </w:rPr>
        <w:t>Within the past three years, the Registrant has granted or issued the following securities of the Registrant which were not registered under the Securities Act.</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following reflects the 1.96627-for-one reverse split of the Registrant’s common stock, effected on October 24, 2017.</w:t>
      </w:r>
    </w:p>
    <w:p>
      <w:pPr>
        <w:spacing w:after="0" w:line="129" w:lineRule="exact"/>
        <w:rPr>
          <w:sz w:val="20"/>
          <w:szCs w:val="20"/>
          <w:color w:val="auto"/>
        </w:rPr>
      </w:pPr>
    </w:p>
    <w:p>
      <w:pPr>
        <w:ind w:left="700" w:hanging="356"/>
        <w:spacing w:after="0"/>
        <w:tabs>
          <w:tab w:leader="none" w:pos="7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Issuances of Capital Stock</w:t>
      </w:r>
    </w:p>
    <w:p>
      <w:pPr>
        <w:spacing w:after="0" w:line="117" w:lineRule="exact"/>
        <w:rPr>
          <w:sz w:val="20"/>
          <w:szCs w:val="20"/>
          <w:color w:val="auto"/>
        </w:rPr>
      </w:pPr>
    </w:p>
    <w:p>
      <w:pPr>
        <w:ind w:right="480" w:firstLine="360"/>
        <w:spacing w:after="0" w:line="277" w:lineRule="auto"/>
        <w:rPr>
          <w:sz w:val="20"/>
          <w:szCs w:val="20"/>
          <w:color w:val="auto"/>
        </w:rPr>
      </w:pPr>
      <w:r>
        <w:rPr>
          <w:rFonts w:ascii="Arial" w:cs="Arial" w:eastAsia="Arial" w:hAnsi="Arial"/>
          <w:sz w:val="18"/>
          <w:szCs w:val="18"/>
          <w:color w:val="auto"/>
        </w:rPr>
        <w:t>Certain of our employees were given opportunities to purchase our common stock in connection with their hiring and/or promotion as follows:</w:t>
      </w:r>
    </w:p>
    <w:p>
      <w:pPr>
        <w:spacing w:after="0" w:line="6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11, 2015, we issued 10,171 shares of our common stock at a price per share of $9.84.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10, 2015, we issued 2,430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14, 2017, we issued 63,572 shares of our common stock at a price per share of $15.73.</w:t>
      </w:r>
    </w:p>
    <w:p>
      <w:pPr>
        <w:spacing w:after="0" w:line="117" w:lineRule="exact"/>
        <w:rPr>
          <w:sz w:val="20"/>
          <w:szCs w:val="20"/>
          <w:color w:val="auto"/>
        </w:rPr>
      </w:pPr>
    </w:p>
    <w:p>
      <w:pPr>
        <w:ind w:firstLine="360"/>
        <w:spacing w:after="0" w:line="342" w:lineRule="auto"/>
        <w:rPr>
          <w:sz w:val="20"/>
          <w:szCs w:val="20"/>
          <w:color w:val="auto"/>
        </w:rPr>
      </w:pPr>
      <w:r>
        <w:rPr>
          <w:rFonts w:ascii="Arial" w:cs="Arial" w:eastAsia="Arial" w:hAnsi="Arial"/>
          <w:sz w:val="16"/>
          <w:szCs w:val="16"/>
          <w:color w:val="auto"/>
        </w:rPr>
        <w:t>In addition, we issued shares of common stock to certain employees related to the exercise of (i) rollover options and (ii) stock options that had previously been awarded and vested and in connection with services provided by such employees as follows:</w:t>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May 22, 2015, we issued 33,483 shares of our common stock at a price per share of $0.39 and $1.03.</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June 12, 2015, we issued 122,058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August 24, 2015, we issued 13,952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4, 2015, we issued 5,085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8, 2015, we issued 12,205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9, 2015, we issued 36,617 shares of our common stock at a price per share of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11, 2015, we issued 21,970 shares of our common stock at a price per share of $8.22.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480"/>
          </w:cols>
          <w:pgMar w:left="1180" w:top="279" w:right="1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21, 2016, we issued 122,058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September 23, 2016, we issued 5,133 shares of our common stock at a price per share of $7.24 and $8.22.</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1, 2017, we issued 16,274 shares of our common stock at a price per share of $9.24.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February 8, 2017, we issued 36,617 shares of our common stock at a price per share of $7.24.</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20, 2017, we issued 122,058 shares of our common stock at a price per share of $4.27.</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March 22, 2017, we issued 36,617 shares of our common stock at a price per share of $4.27.</w:t>
      </w:r>
    </w:p>
    <w:p>
      <w:pPr>
        <w:spacing w:after="0" w:line="117"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Also, on July 24, 2017, we issued 6,357 restricted shares of common stock, based on the fair market value of $15.73 per share as of the award date, to a non-employee director.</w:t>
      </w:r>
    </w:p>
    <w:p>
      <w:pPr>
        <w:spacing w:after="0" w:line="62" w:lineRule="exact"/>
        <w:rPr>
          <w:sz w:val="20"/>
          <w:szCs w:val="20"/>
          <w:color w:val="auto"/>
        </w:rPr>
      </w:pPr>
    </w:p>
    <w:p>
      <w:pPr>
        <w:ind w:right="20" w:firstLine="360"/>
        <w:spacing w:after="0" w:line="297" w:lineRule="auto"/>
        <w:rPr>
          <w:sz w:val="20"/>
          <w:szCs w:val="20"/>
          <w:color w:val="auto"/>
        </w:rPr>
      </w:pPr>
      <w:r>
        <w:rPr>
          <w:rFonts w:ascii="Arial" w:cs="Arial" w:eastAsia="Arial" w:hAnsi="Arial"/>
          <w:sz w:val="16"/>
          <w:szCs w:val="16"/>
          <w:color w:val="auto"/>
        </w:rPr>
        <w:t>No underwriters were involved in the foregoing issuance of securities. The issuances of shares of common stock described in this Item 15(a) were issued pursuant to written compensatory plans or arrangements with our employees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700" w:hanging="356"/>
        <w:spacing w:after="0"/>
        <w:tabs>
          <w:tab w:leader="none" w:pos="7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Stock Option Grants</w:t>
      </w:r>
    </w:p>
    <w:p>
      <w:pPr>
        <w:spacing w:after="0" w:line="117"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We granted stock options to certain employees in connection with services provided by such employees or the hiring/promotion of such employees as follows:</w:t>
      </w:r>
    </w:p>
    <w:p>
      <w:pPr>
        <w:spacing w:after="0" w:line="62" w:lineRule="exact"/>
        <w:rPr>
          <w:sz w:val="20"/>
          <w:szCs w:val="20"/>
          <w:color w:val="auto"/>
        </w:rPr>
      </w:pPr>
    </w:p>
    <w:p>
      <w:pPr>
        <w:ind w:right="440" w:firstLine="360"/>
        <w:spacing w:after="0" w:line="277" w:lineRule="auto"/>
        <w:rPr>
          <w:sz w:val="20"/>
          <w:szCs w:val="20"/>
          <w:color w:val="auto"/>
        </w:rPr>
      </w:pPr>
      <w:r>
        <w:rPr>
          <w:rFonts w:ascii="Arial" w:cs="Arial" w:eastAsia="Arial" w:hAnsi="Arial"/>
          <w:sz w:val="18"/>
          <w:szCs w:val="18"/>
          <w:color w:val="auto"/>
        </w:rPr>
        <w:t>On February 11, 2015, we granted stock options to purchase an aggregate of 118,426 shares of our common stock with an exercise price of $9.84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September 2, 2015, we granted stock options to purchase an aggregate of 356,005 shares of our common stock with an exercise price of $8.22 per share.</w:t>
      </w:r>
    </w:p>
    <w:p>
      <w:pPr>
        <w:spacing w:after="0" w:line="62" w:lineRule="exact"/>
        <w:rPr>
          <w:sz w:val="20"/>
          <w:szCs w:val="20"/>
          <w:color w:val="auto"/>
        </w:rPr>
      </w:pPr>
    </w:p>
    <w:p>
      <w:pPr>
        <w:ind w:right="400" w:firstLine="360"/>
        <w:spacing w:after="0" w:line="277" w:lineRule="auto"/>
        <w:rPr>
          <w:sz w:val="20"/>
          <w:szCs w:val="20"/>
          <w:color w:val="auto"/>
        </w:rPr>
      </w:pPr>
      <w:r>
        <w:rPr>
          <w:rFonts w:ascii="Arial" w:cs="Arial" w:eastAsia="Arial" w:hAnsi="Arial"/>
          <w:sz w:val="18"/>
          <w:szCs w:val="18"/>
          <w:color w:val="auto"/>
        </w:rPr>
        <w:t>On November 9, 2015, we granted stock options to purchase an aggregate of 254,288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8, 2015, we granted stock options to purchase an aggregate of 76,286 shares of our common stock with an exercise price of $9.24 per share.</w:t>
      </w:r>
    </w:p>
    <w:p>
      <w:pPr>
        <w:spacing w:after="0" w:line="62" w:lineRule="exact"/>
        <w:rPr>
          <w:sz w:val="20"/>
          <w:szCs w:val="20"/>
          <w:color w:val="auto"/>
        </w:rPr>
      </w:pPr>
    </w:p>
    <w:p>
      <w:pPr>
        <w:ind w:right="600" w:firstLine="360"/>
        <w:spacing w:after="0" w:line="277" w:lineRule="auto"/>
        <w:rPr>
          <w:sz w:val="20"/>
          <w:szCs w:val="20"/>
          <w:color w:val="auto"/>
        </w:rPr>
      </w:pPr>
      <w:r>
        <w:rPr>
          <w:rFonts w:ascii="Arial" w:cs="Arial" w:eastAsia="Arial" w:hAnsi="Arial"/>
          <w:sz w:val="18"/>
          <w:szCs w:val="18"/>
          <w:color w:val="auto"/>
        </w:rPr>
        <w:t>On March 16, 2016, we granted stock options to purchase an aggregate of 228,859 shares of our common stock with an exercise price of $9.24 per share.</w:t>
      </w:r>
    </w:p>
    <w:p>
      <w:pPr>
        <w:spacing w:after="0" w:line="62" w:lineRule="exact"/>
        <w:rPr>
          <w:sz w:val="20"/>
          <w:szCs w:val="20"/>
          <w:color w:val="auto"/>
        </w:rPr>
      </w:pPr>
    </w:p>
    <w:p>
      <w:pPr>
        <w:ind w:right="520" w:firstLine="360"/>
        <w:spacing w:after="0" w:line="277" w:lineRule="auto"/>
        <w:rPr>
          <w:sz w:val="20"/>
          <w:szCs w:val="20"/>
          <w:color w:val="auto"/>
        </w:rPr>
      </w:pPr>
      <w:r>
        <w:rPr>
          <w:rFonts w:ascii="Arial" w:cs="Arial" w:eastAsia="Arial" w:hAnsi="Arial"/>
          <w:sz w:val="18"/>
          <w:szCs w:val="18"/>
          <w:color w:val="auto"/>
        </w:rPr>
        <w:t>On December 13, 2016, we granted stock options to purchase an aggregate 534,006 shares of our common stock with an exercise price of $14.89 per share.</w:t>
      </w:r>
    </w:p>
    <w:p>
      <w:pPr>
        <w:spacing w:after="0" w:line="62" w:lineRule="exact"/>
        <w:rPr>
          <w:sz w:val="20"/>
          <w:szCs w:val="20"/>
          <w:color w:val="auto"/>
        </w:rPr>
      </w:pPr>
    </w:p>
    <w:p>
      <w:pPr>
        <w:ind w:right="60" w:firstLine="360"/>
        <w:spacing w:after="0" w:line="277" w:lineRule="auto"/>
        <w:rPr>
          <w:sz w:val="20"/>
          <w:szCs w:val="20"/>
          <w:color w:val="auto"/>
        </w:rPr>
      </w:pPr>
      <w:r>
        <w:rPr>
          <w:rFonts w:ascii="Arial" w:cs="Arial" w:eastAsia="Arial" w:hAnsi="Arial"/>
          <w:sz w:val="18"/>
          <w:szCs w:val="18"/>
          <w:color w:val="auto"/>
        </w:rPr>
        <w:t>On March 20, 2017, we granted stock options to purchase an aggregate of 63,572 shares of our common stock with an exercise price of $11.92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April 13, 2017, we granted stock options to purchase an aggregate of 50,857 shares of our common stock with an exercise price of $15.06 per share.</w:t>
      </w:r>
    </w:p>
    <w:p>
      <w:pPr>
        <w:spacing w:after="0" w:line="62" w:lineRule="exact"/>
        <w:rPr>
          <w:sz w:val="20"/>
          <w:szCs w:val="20"/>
          <w:color w:val="auto"/>
        </w:rPr>
      </w:pPr>
    </w:p>
    <w:p>
      <w:pPr>
        <w:ind w:right="100" w:firstLine="360"/>
        <w:spacing w:after="0" w:line="277" w:lineRule="auto"/>
        <w:rPr>
          <w:sz w:val="20"/>
          <w:szCs w:val="20"/>
          <w:color w:val="auto"/>
        </w:rPr>
      </w:pPr>
      <w:r>
        <w:rPr>
          <w:rFonts w:ascii="Arial" w:cs="Arial" w:eastAsia="Arial" w:hAnsi="Arial"/>
          <w:sz w:val="18"/>
          <w:szCs w:val="18"/>
          <w:color w:val="auto"/>
        </w:rPr>
        <w:t>On May 16, 2017, we granted stock options to purchase an aggregate of 101,715 shares of our common stock with an exercise price of $15.06 per share.</w:t>
      </w:r>
    </w:p>
    <w:p>
      <w:pPr>
        <w:spacing w:after="0" w:line="62" w:lineRule="exact"/>
        <w:rPr>
          <w:sz w:val="20"/>
          <w:szCs w:val="20"/>
          <w:color w:val="auto"/>
        </w:rPr>
      </w:pPr>
    </w:p>
    <w:p>
      <w:pPr>
        <w:ind w:right="200" w:firstLine="360"/>
        <w:spacing w:after="0" w:line="277" w:lineRule="auto"/>
        <w:rPr>
          <w:sz w:val="20"/>
          <w:szCs w:val="20"/>
          <w:color w:val="auto"/>
        </w:rPr>
      </w:pPr>
      <w:r>
        <w:rPr>
          <w:rFonts w:ascii="Arial" w:cs="Arial" w:eastAsia="Arial" w:hAnsi="Arial"/>
          <w:sz w:val="18"/>
          <w:szCs w:val="18"/>
          <w:color w:val="auto"/>
        </w:rPr>
        <w:t>On June 5, 2017, we granted stock options to purchase an aggregate of 228,859 shares of our common stock with an exercise price of $15.06 per share.</w:t>
      </w:r>
    </w:p>
    <w:p>
      <w:pPr>
        <w:spacing w:after="0" w:line="62" w:lineRule="exact"/>
        <w:rPr>
          <w:sz w:val="20"/>
          <w:szCs w:val="20"/>
          <w:color w:val="auto"/>
        </w:rPr>
      </w:pPr>
    </w:p>
    <w:p>
      <w:pPr>
        <w:ind w:right="140" w:firstLine="360"/>
        <w:spacing w:after="0" w:line="277" w:lineRule="auto"/>
        <w:rPr>
          <w:sz w:val="20"/>
          <w:szCs w:val="20"/>
          <w:color w:val="auto"/>
        </w:rPr>
      </w:pPr>
      <w:r>
        <w:rPr>
          <w:rFonts w:ascii="Arial" w:cs="Arial" w:eastAsia="Arial" w:hAnsi="Arial"/>
          <w:sz w:val="18"/>
          <w:szCs w:val="18"/>
          <w:color w:val="auto"/>
        </w:rPr>
        <w:t>On July 24, 2017, we granted stock options to purchase an aggregate of 101,715 shares of our common stock with an exercise price of $15.73 per share.</w:t>
      </w:r>
    </w:p>
    <w:p>
      <w:pPr>
        <w:spacing w:after="0" w:line="62" w:lineRule="exact"/>
        <w:rPr>
          <w:sz w:val="20"/>
          <w:szCs w:val="20"/>
          <w:color w:val="auto"/>
        </w:rPr>
      </w:pPr>
    </w:p>
    <w:p>
      <w:pPr>
        <w:ind w:right="560" w:firstLine="360"/>
        <w:spacing w:after="0" w:line="277" w:lineRule="auto"/>
        <w:rPr>
          <w:sz w:val="20"/>
          <w:szCs w:val="20"/>
          <w:color w:val="auto"/>
        </w:rPr>
      </w:pPr>
      <w:r>
        <w:rPr>
          <w:rFonts w:ascii="Arial" w:cs="Arial" w:eastAsia="Arial" w:hAnsi="Arial"/>
          <w:sz w:val="18"/>
          <w:szCs w:val="18"/>
          <w:color w:val="auto"/>
        </w:rPr>
        <w:t>On August 14, 2017, we granted stock options to purchase an aggregate of 642,034 shares of our common stock with an exercise price of $15.73 per share.</w:t>
      </w:r>
    </w:p>
    <w:p>
      <w:pPr>
        <w:spacing w:after="0" w:line="62"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On August 24, 2017, we granted stock options to purchase an aggregate of 76,286 shares of our common stock with an exercise price of $15.73 per share.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31" w:lineRule="exact"/>
        <w:rPr>
          <w:sz w:val="20"/>
          <w:szCs w:val="20"/>
          <w:color w:val="auto"/>
        </w:rPr>
      </w:pPr>
    </w:p>
    <w:p>
      <w:pPr>
        <w:ind w:right="220" w:firstLine="360"/>
        <w:spacing w:after="0" w:line="264" w:lineRule="auto"/>
        <w:rPr>
          <w:sz w:val="20"/>
          <w:szCs w:val="20"/>
          <w:color w:val="auto"/>
        </w:rPr>
      </w:pPr>
      <w:r>
        <w:rPr>
          <w:rFonts w:ascii="Arial" w:cs="Arial" w:eastAsia="Arial" w:hAnsi="Arial"/>
          <w:sz w:val="18"/>
          <w:szCs w:val="18"/>
          <w:color w:val="auto"/>
        </w:rPr>
        <w:t>As of December 30, 2017, options (excluding rollover options) to purchase 565,860 shares of common stock had been exercised for aggregate consideration in the amount of $3.9 million and options to purchase 823,093 shares of common stock had been canceled or repurchased.</w:t>
      </w:r>
    </w:p>
    <w:p>
      <w:pPr>
        <w:spacing w:after="0" w:line="73"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The issuances of stock options and the shares of common stock issuable upon the exercise of the options described in this Item 15(b) were issued pursuant to written compensatory plans or arrangements with our employees, and directors, in reliance on the exemption from the registration requirements of the Securities Act provided by Rule 701 promulgated under the Securities Act or the exemption set forth in Section 4(2) under the Securities Act and Regulation D promulgated thereunder relative to transactions by an issuer not involving any public offering, to the extent an exemption from such registration was required.</w:t>
      </w:r>
    </w:p>
    <w:p>
      <w:pPr>
        <w:spacing w:after="0" w:line="5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All of the foregoing securities are deemed restricted securities for purposes of the Securities Act.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700" w:right="60" w:hanging="356"/>
        <w:spacing w:after="0" w:line="277" w:lineRule="auto"/>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See the Exhibit Index immediately preceding the signature pages hereto, which is incorporated by reference as if</w:t>
      </w:r>
      <w:r>
        <w:rPr>
          <w:rFonts w:ascii="Arial" w:cs="Arial" w:eastAsia="Arial" w:hAnsi="Arial"/>
          <w:sz w:val="18"/>
          <w:szCs w:val="18"/>
          <w:i w:val="1"/>
          <w:iCs w:val="1"/>
          <w:color w:val="auto"/>
        </w:rPr>
        <w:t xml:space="preserve"> </w:t>
      </w:r>
      <w:r>
        <w:rPr>
          <w:rFonts w:ascii="Arial" w:cs="Arial" w:eastAsia="Arial" w:hAnsi="Arial"/>
          <w:sz w:val="18"/>
          <w:szCs w:val="18"/>
          <w:color w:val="auto"/>
        </w:rPr>
        <w:t>fully set forth herein.</w:t>
      </w:r>
    </w:p>
    <w:p>
      <w:pPr>
        <w:spacing w:after="0" w:line="62" w:lineRule="exact"/>
        <w:rPr>
          <w:rFonts w:ascii="Arial" w:cs="Arial" w:eastAsia="Arial" w:hAnsi="Arial"/>
          <w:sz w:val="18"/>
          <w:szCs w:val="18"/>
          <w:color w:val="auto"/>
        </w:rPr>
      </w:pPr>
    </w:p>
    <w:p>
      <w:pPr>
        <w:ind w:left="700" w:hanging="356"/>
        <w:spacing w:after="0"/>
        <w:tabs>
          <w:tab w:leader="none" w:pos="7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8"/>
          <w:szCs w:val="18"/>
          <w:color w:val="auto"/>
        </w:rPr>
        <w:t>Schedule I − Condensed Financial Information of National Vision Holdings, Inc. (incorporated by reference to Schedule I as filed in Part II. Item 8 of the Registrant’s Annual Report for the fiscal year ended December 30,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700" w:right="20" w:hanging="356"/>
        <w:spacing w:after="0" w:line="270" w:lineRule="auto"/>
        <w:tabs>
          <w:tab w:leader="none" w:pos="7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69" w:lineRule="exact"/>
        <w:rPr>
          <w:rFonts w:ascii="Arial" w:cs="Arial" w:eastAsia="Arial" w:hAnsi="Arial"/>
          <w:sz w:val="17"/>
          <w:szCs w:val="17"/>
          <w:color w:val="auto"/>
        </w:rPr>
      </w:pPr>
    </w:p>
    <w:p>
      <w:pPr>
        <w:ind w:left="700" w:hanging="356"/>
        <w:spacing w:after="0"/>
        <w:tabs>
          <w:tab w:leader="none" w:pos="7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 hereby undertakes that:</w:t>
      </w:r>
    </w:p>
    <w:p>
      <w:pPr>
        <w:spacing w:after="0" w:line="117" w:lineRule="exact"/>
        <w:rPr>
          <w:rFonts w:ascii="Arial" w:cs="Arial" w:eastAsia="Arial" w:hAnsi="Arial"/>
          <w:sz w:val="18"/>
          <w:szCs w:val="18"/>
          <w:color w:val="auto"/>
        </w:rPr>
      </w:pPr>
    </w:p>
    <w:p>
      <w:pPr>
        <w:ind w:left="1060" w:right="540" w:hanging="351"/>
        <w:spacing w:after="0" w:line="279" w:lineRule="auto"/>
        <w:tabs>
          <w:tab w:leader="none" w:pos="10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3" w:lineRule="exact"/>
        <w:rPr>
          <w:rFonts w:ascii="Arial" w:cs="Arial" w:eastAsia="Arial" w:hAnsi="Arial"/>
          <w:sz w:val="17"/>
          <w:szCs w:val="17"/>
          <w:color w:val="auto"/>
        </w:rPr>
      </w:pPr>
    </w:p>
    <w:p>
      <w:pPr>
        <w:ind w:left="1060" w:right="140" w:hanging="351"/>
        <w:spacing w:after="0" w:line="312" w:lineRule="auto"/>
        <w:tabs>
          <w:tab w:leader="none" w:pos="10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40"/>
          </w:cols>
          <w:pgMar w:left="1180" w:top="279" w:right="117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20" w:type="dxa"/>
            <w:vAlign w:val="bottom"/>
            <w:gridSpan w:val="2"/>
          </w:tcPr>
          <w:p>
            <w:pPr>
              <w:ind w:left="2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20"/>
                <w:szCs w:val="20"/>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1.</w:t>
            </w:r>
            <w:r>
              <w:rPr>
                <w:rFonts w:ascii="Arial" w:cs="Arial" w:eastAsia="Arial" w:hAnsi="Arial"/>
                <w:sz w:val="18"/>
                <w:szCs w:val="18"/>
                <w:u w:val="single" w:color="auto"/>
                <w:color w:val="0000EE"/>
              </w:rPr>
              <w:t>1*</w:t>
            </w: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Form of Underwriting Agreement by and among National Vision Holdings, Inc., the selling stockholders named</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therein and the underwriters named therein</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r:id="rId113">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86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Second Amended and Restated Certificate of Incorporation of National Vision Holdings, Inc. (incorporated by</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reference to Exhibit 3.1 to the Registrant’s Current Report on Form 8-K filed on October 31, 2017 (File No. 001-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38257))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r:id="rId114">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86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Second Amended and Restated Bylaws of National Vision Holdings, Inc. (incorporated by reference to Exhibit 3.2</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to the 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r:id="rId115">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86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Form of Common Stock Certificate (incorporated by reference to Exhibit 4.1 to Amendment No. 2 to the</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86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80" w:type="dxa"/>
            <w:vAlign w:val="bottom"/>
            <w:gridSpan w:val="2"/>
            <w:shd w:val="clear" w:color="auto" w:fill="CCEEFF"/>
          </w:tcPr>
          <w:p>
            <w:pPr>
              <w:spacing w:after="0" w:line="189" w:lineRule="exact"/>
              <w:rPr>
                <w:rFonts w:ascii="Arial" w:cs="Arial" w:eastAsia="Arial" w:hAnsi="Arial"/>
                <w:sz w:val="18"/>
                <w:szCs w:val="18"/>
                <w:color w:val="0000EE"/>
              </w:rPr>
            </w:pPr>
            <w:hyperlink r:id="rId116">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86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Registration Rights Agreement, dated as of March 13, 2014, by and among National Vision Holdings, Inc.</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(formerly known as Nautilus Parent, Inc.) and the stockholders party thereto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4.2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114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5.</w:t>
            </w:r>
            <w:r>
              <w:rPr>
                <w:rFonts w:ascii="Arial" w:cs="Arial" w:eastAsia="Arial" w:hAnsi="Arial"/>
                <w:sz w:val="18"/>
                <w:szCs w:val="18"/>
                <w:u w:val="single" w:color="auto"/>
                <w:color w:val="0000EE"/>
              </w:rPr>
              <w:t>1*</w:t>
            </w: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Opinion of Simpson Thacher &amp; Bartlett LLP</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0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86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81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Amended and Restated Stockholders’ Agreement by and among National Vision Holdings, Inc. and the</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1"/>
              </w:rPr>
              <w:t>stockholders party thereto (incorporated by reference to Exhibit 4.1 to the Registrant’s Current Report on Form 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First Lien Credit Agreement, dated as of March 13, 2014, among Nautilus Acquisition Holdings, Inc., Nautilus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Merger Sub, Inc., Vision Holdings Corp. and National Vision, Inc., Goldman Sachs Bank USA, as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agent, collateral agent, swingline lender and a lender, Morgan Stanley Bank N.A., as the letter of credit issuer,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Goldman Sachs Bank USA, Morgan Stanley Senior Funding, Inc., Citigroup Global Markets Inc., Mizuho Bank,</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Ltd., KKR Capital Markets LLC, Barclays Bank PLC, and Macquarie Capital (USA) Inc., as joint lead arrangers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and bookrunners, and the several lenders from time to time parties thereto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2"/>
              </w:rPr>
              <w:t>10.3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Joinder and Amendment Agreement, dated as of May 29, 2015, among KKR Corporate Lending LLC, National</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0"/>
              </w:rPr>
              <w:t>Vision, Inc., as borrower, the guarantors party thereto and Goldman Sachs Bank USA, as administrative agent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collateral agent (incorporated by reference to Exhibit 10.4 to the Registrant’s Registration Statement on Form S-1</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2"/>
              </w:rPr>
              <w:t>Joinder Agreement, dated as of February 3, 2017, among KKR Corporate Lending LLC, National Vision, Inc., as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0"/>
              </w:rPr>
              <w:t>borrower, the guarantors party thereto and Goldman Sachs Bank USA, as administrative agent and collateral agent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(incorporated by reference to Exhibit 10.5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-5814060</wp:posOffset>
            </wp:positionV>
            <wp:extent cx="6071870" cy="59690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071870" cy="596900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297815</wp:posOffset>
            </wp:positionV>
            <wp:extent cx="6071870" cy="431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6"/>
                <w:szCs w:val="16"/>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gridSpan w:val="2"/>
            <w:shd w:val="clear" w:color="auto" w:fill="CCEEFF"/>
          </w:tcPr>
          <w:p>
            <w:pPr>
              <w:spacing w:after="0" w:line="182" w:lineRule="exact"/>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680" w:type="dxa"/>
            <w:vAlign w:val="bottom"/>
            <w:shd w:val="clear" w:color="auto" w:fill="CCEEFF"/>
          </w:tcPr>
          <w:p>
            <w:pPr>
              <w:spacing w:after="0"/>
              <w:rPr>
                <w:sz w:val="15"/>
                <w:szCs w:val="15"/>
                <w:color w:val="auto"/>
              </w:rPr>
            </w:pPr>
          </w:p>
        </w:tc>
        <w:tc>
          <w:tcPr>
            <w:tcW w:w="840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w w:val="91"/>
              </w:rPr>
              <w:t>Joinder and Amendment Agreement, dated as of October 31, 2017, among National Vision, Inc., as borrower, the</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0"/>
              </w:rPr>
              <w:t>guarantors party thereto, Goldman Sachs Bank USA, as administrative agent and collateral agent, and lenders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3"/>
              </w:rPr>
              <w:t>letter of credit issuers party thereto (incorporated by reference to Exhibit 10.1 to the Registrant’s Current Report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68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2"/>
              </w:rPr>
              <w:t>Joinder and Amendment Agreement, dated as of November 20, 2017, among National Vision, Inc., as borrower,</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0"/>
              </w:rPr>
              <w:t>the guarantors party thereto, Goldman Sachs Bank USA, as administrative agent and collateral agent, and lenders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party thereto (incorporated by reference to Exhibit 10.5 to the Registrant’s Current Report on Form 8-K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November 20,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68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First Lien Guarantee, dated as of March 13, 2014, by the guarantors party thereto (incorporated by reference to</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Exhibit 10.6 to the Registrant’s Registration Statement on Form S-1 filed on September 29, 2017 (File No. 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220719))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68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First Lien Security Agreement, dated as of March 13, 2014, among Nautilus Acquisition Holdings, Inc., Nautilus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Merger Sub, Inc., Vision Holdings Corp., National Vision, Inc., subsidiary grantors party thereto,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USA, as collateral agent (incorporated by reference to Exhibit 10.7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68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First Lien Pledge Agreement, dated as of March 13, 2014, among Nautilus Acquisition Holdings, Inc., Nautilus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Merger Sub, Inc., Vision Holdings Corp., National Vision, Inc. subsidiary pledgors party thereto, Goldman Sachs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Bank USA, as collateral agent (incorporated by reference to Exhibit 10.8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National Vision Holdings, Inc. 2017 Omnibus Incentive Plan (incorporated by reference to Exhibit 10.2 to the</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Registrant’s Current Report on Form 8-K filed on October 31, 2017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Form of Restricted Stock Agreement for Non-Employee Directors under the 2017 Omnibus Incentive Plan</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4"/>
              </w:rPr>
              <w:t>(incorporated by reference to Exhibit 10.15 to Amendment No. 2 to the Registrant’s Registration Statement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2014 Stock Incentive Plan for Key Employees of National Vision Holdings, Inc. (formerly known as Nautilus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6"/>
              </w:rPr>
              <w:t>Parent, Inc.) and its Subsidiaries (incorporated by reference to Exhibit 10.16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Amendment No. 1 to the 2014 Stock Incentive Plan for Key Employees of National Vision Holdings, Inc.</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(formerly known as Nautilus Parent, Inc.) and its Subsidiaries (incorporated by reference to Exhibit 10.17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14†</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Amendment No. 2 to the 2014 Stock Incentive Plan for Key Employees of National Vision Holdings, Inc.</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3"/>
              </w:rPr>
              <w:t>(formerly known as Nautilus Parent, Inc.) and its Subsidiaries (incorporated by reference to Exhibit 10.18 to the</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Registrant’s Registration Statement on Form S-1 filed on September 29,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-6088380</wp:posOffset>
            </wp:positionV>
            <wp:extent cx="6071870" cy="6243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071870" cy="62433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6"/>
                <w:szCs w:val="16"/>
                <w:color w:val="auto"/>
              </w:rPr>
            </w:pPr>
          </w:p>
        </w:tc>
        <w:tc>
          <w:tcPr>
            <w:tcW w:w="8120" w:type="dxa"/>
            <w:vAlign w:val="bottom"/>
            <w:tcBorders>
              <w:bottom w:val="single" w:sz="8" w:color="auto"/>
            </w:tcBorders>
          </w:tcPr>
          <w:p>
            <w:pPr>
              <w:ind w:left="34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40" w:type="dxa"/>
            <w:vAlign w:val="bottom"/>
            <w:gridSpan w:val="3"/>
            <w:shd w:val="clear" w:color="auto" w:fill="CCEEFF"/>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8400" w:type="dxa"/>
            <w:vAlign w:val="bottom"/>
            <w:gridSpan w:val="3"/>
            <w:shd w:val="clear" w:color="auto" w:fill="CCEEFF"/>
          </w:tcPr>
          <w:p>
            <w:pPr>
              <w:ind w:left="120"/>
              <w:spacing w:after="0" w:line="182" w:lineRule="exact"/>
              <w:rPr>
                <w:sz w:val="20"/>
                <w:szCs w:val="20"/>
                <w:color w:val="auto"/>
              </w:rPr>
            </w:pPr>
            <w:r>
              <w:rPr>
                <w:rFonts w:ascii="Arial" w:cs="Arial" w:eastAsia="Arial" w:hAnsi="Arial"/>
                <w:sz w:val="18"/>
                <w:szCs w:val="18"/>
                <w:color w:val="auto"/>
                <w:w w:val="96"/>
              </w:rPr>
              <w:t>Form of Stock Option Agreement under the 2014 Stock Incentive Plan for Key Employees of National Vision</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Holdings, Inc. (formerly known as Nautilus Parent, Inc.) and its Subsidiaries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1"/>
              </w:rPr>
              <w:t>10.19 to 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5">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4"/>
              </w:rPr>
              <w:t>Form of Management Stockholder’s Agreement (incorporated by reference to Exhibit 10.20 to the Registrant’s</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6">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Form of Option Rollover Agreement (incorporated by reference to Exhibit 10.21 to the Registrant’s Registration</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7">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6"/>
              </w:rPr>
              <w:t>Form of Contribution Agreement (incorporated by reference to Exhibit 10.23 to the Registrant’s Registration</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8">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0"/>
              </w:rPr>
              <w:t>National Vision, Inc. Severance Plan, as amended and restated as of March 15, 2017 (incorporated by reference to</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2"/>
              </w:rPr>
              <w:t>Exhibit 10.24 to the Registrant’s Registration Statement on Form S-1 filed on September 29, 2017 (File No. 333-</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220719))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39">
              <w:r>
                <w:rPr>
                  <w:rFonts w:ascii="Arial" w:cs="Arial" w:eastAsia="Arial" w:hAnsi="Arial"/>
                  <w:sz w:val="18"/>
                  <w:szCs w:val="18"/>
                  <w:color w:val="0000EE"/>
                </w:rPr>
                <w:t>10.</w:t>
              </w:r>
              <w:r>
                <w:rPr>
                  <w:rFonts w:ascii="Arial" w:cs="Arial" w:eastAsia="Arial" w:hAnsi="Arial"/>
                  <w:sz w:val="18"/>
                  <w:szCs w:val="18"/>
                  <w:u w:val="single" w:color="auto"/>
                  <w:color w:val="0000EE"/>
                </w:rPr>
                <w:t>20†</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7"/>
              </w:rPr>
              <w:t>National Vision, Inc. Severance Plan Summary Plan Description (Executives), effective as of July 21, 2011</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10.25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40">
              <w:r>
                <w:rPr>
                  <w:rFonts w:ascii="Arial" w:cs="Arial" w:eastAsia="Arial" w:hAnsi="Arial"/>
                  <w:sz w:val="18"/>
                  <w:szCs w:val="18"/>
                  <w:color w:val="0000EE"/>
                </w:rPr>
                <w:t>10.</w:t>
              </w:r>
              <w:r>
                <w:rPr>
                  <w:rFonts w:ascii="Arial" w:cs="Arial" w:eastAsia="Arial" w:hAnsi="Arial"/>
                  <w:sz w:val="18"/>
                  <w:szCs w:val="18"/>
                  <w:u w:val="single" w:color="auto"/>
                  <w:color w:val="0000EE"/>
                </w:rPr>
                <w:t>21†</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National Vision, Inc. Severance Plan Executive Supplement, effective as of November 11, 2013 and amended as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1"/>
              </w:rPr>
              <w:t>of March 15, 2017 (incorporated by reference to Exhibit 10.26 to the Registrant’s Registration Statement on Form</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41">
              <w:r>
                <w:rPr>
                  <w:rFonts w:ascii="Arial" w:cs="Arial" w:eastAsia="Arial" w:hAnsi="Arial"/>
                  <w:sz w:val="18"/>
                  <w:szCs w:val="18"/>
                  <w:color w:val="0000EE"/>
                </w:rPr>
                <w:t>10.</w:t>
              </w:r>
              <w:r>
                <w:rPr>
                  <w:rFonts w:ascii="Arial" w:cs="Arial" w:eastAsia="Arial" w:hAnsi="Arial"/>
                  <w:sz w:val="18"/>
                  <w:szCs w:val="18"/>
                  <w:u w:val="single" w:color="auto"/>
                  <w:color w:val="0000EE"/>
                </w:rPr>
                <w:t>22†</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National Vision, Inc. Management Incentive Plan (incorporated by reference to Exhibit 10.27 to the Registrant’s</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60" w:type="dxa"/>
            <w:vAlign w:val="bottom"/>
            <w:gridSpan w:val="2"/>
            <w:shd w:val="clear" w:color="auto" w:fill="CCEEFF"/>
          </w:tcPr>
          <w:p>
            <w:pPr>
              <w:spacing w:after="0" w:line="189" w:lineRule="exact"/>
              <w:rPr>
                <w:rFonts w:ascii="Arial" w:cs="Arial" w:eastAsia="Arial" w:hAnsi="Arial"/>
                <w:sz w:val="18"/>
                <w:szCs w:val="18"/>
                <w:color w:val="0000EE"/>
                <w:w w:val="97"/>
              </w:rPr>
            </w:pPr>
            <w:hyperlink r:id="rId142">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23</w:t>
              </w:r>
            </w:hyperlink>
          </w:p>
        </w:tc>
        <w:tc>
          <w:tcPr>
            <w:tcW w:w="680" w:type="dxa"/>
            <w:vAlign w:val="bottom"/>
            <w:shd w:val="clear" w:color="auto" w:fill="CCEEFF"/>
          </w:tcPr>
          <w:p>
            <w:pPr>
              <w:spacing w:after="0"/>
              <w:rPr>
                <w:sz w:val="16"/>
                <w:szCs w:val="16"/>
                <w:color w:val="auto"/>
              </w:rPr>
            </w:pPr>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Indemnification Agreement, dated as of March 13, 2014, among National Vision Holdings, Inc. (formerly known</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as Nautilus Parent, Inc.), Nautilus Acquisition Holdings, Inc., Vision Holding Corp., National Vision, Inc.,</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4"/>
              </w:rPr>
              <w:t>Kohlberg Kravis Roberts &amp; Co. L.P. and Berkshire Partners LLC (incorporated by reference to Exhibit 10.28 to</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w w:val="98"/>
              </w:rPr>
              <w:t>the Registrant’s 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43">
              <w:r>
                <w:rPr>
                  <w:rFonts w:ascii="Arial" w:cs="Arial" w:eastAsia="Arial" w:hAnsi="Arial"/>
                  <w:sz w:val="18"/>
                  <w:szCs w:val="18"/>
                  <w:color w:val="0000EE"/>
                </w:rPr>
                <w:t>10.</w:t>
              </w:r>
              <w:r>
                <w:rPr>
                  <w:rFonts w:ascii="Arial" w:cs="Arial" w:eastAsia="Arial" w:hAnsi="Arial"/>
                  <w:sz w:val="18"/>
                  <w:szCs w:val="18"/>
                  <w:u w:val="single" w:color="auto"/>
                  <w:color w:val="0000EE"/>
                </w:rPr>
                <w:t>24‡</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rPr>
              <w:t>Letter Agreement between National Vision, Inc. and Essilor of America, Inc., dated as of May 25, 2011</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10.29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44">
              <w:r>
                <w:rPr>
                  <w:rFonts w:ascii="Arial" w:cs="Arial" w:eastAsia="Arial" w:hAnsi="Arial"/>
                  <w:sz w:val="18"/>
                  <w:szCs w:val="18"/>
                  <w:color w:val="0000EE"/>
                </w:rPr>
                <w:t>10.</w:t>
              </w:r>
              <w:r>
                <w:rPr>
                  <w:rFonts w:ascii="Arial" w:cs="Arial" w:eastAsia="Arial" w:hAnsi="Arial"/>
                  <w:sz w:val="18"/>
                  <w:szCs w:val="18"/>
                  <w:u w:val="single" w:color="auto"/>
                  <w:color w:val="0000EE"/>
                </w:rPr>
                <w:t>25‡</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Letter of Amendment between National Vision, Inc. and Essilor of America, Inc., dated as of December 2, 2014</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7"/>
              </w:rPr>
              <w:t>(incorporated by reference to Exhibit 10.30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3"/>
            <w:shd w:val="clear" w:color="auto" w:fill="CCEEFF"/>
          </w:tcPr>
          <w:p>
            <w:pPr>
              <w:spacing w:after="0" w:line="189" w:lineRule="exact"/>
              <w:rPr>
                <w:rFonts w:ascii="Arial" w:cs="Arial" w:eastAsia="Arial" w:hAnsi="Arial"/>
                <w:sz w:val="18"/>
                <w:szCs w:val="18"/>
                <w:color w:val="0000EE"/>
              </w:rPr>
            </w:pPr>
            <w:hyperlink r:id="rId145">
              <w:r>
                <w:rPr>
                  <w:rFonts w:ascii="Arial" w:cs="Arial" w:eastAsia="Arial" w:hAnsi="Arial"/>
                  <w:sz w:val="18"/>
                  <w:szCs w:val="18"/>
                  <w:color w:val="0000EE"/>
                </w:rPr>
                <w:t>10.</w:t>
              </w:r>
              <w:r>
                <w:rPr>
                  <w:rFonts w:ascii="Arial" w:cs="Arial" w:eastAsia="Arial" w:hAnsi="Arial"/>
                  <w:sz w:val="18"/>
                  <w:szCs w:val="18"/>
                  <w:u w:val="single" w:color="auto"/>
                  <w:color w:val="0000EE"/>
                </w:rPr>
                <w:t>26‡</w:t>
              </w:r>
            </w:hyperlink>
          </w:p>
        </w:tc>
        <w:tc>
          <w:tcPr>
            <w:tcW w:w="8400" w:type="dxa"/>
            <w:vAlign w:val="bottom"/>
            <w:gridSpan w:val="3"/>
            <w:shd w:val="clear" w:color="auto" w:fill="CCEEFF"/>
          </w:tcPr>
          <w:p>
            <w:pPr>
              <w:ind w:left="120"/>
              <w:spacing w:after="0" w:line="189" w:lineRule="exact"/>
              <w:rPr>
                <w:sz w:val="20"/>
                <w:szCs w:val="20"/>
                <w:color w:val="auto"/>
              </w:rPr>
            </w:pPr>
            <w:r>
              <w:rPr>
                <w:rFonts w:ascii="Arial" w:cs="Arial" w:eastAsia="Arial" w:hAnsi="Arial"/>
                <w:sz w:val="18"/>
                <w:szCs w:val="18"/>
                <w:color w:val="auto"/>
                <w:w w:val="92"/>
              </w:rPr>
              <w:t>Management &amp; Services Agreement by and between National Vision, Inc. and Wal-Mart Stores, Inc., dated as of</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38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w w:val="95"/>
              </w:rPr>
              <w:t>May 1, 2012 (incorporated by reference to Exhibit 10.31 to Amendment No. 2 to the Registrant’s Registration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Statement on Form S-1 filed on October 16, 2017 (File No. 333-220719))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-6431280</wp:posOffset>
            </wp:positionV>
            <wp:extent cx="6071870" cy="65862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6071870" cy="658622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306705</wp:posOffset>
            </wp:positionV>
            <wp:extent cx="6071870" cy="431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0"/>
          </w:cols>
          <w:pgMar w:left="1180" w:top="279" w:right="1159" w:bottom="1440" w:gutter="0" w:footer="0" w:header="0"/>
        </w:sectPr>
      </w:pPr>
    </w:p>
    <w:bookmarkStart w:id="71" w:name="page72"/>
    <w:bookmarkEnd w:id="71"/>
    <w:p>
      <w:pPr>
        <w:ind w:left="7"/>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150" w:lineRule="exact"/>
        <w:rPr>
          <w:sz w:val="20"/>
          <w:szCs w:val="20"/>
          <w:color w:val="auto"/>
        </w:rPr>
      </w:pPr>
    </w:p>
    <w:tbl>
      <w:tblPr>
        <w:tblLayout w:type="fixed"/>
        <w:tblInd w:w="7"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Exhibit Number</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20" w:type="dxa"/>
            <w:vAlign w:val="bottom"/>
            <w:tcBorders>
              <w:bottom w:val="single" w:sz="8" w:color="auto"/>
            </w:tcBorders>
          </w:tcPr>
          <w:p>
            <w:pPr>
              <w:ind w:left="33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gridSpan w:val="3"/>
            <w:shd w:val="clear" w:color="auto" w:fill="CCEEFF"/>
          </w:tcPr>
          <w:p>
            <w:pPr>
              <w:spacing w:after="0" w:line="182" w:lineRule="exact"/>
              <w:rPr>
                <w:rFonts w:ascii="Arial" w:cs="Arial" w:eastAsia="Arial" w:hAnsi="Arial"/>
                <w:sz w:val="18"/>
                <w:szCs w:val="18"/>
                <w:color w:val="0000EE"/>
                <w:w w:val="97"/>
              </w:rPr>
            </w:pPr>
            <w:hyperlink r:id="rId148">
              <w:r>
                <w:rPr>
                  <w:rFonts w:ascii="Arial" w:cs="Arial" w:eastAsia="Arial" w:hAnsi="Arial"/>
                  <w:sz w:val="18"/>
                  <w:szCs w:val="18"/>
                  <w:color w:val="0000EE"/>
                  <w:w w:val="97"/>
                </w:rPr>
                <w:t>10.</w:t>
              </w:r>
              <w:r>
                <w:rPr>
                  <w:rFonts w:ascii="Arial" w:cs="Arial" w:eastAsia="Arial" w:hAnsi="Arial"/>
                  <w:sz w:val="18"/>
                  <w:szCs w:val="18"/>
                  <w:u w:val="single" w:color="auto"/>
                  <w:color w:val="0000EE"/>
                  <w:w w:val="97"/>
                </w:rPr>
                <w:t>27</w:t>
              </w:r>
            </w:hyperlink>
          </w:p>
        </w:tc>
        <w:tc>
          <w:tcPr>
            <w:tcW w:w="680" w:type="dxa"/>
            <w:vAlign w:val="bottom"/>
            <w:shd w:val="clear" w:color="auto" w:fill="CCEEFF"/>
          </w:tcPr>
          <w:p>
            <w:pPr>
              <w:spacing w:after="0"/>
              <w:rPr>
                <w:sz w:val="15"/>
                <w:szCs w:val="15"/>
                <w:color w:val="auto"/>
              </w:rPr>
            </w:pPr>
          </w:p>
        </w:tc>
        <w:tc>
          <w:tcPr>
            <w:tcW w:w="8400" w:type="dxa"/>
            <w:vAlign w:val="bottom"/>
            <w:gridSpan w:val="4"/>
            <w:shd w:val="clear" w:color="auto" w:fill="CCEEFF"/>
          </w:tcPr>
          <w:p>
            <w:pPr>
              <w:ind w:left="120"/>
              <w:spacing w:after="0" w:line="182" w:lineRule="exact"/>
              <w:rPr>
                <w:sz w:val="20"/>
                <w:szCs w:val="20"/>
                <w:color w:val="auto"/>
              </w:rPr>
            </w:pPr>
            <w:r>
              <w:rPr>
                <w:rFonts w:ascii="Arial" w:cs="Arial" w:eastAsia="Arial" w:hAnsi="Arial"/>
                <w:sz w:val="18"/>
                <w:szCs w:val="18"/>
                <w:color w:val="auto"/>
                <w:w w:val="94"/>
              </w:rPr>
              <w:t>Letter Agreement by and between National Vision, Inc. and Wal-Mart Stores, Inc. re: Management &amp; Services</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9"/>
              </w:rPr>
              <w:t>Agreement, dated as of January 11, 2017 (incorporated by reference to Exhibit 10.32 to the Registrant’s</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Registration Statement on Form S-1 filed on 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49">
              <w:r>
                <w:rPr>
                  <w:rFonts w:ascii="Arial" w:cs="Arial" w:eastAsia="Arial" w:hAnsi="Arial"/>
                  <w:sz w:val="18"/>
                  <w:szCs w:val="18"/>
                  <w:color w:val="0000EE"/>
                </w:rPr>
                <w:t>10.</w:t>
              </w:r>
              <w:r>
                <w:rPr>
                  <w:rFonts w:ascii="Arial" w:cs="Arial" w:eastAsia="Arial" w:hAnsi="Arial"/>
                  <w:sz w:val="18"/>
                  <w:szCs w:val="18"/>
                  <w:u w:val="single" w:color="auto"/>
                  <w:color w:val="0000EE"/>
                </w:rPr>
                <w:t>28‡</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2"/>
              </w:rPr>
              <w:t>Amended and Restated Supplier Agreement between National Vision, Inc. and Walmart, dated as of January 17,</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2"/>
              </w:rPr>
              <w:t>2017 (incorporated by reference to Exhibit 10.33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September 29,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0">
              <w:r>
                <w:rPr>
                  <w:rFonts w:ascii="Arial" w:cs="Arial" w:eastAsia="Arial" w:hAnsi="Arial"/>
                  <w:sz w:val="18"/>
                  <w:szCs w:val="18"/>
                  <w:color w:val="0000EE"/>
                </w:rPr>
                <w:t>10.</w:t>
              </w:r>
              <w:r>
                <w:rPr>
                  <w:rFonts w:ascii="Arial" w:cs="Arial" w:eastAsia="Arial" w:hAnsi="Arial"/>
                  <w:sz w:val="18"/>
                  <w:szCs w:val="18"/>
                  <w:u w:val="single" w:color="auto"/>
                  <w:color w:val="0000EE"/>
                </w:rPr>
                <w:t>29†</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5"/>
              </w:rPr>
              <w:t>Option Agreement for Patrick R. Moore under the 2017 Omnibus Incentive Plan (incorporated by reference to</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3"/>
              </w:rPr>
              <w:t>Exhibit 10.34 to Amendment No. 2 to the Registrant’s Registration Statement on Form S-1 filed on October 16,</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1">
              <w:r>
                <w:rPr>
                  <w:rFonts w:ascii="Arial" w:cs="Arial" w:eastAsia="Arial" w:hAnsi="Arial"/>
                  <w:sz w:val="18"/>
                  <w:szCs w:val="18"/>
                  <w:color w:val="0000EE"/>
                </w:rPr>
                <w:t>10.</w:t>
              </w:r>
              <w:r>
                <w:rPr>
                  <w:rFonts w:ascii="Arial" w:cs="Arial" w:eastAsia="Arial" w:hAnsi="Arial"/>
                  <w:sz w:val="18"/>
                  <w:szCs w:val="18"/>
                  <w:u w:val="single" w:color="auto"/>
                  <w:color w:val="0000EE"/>
                </w:rPr>
                <w:t>30†</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Restricted Stock Award Agreement for David M. Tehle under the 2014 Stock Incentive Plan for Key Employees of</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6"/>
              </w:rPr>
              <w:t>National Vision Holdings, Inc. (formerly known as Nautilus Parent, Inc.) and its Subsidiaries (incorporated 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w w:val="93"/>
              </w:rPr>
              <w:t>reference to Exhibit 10.35 to Amendment No. 2 to the Registrant’s Registration Statement on Form S-1 filed on</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2">
              <w:r>
                <w:rPr>
                  <w:rFonts w:ascii="Arial" w:cs="Arial" w:eastAsia="Arial" w:hAnsi="Arial"/>
                  <w:sz w:val="18"/>
                  <w:szCs w:val="18"/>
                  <w:color w:val="0000EE"/>
                </w:rPr>
                <w:t>10.</w:t>
              </w:r>
              <w:r>
                <w:rPr>
                  <w:rFonts w:ascii="Arial" w:cs="Arial" w:eastAsia="Arial" w:hAnsi="Arial"/>
                  <w:sz w:val="18"/>
                  <w:szCs w:val="18"/>
                  <w:u w:val="single" w:color="auto"/>
                  <w:color w:val="0000EE"/>
                </w:rPr>
                <w:t>31†</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Form of Director Indemnification Agreement (incorporated by reference to Exhibit 10.36 to Amendment No. 2 to</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the Registrant’s Registration Statement on Form S-1 filed on October 16, 2017 (File No. 333-220719))</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3">
              <w:r>
                <w:rPr>
                  <w:rFonts w:ascii="Arial" w:cs="Arial" w:eastAsia="Arial" w:hAnsi="Arial"/>
                  <w:sz w:val="18"/>
                  <w:szCs w:val="18"/>
                  <w:color w:val="0000EE"/>
                </w:rPr>
                <w:t>10.</w:t>
              </w:r>
              <w:r>
                <w:rPr>
                  <w:rFonts w:ascii="Arial" w:cs="Arial" w:eastAsia="Arial" w:hAnsi="Arial"/>
                  <w:sz w:val="18"/>
                  <w:szCs w:val="18"/>
                  <w:u w:val="single" w:color="auto"/>
                  <w:color w:val="0000EE"/>
                </w:rPr>
                <w:t>32†</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Form of Director Stockholder’s Agreement (incorporated by reference to Exhibit 10.1 to the Registrant’s Current</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Report on Form 8-K filed on January 23, 2018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4">
              <w:r>
                <w:rPr>
                  <w:rFonts w:ascii="Arial" w:cs="Arial" w:eastAsia="Arial" w:hAnsi="Arial"/>
                  <w:sz w:val="18"/>
                  <w:szCs w:val="18"/>
                  <w:color w:val="0000EE"/>
                </w:rPr>
                <w:t>10.</w:t>
              </w:r>
              <w:r>
                <w:rPr>
                  <w:rFonts w:ascii="Arial" w:cs="Arial" w:eastAsia="Arial" w:hAnsi="Arial"/>
                  <w:sz w:val="18"/>
                  <w:szCs w:val="18"/>
                  <w:u w:val="single" w:color="auto"/>
                  <w:color w:val="0000EE"/>
                </w:rPr>
                <w:t>33†</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1"/>
              </w:rPr>
              <w:t>Vision Holding Corp. Amended and Restated 2013 Equity Incentive Plan (incorporated by reference to Exhibit 4.4</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9"/>
              </w:rPr>
              <w:t>to the Registrant’s Registration Statement on Form S-8 filed on October 26, 2017 (File No. 333-221131))</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140" w:type="dxa"/>
            <w:vAlign w:val="bottom"/>
            <w:gridSpan w:val="4"/>
            <w:shd w:val="clear" w:color="auto" w:fill="CCEEFF"/>
          </w:tcPr>
          <w:p>
            <w:pPr>
              <w:spacing w:after="0" w:line="189" w:lineRule="exact"/>
              <w:rPr>
                <w:rFonts w:ascii="Arial" w:cs="Arial" w:eastAsia="Arial" w:hAnsi="Arial"/>
                <w:sz w:val="18"/>
                <w:szCs w:val="18"/>
                <w:color w:val="0000EE"/>
              </w:rPr>
            </w:pPr>
            <w:hyperlink r:id="rId155">
              <w:r>
                <w:rPr>
                  <w:rFonts w:ascii="Arial" w:cs="Arial" w:eastAsia="Arial" w:hAnsi="Arial"/>
                  <w:sz w:val="18"/>
                  <w:szCs w:val="18"/>
                  <w:color w:val="0000EE"/>
                </w:rPr>
                <w:t>10.</w:t>
              </w:r>
              <w:r>
                <w:rPr>
                  <w:rFonts w:ascii="Arial" w:cs="Arial" w:eastAsia="Arial" w:hAnsi="Arial"/>
                  <w:sz w:val="18"/>
                  <w:szCs w:val="18"/>
                  <w:u w:val="single" w:color="auto"/>
                  <w:color w:val="0000EE"/>
                </w:rPr>
                <w:t>34†</w:t>
              </w:r>
            </w:hyperlink>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3"/>
              </w:rPr>
              <w:t>Option Agreement for Jeff McAllister under the 2014 Stock Incentive Plan for Key Employees of National Vision</w:t>
            </w:r>
          </w:p>
        </w:tc>
        <w:tc>
          <w:tcPr>
            <w:tcW w:w="0" w:type="dxa"/>
            <w:vAlign w:val="bottom"/>
          </w:tcPr>
          <w:p>
            <w:pPr>
              <w:spacing w:after="0"/>
              <w:rPr>
                <w:sz w:val="1"/>
                <w:szCs w:val="1"/>
                <w:color w:val="auto"/>
              </w:rPr>
            </w:pPr>
          </w:p>
        </w:tc>
      </w:tr>
      <w:tr>
        <w:trPr>
          <w:trHeight w:val="222"/>
        </w:trPr>
        <w:tc>
          <w:tcPr>
            <w:tcW w:w="20" w:type="dxa"/>
            <w:vAlign w:val="bottom"/>
            <w:tcBorders>
              <w:top w:val="single" w:sz="8" w:color="0000EE"/>
            </w:tcBorders>
          </w:tcPr>
          <w:p>
            <w:pPr>
              <w:spacing w:after="0"/>
              <w:rPr>
                <w:sz w:val="19"/>
                <w:szCs w:val="19"/>
                <w:color w:val="auto"/>
              </w:rPr>
            </w:pPr>
          </w:p>
        </w:tc>
        <w:tc>
          <w:tcPr>
            <w:tcW w:w="2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w w:val="92"/>
              </w:rPr>
              <w:t>Holdings, Inc. (formerly known as Nautilus Parent, Inc.) and its Subsidiaries (incorporated by reference to Exhibit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400" w:type="dxa"/>
            <w:vAlign w:val="bottom"/>
            <w:gridSpan w:val="4"/>
            <w:shd w:val="clear" w:color="auto" w:fill="CCEEFF"/>
          </w:tcPr>
          <w:p>
            <w:pPr>
              <w:ind w:left="120"/>
              <w:spacing w:after="0"/>
              <w:rPr>
                <w:sz w:val="20"/>
                <w:szCs w:val="20"/>
                <w:color w:val="auto"/>
              </w:rPr>
            </w:pPr>
            <w:r>
              <w:rPr>
                <w:rFonts w:ascii="Arial" w:cs="Arial" w:eastAsia="Arial" w:hAnsi="Arial"/>
                <w:sz w:val="18"/>
                <w:szCs w:val="18"/>
                <w:color w:val="auto"/>
              </w:rPr>
              <w:t>10.39 to the Registrant’s Annual Report on Form 10-K filed on March 8, 2018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80" w:type="dxa"/>
            <w:vAlign w:val="bottom"/>
            <w:gridSpan w:val="2"/>
            <w:shd w:val="clear" w:color="auto" w:fill="CCEEFF"/>
          </w:tcPr>
          <w:p>
            <w:pPr>
              <w:spacing w:after="0" w:line="189" w:lineRule="exact"/>
              <w:rPr>
                <w:rFonts w:ascii="Arial" w:cs="Arial" w:eastAsia="Arial" w:hAnsi="Arial"/>
                <w:sz w:val="18"/>
                <w:szCs w:val="18"/>
                <w:color w:val="0000EE"/>
              </w:rPr>
            </w:pPr>
            <w:hyperlink r:id="rId156">
              <w:r>
                <w:rPr>
                  <w:rFonts w:ascii="Arial" w:cs="Arial" w:eastAsia="Arial" w:hAnsi="Arial"/>
                  <w:sz w:val="18"/>
                  <w:szCs w:val="18"/>
                  <w:color w:val="0000EE"/>
                </w:rPr>
                <w:t>21.</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w w:val="98"/>
              </w:rPr>
              <w:t>Subsidiaries of National Vision Holdings, Inc. (incorporated by reference to Exhibit 21.1 to the Registrant’s</w:t>
            </w:r>
          </w:p>
        </w:tc>
        <w:tc>
          <w:tcPr>
            <w:tcW w:w="0" w:type="dxa"/>
            <w:vAlign w:val="bottom"/>
          </w:tcPr>
          <w:p>
            <w:pPr>
              <w:spacing w:after="0"/>
              <w:rPr>
                <w:sz w:val="1"/>
                <w:szCs w:val="1"/>
                <w:color w:val="auto"/>
              </w:rPr>
            </w:pPr>
          </w:p>
        </w:tc>
      </w:tr>
      <w:tr>
        <w:trPr>
          <w:trHeight w:val="250"/>
        </w:trPr>
        <w:tc>
          <w:tcPr>
            <w:tcW w:w="20" w:type="dxa"/>
            <w:vAlign w:val="bottom"/>
            <w:tcBorders>
              <w:top w:val="single" w:sz="8" w:color="0000EE"/>
            </w:tcBorders>
          </w:tcPr>
          <w:p>
            <w:pPr>
              <w:spacing w:after="0"/>
              <w:rPr>
                <w:sz w:val="21"/>
                <w:szCs w:val="21"/>
                <w:color w:val="auto"/>
              </w:rPr>
            </w:pPr>
          </w:p>
        </w:tc>
        <w:tc>
          <w:tcPr>
            <w:tcW w:w="280" w:type="dxa"/>
            <w:vAlign w:val="bottom"/>
            <w:tcBorders>
              <w:top w:val="single" w:sz="8" w:color="0000EE"/>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80" w:type="dxa"/>
            <w:vAlign w:val="bottom"/>
            <w:tcBorders>
              <w:top w:val="single" w:sz="8" w:color="CCEEFF"/>
            </w:tcBorders>
            <w:shd w:val="clear" w:color="auto" w:fill="CCEEFF"/>
          </w:tcPr>
          <w:p>
            <w:pPr>
              <w:spacing w:after="0"/>
              <w:rPr>
                <w:sz w:val="21"/>
                <w:szCs w:val="21"/>
                <w:color w:val="auto"/>
              </w:rPr>
            </w:pPr>
          </w:p>
        </w:tc>
        <w:tc>
          <w:tcPr>
            <w:tcW w:w="8400" w:type="dxa"/>
            <w:vAlign w:val="bottom"/>
            <w:tcBorders>
              <w:top w:val="single" w:sz="8" w:color="CCEEFF"/>
            </w:tcBorders>
            <w:gridSpan w:val="4"/>
            <w:shd w:val="clear" w:color="auto" w:fill="CCEEFF"/>
          </w:tcPr>
          <w:p>
            <w:pPr>
              <w:ind w:left="120"/>
              <w:spacing w:after="0"/>
              <w:rPr>
                <w:sz w:val="20"/>
                <w:szCs w:val="20"/>
                <w:color w:val="auto"/>
              </w:rPr>
            </w:pPr>
            <w:r>
              <w:rPr>
                <w:rFonts w:ascii="Arial" w:cs="Arial" w:eastAsia="Arial" w:hAnsi="Arial"/>
                <w:sz w:val="18"/>
                <w:szCs w:val="18"/>
                <w:color w:val="auto"/>
              </w:rPr>
              <w:t>Annual Report on Form 10-K, filed on March 8 , 2018 (File No. 001-38257))</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1*</w:t>
            </w:r>
          </w:p>
        </w:tc>
        <w:tc>
          <w:tcPr>
            <w:tcW w:w="680" w:type="dxa"/>
            <w:vAlign w:val="bottom"/>
            <w:shd w:val="clear" w:color="auto" w:fill="CCEEFF"/>
          </w:tcPr>
          <w:p>
            <w:pPr>
              <w:spacing w:after="0"/>
              <w:rPr>
                <w:sz w:val="19"/>
                <w:szCs w:val="19"/>
                <w:color w:val="auto"/>
              </w:rPr>
            </w:pPr>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Consent of Simpson Thacher &amp; Bartlett LLP (included in Exhibit 5.1)</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EE"/>
              </w:rPr>
              <w:t>23.</w:t>
            </w:r>
            <w:r>
              <w:rPr>
                <w:rFonts w:ascii="Arial" w:cs="Arial" w:eastAsia="Arial" w:hAnsi="Arial"/>
                <w:sz w:val="18"/>
                <w:szCs w:val="18"/>
                <w:u w:val="single" w:color="auto"/>
                <w:color w:val="0000EE"/>
              </w:rPr>
              <w:t>2*</w:t>
            </w:r>
          </w:p>
        </w:tc>
        <w:tc>
          <w:tcPr>
            <w:tcW w:w="680" w:type="dxa"/>
            <w:vAlign w:val="bottom"/>
            <w:shd w:val="clear" w:color="auto" w:fill="CCEEFF"/>
          </w:tcPr>
          <w:p>
            <w:pPr>
              <w:spacing w:after="0"/>
              <w:rPr>
                <w:sz w:val="19"/>
                <w:szCs w:val="19"/>
                <w:color w:val="auto"/>
              </w:rPr>
            </w:pPr>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Consent of Deloitte &amp; Touche LLP</w:t>
            </w:r>
          </w:p>
        </w:tc>
        <w:tc>
          <w:tcPr>
            <w:tcW w:w="0" w:type="dxa"/>
            <w:vAlign w:val="bottom"/>
          </w:tcPr>
          <w:p>
            <w:pPr>
              <w:spacing w:after="0"/>
              <w:rPr>
                <w:sz w:val="1"/>
                <w:szCs w:val="1"/>
                <w:color w:val="auto"/>
              </w:rPr>
            </w:pPr>
          </w:p>
        </w:tc>
      </w:tr>
      <w:tr>
        <w:trPr>
          <w:trHeight w:val="243"/>
        </w:trPr>
        <w:tc>
          <w:tcPr>
            <w:tcW w:w="20" w:type="dxa"/>
            <w:vAlign w:val="bottom"/>
            <w:tcBorders>
              <w:top w:val="single" w:sz="8" w:color="0000EE"/>
            </w:tcBorders>
            <w:vMerge w:val="restart"/>
          </w:tcPr>
          <w:p>
            <w:pPr>
              <w:spacing w:after="0"/>
              <w:rPr>
                <w:sz w:val="21"/>
                <w:szCs w:val="21"/>
                <w:color w:val="auto"/>
              </w:rPr>
            </w:pPr>
          </w:p>
        </w:tc>
        <w:tc>
          <w:tcPr>
            <w:tcW w:w="2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680" w:type="dxa"/>
            <w:vAlign w:val="bottom"/>
            <w:tcBorders>
              <w:top w:val="single" w:sz="8" w:color="CCEEFF"/>
            </w:tcBorders>
          </w:tcPr>
          <w:p>
            <w:pPr>
              <w:spacing w:after="0"/>
              <w:rPr>
                <w:sz w:val="21"/>
                <w:szCs w:val="21"/>
                <w:color w:val="auto"/>
              </w:rPr>
            </w:pPr>
          </w:p>
        </w:tc>
        <w:tc>
          <w:tcPr>
            <w:tcW w:w="1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2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0" w:type="dxa"/>
            <w:vAlign w:val="bottom"/>
            <w:gridSpan w:val="3"/>
            <w:shd w:val="clear" w:color="auto" w:fill="CCEEFF"/>
          </w:tcPr>
          <w:p>
            <w:pPr>
              <w:spacing w:after="0" w:line="189" w:lineRule="exact"/>
              <w:rPr>
                <w:rFonts w:ascii="Arial" w:cs="Arial" w:eastAsia="Arial" w:hAnsi="Arial"/>
                <w:sz w:val="18"/>
                <w:szCs w:val="18"/>
                <w:color w:val="0000EE"/>
              </w:rPr>
            </w:pPr>
            <w:hyperlink w:anchor="page73">
              <w:r>
                <w:rPr>
                  <w:rFonts w:ascii="Arial" w:cs="Arial" w:eastAsia="Arial" w:hAnsi="Arial"/>
                  <w:sz w:val="18"/>
                  <w:szCs w:val="18"/>
                  <w:color w:val="0000EE"/>
                </w:rPr>
                <w:t>24.</w:t>
              </w:r>
              <w:r>
                <w:rPr>
                  <w:rFonts w:ascii="Arial" w:cs="Arial" w:eastAsia="Arial" w:hAnsi="Arial"/>
                  <w:sz w:val="18"/>
                  <w:szCs w:val="18"/>
                  <w:u w:val="single" w:color="auto"/>
                  <w:color w:val="0000EE"/>
                </w:rPr>
                <w:t>1*</w:t>
              </w:r>
            </w:hyperlink>
          </w:p>
        </w:tc>
        <w:tc>
          <w:tcPr>
            <w:tcW w:w="680" w:type="dxa"/>
            <w:vAlign w:val="bottom"/>
            <w:shd w:val="clear" w:color="auto" w:fill="CCEEFF"/>
          </w:tcPr>
          <w:p>
            <w:pPr>
              <w:spacing w:after="0"/>
              <w:rPr>
                <w:sz w:val="19"/>
                <w:szCs w:val="19"/>
                <w:color w:val="auto"/>
              </w:rPr>
            </w:pPr>
          </w:p>
        </w:tc>
        <w:tc>
          <w:tcPr>
            <w:tcW w:w="8400" w:type="dxa"/>
            <w:vAlign w:val="bottom"/>
            <w:gridSpan w:val="4"/>
            <w:shd w:val="clear" w:color="auto" w:fill="CCEEFF"/>
          </w:tcPr>
          <w:p>
            <w:pPr>
              <w:ind w:left="120"/>
              <w:spacing w:after="0" w:line="189" w:lineRule="exact"/>
              <w:rPr>
                <w:sz w:val="20"/>
                <w:szCs w:val="20"/>
                <w:color w:val="auto"/>
              </w:rPr>
            </w:pPr>
            <w:r>
              <w:rPr>
                <w:rFonts w:ascii="Arial" w:cs="Arial" w:eastAsia="Arial" w:hAnsi="Arial"/>
                <w:sz w:val="18"/>
                <w:szCs w:val="18"/>
                <w:color w:val="auto"/>
              </w:rPr>
              <w:t>Power of Attorney (included on signature pages to this Registration Statement)</w:t>
            </w:r>
          </w:p>
        </w:tc>
        <w:tc>
          <w:tcPr>
            <w:tcW w:w="0" w:type="dxa"/>
            <w:vAlign w:val="bottom"/>
          </w:tcPr>
          <w:p>
            <w:pPr>
              <w:spacing w:after="0"/>
              <w:rPr>
                <w:sz w:val="1"/>
                <w:szCs w:val="1"/>
                <w:color w:val="auto"/>
              </w:rPr>
            </w:pPr>
          </w:p>
        </w:tc>
      </w:tr>
      <w:tr>
        <w:trPr>
          <w:trHeight w:val="189"/>
        </w:trPr>
        <w:tc>
          <w:tcPr>
            <w:tcW w:w="20" w:type="dxa"/>
            <w:vAlign w:val="bottom"/>
            <w:tcBorders>
              <w:top w:val="single" w:sz="8" w:color="0000EE"/>
            </w:tcBorders>
          </w:tcPr>
          <w:p>
            <w:pPr>
              <w:spacing w:after="0"/>
              <w:rPr>
                <w:sz w:val="16"/>
                <w:szCs w:val="16"/>
                <w:color w:val="auto"/>
              </w:rPr>
            </w:pPr>
          </w:p>
        </w:tc>
        <w:tc>
          <w:tcPr>
            <w:tcW w:w="280" w:type="dxa"/>
            <w:vAlign w:val="bottom"/>
            <w:tcBorders>
              <w:top w:val="single" w:sz="8" w:color="0000EE"/>
              <w:bottom w:val="single" w:sz="8" w:color="auto"/>
            </w:tcBorders>
          </w:tcPr>
          <w:p>
            <w:pPr>
              <w:spacing w:after="0"/>
              <w:rPr>
                <w:sz w:val="16"/>
                <w:szCs w:val="16"/>
                <w:color w:val="auto"/>
              </w:rPr>
            </w:pPr>
          </w:p>
        </w:tc>
        <w:tc>
          <w:tcPr>
            <w:tcW w:w="100" w:type="dxa"/>
            <w:vAlign w:val="bottom"/>
            <w:tcBorders>
              <w:top w:val="single" w:sz="8" w:color="0000EE"/>
              <w:bottom w:val="single" w:sz="8" w:color="auto"/>
            </w:tcBorders>
          </w:tcPr>
          <w:p>
            <w:pPr>
              <w:spacing w:after="0"/>
              <w:rPr>
                <w:sz w:val="16"/>
                <w:szCs w:val="16"/>
                <w:color w:val="auto"/>
              </w:rPr>
            </w:pPr>
          </w:p>
        </w:tc>
        <w:tc>
          <w:tcPr>
            <w:tcW w:w="80" w:type="dxa"/>
            <w:vAlign w:val="bottom"/>
            <w:tcBorders>
              <w:top w:val="single" w:sz="8" w:color="CCEEFF"/>
              <w:bottom w:val="single" w:sz="8" w:color="auto"/>
            </w:tcBorders>
          </w:tcPr>
          <w:p>
            <w:pPr>
              <w:spacing w:after="0"/>
              <w:rPr>
                <w:sz w:val="16"/>
                <w:szCs w:val="16"/>
                <w:color w:val="auto"/>
              </w:rPr>
            </w:pPr>
          </w:p>
        </w:tc>
        <w:tc>
          <w:tcPr>
            <w:tcW w:w="680" w:type="dxa"/>
            <w:vAlign w:val="bottom"/>
            <w:tcBorders>
              <w:top w:val="single" w:sz="8" w:color="CCEEFF"/>
              <w:bottom w:val="single" w:sz="8" w:color="auto"/>
            </w:tcBorders>
          </w:tcPr>
          <w:p>
            <w:pPr>
              <w:spacing w:after="0"/>
              <w:rPr>
                <w:sz w:val="16"/>
                <w:szCs w:val="16"/>
                <w:color w:val="auto"/>
              </w:rPr>
            </w:pPr>
          </w:p>
        </w:tc>
        <w:tc>
          <w:tcPr>
            <w:tcW w:w="180" w:type="dxa"/>
            <w:vAlign w:val="bottom"/>
            <w:tcBorders>
              <w:top w:val="single" w:sz="8" w:color="CCEEFF"/>
              <w:bottom w:val="single" w:sz="8" w:color="auto"/>
            </w:tcBorders>
          </w:tcPr>
          <w:p>
            <w:pPr>
              <w:spacing w:after="0"/>
              <w:rPr>
                <w:sz w:val="16"/>
                <w:szCs w:val="16"/>
                <w:color w:val="auto"/>
              </w:rPr>
            </w:pPr>
          </w:p>
        </w:tc>
        <w:tc>
          <w:tcPr>
            <w:tcW w:w="100" w:type="dxa"/>
            <w:vAlign w:val="bottom"/>
            <w:tcBorders>
              <w:top w:val="single" w:sz="8" w:color="CCEEFF"/>
              <w:bottom w:val="single" w:sz="8" w:color="auto"/>
            </w:tcBorders>
          </w:tcPr>
          <w:p>
            <w:pPr>
              <w:spacing w:after="0"/>
              <w:rPr>
                <w:sz w:val="16"/>
                <w:szCs w:val="16"/>
                <w:color w:val="auto"/>
              </w:rPr>
            </w:pPr>
          </w:p>
        </w:tc>
        <w:tc>
          <w:tcPr>
            <w:tcW w:w="80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-5736590</wp:posOffset>
            </wp:positionV>
            <wp:extent cx="6071870" cy="5608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7">
                      <a:extLst>
                        <a:ext uri="{28A0092B-C50C-407E-A947-70E740481C1C}"/>
                      </a:extLst>
                    </a:blip>
                    <a:srcRect/>
                    <a:stretch>
                      <a:fillRect/>
                    </a:stretch>
                  </pic:blipFill>
                  <pic:spPr bwMode="auto">
                    <a:xfrm>
                      <a:off x="0" y="0"/>
                      <a:ext cx="6071870" cy="5608320"/>
                    </a:xfrm>
                    <a:prstGeom prst="rect">
                      <a:avLst/>
                    </a:prstGeom>
                    <a:noFill/>
                  </pic:spPr>
                </pic:pic>
              </a:graphicData>
            </a:graphic>
          </wp:anchor>
        </w:drawing>
      </w:r>
    </w:p>
    <w:p>
      <w:pPr>
        <w:spacing w:after="0" w:line="83" w:lineRule="exact"/>
        <w:rPr>
          <w:sz w:val="20"/>
          <w:szCs w:val="20"/>
          <w:color w:val="auto"/>
        </w:rPr>
      </w:pPr>
    </w:p>
    <w:p>
      <w:pPr>
        <w:ind w:left="347" w:hanging="347"/>
        <w:spacing w:after="0"/>
        <w:tabs>
          <w:tab w:leader="none" w:pos="347" w:val="left"/>
        </w:tabs>
        <w:numPr>
          <w:ilvl w:val="0"/>
          <w:numId w:val="52"/>
        </w:numPr>
        <w:rPr>
          <w:rFonts w:ascii="Arial" w:cs="Arial" w:eastAsia="Arial" w:hAnsi="Arial"/>
          <w:sz w:val="14"/>
          <w:szCs w:val="14"/>
          <w:color w:val="auto"/>
        </w:rPr>
      </w:pPr>
      <w:r>
        <w:rPr>
          <w:rFonts w:ascii="Arial" w:cs="Arial" w:eastAsia="Arial" w:hAnsi="Arial"/>
          <w:sz w:val="14"/>
          <w:szCs w:val="14"/>
          <w:color w:val="auto"/>
        </w:rPr>
        <w:t>Filed herewith.</w:t>
      </w:r>
    </w:p>
    <w:p>
      <w:pPr>
        <w:spacing w:after="0" w:line="109" w:lineRule="exact"/>
        <w:rPr>
          <w:sz w:val="20"/>
          <w:szCs w:val="20"/>
          <w:color w:val="auto"/>
        </w:rPr>
      </w:pPr>
    </w:p>
    <w:p>
      <w:pPr>
        <w:ind w:left="347" w:hanging="347"/>
        <w:spacing w:after="0"/>
        <w:tabs>
          <w:tab w:leader="none" w:pos="347" w:val="left"/>
        </w:tabs>
        <w:numPr>
          <w:ilvl w:val="0"/>
          <w:numId w:val="53"/>
        </w:numPr>
        <w:rPr>
          <w:rFonts w:ascii="Arial" w:cs="Arial" w:eastAsia="Arial" w:hAnsi="Arial"/>
          <w:sz w:val="14"/>
          <w:szCs w:val="14"/>
          <w:color w:val="auto"/>
        </w:rPr>
      </w:pPr>
      <w:r>
        <w:rPr>
          <w:rFonts w:ascii="Arial" w:cs="Arial" w:eastAsia="Arial" w:hAnsi="Arial"/>
          <w:sz w:val="14"/>
          <w:szCs w:val="14"/>
          <w:color w:val="auto"/>
        </w:rPr>
        <w:t>Identifies exhibits that consist of a management contract or compensatory plan or arrangement.</w:t>
      </w:r>
    </w:p>
    <w:p>
      <w:pPr>
        <w:spacing w:after="0" w:line="109" w:lineRule="exact"/>
        <w:rPr>
          <w:sz w:val="20"/>
          <w:szCs w:val="20"/>
          <w:color w:val="auto"/>
        </w:rPr>
      </w:pPr>
    </w:p>
    <w:p>
      <w:pPr>
        <w:ind w:left="347" w:right="40" w:hanging="347"/>
        <w:spacing w:after="0" w:line="273" w:lineRule="auto"/>
        <w:tabs>
          <w:tab w:leader="none" w:pos="347" w:val="left"/>
        </w:tabs>
        <w:numPr>
          <w:ilvl w:val="0"/>
          <w:numId w:val="54"/>
        </w:numPr>
        <w:rPr>
          <w:rFonts w:ascii="Arial" w:cs="Arial" w:eastAsia="Arial" w:hAnsi="Arial"/>
          <w:sz w:val="14"/>
          <w:szCs w:val="14"/>
          <w:color w:val="auto"/>
        </w:rPr>
      </w:pPr>
      <w:r>
        <w:rPr>
          <w:rFonts w:ascii="Arial" w:cs="Arial" w:eastAsia="Arial" w:hAnsi="Arial"/>
          <w:sz w:val="14"/>
          <w:szCs w:val="14"/>
          <w:color w:val="auto"/>
        </w:rPr>
        <w:t>Confidential treatment has been requested with respect to certain portions of identified exhibits. Omitted portions have been filed separately with the Securities and Exchange Commission.</w:t>
      </w:r>
    </w:p>
    <w:p>
      <w:pPr>
        <w:spacing w:after="0" w:line="165"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297815</wp:posOffset>
            </wp:positionV>
            <wp:extent cx="6071870" cy="431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8">
                      <a:extLst>
                        <a:ext uri="{28A0092B-C50C-407E-A947-70E740481C1C}"/>
                      </a:extLst>
                    </a:blip>
                    <a:srcRect/>
                    <a:stretch>
                      <a:fillRect/>
                    </a:stretch>
                  </pic:blipFill>
                  <pic:spPr bwMode="auto">
                    <a:xfrm>
                      <a:off x="0" y="0"/>
                      <a:ext cx="6071870" cy="43180"/>
                    </a:xfrm>
                    <a:prstGeom prst="rect">
                      <a:avLst/>
                    </a:prstGeom>
                    <a:noFill/>
                  </pic:spPr>
                </pic:pic>
              </a:graphicData>
            </a:graphic>
          </wp:anchor>
        </w:drawing>
      </w:r>
    </w:p>
    <w:p>
      <w:pPr>
        <w:sectPr>
          <w:pgSz w:w="11900" w:h="16838" w:orient="portrait"/>
          <w:cols w:equalWidth="0" w:num="1">
            <w:col w:w="9567"/>
          </w:cols>
          <w:pgMar w:left="1173" w:top="279" w:right="11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8">
        <w:r>
          <w:rPr>
            <w:rFonts w:ascii="Arial" w:cs="Arial" w:eastAsia="Arial" w:hAnsi="Arial"/>
            <w:sz w:val="14"/>
            <w:szCs w:val="14"/>
            <w:b w:val="1"/>
            <w:bCs w:val="1"/>
            <w:u w:val="single" w:color="auto"/>
            <w:color w:val="0000EE"/>
          </w:rPr>
          <w:t>TABLE OF CONTENTS</w:t>
        </w:r>
      </w:hyperlink>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40" w:firstLine="360"/>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Duluth, Georgia, on March 12, 2018.</w:t>
      </w:r>
    </w:p>
    <w:p>
      <w:pPr>
        <w:spacing w:after="0" w:line="3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National Vision Holdings, Inc.</w:t>
      </w:r>
    </w:p>
    <w:p>
      <w:pPr>
        <w:spacing w:after="0" w:line="279" w:lineRule="exact"/>
        <w:rPr>
          <w:sz w:val="20"/>
          <w:szCs w:val="20"/>
          <w:color w:val="auto"/>
        </w:rPr>
      </w:pPr>
    </w:p>
    <w:tbl>
      <w:tblPr>
        <w:tblLayout w:type="fixed"/>
        <w:tblInd w:w="540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6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/s/ L. Reade Fahs</w:t>
            </w:r>
          </w:p>
        </w:tc>
      </w:tr>
      <w:tr>
        <w:trPr>
          <w:trHeight w:val="237"/>
        </w:trPr>
        <w:tc>
          <w:tcPr>
            <w:tcW w:w="560" w:type="dxa"/>
            <w:vAlign w:val="bottom"/>
          </w:tcPr>
          <w:p>
            <w:pPr>
              <w:spacing w:after="0"/>
              <w:rPr>
                <w:sz w:val="20"/>
                <w:szCs w:val="20"/>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Name:</w:t>
            </w:r>
          </w:p>
        </w:tc>
        <w:tc>
          <w:tcPr>
            <w:tcW w:w="2840" w:type="dxa"/>
            <w:vAlign w:val="bottom"/>
          </w:tcPr>
          <w:p>
            <w:pPr>
              <w:ind w:left="200"/>
              <w:spacing w:after="0"/>
              <w:rPr>
                <w:sz w:val="20"/>
                <w:szCs w:val="20"/>
                <w:color w:val="auto"/>
              </w:rPr>
            </w:pPr>
            <w:r>
              <w:rPr>
                <w:rFonts w:ascii="Arial" w:cs="Arial" w:eastAsia="Arial" w:hAnsi="Arial"/>
                <w:sz w:val="18"/>
                <w:szCs w:val="18"/>
                <w:color w:val="auto"/>
              </w:rPr>
              <w:t>L. Reade Fahs</w:t>
            </w:r>
          </w:p>
        </w:tc>
      </w:tr>
      <w:tr>
        <w:trPr>
          <w:trHeight w:val="243"/>
        </w:trPr>
        <w:tc>
          <w:tcPr>
            <w:tcW w:w="560" w:type="dxa"/>
            <w:vAlign w:val="bottom"/>
          </w:tcPr>
          <w:p>
            <w:pPr>
              <w:spacing w:after="0"/>
              <w:rPr>
                <w:sz w:val="21"/>
                <w:szCs w:val="21"/>
                <w:color w:val="auto"/>
              </w:rPr>
            </w:pPr>
          </w:p>
        </w:tc>
        <w:tc>
          <w:tcPr>
            <w:tcW w:w="760" w:type="dxa"/>
            <w:vAlign w:val="bottom"/>
          </w:tcPr>
          <w:p>
            <w:pPr>
              <w:ind w:left="100"/>
              <w:spacing w:after="0"/>
              <w:rPr>
                <w:sz w:val="20"/>
                <w:szCs w:val="20"/>
                <w:color w:val="auto"/>
              </w:rPr>
            </w:pPr>
            <w:r>
              <w:rPr>
                <w:rFonts w:ascii="Arial" w:cs="Arial" w:eastAsia="Arial" w:hAnsi="Arial"/>
                <w:sz w:val="18"/>
                <w:szCs w:val="18"/>
                <w:color w:val="auto"/>
              </w:rPr>
              <w:t>Title:</w:t>
            </w:r>
          </w:p>
        </w:tc>
        <w:tc>
          <w:tcPr>
            <w:tcW w:w="2840" w:type="dxa"/>
            <w:vAlign w:val="bottom"/>
          </w:tcPr>
          <w:p>
            <w:pPr>
              <w:ind w:left="200"/>
              <w:spacing w:after="0"/>
              <w:rPr>
                <w:sz w:val="20"/>
                <w:szCs w:val="20"/>
                <w:color w:val="auto"/>
              </w:rPr>
            </w:pPr>
            <w:r>
              <w:rPr>
                <w:rFonts w:ascii="Arial" w:cs="Arial" w:eastAsia="Arial" w:hAnsi="Arial"/>
                <w:sz w:val="18"/>
                <w:szCs w:val="18"/>
                <w:color w:val="auto"/>
              </w:rPr>
              <w:t>Chief Executive Officer</w:t>
            </w: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ind w:right="40" w:firstLine="360"/>
        <w:spacing w:after="0" w:line="286"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L. Reade Fahs, Patrick R. Moore, Mitchell Goodman and each of them, the true and lawful attorneys-in-fact and agents of the undersigned, with full power of substitution and resubstitution, for and in the name, place and stead of the undersigned, to sign in any and all capacities (including, without limitation, the capacities listed below), the registration statement, any and all amendments (including post-effective amendments) to the registration statement and any and all successor registration statements of National Vision Holdings, Inc., including any filings pursuant to Rule 462(b) under the Securities Act of 1933, as amended, and to file the same, with all exhibits thereto, and all other documents in connection therewith, with the Securities and Exchange Commission, and hereby grants to such attorneys-in-fact and agents, and each of them, full power and authority to do and perform each and every act and anything necessary to be done to enable National Vision Holdings, Inc. to comply with the provisions of the Securities Act and all the requirements of the Securities and Exchange Commission, as fully to all intents and purposes as the undersigned might or could do in person, hereby ratifying and confirming all that said attorneys-in-fact and agents, or any of them, or their or his or her substitute, or substitutes, may lawfully do or cause to be done by virtue hereof. Pursuant to the requirements of the Securities Act, this registration statement has been signed by the following person in the capacities indicated on March 12,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00" w:type="dxa"/>
            <w:vAlign w:val="bottom"/>
          </w:tcPr>
          <w:p>
            <w:pPr>
              <w:spacing w:after="0"/>
              <w:rPr>
                <w:sz w:val="14"/>
                <w:szCs w:val="14"/>
                <w:color w:val="auto"/>
              </w:rPr>
            </w:pPr>
          </w:p>
        </w:tc>
        <w:tc>
          <w:tcPr>
            <w:tcW w:w="4800" w:type="dxa"/>
            <w:vAlign w:val="bottom"/>
            <w:tcBorders>
              <w:bottom w:val="single" w:sz="8" w:color="auto"/>
            </w:tcBorders>
          </w:tcPr>
          <w:p>
            <w:pPr>
              <w:ind w:left="2140"/>
              <w:spacing w:after="0"/>
              <w:rPr>
                <w:sz w:val="20"/>
                <w:szCs w:val="20"/>
                <w:color w:val="auto"/>
              </w:rPr>
            </w:pPr>
            <w:r>
              <w:rPr>
                <w:rFonts w:ascii="Arial" w:cs="Arial" w:eastAsia="Arial" w:hAnsi="Arial"/>
                <w:sz w:val="14"/>
                <w:szCs w:val="14"/>
                <w:b w:val="1"/>
                <w:bCs w:val="1"/>
                <w:color w:val="auto"/>
              </w:rPr>
              <w:t>Capacity</w:t>
            </w:r>
          </w:p>
        </w:tc>
        <w:tc>
          <w:tcPr>
            <w:tcW w:w="20" w:type="dxa"/>
            <w:vAlign w:val="bottom"/>
          </w:tcPr>
          <w:p>
            <w:pPr>
              <w:spacing w:after="0"/>
              <w:rPr>
                <w:sz w:val="14"/>
                <w:szCs w:val="14"/>
                <w:color w:val="auto"/>
              </w:rPr>
            </w:pPr>
          </w:p>
        </w:tc>
      </w:tr>
      <w:tr>
        <w:trPr>
          <w:trHeight w:val="480"/>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L. Reade Fahs</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Chief Executive Officer and 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88"/>
              </w:rPr>
              <w:t>L. Reade Fahs</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Patrick R. Moore</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2"/>
              </w:rPr>
              <w:t>Senior Vice President, Chief Financial Officer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2"/>
              </w:rPr>
              <w:t>Patrick R. Moore</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Chris Beasley</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1"/>
              </w:rPr>
              <w:t>Senior Vice President, Accounting</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0"/>
              </w:rPr>
              <w:t>Chris Beasley</w:t>
            </w:r>
          </w:p>
        </w:tc>
        <w:tc>
          <w:tcPr>
            <w:tcW w:w="100" w:type="dxa"/>
            <w:vAlign w:val="bottom"/>
          </w:tcPr>
          <w:p>
            <w:pPr>
              <w:spacing w:after="0"/>
              <w:rPr>
                <w:sz w:val="20"/>
                <w:szCs w:val="20"/>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3"/>
              </w:rPr>
              <w:t>(principal accounting officer)</w:t>
            </w: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Felix Gernburd</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4"/>
              </w:rPr>
              <w:t>Felix Gernburd</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Virginia A. Hepner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4"/>
              </w:rPr>
              <w:t>Virginia A. Hepner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D. Randolph Peeler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89"/>
              </w:rPr>
              <w:t>D. Randolph Peeler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Nathaniel H. Taylor</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3"/>
              </w:rPr>
              <w:t>Nathaniel H. Taylor</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6"/>
        </w:trPr>
        <w:tc>
          <w:tcPr>
            <w:tcW w:w="4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David M. Tehle</w:t>
            </w:r>
          </w:p>
        </w:tc>
        <w:tc>
          <w:tcPr>
            <w:tcW w:w="100" w:type="dxa"/>
            <w:vAlign w:val="bottom"/>
          </w:tcPr>
          <w:p>
            <w:pPr>
              <w:spacing w:after="0"/>
              <w:rPr>
                <w:sz w:val="24"/>
                <w:szCs w:val="24"/>
                <w:color w:val="auto"/>
              </w:rPr>
            </w:pPr>
          </w:p>
        </w:tc>
        <w:tc>
          <w:tcPr>
            <w:tcW w:w="4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0" w:type="dxa"/>
            <w:vAlign w:val="bottom"/>
          </w:tcPr>
          <w:p>
            <w:pPr>
              <w:spacing w:after="0"/>
              <w:rPr>
                <w:sz w:val="24"/>
                <w:szCs w:val="24"/>
                <w:color w:val="auto"/>
              </w:rPr>
            </w:pPr>
          </w:p>
        </w:tc>
      </w:tr>
      <w:tr>
        <w:trPr>
          <w:trHeight w:val="237"/>
        </w:trPr>
        <w:tc>
          <w:tcPr>
            <w:tcW w:w="4640" w:type="dxa"/>
            <w:vAlign w:val="bottom"/>
          </w:tcPr>
          <w:p>
            <w:pPr>
              <w:jc w:val="center"/>
              <w:spacing w:after="0"/>
              <w:rPr>
                <w:sz w:val="20"/>
                <w:szCs w:val="20"/>
                <w:color w:val="auto"/>
              </w:rPr>
            </w:pPr>
            <w:r>
              <w:rPr>
                <w:rFonts w:ascii="Arial" w:cs="Arial" w:eastAsia="Arial" w:hAnsi="Arial"/>
                <w:sz w:val="18"/>
                <w:szCs w:val="18"/>
                <w:color w:val="auto"/>
                <w:w w:val="92"/>
              </w:rPr>
              <w:t>David M. Tehle</w:t>
            </w:r>
          </w:p>
        </w:tc>
        <w:tc>
          <w:tcPr>
            <w:tcW w:w="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6"/>
        </w:trPr>
        <w:tc>
          <w:tcPr>
            <w:tcW w:w="4640" w:type="dxa"/>
            <w:vAlign w:val="bottom"/>
          </w:tcPr>
          <w:p>
            <w:pPr>
              <w:spacing w:after="0"/>
              <w:rPr>
                <w:sz w:val="24"/>
                <w:szCs w:val="24"/>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II-9</w:t>
            </w:r>
          </w:p>
        </w:tc>
        <w:tc>
          <w:tcPr>
            <w:tcW w:w="20" w:type="dxa"/>
            <w:vAlign w:val="bottom"/>
          </w:tcPr>
          <w:p>
            <w:pPr>
              <w:spacing w:after="0"/>
              <w:rPr>
                <w:sz w:val="24"/>
                <w:szCs w:val="24"/>
                <w:color w:val="auto"/>
              </w:rPr>
            </w:pPr>
          </w:p>
        </w:tc>
      </w:tr>
      <w:tr>
        <w:trPr>
          <w:trHeight w:val="446"/>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4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48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9560"/>
          </w:cols>
          <w:pgMar w:left="1180" w:top="279" w:right="115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National Vision Holdings, Inc.</w:t>
      </w:r>
    </w:p>
    <w:p>
      <w:pPr>
        <w:spacing w:after="0" w:line="232" w:lineRule="exact"/>
        <w:rPr>
          <w:sz w:val="20"/>
          <w:szCs w:val="20"/>
          <w:color w:val="auto"/>
        </w:rPr>
      </w:pPr>
    </w:p>
    <w:p>
      <w:pPr>
        <w:ind w:left="5040" w:right="5040" w:firstLine="168"/>
        <w:spacing w:after="0" w:line="276" w:lineRule="auto"/>
        <w:tabs>
          <w:tab w:leader="none" w:pos="5335" w:val="left"/>
        </w:tabs>
        <w:numPr>
          <w:ilvl w:val="0"/>
          <w:numId w:val="55"/>
        </w:numPr>
        <w:rPr>
          <w:rFonts w:ascii="Arial" w:cs="Arial" w:eastAsia="Arial" w:hAnsi="Arial"/>
          <w:sz w:val="19"/>
          <w:szCs w:val="19"/>
          <w:color w:val="auto"/>
        </w:rPr>
      </w:pPr>
      <w:r>
        <w:rPr>
          <w:rFonts w:ascii="Arial" w:cs="Arial" w:eastAsia="Arial" w:hAnsi="Arial"/>
          <w:sz w:val="19"/>
          <w:szCs w:val="19"/>
          <w:color w:val="auto"/>
        </w:rPr>
        <w:t>● ] Shares Common Stock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($0.01 par value)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Underwriting Agreement</w:t>
      </w:r>
    </w:p>
    <w:p>
      <w:pPr>
        <w:spacing w:after="0" w:line="2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40" w:firstLine="1297"/>
        <w:spacing w:after="0" w:line="324" w:lineRule="auto"/>
        <w:rPr>
          <w:sz w:val="20"/>
          <w:szCs w:val="20"/>
          <w:color w:val="auto"/>
        </w:rPr>
      </w:pPr>
      <w:r>
        <w:rPr>
          <w:rFonts w:ascii="Arial" w:cs="Arial" w:eastAsia="Arial" w:hAnsi="Arial"/>
          <w:sz w:val="16"/>
          <w:szCs w:val="16"/>
          <w:color w:val="auto"/>
        </w:rPr>
        <w:t>Each of (i) KKR Vision Aggregator L.P. (the “KKR Selling Stockholder”), (ii) Berkshire Fund VI, Limited Partnership, Berkshire Investors LLC and Berkshire Investors III LLC (collectively, the “Berkshire Selling Stockholders”) and (iii) the other selling stockholders named on Schedule I(B) hereto (collectively, the “Management Selling Stockholders” and together with the KKR Selling Stockholder and the Berkshire Selling Stockholders, the “Selling Stockholders”), as a stockholder of National Vision Holdings, Inc., a Delaware corporation (the “Company”), proposes to sell to the several underwriters named in Schedule I(A) hereto (the “Underwriters”), for whom you (the “Representatives”) are acting as representatives, the number of shares (the “Shares”) of the Company’s common stock, par value $0.01 per share (“Common Stock”), set forth next to such Selling Stockholder’s name on Schedule I(B) hereto. The aggregate [ ● ] Shares to be sold by the Selling Stockholders are herein called the “Underwritten Securities”. The Selling Stockholders also propose to grant to the Underwriters an option to purchase up to [ ● ] additional shares of Common Stock (the “Option Securities”; the Option Securities, together with the Underwritten Securities, being hereinafter called the “Securities”). Certain terms used herein are defined in Section 23 hereof.</w:t>
      </w:r>
    </w:p>
    <w:p>
      <w:pPr>
        <w:spacing w:after="0" w:line="19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Company and the Selling Stockholders hereby confirm their respective agreements with the Underwriters as follows:</w:t>
      </w:r>
    </w:p>
    <w:p>
      <w:pPr>
        <w:spacing w:after="0" w:line="279" w:lineRule="exact"/>
        <w:rPr>
          <w:sz w:val="20"/>
          <w:szCs w:val="20"/>
          <w:color w:val="auto"/>
        </w:rPr>
      </w:pPr>
    </w:p>
    <w:p>
      <w:pPr>
        <w:ind w:right="80" w:firstLine="656"/>
        <w:spacing w:after="0" w:line="309" w:lineRule="auto"/>
        <w:tabs>
          <w:tab w:leader="none" w:pos="1368"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to, and agrees with, each Underwriter as set forth below in this Section 1.</w:t>
      </w:r>
    </w:p>
    <w:p>
      <w:pPr>
        <w:spacing w:after="0" w:line="196" w:lineRule="exact"/>
        <w:rPr>
          <w:sz w:val="20"/>
          <w:szCs w:val="20"/>
          <w:color w:val="auto"/>
        </w:rPr>
      </w:pPr>
    </w:p>
    <w:p>
      <w:pPr>
        <w:ind w:right="20" w:firstLine="656"/>
        <w:spacing w:after="0" w:line="304" w:lineRule="auto"/>
        <w:tabs>
          <w:tab w:leader="none" w:pos="13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a registration statement (file number 333-[ ● ]) on Form S-1, including a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a related preliminary prospectus, each of which has previously been furnished to you. The Company will file with the Commission a final prospectus in accordance with Rule 424(b). As filed, such final prospectus shall contain all information required by the Act and the rules thereunder and, except to the extent the Representatives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w:t>
      </w:r>
    </w:p>
    <w:p>
      <w:pPr>
        <w:sectPr>
          <w:pgSz w:w="11900" w:h="16838" w:orient="portrait"/>
          <w:cols w:equalWidth="0" w:num="1">
            <w:col w:w="11420"/>
          </w:cols>
          <w:pgMar w:left="240" w:top="283" w:right="239" w:bottom="952" w:gutter="0" w:footer="0" w:header="0"/>
        </w:sectPr>
      </w:pP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3" w:right="239" w:bottom="952" w:gutter="0" w:footer="0" w:header="0"/>
          <w:type w:val="continuous"/>
        </w:sectPr>
      </w:pPr>
    </w:p>
    <w:bookmarkStart w:id="74" w:name="page75"/>
    <w:bookmarkEnd w:id="74"/>
    <w:p>
      <w:pPr>
        <w:ind w:left="-20" w:firstLine="656"/>
        <w:spacing w:after="0" w:line="320" w:lineRule="auto"/>
        <w:tabs>
          <w:tab w:leader="none" w:pos="1333"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and the rules thereunder; on the Effective Date, at the Execution Time and on the Closing Date, the Registration Statement did not and will not contain any untrue statement of a material fact or omit to state any material fact required to be stated therein or necessary to make the statements therein not misleading; and on the date of any filing pursuant to Rule 424(b) and on the Closing Date and any settlement date, the Prospectus (together with any supplement thereto) will not include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Representatives specifically for inclusion in the Registration Statement or the Prospectus (or any supplement thereto); it being understood and agreed that the only such information furnished by any Underwriter consists of the information described as such in Section 10(c) below. The documents incorporated by reference in the Registration Statement and the Prospectus, when they were filed with the Commission, conformed in all material respects to the requirements of the Exchange Act, and the rules thereunder, and none of such documents contained any untrue statement of a material fact or omitted to state any material fact necessary to make the statements therein, in the light of the circumstances under which they were made, not misleading; any further documents so filed and incorporated by reference in the Prospectus or any further amendment or supplement thereto, when such documents are filed with the Commission, will conform in all material respects to the requirements of the Exchange Act, and the rules thereunder and will not contain any untrue statement of a material fact or omit to state any material fact necessary to make the statements therein, in the light of the circumstances under which they were made, not misleading.</w:t>
      </w:r>
    </w:p>
    <w:p>
      <w:pPr>
        <w:spacing w:after="0" w:line="203" w:lineRule="exact"/>
        <w:rPr>
          <w:rFonts w:ascii="Arial" w:cs="Arial" w:eastAsia="Arial" w:hAnsi="Arial"/>
          <w:sz w:val="16"/>
          <w:szCs w:val="16"/>
          <w:color w:val="auto"/>
        </w:rPr>
      </w:pPr>
    </w:p>
    <w:p>
      <w:pPr>
        <w:ind w:left="-20" w:right="100" w:firstLine="656"/>
        <w:spacing w:after="0" w:line="286" w:lineRule="auto"/>
        <w:tabs>
          <w:tab w:leader="none" w:pos="1323"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The Disclosure Package and the price to the public, the number of Underwritten Securities and the number of Option Securities to be included on the cover page of the Prospectus, when taken together as a whole, and (ii) each electronic road show, when taken together as a whole with the Disclosure Package and the price to the public, the number of Underwritten Securities and the number of Option Securities to be included on the cover page of the Prospectus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or on behalf of any Underwriter through the Representatives specifically for use therein.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75" w:name="page76"/>
    <w:bookmarkEnd w:id="75"/>
    <w:p>
      <w:pPr>
        <w:ind w:left="-20" w:right="60" w:firstLine="656"/>
        <w:spacing w:after="0" w:line="319" w:lineRule="auto"/>
        <w:tabs>
          <w:tab w:leader="none" w:pos="1333" w:val="left"/>
        </w:tabs>
        <w:numPr>
          <w:ilvl w:val="0"/>
          <w:numId w:val="59"/>
        </w:numPr>
        <w:rPr>
          <w:rFonts w:ascii="Arial" w:cs="Arial" w:eastAsia="Arial" w:hAnsi="Arial"/>
          <w:sz w:val="17"/>
          <w:szCs w:val="17"/>
          <w:color w:val="auto"/>
        </w:rPr>
      </w:pPr>
      <w:r>
        <w:rPr>
          <w:rFonts w:ascii="Arial" w:cs="Arial" w:eastAsia="Arial" w:hAnsi="Arial"/>
          <w:sz w:val="17"/>
          <w:szCs w:val="17"/>
          <w:color w:val="auto"/>
        </w:rPr>
        <w:t>(i) At the time of filing the Registration Statement and (ii) as of the Execution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192" w:lineRule="exact"/>
        <w:rPr>
          <w:rFonts w:ascii="Arial" w:cs="Arial" w:eastAsia="Arial" w:hAnsi="Arial"/>
          <w:sz w:val="17"/>
          <w:szCs w:val="17"/>
          <w:color w:val="auto"/>
        </w:rPr>
      </w:pPr>
    </w:p>
    <w:p>
      <w:pPr>
        <w:ind w:left="-20" w:right="100" w:firstLine="656"/>
        <w:spacing w:after="0" w:line="347" w:lineRule="auto"/>
        <w:tabs>
          <w:tab w:leader="none" w:pos="1368" w:val="left"/>
        </w:tabs>
        <w:numPr>
          <w:ilvl w:val="0"/>
          <w:numId w:val="59"/>
        </w:numPr>
        <w:rPr>
          <w:rFonts w:ascii="Arial" w:cs="Arial" w:eastAsia="Arial" w:hAnsi="Arial"/>
          <w:sz w:val="16"/>
          <w:szCs w:val="16"/>
          <w:color w:val="auto"/>
        </w:rPr>
      </w:pPr>
      <w:r>
        <w:rPr>
          <w:rFonts w:ascii="Arial" w:cs="Arial" w:eastAsia="Arial" w:hAnsi="Arial"/>
          <w:sz w:val="16"/>
          <w:szCs w:val="16"/>
          <w:color w:val="auto"/>
        </w:rPr>
        <w:t>Each Issuer Free Writing Prospectus does not include any information that conflicts with the information contained in the Registration Statement. The foregoing sentence does not apply to statements in or omissions from any Issuer Free Writing Prospectus based upon and in conformity with written information furnished to the Company by or on behalf of any Underwriter through the Representatives specifically for use therein.</w:t>
      </w:r>
    </w:p>
    <w:p>
      <w:pPr>
        <w:spacing w:after="0" w:line="174" w:lineRule="exact"/>
        <w:rPr>
          <w:rFonts w:ascii="Arial" w:cs="Arial" w:eastAsia="Arial" w:hAnsi="Arial"/>
          <w:sz w:val="16"/>
          <w:szCs w:val="16"/>
          <w:color w:val="auto"/>
        </w:rPr>
      </w:pPr>
    </w:p>
    <w:p>
      <w:pPr>
        <w:ind w:left="-20" w:firstLine="656"/>
        <w:spacing w:after="0" w:line="309" w:lineRule="auto"/>
        <w:tabs>
          <w:tab w:leader="none" w:pos="134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None of the Company or any Significant Subsidiary (as defined below) is an “investment company” as defined in the Investment Company Act, without taking account of any exemption arising out of the number of holders of the Company’s securities.</w:t>
      </w:r>
    </w:p>
    <w:p>
      <w:pPr>
        <w:spacing w:after="0" w:line="196" w:lineRule="exact"/>
        <w:rPr>
          <w:rFonts w:ascii="Arial" w:cs="Arial" w:eastAsia="Arial" w:hAnsi="Arial"/>
          <w:sz w:val="18"/>
          <w:szCs w:val="18"/>
          <w:color w:val="auto"/>
        </w:rPr>
      </w:pPr>
    </w:p>
    <w:p>
      <w:pPr>
        <w:ind w:left="-20" w:right="640" w:firstLine="656"/>
        <w:spacing w:after="0" w:line="309" w:lineRule="auto"/>
        <w:tabs>
          <w:tab w:leader="none" w:pos="13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paid or agreed to pay to any person any compensation for soliciting another to purchase any Securities (except as contemplated in this Agreement).</w:t>
      </w:r>
    </w:p>
    <w:p>
      <w:pPr>
        <w:spacing w:after="0" w:line="196" w:lineRule="exact"/>
        <w:rPr>
          <w:rFonts w:ascii="Arial" w:cs="Arial" w:eastAsia="Arial" w:hAnsi="Arial"/>
          <w:sz w:val="18"/>
          <w:szCs w:val="18"/>
          <w:color w:val="auto"/>
        </w:rPr>
      </w:pPr>
    </w:p>
    <w:p>
      <w:pPr>
        <w:ind w:left="-20" w:right="100" w:firstLine="656"/>
        <w:spacing w:after="0" w:line="319" w:lineRule="auto"/>
        <w:tabs>
          <w:tab w:leader="none" w:pos="1333" w:val="left"/>
        </w:tabs>
        <w:numPr>
          <w:ilvl w:val="0"/>
          <w:numId w:val="59"/>
        </w:numPr>
        <w:rPr>
          <w:rFonts w:ascii="Arial" w:cs="Arial" w:eastAsia="Arial" w:hAnsi="Arial"/>
          <w:sz w:val="17"/>
          <w:szCs w:val="17"/>
          <w:color w:val="auto"/>
        </w:rPr>
      </w:pPr>
      <w:r>
        <w:rPr>
          <w:rFonts w:ascii="Arial" w:cs="Arial" w:eastAsia="Arial" w:hAnsi="Arial"/>
          <w:sz w:val="17"/>
          <w:szCs w:val="17"/>
          <w:color w:val="auto"/>
        </w:rPr>
        <w:t>None of the Company or any of its subsidiaries or any of their respective Affiliates has taken or will take, directly or indirectly, any action designed to or that has constituted or that would reasonably be expected to cause or result, under the Exchange Act or otherwise, in stabilization or manipulation of the price of any security of the Company or any of its subsidiaries to facilitate the sale or resale of the Securities.</w:t>
      </w:r>
    </w:p>
    <w:p>
      <w:pPr>
        <w:spacing w:after="0" w:line="192" w:lineRule="exact"/>
        <w:rPr>
          <w:rFonts w:ascii="Arial" w:cs="Arial" w:eastAsia="Arial" w:hAnsi="Arial"/>
          <w:sz w:val="17"/>
          <w:szCs w:val="17"/>
          <w:color w:val="auto"/>
        </w:rPr>
      </w:pPr>
    </w:p>
    <w:p>
      <w:pPr>
        <w:ind w:left="-20" w:right="20" w:firstLine="656"/>
        <w:spacing w:after="0" w:line="304" w:lineRule="auto"/>
        <w:tabs>
          <w:tab w:leader="none" w:pos="1338" w:val="left"/>
        </w:tabs>
        <w:numPr>
          <w:ilvl w:val="0"/>
          <w:numId w:val="59"/>
        </w:numPr>
        <w:rPr>
          <w:rFonts w:ascii="Arial" w:cs="Arial" w:eastAsia="Arial" w:hAnsi="Arial"/>
          <w:sz w:val="17"/>
          <w:szCs w:val="17"/>
          <w:color w:val="auto"/>
        </w:rPr>
      </w:pPr>
      <w:r>
        <w:rPr>
          <w:rFonts w:ascii="Arial" w:cs="Arial" w:eastAsia="Arial" w:hAnsi="Arial"/>
          <w:sz w:val="17"/>
          <w:szCs w:val="17"/>
          <w:color w:val="auto"/>
        </w:rPr>
        <w:t>Each of the Company and its subsidiaries (i) has been duly organized and is validly existing as an entity in good standing under the laws of the jurisdiction in which it is chartered or organized, (ii) has full corporate or other organizational power and authority to own or lease, as the case may be, and to operate its properties and conduct its business as described in the Disclosure Package and the Prospectus, and (iii) is duly qualified to do business as a foreign corporation or other entity and is in good standing under the laws of each jurisdiction where the ownership or leasing of its properties or the conduct of its business requires such qualification except, in the case of its subsidiaries, and solely with respect to clause (iii), the Company, where the failure to be so organized or qualified, have such power or authority or be in good standing would not have a material adverse effect, or reasonably be expected to have a prospective material adverse effect, on the condition (financial or otherwise), business or results of operations of the Company and its subsidiaries, taken as a whole (a “Material Adverse Effect”).</w:t>
      </w:r>
    </w:p>
    <w:p>
      <w:pPr>
        <w:spacing w:after="0" w:line="207" w:lineRule="exact"/>
        <w:rPr>
          <w:rFonts w:ascii="Arial" w:cs="Arial" w:eastAsia="Arial" w:hAnsi="Arial"/>
          <w:sz w:val="17"/>
          <w:szCs w:val="17"/>
          <w:color w:val="auto"/>
        </w:rPr>
      </w:pPr>
    </w:p>
    <w:p>
      <w:pPr>
        <w:ind w:left="-20" w:right="220" w:firstLine="656"/>
        <w:spacing w:after="0" w:line="309" w:lineRule="auto"/>
        <w:tabs>
          <w:tab w:leader="none" w:pos="1338"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Company has no “significant subsidiary,” as defined in Rule 1-02(w) of Regulation S-X under the Act, other than those subsidiaries listed on Schedule III (each, a “Significant Subsidiary”).</w:t>
      </w:r>
    </w:p>
    <w:p>
      <w:pPr>
        <w:spacing w:after="0" w:line="196" w:lineRule="exact"/>
        <w:rPr>
          <w:rFonts w:ascii="Arial" w:cs="Arial" w:eastAsia="Arial" w:hAnsi="Arial"/>
          <w:sz w:val="18"/>
          <w:szCs w:val="18"/>
          <w:color w:val="auto"/>
        </w:rPr>
      </w:pPr>
    </w:p>
    <w:p>
      <w:pPr>
        <w:ind w:left="-20" w:right="20" w:firstLine="656"/>
        <w:spacing w:after="0" w:line="302" w:lineRule="auto"/>
        <w:tabs>
          <w:tab w:leader="none" w:pos="1333" w:val="left"/>
        </w:tabs>
        <w:numPr>
          <w:ilvl w:val="0"/>
          <w:numId w:val="59"/>
        </w:numPr>
        <w:rPr>
          <w:rFonts w:ascii="Arial" w:cs="Arial" w:eastAsia="Arial" w:hAnsi="Arial"/>
          <w:sz w:val="17"/>
          <w:szCs w:val="17"/>
          <w:color w:val="auto"/>
        </w:rPr>
      </w:pPr>
      <w:r>
        <w:rPr>
          <w:rFonts w:ascii="Arial" w:cs="Arial" w:eastAsia="Arial" w:hAnsi="Arial"/>
          <w:sz w:val="17"/>
          <w:szCs w:val="17"/>
          <w:color w:val="auto"/>
        </w:rPr>
        <w:t>As of December 30, 2017, the Company and its subsidiaries had the issued and outstanding capitalization as set forth in Disclosure Package and the Prospectus under the heading “Capitalization”, and all the outstanding shares of capital stock or membership interests, as applicable, of the Company (including the Securities to be sold by the Selling Stockholders) and each subsidiary listed on Exhibit 21 of the Registration Statement have been duly authorized and validly issued, are fully paid and nonassessable, if applicable, and were not issued in violation of any preemptive or similar rights and, except as otherwise set forth in the Disclosure Package and the Prospectus, as of the Closing Date, all outstanding shares of capital stock or membership interests of the subsidiaries held by the Company are owned either directly or indirectly free and clear of any security interest, claim, lien or encumbrance (other than liens, encumbrances and restrictions imposed in connection with the first lien senior secured credit facilities (the “Credit Facilities”) or permitted under the Credit Facilities or by the Act). Except as disclosed in the Disclosure Package and the Prospectus, except in connection with equity investments by, or awards of stock options or other equity-based awards to, members of management or other employees of the Company, or any directors, contractors or agents of the Company, as described in the Disclosure Package and the Prospectus, there will be, on the Closing Date, no (i) outstanding options, warrants or other rights to purchase, (ii) agreements or other obligations to issue or (iii) other rights to convert any obligation into, or exchange any securities for, shares of capital stock of or ownership interests in the Company or any of its subsidiaries.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76" w:name="page77"/>
    <w:bookmarkEnd w:id="76"/>
    <w:p>
      <w:pPr>
        <w:ind w:left="1352" w:hanging="704"/>
        <w:spacing w:after="0"/>
        <w:tabs>
          <w:tab w:leader="none" w:pos="1352"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the Company.</w:t>
      </w:r>
    </w:p>
    <w:p>
      <w:pPr>
        <w:spacing w:after="0" w:line="279" w:lineRule="exact"/>
        <w:rPr>
          <w:rFonts w:ascii="Arial" w:cs="Arial" w:eastAsia="Arial" w:hAnsi="Arial"/>
          <w:sz w:val="18"/>
          <w:szCs w:val="18"/>
          <w:color w:val="auto"/>
        </w:rPr>
      </w:pPr>
    </w:p>
    <w:p>
      <w:pPr>
        <w:ind w:left="-8" w:right="100" w:firstLine="656"/>
        <w:spacing w:after="0" w:line="286" w:lineRule="auto"/>
        <w:tabs>
          <w:tab w:leader="none" w:pos="1350" w:val="left"/>
        </w:tabs>
        <w:numPr>
          <w:ilvl w:val="1"/>
          <w:numId w:val="60"/>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United States (or any political subdivision thereof) court or governmental agency or body, or to the knowledge of the Company, any non-United States court or governmental agency or body, in either case is required in connection with the execution, delivery and performance of this Agreement or the consummation of the transactions contemplated hereby, except (i) registration of the Securities under the Act, (ii) such as may be required under the blue sky laws of any jurisdiction in which the Securities are offered and sold in connection with the transactions contemplated hereby or under the Conduct Rules of the Financial Industry Regulatory Authority, Inc. (“FINRA”), (iii) filings with the Commission pursuant to Rule 424(b), (iv) filings with the Commission under the Exchange Act, or (v) as shall have been obtained or made prior to the Closing Date.</w:t>
      </w:r>
    </w:p>
    <w:p>
      <w:pPr>
        <w:spacing w:after="0" w:line="218" w:lineRule="exact"/>
        <w:rPr>
          <w:rFonts w:ascii="Arial" w:cs="Arial" w:eastAsia="Arial" w:hAnsi="Arial"/>
          <w:sz w:val="18"/>
          <w:szCs w:val="18"/>
          <w:color w:val="auto"/>
        </w:rPr>
      </w:pPr>
    </w:p>
    <w:p>
      <w:pPr>
        <w:ind w:left="-8" w:right="180" w:firstLine="656"/>
        <w:spacing w:after="0" w:line="317" w:lineRule="auto"/>
        <w:tabs>
          <w:tab w:leader="none" w:pos="1345" w:val="left"/>
        </w:tabs>
        <w:numPr>
          <w:ilvl w:val="1"/>
          <w:numId w:val="60"/>
        </w:numPr>
        <w:rPr>
          <w:rFonts w:ascii="Arial" w:cs="Arial" w:eastAsia="Arial" w:hAnsi="Arial"/>
          <w:sz w:val="16"/>
          <w:szCs w:val="16"/>
          <w:color w:val="auto"/>
        </w:rPr>
      </w:pPr>
      <w:r>
        <w:rPr>
          <w:rFonts w:ascii="Arial" w:cs="Arial" w:eastAsia="Arial" w:hAnsi="Arial"/>
          <w:sz w:val="16"/>
          <w:szCs w:val="16"/>
          <w:color w:val="auto"/>
        </w:rPr>
        <w:t>None of the consummation of the transactions contemplated hereby, nor the fulfillment of the terms hereof, will conflict with, result in a breach or violation of or imposition of any lien, charge or encumbrance upon any property or assets of the Company or any of its subsidiaries pursuant to</w:t>
      </w:r>
    </w:p>
    <w:p>
      <w:pPr>
        <w:ind w:left="-8" w:right="40" w:firstLine="8"/>
        <w:spacing w:after="0" w:line="307" w:lineRule="auto"/>
        <w:tabs>
          <w:tab w:leader="none" w:pos="20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terms of any indenture, contract, lease, mortgage, deed of trust, note agreement, loan agreement or other agreement, obligation, condition, covenant or instrument to which the Company or any of its subsidiaries is a party or bound or to which its or their property is subject; or (ii) any statute, law, rule, regulation, judgment, order or decree of any court, regulatory body, administrative agency, governmental body, arbitrator or other authority having jurisdiction over the Company or any of its subsidiaries or any of its or their properties, other than in the cases of clauses (i) and (ii), such breaches, violations, liens, charges, or encumbrances that would not reasonably be expected to, individually or in the aggregate, have a Material Adverse Effect; or result in the violation of the charter, bylaws or any equivalent organizational document of the Company or any of its subsidiaries.</w:t>
      </w:r>
    </w:p>
    <w:p>
      <w:pPr>
        <w:spacing w:after="0" w:line="201" w:lineRule="exact"/>
        <w:rPr>
          <w:rFonts w:ascii="Arial" w:cs="Arial" w:eastAsia="Arial" w:hAnsi="Arial"/>
          <w:sz w:val="17"/>
          <w:szCs w:val="17"/>
          <w:color w:val="auto"/>
        </w:rPr>
      </w:pPr>
    </w:p>
    <w:p>
      <w:pPr>
        <w:ind w:left="-8" w:firstLine="656"/>
        <w:spacing w:after="0" w:line="329" w:lineRule="auto"/>
        <w:tabs>
          <w:tab w:leader="none" w:pos="1345" w:val="left"/>
        </w:tabs>
        <w:numPr>
          <w:ilvl w:val="1"/>
          <w:numId w:val="61"/>
        </w:numPr>
        <w:rPr>
          <w:rFonts w:ascii="Arial" w:cs="Arial" w:eastAsia="Arial" w:hAnsi="Arial"/>
          <w:sz w:val="16"/>
          <w:szCs w:val="16"/>
          <w:color w:val="auto"/>
        </w:rPr>
      </w:pPr>
      <w:r>
        <w:rPr>
          <w:rFonts w:ascii="Arial" w:cs="Arial" w:eastAsia="Arial" w:hAnsi="Arial"/>
          <w:sz w:val="16"/>
          <w:szCs w:val="16"/>
          <w:color w:val="auto"/>
        </w:rPr>
        <w:t>There is no contract or other document of a character required to be described in the Registration Statement or Prospectus, or to be filed as an exhibit thereto, which is not described or filed as required. The statements in (i) the Preliminary Prospectus and the Prospectus under the heading “Material United States Federal Income and Estate Tax Consequences to Non-U.S. Holders,” and (ii) the Company’s Annual Report on Form 10-K for the fiscal year ended December 30, 2017 (the “2017 10-K”), incorporated by reference into the Preliminary Prospectus and the Prospectus, under the headings “Business—Intellectual Property,” “Business—Government Regulation” and “Legal Proceedings”, insofar as such statements summarize legal matters, agreements, documents or proceedings discussed therein, are accurate and fair summaries of such legal matters, agreements, documents or proceedings.</w:t>
      </w:r>
    </w:p>
    <w:p>
      <w:pPr>
        <w:spacing w:after="0" w:line="103" w:lineRule="exact"/>
        <w:rPr>
          <w:sz w:val="20"/>
          <w:szCs w:val="20"/>
          <w:color w:val="auto"/>
        </w:rPr>
      </w:pPr>
    </w:p>
    <w:p>
      <w:pPr>
        <w:jc w:val="center"/>
        <w:ind w:right="-91"/>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32"/>
          </w:cols>
          <w:pgMar w:left="248" w:top="382" w:right="319" w:bottom="1440" w:gutter="0" w:footer="0" w:header="0"/>
        </w:sectPr>
      </w:pPr>
    </w:p>
    <w:bookmarkStart w:id="77" w:name="page78"/>
    <w:bookmarkEnd w:id="77"/>
    <w:p>
      <w:pPr>
        <w:ind w:left="-20" w:right="260" w:firstLine="656"/>
        <w:spacing w:after="0" w:line="295" w:lineRule="auto"/>
        <w:tabs>
          <w:tab w:leader="none" w:pos="1333"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other than as required by (i) the Registration Rights Agreement, dated as of March 13, 2014, among the Company and the stockholders party thereto and (ii) each management stockholder’s agreement between the Company and each stockholder party thereto.</w:t>
      </w:r>
    </w:p>
    <w:p>
      <w:pPr>
        <w:spacing w:after="0" w:line="209" w:lineRule="exact"/>
        <w:rPr>
          <w:rFonts w:ascii="Arial" w:cs="Arial" w:eastAsia="Arial" w:hAnsi="Arial"/>
          <w:sz w:val="18"/>
          <w:szCs w:val="18"/>
          <w:color w:val="auto"/>
        </w:rPr>
      </w:pPr>
    </w:p>
    <w:p>
      <w:pPr>
        <w:ind w:left="-20" w:firstLine="656"/>
        <w:spacing w:after="0" w:line="302" w:lineRule="auto"/>
        <w:tabs>
          <w:tab w:leader="none" w:pos="1333" w:val="left"/>
        </w:tabs>
        <w:numPr>
          <w:ilvl w:val="0"/>
          <w:numId w:val="62"/>
        </w:numPr>
        <w:rPr>
          <w:rFonts w:ascii="Arial" w:cs="Arial" w:eastAsia="Arial" w:hAnsi="Arial"/>
          <w:sz w:val="17"/>
          <w:szCs w:val="17"/>
          <w:color w:val="auto"/>
        </w:rPr>
      </w:pPr>
      <w:r>
        <w:rPr>
          <w:rFonts w:ascii="Arial" w:cs="Arial" w:eastAsia="Arial" w:hAnsi="Arial"/>
          <w:sz w:val="17"/>
          <w:szCs w:val="17"/>
          <w:color w:val="auto"/>
        </w:rPr>
        <w:t>Except as set forth in the Disclosure Package and the Prospectus, the consolidated historical financial statements of the Company and its consolidated subsidiaries incorporated by reference in the Disclosure Package and the Prospectus present fairly in all material respects the consolidated financial position, results of operations and cash flows of the Company and its consolidated subsidiaries as of the dates and for the periods indicated and have been prepared in conformity with United States generally accepted accounting principles applied on a consistent basis throughout the periods involved (except as otherwise noted therein); the selected financial data set forth under the heading “Selected Financial Data” in the 2017 10-K incorporated by reference into the Disclosure Package and the Prospectus fairly presents in all material respects, on the basis stated in the 2017 10-K, the information included therein; and the summary historical financial data set forth under the heading “Prospectus Summary—Summary Historical Consolidated Financial and Other Data” in the Disclosure Package and the Prospectus fairly presents in all material respects, on the basis stated in the Disclosure Package and the Prospectus, the information included therein. The interactive data in eXtensible Business Reporting Language included or incorporated by reference as exhibits to the Registration Statement fairly present the information called for in all material respects and has been prepared in accordance with the Commission’s rules and guidelines applicable thereto.</w:t>
      </w:r>
    </w:p>
    <w:p>
      <w:pPr>
        <w:spacing w:after="0" w:line="211" w:lineRule="exact"/>
        <w:rPr>
          <w:rFonts w:ascii="Arial" w:cs="Arial" w:eastAsia="Arial" w:hAnsi="Arial"/>
          <w:sz w:val="17"/>
          <w:szCs w:val="17"/>
          <w:color w:val="auto"/>
        </w:rPr>
      </w:pPr>
    </w:p>
    <w:p>
      <w:pPr>
        <w:ind w:left="-20" w:right="100" w:firstLine="656"/>
        <w:spacing w:after="0" w:line="287" w:lineRule="auto"/>
        <w:tabs>
          <w:tab w:leader="none" w:pos="1348"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otherwise set forth therein, since the respective dates as of which information is given in the Disclosure Package or the Prospectus, (i) there has not occurred any material adverse change or development that could reasonably be expected to involve a prospective material adverse change, in the condition (financial or otherwise), business or results of operations of the Company and its subsidiaries, taken as a whole, (ii) there have been no transactions entered into by the Company or any of its subsidiaries, other than those in the ordinary course of business, which are material with respect to the Company and its subsidiaries, taken as a whole, and (iii) there has been no dividend or distribution of any kind declared, paid or made by the Company on any class of its capital stock.</w:t>
      </w:r>
    </w:p>
    <w:p>
      <w:pPr>
        <w:spacing w:after="0" w:line="216" w:lineRule="exact"/>
        <w:rPr>
          <w:rFonts w:ascii="Arial" w:cs="Arial" w:eastAsia="Arial" w:hAnsi="Arial"/>
          <w:sz w:val="18"/>
          <w:szCs w:val="18"/>
          <w:color w:val="auto"/>
        </w:rPr>
      </w:pPr>
    </w:p>
    <w:p>
      <w:pPr>
        <w:ind w:left="-20" w:right="60" w:firstLine="656"/>
        <w:spacing w:after="0" w:line="288" w:lineRule="auto"/>
        <w:tabs>
          <w:tab w:leader="none" w:pos="1313"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Except as set forth in or contemplated in the Disclosure Package and the Prospectus (exclusive of any supplement thereto), no action, suit, proceeding, investigation or audit by or before any court or governmental agency, authority or body or any arbitrator involving the Company or any of its subsidiaries or their respective property is pending or, to the knowledge of the Company, threatened or contemplated that (i) would reasonably be expected to have a material adverse effect on the performance of this Agreement or the consummation of any of the transactions contemplated hereby, or (ii) would reasonably be expected to have a Material Adverse Effect.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78" w:name="page79"/>
    <w:bookmarkEnd w:id="78"/>
    <w:p>
      <w:pPr>
        <w:ind w:right="60" w:firstLine="656"/>
        <w:spacing w:after="0" w:line="332" w:lineRule="auto"/>
        <w:tabs>
          <w:tab w:leader="none" w:pos="1358"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Company and its subsidiaries have good and marketable title in fee simple to all real property and good and marketable title to all personal property owned by them, in each case free and clear of all liens, encumbrances and defects except (i) pursuant to the Credit Facilities or as described in the Disclosure Package and the Prospectus or (ii) where failure to have such good and marketable title or free and clear title would not reasonably be expected to have a Material Adverse Effect; and any real property and buildings held under lease by the Company and its subsidiaries are held by them under valid, subsisting and enforceable leases with such exceptions as would not reasonably be expected to have a Material Adverse Effect.</w:t>
      </w:r>
    </w:p>
    <w:p>
      <w:pPr>
        <w:spacing w:after="0" w:line="185" w:lineRule="exact"/>
        <w:rPr>
          <w:rFonts w:ascii="Arial" w:cs="Arial" w:eastAsia="Arial" w:hAnsi="Arial"/>
          <w:sz w:val="16"/>
          <w:szCs w:val="16"/>
          <w:color w:val="auto"/>
        </w:rPr>
      </w:pPr>
    </w:p>
    <w:p>
      <w:pPr>
        <w:ind w:firstLine="656"/>
        <w:spacing w:after="0" w:line="327" w:lineRule="auto"/>
        <w:tabs>
          <w:tab w:leader="none" w:pos="1353"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none of the Company or any of its subsidiaries is in violation or default of (i) any provision of its charter, bylaws or any equivalent organizational document; (ii) the terms of any indenture, contract, lease, mortgage, deed of trust, note agreement, loan agreement or other agreement, obligation, condition, covenant or instrument to which it is a party or bound or to which its property is subject; or (iii) any statute, law, rule, regulation, judgment, order or decree applicable to the Company or any its subsidiaries of any court, regulatory body, administrative agency, governmental body, arbitrator or other authority having jurisdiction over the Company, its subsidiaries or any of their respective properties, as applicable, other than in the cases of clauses (i) (if such entity is not the Company or a Significant Subsidiary), (ii) and (iii), such violations and defaults that would not reasonably be expected to have a Material Adverse Effect.</w:t>
      </w:r>
    </w:p>
    <w:p>
      <w:pPr>
        <w:spacing w:after="0" w:line="189" w:lineRule="exact"/>
        <w:rPr>
          <w:rFonts w:ascii="Arial" w:cs="Arial" w:eastAsia="Arial" w:hAnsi="Arial"/>
          <w:sz w:val="16"/>
          <w:szCs w:val="16"/>
          <w:color w:val="auto"/>
        </w:rPr>
      </w:pPr>
    </w:p>
    <w:p>
      <w:pPr>
        <w:ind w:firstLine="656"/>
        <w:spacing w:after="0" w:line="290" w:lineRule="auto"/>
        <w:tabs>
          <w:tab w:leader="none" w:pos="1353"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Deloitte &amp; Touche LLP, who has audited the consolidated financial statements of the Company as of December 30, 2017 and December 31, 2016 and for each of the three fiscal years in the period ended December 30, 2017 incorporated by reference in the Disclosure Package and the Prospectus, are independent registered public accountants with respect to the Company within the meaning of the Exchange Act and the rules of the Public Company Accounting Oversight Board.</w:t>
      </w:r>
    </w:p>
    <w:p>
      <w:pPr>
        <w:spacing w:after="0" w:line="215" w:lineRule="exact"/>
        <w:rPr>
          <w:rFonts w:ascii="Arial" w:cs="Arial" w:eastAsia="Arial" w:hAnsi="Arial"/>
          <w:sz w:val="18"/>
          <w:szCs w:val="18"/>
          <w:color w:val="auto"/>
        </w:rPr>
      </w:pPr>
    </w:p>
    <w:p>
      <w:pPr>
        <w:ind w:right="80" w:firstLine="656"/>
        <w:spacing w:after="0" w:line="332" w:lineRule="auto"/>
        <w:tabs>
          <w:tab w:leader="none" w:pos="1393" w:val="left"/>
        </w:tabs>
        <w:numPr>
          <w:ilvl w:val="0"/>
          <w:numId w:val="63"/>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have filed all non-U.S., U.S. federal, state and local tax returns that are required to be filed or have requested extensions thereof except in any case in which the failure so to file would not reasonably be expected to have a Material Adverse Effect and (ii) have paid all taxes required to be paid by them and any other tax assessment, fine or penalty levied against them, to the extent that any of the foregoing is due and payable, except for any such tax, tax assessment, fine or penalty that is currently being contested in good faith or as would not reasonably be expected to have a Material Adverse Effect.</w:t>
      </w:r>
    </w:p>
    <w:p>
      <w:pPr>
        <w:spacing w:after="0" w:line="185" w:lineRule="exact"/>
        <w:rPr>
          <w:rFonts w:ascii="Arial" w:cs="Arial" w:eastAsia="Arial" w:hAnsi="Arial"/>
          <w:sz w:val="16"/>
          <w:szCs w:val="16"/>
          <w:color w:val="auto"/>
        </w:rPr>
      </w:pPr>
    </w:p>
    <w:p>
      <w:pPr>
        <w:jc w:val="both"/>
        <w:ind w:right="120" w:firstLine="656"/>
        <w:spacing w:after="0" w:line="295" w:lineRule="auto"/>
        <w:tabs>
          <w:tab w:leader="none" w:pos="139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There are no transfer taxes or other similar fees or charges under federal law or the laws of any state, or any political subdivision thereof, required to be paid by the Company in connection with the execution and delivery of this Agreement or the sale by the Selling Stockholders of the Securities to the Underwriters.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79" w:name="page80"/>
    <w:bookmarkEnd w:id="79"/>
    <w:p>
      <w:pPr>
        <w:ind w:left="-8" w:right="420" w:firstLine="656"/>
        <w:spacing w:after="0" w:line="295" w:lineRule="auto"/>
        <w:tabs>
          <w:tab w:leader="none" w:pos="139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 labor problem or dispute with the employees of the Company or any of its subsidiaries exists or to the Company’s knowledge, is threatened, and the Company is unaware of any existing labor problem or dispute, that, in each case, would reasonably be expected to have a Material Adverse Effect.</w:t>
      </w:r>
    </w:p>
    <w:p>
      <w:pPr>
        <w:spacing w:after="0" w:line="209" w:lineRule="exact"/>
        <w:rPr>
          <w:rFonts w:ascii="Arial" w:cs="Arial" w:eastAsia="Arial" w:hAnsi="Arial"/>
          <w:sz w:val="18"/>
          <w:szCs w:val="18"/>
          <w:color w:val="auto"/>
        </w:rPr>
      </w:pPr>
    </w:p>
    <w:p>
      <w:pPr>
        <w:ind w:left="-8" w:right="340" w:firstLine="656"/>
        <w:spacing w:after="0" w:line="309" w:lineRule="auto"/>
        <w:tabs>
          <w:tab w:leader="none" w:pos="13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 and its subsidiaries, taken as a whole, are insured against such losses and risks and in such amounts as are prudent and customary in the businesses in which they are engaged or as required by law.</w:t>
      </w:r>
    </w:p>
    <w:p>
      <w:pPr>
        <w:spacing w:after="0" w:line="196" w:lineRule="exact"/>
        <w:rPr>
          <w:sz w:val="20"/>
          <w:szCs w:val="20"/>
          <w:color w:val="auto"/>
        </w:rPr>
      </w:pPr>
    </w:p>
    <w:p>
      <w:pPr>
        <w:ind w:left="-8" w:right="20" w:firstLine="656"/>
        <w:spacing w:after="0" w:line="305" w:lineRule="auto"/>
        <w:tabs>
          <w:tab w:leader="none" w:pos="1370"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 subsidiary of the Company is prohibited, directly or indirectly, from paying any dividends to the Company or any other subsidiary (except as may be limited by applicable state or foreign corporation, limited liability company, limited partnership, partnership, insurance or other applicable regulatory law), from making any other distribution on such subsidiary’s capital stock or membership interests (except as may be limited by applicable state or foreign corporation, limited liability company, limited partnership, partnership, insurance or other applicable regulatory law), from repaying to the Company or any other subsidiary any loans or advances to such subsidiary from the Company or any other subsidiary or from transferring any of such subsidiary’s property or assets to the Company or any other subsidiary of the Company, except as described in the Disclosure Package and the Prospectus (exclusive of any supplement thereto) or contemplated pursuant to the Credit Facilities.</w:t>
      </w:r>
    </w:p>
    <w:p>
      <w:pPr>
        <w:spacing w:after="0" w:line="205" w:lineRule="exact"/>
        <w:rPr>
          <w:rFonts w:ascii="Arial" w:cs="Arial" w:eastAsia="Arial" w:hAnsi="Arial"/>
          <w:sz w:val="17"/>
          <w:szCs w:val="17"/>
          <w:color w:val="auto"/>
        </w:rPr>
      </w:pPr>
    </w:p>
    <w:p>
      <w:pPr>
        <w:ind w:left="-8" w:right="60" w:firstLine="656"/>
        <w:spacing w:after="0" w:line="307" w:lineRule="auto"/>
        <w:tabs>
          <w:tab w:leader="none" w:pos="1345" w:val="left"/>
        </w:tabs>
        <w:numPr>
          <w:ilvl w:val="1"/>
          <w:numId w:val="65"/>
        </w:numPr>
        <w:rPr>
          <w:rFonts w:ascii="Arial" w:cs="Arial" w:eastAsia="Arial" w:hAnsi="Arial"/>
          <w:sz w:val="17"/>
          <w:szCs w:val="17"/>
          <w:color w:val="auto"/>
        </w:rPr>
      </w:pPr>
      <w:r>
        <w:rPr>
          <w:rFonts w:ascii="Arial" w:cs="Arial" w:eastAsia="Arial" w:hAnsi="Arial"/>
          <w:sz w:val="17"/>
          <w:szCs w:val="17"/>
          <w:color w:val="auto"/>
        </w:rPr>
        <w:t>Except as set forth in or contemplated in the Disclosure Package and the Prospectus (exclusive of any supplement thereto), (i) the Company and its subsidiaries possess all licenses, certificates, permits and other authorizations issued by the appropriate U.S. federal, state or non-U.S. regulatory authorities necessary to conduct their respective businesses, except where the failure to possess such licenses, certificates, permits and other authorizations would not reasonably be expected to have a Material Adverse Effect, and (ii) none of the Company or any of its subsidiaries has received any notice of proceedings relating to the revocation or modification of any such certificate, authorization or permit that, individually or in the aggregate, if the subject of an unfavorable decision, ruling or finding, would reasonably be expected to have a Material Adverse Effect.</w:t>
      </w:r>
    </w:p>
    <w:p>
      <w:pPr>
        <w:spacing w:after="0" w:line="201" w:lineRule="exact"/>
        <w:rPr>
          <w:rFonts w:ascii="Arial" w:cs="Arial" w:eastAsia="Arial" w:hAnsi="Arial"/>
          <w:sz w:val="17"/>
          <w:szCs w:val="17"/>
          <w:color w:val="auto"/>
        </w:rPr>
      </w:pPr>
    </w:p>
    <w:p>
      <w:pPr>
        <w:ind w:left="1372" w:hanging="724"/>
        <w:spacing w:after="0"/>
        <w:tabs>
          <w:tab w:leader="none" w:pos="1372"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Company and its subsidiaries maintain a system of internal accounting controls sufficient to provide reasonable assurance that</w:t>
      </w:r>
    </w:p>
    <w:p>
      <w:pPr>
        <w:spacing w:after="0" w:line="47" w:lineRule="exact"/>
        <w:rPr>
          <w:rFonts w:ascii="Arial" w:cs="Arial" w:eastAsia="Arial" w:hAnsi="Arial"/>
          <w:sz w:val="17"/>
          <w:szCs w:val="17"/>
          <w:color w:val="auto"/>
        </w:rPr>
      </w:pPr>
    </w:p>
    <w:p>
      <w:pPr>
        <w:ind w:left="-8" w:firstLine="8"/>
        <w:spacing w:after="0" w:line="305" w:lineRule="auto"/>
        <w:tabs>
          <w:tab w:leader="none" w:pos="207" w:val="left"/>
        </w:tabs>
        <w:numPr>
          <w:ilvl w:val="0"/>
          <w:numId w:val="66"/>
        </w:numPr>
        <w:rPr>
          <w:rFonts w:ascii="Arial" w:cs="Arial" w:eastAsia="Arial" w:hAnsi="Arial"/>
          <w:sz w:val="17"/>
          <w:szCs w:val="17"/>
          <w:color w:val="auto"/>
        </w:rPr>
      </w:pPr>
      <w:r>
        <w:rPr>
          <w:rFonts w:ascii="Arial" w:cs="Arial" w:eastAsia="Arial" w:hAnsi="Arial"/>
          <w:sz w:val="17"/>
          <w:szCs w:val="17"/>
          <w:color w:val="auto"/>
        </w:rPr>
        <w:t>transactions are executed in accordance with management’s general or specific authorizations; (ii) transactions are recorded as necessary to permit preparation of financial statements in conformity with generally accepted accounting principles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Preliminary Prospectus and the Prospectus is in compliance with the Commission’s published rules, regulations and guidelines applicable thereto. Except as set forth in the Disclosure Package and the Prospectus, the Company is not aware of any material weakness in the Company and its subsidiaries’ internal controls over financial reporting.</w:t>
      </w:r>
    </w:p>
    <w:p>
      <w:pPr>
        <w:spacing w:after="0" w:line="120" w:lineRule="exact"/>
        <w:rPr>
          <w:sz w:val="20"/>
          <w:szCs w:val="20"/>
          <w:color w:val="auto"/>
        </w:rPr>
      </w:pPr>
    </w:p>
    <w:p>
      <w:pPr>
        <w:jc w:val="center"/>
        <w:ind w:right="-111"/>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12"/>
          </w:cols>
          <w:pgMar w:left="248" w:top="382" w:right="339" w:bottom="1440" w:gutter="0" w:footer="0" w:header="0"/>
        </w:sectPr>
      </w:pPr>
    </w:p>
    <w:bookmarkStart w:id="80" w:name="page81"/>
    <w:bookmarkEnd w:id="80"/>
    <w:p>
      <w:pPr>
        <w:ind w:right="460" w:firstLine="656"/>
        <w:spacing w:after="0" w:line="309" w:lineRule="auto"/>
        <w:tabs>
          <w:tab w:leader="none" w:pos="1353"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 and its subsidiaries maintain “disclosure controls and procedures” (as such term is defined in Rule 13a-15(e) under the Exchange Act); such disclosure controls and procedures are effective.</w:t>
      </w:r>
    </w:p>
    <w:p>
      <w:pPr>
        <w:spacing w:after="0" w:line="196" w:lineRule="exact"/>
        <w:rPr>
          <w:rFonts w:ascii="Arial" w:cs="Arial" w:eastAsia="Arial" w:hAnsi="Arial"/>
          <w:sz w:val="18"/>
          <w:szCs w:val="18"/>
          <w:color w:val="auto"/>
        </w:rPr>
      </w:pPr>
    </w:p>
    <w:p>
      <w:pPr>
        <w:ind w:firstLine="656"/>
        <w:spacing w:after="0" w:line="324" w:lineRule="auto"/>
        <w:tabs>
          <w:tab w:leader="none" w:pos="1378"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Except as set forth in or contemplated in the Disclosure Package and the Prospectus (exclusive of any supplement thereto), the Company and its subsidiaries (i) are in compliance with any and all applicable non-U.S., U.S. federal, state and local laws and regulations relating to the protection of human health and safety (as such is affected by hazardous or toxic substances or wastes (including, without limitation, medical waste), pollutants or contaminants), or of the environment or the release of hazardous or toxic substances or wastes, pollutants or contaminants (“Environmental Laws”); (ii) have received and are in compliance with all permits, licenses or other approvals required of them under applicable Environmental Laws to conduct their respective businesses; (iii) have not received notice of any actual or potential liability under any Environmental Law; and (iv) have not been named as a “potentially responsible party” under the Comprehensive Environmental Response, Compensation, and Liability Act of 1980, as amended, except where such non-compliance with Environmental Laws, failure to receive or comply with such required permits, licenses or other approvals, such liability or status as a potentially responsible party would not reasonably be expected to, individually or in the aggregate, have a Material Adverse Effect.</w:t>
      </w:r>
    </w:p>
    <w:p>
      <w:pPr>
        <w:spacing w:after="0" w:line="195" w:lineRule="exact"/>
        <w:rPr>
          <w:rFonts w:ascii="Arial" w:cs="Arial" w:eastAsia="Arial" w:hAnsi="Arial"/>
          <w:sz w:val="16"/>
          <w:szCs w:val="16"/>
          <w:color w:val="auto"/>
        </w:rPr>
      </w:pPr>
    </w:p>
    <w:p>
      <w:pPr>
        <w:jc w:val="both"/>
        <w:ind w:right="20" w:firstLine="656"/>
        <w:spacing w:after="0" w:line="295" w:lineRule="auto"/>
        <w:tabs>
          <w:tab w:leader="none" w:pos="13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established or maintains a “pension plan” (as defined in Section 3(2) of the Employee Retirement Income Security Act of 1974, as amended (“ERISA”)) that is subject to Title IV of ERISA or Section 412 or Section 4971 of the Internal Revenue Code of 1986, as amended (the “Code”).</w:t>
      </w:r>
    </w:p>
    <w:p>
      <w:pPr>
        <w:spacing w:after="0" w:line="209" w:lineRule="exact"/>
        <w:rPr>
          <w:rFonts w:ascii="Arial" w:cs="Arial" w:eastAsia="Arial" w:hAnsi="Arial"/>
          <w:sz w:val="18"/>
          <w:szCs w:val="18"/>
          <w:color w:val="auto"/>
        </w:rPr>
      </w:pPr>
    </w:p>
    <w:p>
      <w:pPr>
        <w:ind w:firstLine="656"/>
        <w:spacing w:after="0" w:line="302" w:lineRule="auto"/>
        <w:tabs>
          <w:tab w:leader="none" w:pos="1353"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Company and its subsidiaries own, possess, license or have other rights to use all patents, trademarks and service marks, trade names, copyrights, domain names (in each case including all registrations and applications to register same), inventions, trade secrets, technology, know-how and other intellectual property (collectively, the “Intellectual Property”) necessary for the conduct of their respective businesses as now conducted or as proposed in the Disclosure Package and the Prospectus to be conducted, except where the failure to own, possess, license or otherwise have such rights would not reasonably be expected to have a Material Adverse Effect. Except as set forth in the Disclosure Package and the Prospectus, or except as would not reasonably be expected to have a Material Adverse Effect, (i) the Company and its subsidiaries own, or have rights to use under license or otherwise, all such Intellectual Property free and clear in all respects of all adverse claims, liens or other encumbrances, except for claims, liens or other encumbrances pursuant to the Credit Facilities; (ii) to the knowledge of the Company, there is no infringement by third parties of any such Intellectual Property; (iii) there is no pending or, to the Company’s knowledge, threatened action, suit, proceeding or claim by any third party challenging the Company’s or its subsidiaries’ rights in or to any such Intellectual Property; (iv) there is no pending or, to the Company’s knowledge, threatened action, suit, proceeding or claim by any third party challenging the validity, scope or enforceability of any such Intellectual Property; and (v) there is no pending or, to the Company’s knowledge, threatened action, suit, proceeding or claim by any third party that the Company or any of its subsidiaries infringes or otherwise violates any patent, trademark, copyright, trade secret or other proprietary rights of any third party.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81" w:name="page82"/>
    <w:bookmarkEnd w:id="81"/>
    <w:p>
      <w:pPr>
        <w:ind w:left="1340" w:hanging="704"/>
        <w:spacing w:after="0"/>
        <w:tabs>
          <w:tab w:leader="none" w:pos="1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20" w:right="140" w:firstLine="656"/>
        <w:spacing w:after="0" w:line="295" w:lineRule="auto"/>
        <w:tabs>
          <w:tab w:leader="none" w:pos="13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There is and has been no failure on the part of the Company and any of the Company’s directors or officers, in their capacities as such, to comply with any provision of the Sarbanes-Oxley Act of 2002, as amended, and the rules and regulations promulgated in connection therewith (the “Sarbanes-Oxley Act”), including Section 402 relating to loans and Sections 302 and 906 relating to certifications.</w:t>
      </w:r>
    </w:p>
    <w:p>
      <w:pPr>
        <w:spacing w:after="0" w:line="209" w:lineRule="exact"/>
        <w:rPr>
          <w:rFonts w:ascii="Arial" w:cs="Arial" w:eastAsia="Arial" w:hAnsi="Arial"/>
          <w:sz w:val="18"/>
          <w:szCs w:val="18"/>
          <w:color w:val="auto"/>
        </w:rPr>
      </w:pPr>
    </w:p>
    <w:p>
      <w:pPr>
        <w:ind w:left="-20" w:right="160" w:firstLine="656"/>
        <w:spacing w:after="0" w:line="295" w:lineRule="auto"/>
        <w:tabs>
          <w:tab w:leader="none" w:pos="1388"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 forward-looking statement (within the meaning of Section 27A of the Act and Section 21E of the Exchange Act) or presentation of market-related or statistical data contained, or incorporated by reference, in the Disclosure Package or the Prospectus has been made or reaffirmed without a reasonable basis or has been disclosed other than in good faith.</w:t>
      </w:r>
    </w:p>
    <w:p>
      <w:pPr>
        <w:spacing w:after="0" w:line="209" w:lineRule="exact"/>
        <w:rPr>
          <w:rFonts w:ascii="Arial" w:cs="Arial" w:eastAsia="Arial" w:hAnsi="Arial"/>
          <w:sz w:val="18"/>
          <w:szCs w:val="18"/>
          <w:color w:val="auto"/>
        </w:rPr>
      </w:pPr>
    </w:p>
    <w:p>
      <w:pPr>
        <w:ind w:left="-20" w:right="40" w:firstLine="656"/>
        <w:spacing w:after="0" w:line="287" w:lineRule="auto"/>
        <w:tabs>
          <w:tab w:leader="none" w:pos="137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operations of the Company and its subsidiaries are and have been conducted at all times in compliance with applicable financial recordkeeping and reporting requirements of the Currency and Foreign Transactions Reporting Act of 1970, as amended, the applicable money laundering statutes of all jurisdictions, the rules and regulations thereunder and any related or similar rules, regulations or guidelines, issued, administered or enforced by a governmental entity (collectively, the “Money Laundering Laws”) and no action, suit or proceeding by or before any court or governmental agency, authority or body or any arbitrator involving the Company or any of its subsidiaries with respect to the Money Laundering Laws is pending or, to the knowledge of the Company, threatened.</w:t>
      </w:r>
    </w:p>
    <w:p>
      <w:pPr>
        <w:spacing w:after="0" w:line="216" w:lineRule="exact"/>
        <w:rPr>
          <w:rFonts w:ascii="Arial" w:cs="Arial" w:eastAsia="Arial" w:hAnsi="Arial"/>
          <w:sz w:val="18"/>
          <w:szCs w:val="18"/>
          <w:color w:val="auto"/>
        </w:rPr>
      </w:pPr>
    </w:p>
    <w:p>
      <w:pPr>
        <w:ind w:left="-20" w:right="240" w:firstLine="656"/>
        <w:spacing w:after="0" w:line="337" w:lineRule="auto"/>
        <w:tabs>
          <w:tab w:leader="none" w:pos="13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None of the Company, any of its subsidiaries or, to the knowledge of the Company, any director, officer or controlled Affiliate of the Company or any of its subsidiaries is currently subject to any sanctions administered by the Office of Foreign Assets Control of the Department of the U.S. Treasury, the U.S. Department of State, the United Nations Security Council, the European Union, Her Majesty’s Treasury, or other relevant sanctions authority (collectively, the “Sanctions”), nor is the Company located, organized or resident in a country or territory that is the subject of Sanctions.</w:t>
      </w:r>
    </w:p>
    <w:p>
      <w:pPr>
        <w:spacing w:after="0" w:line="182" w:lineRule="exact"/>
        <w:rPr>
          <w:rFonts w:ascii="Arial" w:cs="Arial" w:eastAsia="Arial" w:hAnsi="Arial"/>
          <w:sz w:val="16"/>
          <w:szCs w:val="16"/>
          <w:color w:val="auto"/>
        </w:rPr>
      </w:pPr>
    </w:p>
    <w:p>
      <w:pPr>
        <w:ind w:left="-20" w:firstLine="656"/>
        <w:spacing w:after="0" w:line="324" w:lineRule="auto"/>
        <w:tabs>
          <w:tab w:leader="none" w:pos="1388" w:val="left"/>
        </w:tabs>
        <w:numPr>
          <w:ilvl w:val="0"/>
          <w:numId w:val="68"/>
        </w:numPr>
        <w:rPr>
          <w:rFonts w:ascii="Arial" w:cs="Arial" w:eastAsia="Arial" w:hAnsi="Arial"/>
          <w:sz w:val="16"/>
          <w:szCs w:val="16"/>
          <w:color w:val="auto"/>
        </w:rPr>
      </w:pPr>
      <w:r>
        <w:rPr>
          <w:rFonts w:ascii="Arial" w:cs="Arial" w:eastAsia="Arial" w:hAnsi="Arial"/>
          <w:sz w:val="16"/>
          <w:szCs w:val="16"/>
          <w:color w:val="auto"/>
        </w:rPr>
        <w:t>Neither the Company nor any of its subsidiaries nor, to the knowledge of the Company, any director, officer, agent, employee, controlled Affiliate or other person acting on behalf of the Company or any of its subsidiaries has taken any action, directly or indirectly, that would result in a violation by such persons of the Foreign Corrupt Practices Act of 1977, as amended, and the rules and regulations thereunder (the “FCPA”) the U.K. Bribery Act of 2010 or any other applicable anti-corruption law (collectively, “Anti-Corruption Laws”), including, without limitation, making use of the mails or any means or instrumentality of interstate commerce corruptly in furtherance of an offer, payment, promise to pay or authorization of the payment of any money, or offer, gift, promise to give, or authorization of the giving of anything of value to any “foreign official” (as such term is defined in the FCPA) or any foreign political party or official thereof or any candidate for foreign political office, in contravention of any Anti-Corruption Laws; and the Company has, and, to the Company’s knowledge, its subsidiaries have conducted their businesses in compliance with the Anti-Corruption Laws and have instituted and maintain policies and procedures reasonably designed to ensure, and which are reasonably expected to continue to ensure, continued compliance therewith.</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82" w:name="page83"/>
    <w:bookmarkEnd w:id="82"/>
    <w:p>
      <w:pPr>
        <w:ind w:left="-8" w:right="80" w:firstLine="656"/>
        <w:spacing w:after="0" w:line="317" w:lineRule="auto"/>
        <w:tabs>
          <w:tab w:leader="none" w:pos="1345" w:val="left"/>
        </w:tabs>
        <w:numPr>
          <w:ilvl w:val="1"/>
          <w:numId w:val="69"/>
        </w:numPr>
        <w:rPr>
          <w:rFonts w:ascii="Arial" w:cs="Arial" w:eastAsia="Arial" w:hAnsi="Arial"/>
          <w:sz w:val="16"/>
          <w:szCs w:val="16"/>
          <w:color w:val="auto"/>
        </w:rPr>
      </w:pPr>
      <w:r>
        <w:rPr>
          <w:rFonts w:ascii="Arial" w:cs="Arial" w:eastAsia="Arial" w:hAnsi="Arial"/>
          <w:sz w:val="16"/>
          <w:szCs w:val="16"/>
          <w:color w:val="auto"/>
        </w:rPr>
        <w:t>Except as described in the Disclosure Package and the Prospectus, each of the Company and its subsidiaries is and, since January 1, 2015, has been, in material compliance with all applicable Health Care Laws, and, since January 1, 2015, has not engaged in activities which could reasonably provide, as applicable, cause for false claims liability, material civil penalties or mandatory or permissive exclusion from Medicare, Medicaid or any other state or federal health care program, except for any liability, penalty or exclusion which would not reasonably be expected to have a Material Adverse Effect. In addition, the Company has no knowledge that any Managed Practice (x) is not and, since January 1, 2015, has not been, in compliance with all applicable Health Care Laws and (y) since January 1, 2015, has engaged in activities which could reasonably provide, as applicable, cause for false claims liability, material civil penalties or mandatory or permissive exclusion from Medicare, Medicaid or any other state or federal health care program, except in each case,</w:t>
      </w:r>
    </w:p>
    <w:p>
      <w:pPr>
        <w:ind w:left="-8" w:firstLine="8"/>
        <w:spacing w:after="0" w:line="319" w:lineRule="auto"/>
        <w:tabs>
          <w:tab w:leader="none" w:pos="207" w:val="left"/>
        </w:tabs>
        <w:numPr>
          <w:ilvl w:val="0"/>
          <w:numId w:val="70"/>
        </w:numPr>
        <w:rPr>
          <w:rFonts w:ascii="Arial" w:cs="Arial" w:eastAsia="Arial" w:hAnsi="Arial"/>
          <w:sz w:val="16"/>
          <w:szCs w:val="16"/>
          <w:color w:val="auto"/>
        </w:rPr>
      </w:pPr>
      <w:r>
        <w:rPr>
          <w:rFonts w:ascii="Arial" w:cs="Arial" w:eastAsia="Arial" w:hAnsi="Arial"/>
          <w:sz w:val="16"/>
          <w:szCs w:val="16"/>
          <w:color w:val="auto"/>
        </w:rPr>
        <w:t>as described in the Disclosure Package and the Prospectus or (ii) any of the circumstances described in (x) or (y) which would not reasonably be expected to have a material adverse effect on ability of such Managed Practice to engage in business. The term “Managed Practice” shall mean any person or entity providing optometry or ophthalmology services that is not a Company subsidiary to which the Company or any of its subsidiaries provides administrative or support services. The term “Health Care Laws” shall mean any applicable federal, state, local or foreign statute, law, rule, guidance, regulation, ordinance, code, policy or rule of common law or any judicial or administrative interpretation thereof, including any judicial or administrative order, consent, decree or judgment, relating to healthcare, including, without limitation: (i) the Federal Food, Drug, and Cosmetic Act (21 U.S.C. §§ 301 et seq.) and the regulations promulgated thereunder; (ii) all applicable healthcare related fraud and abuse laws, including, the U.S. Anti-Kickback Statute (42 U.S.C. Section 1320a-7b(b)), the Ethics in Patient Referrals Act (the Stark Law), 42 U.S.C. § 1395nn; the U.S. Physician Payment Sunshine Act (42 U.S.C. § 1320a-7h), the U.S. Civil False Claims Act (31 U.S.C. Section 3729 et seq.), the criminal False Claims Law (42 U.S.C. § 1320a-7b(a)), all criminal laws relating to health care fraud and abuse, including but not limited to 18 U.S.C. Sections 286 and 287, the Program Fraud Civil Remedies Act, 31 U.S.C. §§ 3801-3812; and the health care fraud criminal provisions under the U.S. Health Insurance Portability and Accountability Act of 1996 (“HIPAA”) (42 U.S.C. Section 1320d et seq.), the exclusion laws (42 U.S.C. § 1320a-7), the civil monetary penalties law (42 U.S.C. § 1320a-7a), HIPAA, as amended by the Health Information Technology for Economic and Clinical Health Act (42 U.S.C. Section 17921 et seq.), and the regulations promulgated pursuant to such statutes, each as amended from time to time; (iii) Medicare (Title XVIII of the Social Security Act), Medicaid (Title XIX of the Social Security Act), and TRICARE, 10 U.S.C. § 1071 et seq.; and (iv) all other applicable federal or state health care laws and regulations applicable to the Company or any of its subsidiaries, including but not limited to data privacy and security, corporate practice of medicine or optometry, fee splitting, anti-kickback or self-referral, managed care organizations or health plans, third-party administrators, conditions for participation, regulatory and reimbursement, and consumer protection laws and regulations. Except as described in the Disclosure Package and the Prospectus, neither the Company nor any subsidiary has received notice of any claim, action, suit, proceeding, hearing, enforcement, investigation, arbitration or other action from any court or arbitrator or governmental or regulatory authority or third party alleging that any product, service, operation or activity is in violation of any Health Care Laws, and no such claim, action, suit, proceeding, hearing, enforcement, investigation, arbitration or other action is, to the Company’s knowledge, threatened, except in each case, for such claim, action, suit, proceeding, hearing, enforcement, investigation, arbitration or other action which would not reasonably be expected to have a Material Adverse Effect. Except as described in the Disclosure Package and the Prospectus, neither the Company nor any subsidiary is a party to or has any ongoing reporting obligations pursuant to any corporate integrity agreements, deferred prosecution agreements, monitoring agreements, consent decrees, settlement orders, plans of correction or similar agreements with or imposed by the Food and Drug Administration of the U.S. Department of Health and Human Services or any committee thereof or from any other U.S. or foreign government regulatory agency, or health care facility Institutional Review Board or other governmental or regulatory authority, except in each case, for such agreement, decree, order or obligation which would not reasonably be expected to have a Material Adverse Effect. Additionally, except as described in the Disclosure Package and the Prospectus, none of the Company, its subsidiaries, or any of their respective officers, directors or employees have been excluded, suspended or debarred from participation in any government health care program or, to the knowledge of the Company, is subject to a governmental inquiry, investigation, proceeding, or other similar action that could reasonably be expected to result in debarment, suspension, or exclusion, except for such exclusion, suspension or debarment which would not reasonably be expected to have a Material Adverse Effect.</w:t>
      </w:r>
    </w:p>
    <w:p>
      <w:pPr>
        <w:spacing w:after="0" w:line="113"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382" w:right="239" w:bottom="1440" w:gutter="0" w:footer="0" w:header="0"/>
        </w:sectPr>
      </w:pPr>
    </w:p>
    <w:bookmarkStart w:id="83" w:name="page84"/>
    <w:bookmarkEnd w:id="83"/>
    <w:p>
      <w:pPr>
        <w:ind w:left="-20" w:firstLine="656"/>
        <w:spacing w:after="0" w:line="322" w:lineRule="auto"/>
        <w:tabs>
          <w:tab w:leader="none" w:pos="1333"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Company and its subsidiaries has, since January 1, 2015, materially complied, and is presently in material compliance with, their privacy policies and other legal and contractual obligations regarding the collection, use, transfer, storage, protection, disposal and disclosure by each of the Company and its subsidiaries of personally identifiable information and/or any other information collected from or provided by third parties. In addition, the Company has no knowledge that any Managed Practice, since January 1, 2015, has not complied, and is not presently in compliance with, its privacy policies and other legal and contractual obligations regarding the collection, use, transfer, storage, protection, disposal and disclosure by such Managed Practice of personally identifiable information and/or any other information collected from or provided by third parties, except in each case, (i) as described in the Disclosure Package and the Prospectus or (ii) for non-compliance which would not reasonably be expected to have a material adverse effect on ability of such Managed Practice to engage in business. Each of the Company and its subsidiaries has taken commercially reasonable steps to protect the information technology systems and data used in connection with the operation of the Company and its subsidiaries. The Company and its subsidiaries have used commercially reasonable efforts to establish, and have, since January 1, 2015, established, commercially reasonable disaster recovery and security plans, procedures and facilities for each of their businesses, including, without limitation, for the information technology systems and data held or used by or on behalf of or for the Company and its subsidiaries. Neither the Company nor its subsidiaries has experienced a security breach or other compromise of, or relating to, any such information technology system or data requiring notice to any third party under applicable state or federal law.</w:t>
      </w:r>
    </w:p>
    <w:p>
      <w:pPr>
        <w:spacing w:after="0" w:line="194" w:lineRule="exact"/>
        <w:rPr>
          <w:rFonts w:ascii="Arial" w:cs="Arial" w:eastAsia="Arial" w:hAnsi="Arial"/>
          <w:sz w:val="16"/>
          <w:szCs w:val="16"/>
          <w:color w:val="auto"/>
        </w:rPr>
      </w:pPr>
    </w:p>
    <w:p>
      <w:pPr>
        <w:ind w:left="-20" w:right="820" w:firstLine="656"/>
        <w:spacing w:after="0" w:line="309" w:lineRule="auto"/>
        <w:tabs>
          <w:tab w:leader="none" w:pos="1333"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Company does not have any debt securities outstanding that have been rated by any “nationally recognized statistical rating organization” as defined in Section 3(a)(62) of the Exchange Act.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84" w:name="page85"/>
    <w:bookmarkEnd w:id="84"/>
    <w:p>
      <w:pPr>
        <w:ind w:right="260" w:firstLine="1297"/>
        <w:spacing w:after="0" w:line="377" w:lineRule="auto"/>
        <w:rPr>
          <w:sz w:val="20"/>
          <w:szCs w:val="20"/>
          <w:color w:val="auto"/>
        </w:rPr>
      </w:pPr>
      <w:r>
        <w:rPr>
          <w:rFonts w:ascii="Arial" w:cs="Arial" w:eastAsia="Arial" w:hAnsi="Arial"/>
          <w:sz w:val="16"/>
          <w:szCs w:val="16"/>
          <w:color w:val="auto"/>
        </w:rPr>
        <w:t>Any certificate signed by any officer of the Company and delivered to the Representatives or counsel for the Underwriters in connection with the offering of the Securities shall be deemed a representation and warranty by the Company, as to matters covered thereby, to each Underwriter.</w:t>
      </w:r>
    </w:p>
    <w:p>
      <w:pPr>
        <w:spacing w:after="0" w:line="151" w:lineRule="exact"/>
        <w:rPr>
          <w:sz w:val="20"/>
          <w:szCs w:val="20"/>
          <w:color w:val="auto"/>
        </w:rPr>
      </w:pPr>
    </w:p>
    <w:p>
      <w:pPr>
        <w:ind w:right="20" w:firstLine="656"/>
        <w:spacing w:after="0" w:line="309" w:lineRule="auto"/>
        <w:tabs>
          <w:tab w:leader="none" w:pos="1368"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 of the Selling Stockholders.</w:t>
      </w:r>
      <w:r>
        <w:rPr>
          <w:rFonts w:ascii="Arial" w:cs="Arial" w:eastAsia="Arial" w:hAnsi="Arial"/>
          <w:sz w:val="18"/>
          <w:szCs w:val="18"/>
          <w:color w:val="auto"/>
        </w:rPr>
        <w:t xml:space="preserve"> Each Selling Stockholder represents, warrants and covenants to the Company and the Underwriters, severally and not jointly, as follows:</w:t>
      </w:r>
    </w:p>
    <w:p>
      <w:pPr>
        <w:spacing w:after="0" w:line="196" w:lineRule="exact"/>
        <w:rPr>
          <w:sz w:val="20"/>
          <w:szCs w:val="20"/>
          <w:color w:val="auto"/>
        </w:rPr>
      </w:pPr>
    </w:p>
    <w:p>
      <w:pPr>
        <w:ind w:left="1400" w:hanging="744"/>
        <w:spacing w:after="0"/>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has been duly authorized, executed and delivered by or on behalf of such Selling Stockholder.</w:t>
      </w:r>
    </w:p>
    <w:p>
      <w:pPr>
        <w:spacing w:after="0" w:line="279" w:lineRule="exact"/>
        <w:rPr>
          <w:rFonts w:ascii="Arial" w:cs="Arial" w:eastAsia="Arial" w:hAnsi="Arial"/>
          <w:sz w:val="18"/>
          <w:szCs w:val="18"/>
          <w:color w:val="auto"/>
        </w:rPr>
      </w:pPr>
    </w:p>
    <w:p>
      <w:pPr>
        <w:ind w:right="60" w:firstLine="656"/>
        <w:spacing w:after="0" w:line="323" w:lineRule="auto"/>
        <w:tabs>
          <w:tab w:leader="none" w:pos="1398"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such Selling Stockholder is a Management Selling Stockholder, (i) book-entry entitlements representing all of the Securities to be sold by such Management Selling Stockholder hereunder have been placed in custody under a Custody Agreement, in the form heretofore furnished to you (the “Custody Agreement”), duly executed and delivered by such Management Selling Stockholder to Computershare Trust Company, N.A., as custodian (the “Custodian”), (ii) such Management Selling Stockholder shall have duly executed and delivered a Stock Power relating to the Underwritten Securities to be sold by such Management Selling Stockholder (the “Stock Power”), and (iii) such Management Selling Stockholder shall have duly executed and delivered a Power of Attorney, in the form heretofore furnished to you (the “Power of Attorney”), appointing Mitchell Goodman and Jared Brandman, and each of them, as such Management’s Selling Stockholder’s attorneys-in-fact (the “Attorneys-in-Fact”) with authority to execute and deliver this Agreement on behalf of such Management Selling Stockholder, to determine the purchase price to be paid by the Underwriters to the Selling Stockholders as provided in Section 3 hereof, to authorize the delivery of the Securities to be sold by such Management Selling Stockholder hereunder and otherwise to act on behalf of such Management Selling Stockholder in connection with the transactions contemplated by this Agreement and the Custody Agreement.</w:t>
      </w:r>
    </w:p>
    <w:p>
      <w:pPr>
        <w:spacing w:after="0" w:line="197" w:lineRule="exact"/>
        <w:rPr>
          <w:rFonts w:ascii="Arial" w:cs="Arial" w:eastAsia="Arial" w:hAnsi="Arial"/>
          <w:sz w:val="16"/>
          <w:szCs w:val="16"/>
          <w:color w:val="auto"/>
        </w:rPr>
      </w:pPr>
    </w:p>
    <w:p>
      <w:pPr>
        <w:ind w:firstLine="656"/>
        <w:spacing w:after="0" w:line="302" w:lineRule="auto"/>
        <w:tabs>
          <w:tab w:leader="none" w:pos="1388"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payment for the Underwritten Securities to be sold by such Selling Stockholders pursuant to this Agreement, delivery of such Underwritten Securities, as directed by the Representatives, to Cede &amp; Co. (“Cede”) or such other nominee as may be designated by The Depository Trust Company (“DTC”), registration of such Underwritten Securities in the name of Cede or such other nominee and the crediting of such Shares on the books of DTC to the securities account of the Underwriters (assuming that neither DTC nor the Underwriters has notice of any adverse claim (within the meaning of Section 8-105 of the New York Uniform Commercial Code (the “UCC”)) to such Shares), (A) DTC shall be a “protected purchaser” of such Underwritten Securities within the meaning of Section 8-303 of the UCC, (B) under Section 8-501 of the UCC, the Underwriters will acquire a valid security entitlement in respect of such Underwritten Securities and (C) no action based on any “adverse claim”, within the meaning of Section 8-102 of the UCC, to such Underwritten Securities may be asserted against the Underwriters with respect to such security entitlement; for purposes of this representation, such Selling Stockholder may assume that when such payment, delivery and crediting occur, (x) such Underwritten Securities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entry to the account of the Underwriters on the records of DTC will have been made pursuant to the UCC.</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82" w:right="279" w:bottom="1440" w:gutter="0" w:footer="0" w:header="0"/>
        </w:sectPr>
      </w:pPr>
    </w:p>
    <w:bookmarkStart w:id="85" w:name="page86"/>
    <w:bookmarkEnd w:id="85"/>
    <w:p>
      <w:pPr>
        <w:ind w:left="-60" w:firstLine="656"/>
        <w:spacing w:after="0" w:line="301" w:lineRule="auto"/>
        <w:tabs>
          <w:tab w:leader="none" w:pos="1293"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execution and delivery by such Selling Stockholder, or such Selling Stockholder’s Attorneys-in-Fact, as applicable, of, and the performance by such Selling Stockholder of its obligations under, this Agreement, and, if such Selling Stockholder is a Management Selling Stockholder, the Power of Attorney, the Custody Agreement and Stock Power, will not contravene or conflict with, result in a breach of, or constitute a default (or, with the giving of notice or lapse of time, would be in default) under, or require the consent of any other party to, (i) in the case of the KKR Selling Stockholder, the limited partnership agreement of the KKR Selling Stockholder, (ii) in the case of each Berkshire Selling Stockholder, the limited partnership agreement or limited liability company agreement, as the case may be, of such Selling Stockholder, (iii) any other agreement or instrument to which such Selling Stockholder is a party or by which it is bound or (iv) any provision of applicable law or any judgment, order, decree or regulation applicable to such Selling Stockholder of any court, regulatory body, administrative agency, governmental body or arbitrator having jurisdiction over such Selling Stockholder, except, in the case of the foregoing clauses (iii) and (iv) as would not, individually or in the aggregate, reasonably be expected to materially impact such Selling Stockholder’s ability to perform its obligations under this Agreement. No consent, approval, authorization or other order of, or registration or filing with, any court or other governmental authority or agency, is required for the consummation by such Selling Stockholder of the transactions contemplated in this Agreement or, if such Selling Stockholder is a Management Selling Stockholder, under the Power of Attorney, the Custody Agreement and the Stock Power, except such as may be required under the Securities Act, applicable state securities or blue sky laws and from the FINRA and such other approvals as have been or will be made or obtained on or prior to the Closing Date.</w:t>
      </w:r>
    </w:p>
    <w:p>
      <w:pPr>
        <w:spacing w:after="0" w:line="214" w:lineRule="exact"/>
        <w:rPr>
          <w:rFonts w:ascii="Arial" w:cs="Arial" w:eastAsia="Arial" w:hAnsi="Arial"/>
          <w:sz w:val="17"/>
          <w:szCs w:val="17"/>
          <w:color w:val="auto"/>
        </w:rPr>
      </w:pPr>
    </w:p>
    <w:p>
      <w:pPr>
        <w:ind w:left="-60" w:right="80" w:firstLine="656"/>
        <w:spacing w:after="0" w:line="287" w:lineRule="auto"/>
        <w:tabs>
          <w:tab w:leader="none" w:pos="13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All information furnished to the Company or the Underwriters by or on behalf of such Selling Stockholder in writing expressly for use in the Registration Statement, the Disclosure Package or the Prospectus is, and on the Closing Date will be, true, correct and complete in all material respects, and did not, as of the Execution Time, and on the Closing Date will not, contain any untrue statement of a material fact or omit to state any material fact necessary to make such information not misleading, it being understood and agreed that the only such information consists of the information with respect to such Selling Stockholder under the caption “Selling Stockholders” in the Registration Statement, the Disclosure Package and the Prospectus (such information, the “Selling Stockholders Information”).</w:t>
      </w:r>
    </w:p>
    <w:p>
      <w:pPr>
        <w:spacing w:after="0" w:line="216" w:lineRule="exact"/>
        <w:rPr>
          <w:rFonts w:ascii="Arial" w:cs="Arial" w:eastAsia="Arial" w:hAnsi="Arial"/>
          <w:sz w:val="18"/>
          <w:szCs w:val="18"/>
          <w:color w:val="auto"/>
        </w:rPr>
      </w:pPr>
    </w:p>
    <w:p>
      <w:pPr>
        <w:ind w:left="-60" w:right="120" w:firstLine="656"/>
        <w:spacing w:after="0" w:line="295" w:lineRule="auto"/>
        <w:tabs>
          <w:tab w:leader="none" w:pos="1353" w:val="left"/>
        </w:tabs>
        <w:numPr>
          <w:ilvl w:val="0"/>
          <w:numId w:val="74"/>
        </w:numPr>
        <w:rPr>
          <w:rFonts w:ascii="Arial" w:cs="Arial" w:eastAsia="Arial" w:hAnsi="Arial"/>
          <w:sz w:val="18"/>
          <w:szCs w:val="18"/>
          <w:color w:val="auto"/>
        </w:rPr>
      </w:pPr>
      <w:r>
        <w:rPr>
          <w:rFonts w:ascii="Arial" w:cs="Arial" w:eastAsia="Arial" w:hAnsi="Arial"/>
          <w:sz w:val="18"/>
          <w:szCs w:val="18"/>
          <w:color w:val="auto"/>
        </w:rPr>
        <w:t>Prior to the completion of the Underwriters’ distribution of the Underwritten Securities, such Selling Stockholder has not distributed and will not distribute any offering material in connection with the offering and sale of the Underwritten Securities other than the Registration Statement, the Preliminary Prospectus, the Disclosure Package and the Prospectus.</w:t>
      </w:r>
    </w:p>
    <w:p>
      <w:pPr>
        <w:spacing w:after="0" w:line="209" w:lineRule="exact"/>
        <w:rPr>
          <w:rFonts w:ascii="Arial" w:cs="Arial" w:eastAsia="Arial" w:hAnsi="Arial"/>
          <w:sz w:val="18"/>
          <w:szCs w:val="18"/>
          <w:color w:val="auto"/>
        </w:rPr>
      </w:pPr>
    </w:p>
    <w:p>
      <w:pPr>
        <w:ind w:left="-60" w:right="20" w:firstLine="656"/>
        <w:spacing w:after="0" w:line="295" w:lineRule="auto"/>
        <w:tabs>
          <w:tab w:leader="none" w:pos="1338"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Such Selling Stockholder has not taken and will not take, directly or indirectly, any action that is designed to or that has constituted or that might reasonably be expected to cause or result in stabilization or manipulation of the price of any security of the Company to facilitate the sale or resale of the Securities.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20"/>
          </w:cols>
          <w:pgMar w:left="300" w:top="382" w:right="279" w:bottom="1440" w:gutter="0" w:footer="0" w:header="0"/>
        </w:sectPr>
      </w:pPr>
    </w:p>
    <w:bookmarkStart w:id="86" w:name="page87"/>
    <w:bookmarkEnd w:id="86"/>
    <w:p>
      <w:pPr>
        <w:ind w:right="320" w:firstLine="656"/>
        <w:spacing w:after="0" w:line="295" w:lineRule="auto"/>
        <w:tabs>
          <w:tab w:leader="none" w:pos="1398" w:val="left"/>
        </w:tabs>
        <w:numPr>
          <w:ilvl w:val="0"/>
          <w:numId w:val="75"/>
        </w:numPr>
        <w:rPr>
          <w:rFonts w:ascii="Arial" w:cs="Arial" w:eastAsia="Arial" w:hAnsi="Arial"/>
          <w:sz w:val="18"/>
          <w:szCs w:val="18"/>
          <w:color w:val="auto"/>
        </w:rPr>
      </w:pPr>
      <w:r>
        <w:rPr>
          <w:rFonts w:ascii="Arial" w:cs="Arial" w:eastAsia="Arial" w:hAnsi="Arial"/>
          <w:sz w:val="18"/>
          <w:szCs w:val="18"/>
          <w:color w:val="auto"/>
        </w:rPr>
        <w:t>Such Selling Stockholder is not (i) an employee benefit plan (as defined in Section 3(3) of ERISA that is subject to the prohibited transaction provisions of Section 406 of ERISA), (ii) a “plan” as defined in Section 4975 of the Code or (iii) an entity deemed to hold “plan assets” of the foregoing plans described in clause (i) or (ii) pursuant to 29 CFR 2510.3 as modified by Section 3(42) of ERISA.</w:t>
      </w:r>
    </w:p>
    <w:p>
      <w:pPr>
        <w:spacing w:after="0" w:line="209" w:lineRule="exact"/>
        <w:rPr>
          <w:sz w:val="20"/>
          <w:szCs w:val="20"/>
          <w:color w:val="auto"/>
        </w:rPr>
      </w:pPr>
    </w:p>
    <w:p>
      <w:pPr>
        <w:jc w:val="both"/>
        <w:ind w:firstLine="1297"/>
        <w:spacing w:after="0" w:line="295" w:lineRule="auto"/>
        <w:rPr>
          <w:sz w:val="20"/>
          <w:szCs w:val="20"/>
          <w:color w:val="auto"/>
        </w:rPr>
      </w:pPr>
      <w:r>
        <w:rPr>
          <w:rFonts w:ascii="Arial" w:cs="Arial" w:eastAsia="Arial" w:hAnsi="Arial"/>
          <w:sz w:val="18"/>
          <w:szCs w:val="18"/>
          <w:color w:val="auto"/>
        </w:rPr>
        <w:t>Any certificate signed by or on behalf of such Selling Stockholder and delivered to the Representatives or to counsel for the Underwriters in connection with the offering of the Securities shall be deemed a representation and warranty by such Selling Stockholder to the Underwriters as to the matters covered thereby with respect to such Selling Stockholder.</w:t>
      </w:r>
    </w:p>
    <w:p>
      <w:pPr>
        <w:spacing w:after="0" w:line="209" w:lineRule="exact"/>
        <w:rPr>
          <w:sz w:val="20"/>
          <w:szCs w:val="20"/>
          <w:color w:val="auto"/>
        </w:rPr>
      </w:pPr>
    </w:p>
    <w:p>
      <w:pPr>
        <w:ind w:right="60" w:firstLine="1297"/>
        <w:spacing w:after="0" w:line="290" w:lineRule="auto"/>
        <w:rPr>
          <w:sz w:val="20"/>
          <w:szCs w:val="20"/>
          <w:color w:val="auto"/>
        </w:rPr>
      </w:pPr>
      <w:r>
        <w:rPr>
          <w:rFonts w:ascii="Arial" w:cs="Arial" w:eastAsia="Arial" w:hAnsi="Arial"/>
          <w:sz w:val="18"/>
          <w:szCs w:val="18"/>
          <w:color w:val="auto"/>
        </w:rPr>
        <w:t>Such Selling Stockholder has a reasonable basis for making each of the representations set forth in this Section 2. Such Selling Stockholder acknowledges that the Underwriters and, for purposes of the opinions to be delivered pursuant to Sections 8(b)(i) and (iii) and Section 8(c) hereof, counsel to such Selling Stockholder and counsel to the Underwriters, will rely upon the accuracy and truthfulness of the foregoing representations and hereby consents to such reliance.</w:t>
      </w:r>
    </w:p>
    <w:p>
      <w:pPr>
        <w:spacing w:after="0" w:line="215" w:lineRule="exact"/>
        <w:rPr>
          <w:sz w:val="20"/>
          <w:szCs w:val="20"/>
          <w:color w:val="auto"/>
        </w:rPr>
      </w:pPr>
    </w:p>
    <w:p>
      <w:pPr>
        <w:ind w:firstLine="656"/>
        <w:spacing w:after="0" w:line="286" w:lineRule="auto"/>
        <w:tabs>
          <w:tab w:leader="none" w:pos="1233"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(a) Subject to the terms and conditions and in reliance upon the representations and warranties herein set forth, each Selling Stockholder hereby agrees, severally and not jointly, to sell to each Underwriter, and each Underwriter agrees, severally and not jointly, to purchase from such Selling Stockholder, at a purchase price of $[ ● ] per share, the amount of the Underwritten Securities determined by multiplying the aggregate number of Underwritten Securities to be sold by each of the Selling Stockholders as set forth opposite its name in Schedule I(B) hereto by a fraction, the numerator of which is the aggregate number of Underwritten Securities to be purchased by such Underwriter as set forth opposite such Underwriter’s name in Schedule I(A) hereto and the denominator of which is the aggregate number of the Underwritten Securities to be purchased by all of the Underwriters from all of the Selling Stockholders hereunder.</w:t>
      </w:r>
    </w:p>
    <w:p>
      <w:pPr>
        <w:spacing w:after="0" w:line="218" w:lineRule="exact"/>
        <w:rPr>
          <w:sz w:val="20"/>
          <w:szCs w:val="20"/>
          <w:color w:val="auto"/>
        </w:rPr>
      </w:pPr>
    </w:p>
    <w:p>
      <w:pPr>
        <w:ind w:firstLine="656"/>
        <w:spacing w:after="0" w:line="303" w:lineRule="auto"/>
        <w:tabs>
          <w:tab w:leader="none" w:pos="1353"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herein set forth, the Selling Stockholders hereby grant an option to the several Underwriters to purchase, severally and not jointly, up to [ ● ] Option Securities at the same purchase price per share as the Underwriters shall pay for the Underwritten Securities, less an amount per share equal to any dividends or distributions declared by the Company and payable on the Underwritten Securities but not payable on the Option Securities. Said option may be exercised in whole or in part at any time (but not more than twice) on or before the 30th day after the date of the Prospectus upon written or telegraphic notice by the Representatives to the Selling Stockholders setting forth the number of shares of the Option Securities as to which the several Underwriters are exercising the option and the settlement date. The number of Option Securities to be purchased by each Underwriter shall be the same percentage of the total number of shares of the Option Securities to be purchased by the several Underwriters as such Underwriter is purchasing of the Underwritten Securities, subject to such adjustments as you in your absolute discretion shall make to eliminate any fractional shares.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7" w:name="page88"/>
    <w:bookmarkEnd w:id="87"/>
    <w:p>
      <w:pPr>
        <w:ind w:firstLine="656"/>
        <w:spacing w:after="0" w:line="303" w:lineRule="auto"/>
        <w:tabs>
          <w:tab w:leader="none" w:pos="1413" w:val="left"/>
        </w:tabs>
        <w:numPr>
          <w:ilvl w:val="0"/>
          <w:numId w:val="78"/>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Delivery of and payment for the Underwritten Securities and the Option Securities (if the option provided for in Section 3(b) hereof shall have been exercised on or before the second Business Day immediately preceding the Closing Date) shall be made at the offices of Simpson Thacher &amp; Bartlett LLP, 425 Lexington Avenue, New York, New York 10017 at 10:00 AM, New York City time, on [ ● ], 2018, or at such time on such later date not more than two Business Days after the foregoing date as the Representatives shall designate, which date and time may be postponed by agreement between the Representatives, the Company and the Selling Stockholders or as provided in Section 11 hereof (such date and time of delivery and payment for the Securities being herein called the “Closing Date”). Delivery of the Securities shall be made to the Representatives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in writing to the Representatives. Delivery of the Underwritten Securities and the Option Securities shall be made through the facilities of DTC unless the Representatives shall otherwise instruct.</w:t>
      </w:r>
    </w:p>
    <w:p>
      <w:pPr>
        <w:spacing w:after="0" w:line="206" w:lineRule="exact"/>
        <w:rPr>
          <w:sz w:val="20"/>
          <w:szCs w:val="20"/>
          <w:color w:val="auto"/>
        </w:rPr>
      </w:pPr>
    </w:p>
    <w:p>
      <w:pPr>
        <w:ind w:right="100" w:firstLine="1297"/>
        <w:spacing w:after="0" w:line="303" w:lineRule="auto"/>
        <w:rPr>
          <w:sz w:val="20"/>
          <w:szCs w:val="20"/>
          <w:color w:val="auto"/>
        </w:rPr>
      </w:pPr>
      <w:r>
        <w:rPr>
          <w:rFonts w:ascii="Arial" w:cs="Arial" w:eastAsia="Arial" w:hAnsi="Arial"/>
          <w:sz w:val="17"/>
          <w:szCs w:val="17"/>
          <w:color w:val="auto"/>
        </w:rPr>
        <w:t>If the option provided for in Section 3(b) hereof is exercised after the second Business Day immediately preceding the Closing Date, the Selling Stockholders will deliver the Option Securities to the Representatives on the date specified by the Representatives (which shall be within two Business Days after exercise of said option, which date may be postponed by agreement between the Representatives, the Company and the Selling Stockholders) for the respective accounts of the several Underwriters, against payment by the several Underwriters through the Representatives of the purchase price thereof to or upon the order of the Selling Stockholders or the Custodian, as applicable, by wire transfer payable in same-day funds to the account(s) specified by the Selling Stockholders or the Custodian, as applicable. If settlement for the Option Securities occurs after the Closing Date, the Selling Stockholders will deliver to the Representatives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8 hereof.</w:t>
      </w:r>
    </w:p>
    <w:p>
      <w:pPr>
        <w:spacing w:after="0" w:line="210" w:lineRule="exact"/>
        <w:rPr>
          <w:sz w:val="20"/>
          <w:szCs w:val="20"/>
          <w:color w:val="auto"/>
        </w:rPr>
      </w:pPr>
    </w:p>
    <w:p>
      <w:pPr>
        <w:ind w:left="1420" w:hanging="764"/>
        <w:spacing w:after="0"/>
        <w:tabs>
          <w:tab w:leader="none" w:pos="1420"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Offering by Underwriters</w:t>
      </w:r>
      <w:r>
        <w:rPr>
          <w:rFonts w:ascii="Arial" w:cs="Arial" w:eastAsia="Arial" w:hAnsi="Arial"/>
          <w:sz w:val="16"/>
          <w:szCs w:val="16"/>
          <w:color w:val="auto"/>
        </w:rPr>
        <w:t>. It is understood that the several Underwriters propose to offer the Securities for sale to the public as set forth in</w:t>
      </w:r>
    </w:p>
    <w:p>
      <w:pPr>
        <w:spacing w:after="0" w:line="5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Prospectus.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88" w:name="page89"/>
    <w:bookmarkEnd w:id="88"/>
    <w:p>
      <w:pPr>
        <w:ind w:left="1412" w:hanging="764"/>
        <w:spacing w:after="0"/>
        <w:tabs>
          <w:tab w:leader="none" w:pos="141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Agreements of the Company</w:t>
      </w:r>
      <w:r>
        <w:rPr>
          <w:rFonts w:ascii="Arial" w:cs="Arial" w:eastAsia="Arial" w:hAnsi="Arial"/>
          <w:sz w:val="18"/>
          <w:szCs w:val="18"/>
          <w:color w:val="auto"/>
        </w:rPr>
        <w:t>. The Company agrees with the several Underwriters as follows:</w:t>
      </w:r>
    </w:p>
    <w:p>
      <w:pPr>
        <w:spacing w:after="0" w:line="279" w:lineRule="exact"/>
        <w:rPr>
          <w:sz w:val="20"/>
          <w:szCs w:val="20"/>
          <w:color w:val="auto"/>
        </w:rPr>
      </w:pPr>
    </w:p>
    <w:p>
      <w:pPr>
        <w:ind w:left="-8" w:firstLine="656"/>
        <w:spacing w:after="0" w:line="321" w:lineRule="auto"/>
        <w:tabs>
          <w:tab w:leader="none" w:pos="13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Prior to the termination of the offering of the Securities, the Company will not file any amendment of the Registration Statement or supplement to the Prospectus or any Rule 462(b) Registration Statement unless the Company has furnished you a copy for your review prior to filing and will not file any such proposed amendment or supplement to which you reasonably object. The Company will cause the Prospectus, properly completed, and any supplement thereto to be filed in a form approved by the Representatives with the Commission pursuant to the applicable paragraph of Rule 424(b) within the time period prescribed and will provide evidence satisfactory to the Representatives of such timely filing. The Company will promptly advise the Representatives (i) when the Prospectus, and any supplement thereto, shall have been filed (if required) with the Commission pursuant to Rule 424(b) or when any Rule 462(b) Registration Statement shall have been filed with the Commission, (ii) when, prior to termination of the offering of the Securities, any amendment to the Registration Statement shall have been filed or become effective, (iii) of any request by the Commission or its staff for any amendment of the Registration Statement, or any Rule 462(b) Registration Statement,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or pursuant to Section 8A of the Act and (v) of the receipt by the Company of any notification with respect to the suspension of the qualification of the Securities for sale in any jurisdiction or the institution or threatening of any proceeding for such purpose. The Company will use its commercially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commercially reasonable efforts to have such amendment or new registration statement declared effective as soon as practicable.</w:t>
      </w:r>
    </w:p>
    <w:p>
      <w:pPr>
        <w:spacing w:after="0" w:line="195" w:lineRule="exact"/>
        <w:rPr>
          <w:rFonts w:ascii="Arial" w:cs="Arial" w:eastAsia="Arial" w:hAnsi="Arial"/>
          <w:sz w:val="16"/>
          <w:szCs w:val="16"/>
          <w:color w:val="auto"/>
        </w:rPr>
      </w:pPr>
    </w:p>
    <w:p>
      <w:pPr>
        <w:ind w:left="-8" w:firstLine="656"/>
        <w:spacing w:after="0" w:line="329" w:lineRule="auto"/>
        <w:tabs>
          <w:tab w:leader="none" w:pos="139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in the opinion of counsel to the Underwriters, or counsel for the Company, the Disclosure Package would include any untrue statement of a material fact or omit to state any material fact necessary in order to make the statements therein, in the light of the circumstances under which they were made, not misleading, the Company will (i) notify promptly the Representatives so that any use of the Disclosure Package may cease until it is amended or supplemented; (ii) amend or supplement the Disclosure Package, or file under the Exchange Act any documents incorporated by reference therein, to correct such statement or omission; and (iii) supply any amendment or supplement to the several Underwriters and counsel for the Underwriters without charge in such quantities as they may reasonably request.</w:t>
      </w:r>
    </w:p>
    <w:p>
      <w:pPr>
        <w:spacing w:after="0" w:line="188" w:lineRule="exact"/>
        <w:rPr>
          <w:rFonts w:ascii="Arial" w:cs="Arial" w:eastAsia="Arial" w:hAnsi="Arial"/>
          <w:sz w:val="16"/>
          <w:szCs w:val="16"/>
          <w:color w:val="auto"/>
        </w:rPr>
      </w:pPr>
    </w:p>
    <w:p>
      <w:pPr>
        <w:jc w:val="both"/>
        <w:ind w:left="-8" w:right="100" w:firstLine="656"/>
        <w:spacing w:after="0" w:line="317" w:lineRule="auto"/>
        <w:tabs>
          <w:tab w:leader="none" w:pos="13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If, during such period of time after the first date of the public offering of the Securities as in the opinion of counsel for the Underwriters a prospectus relating to the Securities is required by law to be delivered (including in circumstances where such requirement may be satisfied pursuant to Rule</w:t>
      </w:r>
    </w:p>
    <w:p>
      <w:pPr>
        <w:ind w:left="-8" w:firstLine="8"/>
        <w:spacing w:after="0" w:line="305" w:lineRule="auto"/>
        <w:tabs>
          <w:tab w:leader="none" w:pos="367"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“Prospectus Delivery Period”), any event occurs, as a result of which, in the opinion of counsel to the Underwriters, or counsel for the Company, the Prospectus as then supplemented would include any untrue statement of a material fact or omit to state any material fact necessary in order to make the statements therein, in the light of the circumstances under which they were, made not misleading, or if it shall be necessary to amend the Registration Statement or supplement the Prospectus to comply with applicable law, the Company will promptly (i) notify the Representatives of any such event; (ii) prepare and file with the Commission, subject to the second sentence of paragraph (a) of this Section 6, an amendment or supplement that will correct such statement or omission or effect such compliance; and (iii) supply any supplemented Prospectus to the several Underwriters and counsel for the Underwriters without charge in such quantities as they may reasonably request.</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82" w:right="259" w:bottom="1440" w:gutter="0" w:footer="0" w:header="0"/>
        </w:sectPr>
      </w:pPr>
    </w:p>
    <w:bookmarkStart w:id="89" w:name="page90"/>
    <w:bookmarkEnd w:id="89"/>
    <w:p>
      <w:pPr>
        <w:ind w:left="-8" w:right="340" w:firstLine="656"/>
        <w:spacing w:after="0" w:line="295" w:lineRule="auto"/>
        <w:tabs>
          <w:tab w:leader="none" w:pos="139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As soon as practicable, the Company will make generally available to its security holders and to the Representatives (which may be satisfied by filing with the Commission’s EDGAR system) an earnings statement or statements of the Company and its subsidiaries which will satisfy the provisions of Section 11(a) of the Act and Rule 158.</w:t>
      </w:r>
    </w:p>
    <w:p>
      <w:pPr>
        <w:spacing w:after="0" w:line="209" w:lineRule="exact"/>
        <w:rPr>
          <w:rFonts w:ascii="Arial" w:cs="Arial" w:eastAsia="Arial" w:hAnsi="Arial"/>
          <w:sz w:val="18"/>
          <w:szCs w:val="18"/>
          <w:color w:val="auto"/>
        </w:rPr>
      </w:pPr>
    </w:p>
    <w:p>
      <w:pPr>
        <w:ind w:left="-8" w:right="220" w:firstLine="656"/>
        <w:spacing w:after="0" w:line="309" w:lineRule="auto"/>
        <w:tabs>
          <w:tab w:leader="none" w:pos="13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The Company will cooperate with the Representatives and use its commercially reasonable efforts to permit the Securities to be eligible for clearance and settlement through DTC.</w:t>
      </w:r>
    </w:p>
    <w:p>
      <w:pPr>
        <w:spacing w:after="0" w:line="196" w:lineRule="exact"/>
        <w:rPr>
          <w:rFonts w:ascii="Arial" w:cs="Arial" w:eastAsia="Arial" w:hAnsi="Arial"/>
          <w:sz w:val="18"/>
          <w:szCs w:val="18"/>
          <w:color w:val="auto"/>
        </w:rPr>
      </w:pPr>
    </w:p>
    <w:p>
      <w:pPr>
        <w:ind w:left="-8" w:firstLine="656"/>
        <w:spacing w:after="0" w:line="317" w:lineRule="auto"/>
        <w:tabs>
          <w:tab w:leader="none" w:pos="1405" w:val="left"/>
        </w:tabs>
        <w:numPr>
          <w:ilvl w:val="1"/>
          <w:numId w:val="83"/>
        </w:numPr>
        <w:rPr>
          <w:rFonts w:ascii="Arial" w:cs="Arial" w:eastAsia="Arial" w:hAnsi="Arial"/>
          <w:sz w:val="16"/>
          <w:szCs w:val="16"/>
          <w:color w:val="auto"/>
        </w:rPr>
      </w:pPr>
      <w:r>
        <w:rPr>
          <w:rFonts w:ascii="Arial" w:cs="Arial" w:eastAsia="Arial" w:hAnsi="Arial"/>
          <w:sz w:val="16"/>
          <w:szCs w:val="16"/>
          <w:color w:val="auto"/>
        </w:rPr>
        <w:t>The Company will furnish to the Representatives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w:t>
      </w:r>
    </w:p>
    <w:p>
      <w:pPr>
        <w:ind w:left="-8" w:right="100" w:firstLine="8"/>
        <w:spacing w:after="0" w:line="295" w:lineRule="auto"/>
        <w:tabs>
          <w:tab w:leader="none" w:pos="367" w:val="left"/>
        </w:tabs>
        <w:numPr>
          <w:ilvl w:val="0"/>
          <w:numId w:val="84"/>
        </w:numPr>
        <w:rPr>
          <w:rFonts w:ascii="Arial" w:cs="Arial" w:eastAsia="Arial" w:hAnsi="Arial"/>
          <w:sz w:val="18"/>
          <w:szCs w:val="18"/>
          <w:color w:val="auto"/>
        </w:rPr>
      </w:pPr>
      <w:r>
        <w:rPr>
          <w:rFonts w:ascii="Arial" w:cs="Arial" w:eastAsia="Arial" w:hAnsi="Arial"/>
          <w:sz w:val="18"/>
          <w:szCs w:val="18"/>
          <w:color w:val="auto"/>
        </w:rPr>
        <w:t>during the Prospectus Delivery Period, as many copies of each Preliminary Prospectus, the Prospectus and each Issuer Free Writing Prospectus and any supplement thereto as the Representatives may reasonably request. The Company will pay the expenses of printing or other production of all documents relating to the offering.</w:t>
      </w:r>
    </w:p>
    <w:p>
      <w:pPr>
        <w:spacing w:after="0" w:line="209" w:lineRule="exact"/>
        <w:rPr>
          <w:rFonts w:ascii="Arial" w:cs="Arial" w:eastAsia="Arial" w:hAnsi="Arial"/>
          <w:sz w:val="18"/>
          <w:szCs w:val="18"/>
          <w:color w:val="auto"/>
        </w:rPr>
      </w:pPr>
    </w:p>
    <w:p>
      <w:pPr>
        <w:ind w:left="-8" w:right="60" w:firstLine="656"/>
        <w:spacing w:after="0" w:line="287" w:lineRule="auto"/>
        <w:tabs>
          <w:tab w:leader="none" w:pos="1387" w:val="left"/>
        </w:tabs>
        <w:numPr>
          <w:ilvl w:val="1"/>
          <w:numId w:val="84"/>
        </w:numPr>
        <w:rPr>
          <w:rFonts w:ascii="Arial" w:cs="Arial" w:eastAsia="Arial" w:hAnsi="Arial"/>
          <w:sz w:val="18"/>
          <w:szCs w:val="18"/>
          <w:color w:val="auto"/>
        </w:rPr>
      </w:pPr>
      <w:r>
        <w:rPr>
          <w:rFonts w:ascii="Arial" w:cs="Arial" w:eastAsia="Arial" w:hAnsi="Arial"/>
          <w:sz w:val="18"/>
          <w:szCs w:val="18"/>
          <w:color w:val="auto"/>
        </w:rPr>
        <w:t xml:space="preserve">The Company will assist the Underwriters in arranging, if necessary, for the qualification of the Securities for sale by the Underwriters under the laws of such jurisdictions as the Representatives may designate and will maintain such qualifications in effect so long as required for the sale of the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no event shall the Company be obligated to qualify to do business in any jurisdiction where it is not now so qualified or to take any action that would reasonably be expected to subject it to service of process in suits, other than those arising out of the offering or sale of the Securities, in any jurisdiction where it is not now so subject or to subject themselves to taxation in excess of a nominal amount in respect of doing business in any jurisdiction.</w:t>
      </w:r>
    </w:p>
    <w:p>
      <w:pPr>
        <w:spacing w:after="0" w:line="216" w:lineRule="exact"/>
        <w:rPr>
          <w:rFonts w:ascii="Arial" w:cs="Arial" w:eastAsia="Arial" w:hAnsi="Arial"/>
          <w:sz w:val="18"/>
          <w:szCs w:val="18"/>
          <w:color w:val="auto"/>
        </w:rPr>
      </w:pPr>
    </w:p>
    <w:p>
      <w:pPr>
        <w:ind w:left="-8" w:right="20" w:firstLine="656"/>
        <w:spacing w:after="0" w:line="319" w:lineRule="auto"/>
        <w:tabs>
          <w:tab w:leader="none" w:pos="1390" w:val="left"/>
        </w:tabs>
        <w:numPr>
          <w:ilvl w:val="1"/>
          <w:numId w:val="84"/>
        </w:numPr>
        <w:rPr>
          <w:rFonts w:ascii="Arial" w:cs="Arial" w:eastAsia="Arial" w:hAnsi="Arial"/>
          <w:sz w:val="16"/>
          <w:szCs w:val="16"/>
          <w:color w:val="auto"/>
        </w:rPr>
      </w:pPr>
      <w:r>
        <w:rPr>
          <w:rFonts w:ascii="Arial" w:cs="Arial" w:eastAsia="Arial" w:hAnsi="Arial"/>
          <w:sz w:val="16"/>
          <w:szCs w:val="16"/>
          <w:color w:val="auto"/>
        </w:rPr>
        <w:t>The Company will not, without the prior written consent of any two of Merrill Lynch, Pierce, Fenner &amp; Smith Incorporated, Citigroup Global Markets Inc. and Goldman Sachs &amp; Co. LLC, offer, sell or contract to sell, pledge (other than on behalf of an Affiliate of the Company)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public filing (or participation in the public filing) of a registration statement with the Commission in respect of, or establish or increase a put equivalent position or liquidate or decrease a call equivalent position within the meaning of Section 16 of the Exchange Act, any other shares of Common Stock or any securities convertible into, or exercisable, or exchangeable for, shares of Common Stock (“Related Securities”); or publicly announce an intention to effect any such transaction, for a period of 90 days after the date of the Underwriting Agreement. The foregoing sentence shall not apply to (A) any shares of Common Stock issued by the Company upon the exercise of options to purchase shares of Common Stock or upon the vesting of restricted stock awards, in each case disclosed in the Disclosure Package and the Prospectus, (B) the grant of awards pursuant to employee benefit plans or arrangements (including to non-employee directors under the 2014 Stock Incentive Plan and the 2017 Omnibus Incentive Plan), in each case, as described in the Disclosure Package and the Prospectus, (C) the issuance or grant of shares of Common Stock (including in connection with the settlement of restricted stock unit awards), restricted stock awards, options to purchase shares of common stock or any other stock-based awards, in each case, registered or to be registered pursuant to any registration statement on Form S-8 pursuant to employee benefit plans or arrangements (including to non-employee directors under the 2014 Stock Incentive Plan and the 2017 Omnibus Incentive Plan), in each case, as described in the Disclosure Package and the Prospectus, (D) the issuance of shares of Common Stock in connection with the acquisition by the Company or any of its subsidiaries of the securities, business, property or other assets of another person or business entity or pursuant to any employee benefit plan assumed by the Company in connection with any such acquisition or (E) the issuance of shares of Common Stock, of restricted stock awards or of options to purchase shares of Common Stock, in each case, in connection with joint ventures, commercial relationships or other strategic transactions; provided that, in the case of immediately preceding clauses (D) and (E), the aggregate number of restricted stock awards and shares of Common Stock issued in connection with, or issuable pursuant to the exercise of any options issued in connection with, all such acquisitions and other transactions does not exceed 5% of the aggregate number of shares of common stock outstanding immediately following the consummation of the offering of the Securities and the recipient of the shares of Common Stock agrees in writing to be bound by the same terms described in the agreement attached hereto as Exhibit A.</w:t>
      </w:r>
    </w:p>
    <w:p>
      <w:pPr>
        <w:spacing w:after="0" w:line="124" w:lineRule="exact"/>
        <w:rPr>
          <w:sz w:val="20"/>
          <w:szCs w:val="20"/>
          <w:color w:val="auto"/>
        </w:rPr>
      </w:pPr>
    </w:p>
    <w:p>
      <w:pPr>
        <w:jc w:val="center"/>
        <w:ind w:right="-11"/>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92"/>
          </w:cols>
          <w:pgMar w:left="248" w:top="382" w:right="259" w:bottom="1440" w:gutter="0" w:footer="0" w:header="0"/>
        </w:sectPr>
      </w:pPr>
    </w:p>
    <w:bookmarkStart w:id="90" w:name="page91"/>
    <w:bookmarkEnd w:id="90"/>
    <w:p>
      <w:pPr>
        <w:ind w:left="1380" w:hanging="764"/>
        <w:spacing w:after="0"/>
        <w:tabs>
          <w:tab w:leader="none" w:pos="13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40" w:right="120" w:firstLine="656"/>
        <w:spacing w:after="0" w:line="295" w:lineRule="auto"/>
        <w:tabs>
          <w:tab w:leader="none" w:pos="1363"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unlawful stabilization or manipulation of the price of any security of the Company to facilitate the sale or resale of the Securities.</w:t>
      </w:r>
    </w:p>
    <w:p>
      <w:pPr>
        <w:spacing w:after="0" w:line="209" w:lineRule="exact"/>
        <w:rPr>
          <w:rFonts w:ascii="Arial" w:cs="Arial" w:eastAsia="Arial" w:hAnsi="Arial"/>
          <w:sz w:val="18"/>
          <w:szCs w:val="18"/>
          <w:color w:val="auto"/>
        </w:rPr>
      </w:pPr>
    </w:p>
    <w:p>
      <w:pPr>
        <w:ind w:left="-40" w:firstLine="656"/>
        <w:spacing w:after="0" w:line="319" w:lineRule="auto"/>
        <w:tabs>
          <w:tab w:leader="none" w:pos="1358" w:val="left"/>
        </w:tabs>
        <w:numPr>
          <w:ilvl w:val="0"/>
          <w:numId w:val="85"/>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Issuer Free Writing Prospectus, and each amendment or supplement to any of them; (ii) the printing (or reproduction) and delivery (including postage, air freight charges and charges for counting and packaging) of such copies of the Registration Statement, each Preliminary Prospectus, the Prospectus and each Issuer Free Writing Prospectus, and all amendments or supplements to any of them, as may, in each case, be reasonably requested for use in connection with the offering and sale of the Securities; (iii) the printing (or reproduction) and delivery of any blue sky memorandum delivered in connection with the offering of the Securities; (iv) any registration or qualification of the Securities for offer and sale under the securities or blue sky laws of the several states and any other jurisdictions specified pursuant to Section 6(g) hereof (including filing fees and the reasonable and documented fees and expenses of counsel for the Underwriters relating to such registration and qualification in an amount not to exceed $20,000); (v) the approval of the Securities for book entry transfer by DTC; (vi) any filings required to be made with the FINRA (including filing fees and the reasonable and documented fees and expenses of counsel for the Underwriters relating to such filings in an amount not to exceed $25,000); (vii) the transportation and other expenses incurred by or on behalf of the Company in connection with presentations to prospective purchasers of the Securities, including any “roadshow” (and including one half of the cost of all aircraft used in connection with any “roadshow”); (viii) the costs and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(ix) the fees and expenses of the Company’s accountants and the fees and expenses of counsel (including local and special counsel) for the Company and the Selling Stockholders and (x) all other costs and expenses incident to the performance by the Company of its obligations hereunder. Notwithstanding the forgoing, except as specifically provided in this paragraph (k) and in Section 9 hereof, the Underwriters shall pay their own costs and expenses in connection with presentations for prospective purchasers of the Securities including the transportation and other expenses incurred by or on behalf of the Underwriters in connection with presentations to prospective purchasers of the Securities, including any “roadshow” (and including one half of the cost of all aircraft used in connection with any “roadshow”). Each Selling Stockholder further agrees with the Underwriters to pay (directly or by reimbursement) all fees and expenses incident to the performance of such Selling Stockholder’s obligations under this Agreement that are not otherwise specifically provided for herein, including but not limited to stock transfer taxes, stamp duties and other similar taxes, and any other fees, expenses and taxes incident to the sale and delivery of the Underwritten Securities to be sold by such Selling Stockholder to the Underwriters hereunder. This Section 6(k) shall not affect or modify any separate, valid agreement relating to the allocation of payment of expenses between the Company, on the one hand, and any Selling Stockholder, on the other hand.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80" w:top="382" w:right="259" w:bottom="1440" w:gutter="0" w:footer="0" w:header="0"/>
        </w:sectPr>
      </w:pPr>
    </w:p>
    <w:bookmarkStart w:id="91" w:name="page92"/>
    <w:bookmarkEnd w:id="91"/>
    <w:p>
      <w:pPr>
        <w:ind w:left="1320" w:hanging="764"/>
        <w:spacing w:after="0"/>
        <w:tabs>
          <w:tab w:leader="none" w:pos="1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[Reserved].</w:t>
      </w:r>
    </w:p>
    <w:p>
      <w:pPr>
        <w:spacing w:after="0" w:line="279" w:lineRule="exact"/>
        <w:rPr>
          <w:rFonts w:ascii="Arial" w:cs="Arial" w:eastAsia="Arial" w:hAnsi="Arial"/>
          <w:sz w:val="18"/>
          <w:szCs w:val="18"/>
          <w:color w:val="auto"/>
        </w:rPr>
      </w:pPr>
    </w:p>
    <w:p>
      <w:pPr>
        <w:ind w:left="-100" w:firstLine="656"/>
        <w:spacing w:after="0" w:line="322" w:lineRule="auto"/>
        <w:tabs>
          <w:tab w:leader="none" w:pos="1303"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Company agrees that, unless it has or shall have obtained the prior written consent of the Representatives, and each Underwriter, severally and not jointly, agrees with the Company that, unless it has or shall have obtained, as the case may be, the prior written consent of the Company, it has not made and will not make any offer relating to the Securities that would constitute, or otherwise use, refer to or distribute, an Issuer Free Writing Prospectus or that would otherwise constitute a “free writing prospectus” (as defined in Rule 405) required to be filed by the Company with the Commission or retained by the Company under Rule 433;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prior written consent of the parties hereto shall be deemed to have been given in respect of the Free Writing Prospectuses included in Schedule II hereto and any electronic road show, each furnished to the Representatives before first use. Any such free writing prospectus consented to by the Representatives or the Company is hereinafter referred to as a “Permitted Free Writing Prospectus.” The Company agrees that (x) it has treated and will treat, as the case may be, each Permitted Free Writing Prospectus as an Issuer Free Writing Prospectus and (y) it has complied and will comply, as the case may be, with the requirements of Rules 164 and 433 applicable to any Permitted Free Writing Prospectus, including in respect of timely filing with the Commission, legending and record keeping. Each Underwriter, severally and not jointly, represents and agrees that it is not subject to any pending proceeding under Section 8A of the Act with respect to the offering (and will promptly notify the Company if any such proceeding against it is initiated during the period a prospectus is required by the Act to be delivered (whether physically or through compliance with Rule 172 under the Act or any similar rule) in connection with any sale of Securities).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38100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40"/>
          </w:cols>
          <w:pgMar w:left="340" w:top="382" w:right="319" w:bottom="1440" w:gutter="0" w:footer="0" w:header="0"/>
        </w:sectPr>
      </w:pPr>
    </w:p>
    <w:bookmarkStart w:id="92" w:name="page93"/>
    <w:bookmarkEnd w:id="92"/>
    <w:p>
      <w:pPr>
        <w:ind w:left="1420" w:hanging="764"/>
        <w:spacing w:after="0"/>
        <w:tabs>
          <w:tab w:leader="none" w:pos="1420"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Agreements of the Selling Stockholders</w:t>
      </w:r>
      <w:r>
        <w:rPr>
          <w:rFonts w:ascii="Arial" w:cs="Arial" w:eastAsia="Arial" w:hAnsi="Arial"/>
          <w:sz w:val="17"/>
          <w:szCs w:val="17"/>
          <w:color w:val="auto"/>
        </w:rPr>
        <w:t>. Each Selling Stockholder agrees with the Company and the several Underwriters as follows:</w:t>
      </w:r>
    </w:p>
    <w:p>
      <w:pPr>
        <w:spacing w:after="0" w:line="290" w:lineRule="exact"/>
        <w:rPr>
          <w:rFonts w:ascii="Arial" w:cs="Arial" w:eastAsia="Arial" w:hAnsi="Arial"/>
          <w:sz w:val="17"/>
          <w:szCs w:val="17"/>
          <w:color w:val="auto"/>
        </w:rPr>
      </w:pPr>
    </w:p>
    <w:p>
      <w:pPr>
        <w:ind w:left="660" w:right="100" w:firstLine="645"/>
        <w:spacing w:after="0" w:line="288" w:lineRule="auto"/>
        <w:tabs>
          <w:tab w:leader="none" w:pos="2093"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Selling Stockholder will advise you promptly, and if requested by you, will confirm such advice in writing, during the period when a prospectus relating to the Underwritten Securities is required by the Securities Act to be delivered (whether physically or through compliance with Rule 172 under the Securities Act or any similar rule), of any change in the Selling Stockholders Information in the Registration Statement, any preliminary prospectus, any free writing prospectus, the Prospectus or any amendment or supplement thereto relating to such Selling Stockholder.</w:t>
      </w:r>
    </w:p>
    <w:p>
      <w:pPr>
        <w:spacing w:after="0" w:line="216" w:lineRule="exact"/>
        <w:rPr>
          <w:rFonts w:ascii="Arial" w:cs="Arial" w:eastAsia="Arial" w:hAnsi="Arial"/>
          <w:sz w:val="18"/>
          <w:szCs w:val="18"/>
          <w:color w:val="auto"/>
        </w:rPr>
      </w:pPr>
    </w:p>
    <w:p>
      <w:pPr>
        <w:ind w:left="660" w:right="160" w:firstLine="645"/>
        <w:spacing w:after="0" w:line="295" w:lineRule="auto"/>
        <w:tabs>
          <w:tab w:leader="none" w:pos="2103" w:val="left"/>
        </w:tabs>
        <w:numPr>
          <w:ilvl w:val="1"/>
          <w:numId w:val="87"/>
        </w:numPr>
        <w:rPr>
          <w:rFonts w:ascii="Arial" w:cs="Arial" w:eastAsia="Arial" w:hAnsi="Arial"/>
          <w:sz w:val="18"/>
          <w:szCs w:val="18"/>
          <w:color w:val="auto"/>
        </w:rPr>
      </w:pPr>
      <w:r>
        <w:rPr>
          <w:rFonts w:ascii="Arial" w:cs="Arial" w:eastAsia="Arial" w:hAnsi="Arial"/>
          <w:sz w:val="18"/>
          <w:szCs w:val="18"/>
          <w:color w:val="auto"/>
        </w:rPr>
        <w:t>To deliver to the Underwriters prior to the Closing Date a properly completed and executed United States Treasury Department Form W-9, together with all required attachments, if any, of such Selling Stockholder or, in the case of a Management Selling Stockholder, of the Custodian.</w:t>
      </w:r>
    </w:p>
    <w:p>
      <w:pPr>
        <w:spacing w:after="0" w:line="209" w:lineRule="exact"/>
        <w:rPr>
          <w:sz w:val="20"/>
          <w:szCs w:val="20"/>
          <w:color w:val="auto"/>
        </w:rPr>
      </w:pPr>
    </w:p>
    <w:p>
      <w:pPr>
        <w:ind w:firstLine="648"/>
        <w:spacing w:after="0" w:line="371" w:lineRule="auto"/>
        <w:rPr>
          <w:sz w:val="20"/>
          <w:szCs w:val="20"/>
          <w:color w:val="auto"/>
        </w:rPr>
      </w:pPr>
      <w:r>
        <w:rPr>
          <w:rFonts w:ascii="Arial" w:cs="Arial" w:eastAsia="Arial" w:hAnsi="Arial"/>
          <w:sz w:val="18"/>
          <w:szCs w:val="18"/>
          <w:color w:val="auto"/>
        </w:rPr>
        <w:t>The Underwriters, may, in their sole discretion, waive in writing the performance by the Company or any Selling Stockholder of any one or more of the foregoing covenants or extend the time for their performance.</w:t>
      </w:r>
    </w:p>
    <w:p>
      <w:pPr>
        <w:spacing w:after="0" w:line="143" w:lineRule="exact"/>
        <w:rPr>
          <w:sz w:val="20"/>
          <w:szCs w:val="20"/>
          <w:color w:val="auto"/>
        </w:rPr>
      </w:pPr>
    </w:p>
    <w:p>
      <w:pPr>
        <w:ind w:right="100" w:firstLine="656"/>
        <w:spacing w:after="0" w:line="329" w:lineRule="auto"/>
        <w:tabs>
          <w:tab w:leader="none" w:pos="1413"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Conditions to the Obligations of the Underwriters</w:t>
      </w:r>
      <w:r>
        <w:rPr>
          <w:rFonts w:ascii="Arial" w:cs="Arial" w:eastAsia="Arial" w:hAnsi="Arial"/>
          <w:sz w:val="16"/>
          <w:szCs w:val="16"/>
          <w:color w:val="auto"/>
        </w:rPr>
        <w:t>. The obligations of the Underwriters to purchase the Underwritten Securities and the Option Securities, as the case may be, shall be subject to the accuracy in all material respects (except in the case of Sections 1(kk), (ll) and (mm) or to the extent already qualified by materiality, in which case such obligations shall be subject to the accuracy in all respects) of the representations and warranties of the Company and the Selling Stockholders contained herein as of the Execution Time, the Closing Date and any settlement date pursuant to Section 4 hereof, to the accuracy of the statements of the Company and the Selling Stockholders made in any certificates pursuant to the provisions hereof, to the performance by the Company and the Selling Stockholders in all material respects of their respective obligations hereunder and to the following additional conditions:</w:t>
      </w:r>
    </w:p>
    <w:p>
      <w:pPr>
        <w:spacing w:after="0" w:line="188" w:lineRule="exact"/>
        <w:rPr>
          <w:sz w:val="20"/>
          <w:szCs w:val="20"/>
          <w:color w:val="auto"/>
        </w:rPr>
      </w:pPr>
    </w:p>
    <w:p>
      <w:pPr>
        <w:ind w:left="1500" w:hanging="844"/>
        <w:spacing w:after="0"/>
        <w:tabs>
          <w:tab w:leader="none" w:pos="1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Prospectus, and any supplement thereto, have been filed in the manner and within the time period required by Rule 424(b); any</w:t>
      </w:r>
    </w:p>
    <w:p>
      <w:pPr>
        <w:spacing w:after="0" w:line="102" w:lineRule="exact"/>
        <w:rPr>
          <w:sz w:val="20"/>
          <w:szCs w:val="20"/>
          <w:color w:val="auto"/>
        </w:rPr>
      </w:pPr>
    </w:p>
    <w:p>
      <w:pPr>
        <w:ind w:right="40"/>
        <w:spacing w:after="0" w:line="295" w:lineRule="auto"/>
        <w:rPr>
          <w:sz w:val="20"/>
          <w:szCs w:val="20"/>
          <w:color w:val="auto"/>
        </w:rPr>
      </w:pPr>
      <w:r>
        <w:rPr>
          <w:rFonts w:ascii="Arial" w:cs="Arial" w:eastAsia="Arial" w:hAnsi="Arial"/>
          <w:sz w:val="18"/>
          <w:szCs w:val="18"/>
          <w:color w:val="auto"/>
        </w:rPr>
        <w:t>material required to be filed by the Company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w:t>
      </w:r>
    </w:p>
    <w:p>
      <w:pPr>
        <w:spacing w:after="0" w:line="209" w:lineRule="exact"/>
        <w:rPr>
          <w:sz w:val="20"/>
          <w:szCs w:val="20"/>
          <w:color w:val="auto"/>
        </w:rPr>
      </w:pPr>
    </w:p>
    <w:p>
      <w:pPr>
        <w:ind w:right="260" w:firstLine="656"/>
        <w:spacing w:after="0" w:line="319" w:lineRule="auto"/>
        <w:tabs>
          <w:tab w:leader="none" w:pos="1353"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The Company and the KKR Selling Stockholder shall have requested and caused Simpson Thacher &amp; Bartlett LLP, counsel for the Company and the KKR Selling Stockholder, to furnish to the Representatives an opinion letter and a negative assurance letter, each dated the Closing Date and in form and substance reasonably satisfactory to the Representatives, as set forth in Exhibit B hereto.</w:t>
      </w:r>
    </w:p>
    <w:p>
      <w:pPr>
        <w:spacing w:after="0" w:line="192" w:lineRule="exact"/>
        <w:rPr>
          <w:rFonts w:ascii="Arial" w:cs="Arial" w:eastAsia="Arial" w:hAnsi="Arial"/>
          <w:sz w:val="17"/>
          <w:szCs w:val="17"/>
          <w:color w:val="auto"/>
        </w:rPr>
      </w:pPr>
    </w:p>
    <w:p>
      <w:pPr>
        <w:ind w:left="580" w:right="200" w:firstLine="725"/>
        <w:spacing w:after="0" w:line="377" w:lineRule="auto"/>
        <w:tabs>
          <w:tab w:leader="none" w:pos="1619" w:val="left"/>
        </w:tabs>
        <w:numPr>
          <w:ilvl w:val="1"/>
          <w:numId w:val="90"/>
        </w:numPr>
        <w:rPr>
          <w:rFonts w:ascii="Arial" w:cs="Arial" w:eastAsia="Arial" w:hAnsi="Arial"/>
          <w:sz w:val="16"/>
          <w:szCs w:val="16"/>
          <w:color w:val="auto"/>
        </w:rPr>
      </w:pPr>
      <w:r>
        <w:rPr>
          <w:rFonts w:ascii="Arial" w:cs="Arial" w:eastAsia="Arial" w:hAnsi="Arial"/>
          <w:sz w:val="16"/>
          <w:szCs w:val="16"/>
          <w:color w:val="auto"/>
        </w:rPr>
        <w:t>The Company shall have requested and caused the general counsel of the Company to furnish to the Representatives an opinion letter dated the Closing Date and otherwise in form and substance reasonably satisfactory to the Representatives, as set forth in Exhibit C hereto.</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93" w:name="page94"/>
    <w:bookmarkEnd w:id="93"/>
    <w:p>
      <w:pPr>
        <w:ind w:left="560" w:right="480" w:firstLine="725"/>
        <w:spacing w:after="0" w:line="295" w:lineRule="auto"/>
        <w:tabs>
          <w:tab w:leader="none" w:pos="1604" w:val="left"/>
        </w:tabs>
        <w:numPr>
          <w:ilvl w:val="1"/>
          <w:numId w:val="91"/>
        </w:numPr>
        <w:rPr>
          <w:rFonts w:ascii="Arial" w:cs="Arial" w:eastAsia="Arial" w:hAnsi="Arial"/>
          <w:sz w:val="18"/>
          <w:szCs w:val="18"/>
          <w:color w:val="auto"/>
        </w:rPr>
      </w:pPr>
      <w:r>
        <w:rPr>
          <w:rFonts w:ascii="Arial" w:cs="Arial" w:eastAsia="Arial" w:hAnsi="Arial"/>
          <w:sz w:val="18"/>
          <w:szCs w:val="18"/>
          <w:color w:val="auto"/>
        </w:rPr>
        <w:t>The Berkshire Selling Stockholders shall have requested and caused Ropes &amp; Gray LLP, counsel for the Berkshire Selling Stockholders, to furnish to the Representatives an opinion letter dated the Closing Date and in form and substance reasonably satisfactory to the Representatives, as set forth in Exhibit D hereto.</w:t>
      </w:r>
    </w:p>
    <w:p>
      <w:pPr>
        <w:spacing w:after="0" w:line="209" w:lineRule="exact"/>
        <w:rPr>
          <w:rFonts w:ascii="Arial" w:cs="Arial" w:eastAsia="Arial" w:hAnsi="Arial"/>
          <w:sz w:val="18"/>
          <w:szCs w:val="18"/>
          <w:color w:val="auto"/>
        </w:rPr>
      </w:pPr>
    </w:p>
    <w:p>
      <w:pPr>
        <w:jc w:val="both"/>
        <w:ind w:left="-20" w:right="40" w:firstLine="656"/>
        <w:spacing w:after="0" w:line="290" w:lineRule="auto"/>
        <w:tabs>
          <w:tab w:leader="none" w:pos="136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Representatives shall have received from Latham &amp; Watkins LLP, counsel for the Underwriters, an opinion letter and negative assurance letter, each dated the Closing Date and addressed to the Representatives, with respect to such matters as the Representatives may reasonably require, and the Company shall have furnished to such counsel such documents as they reasonably request for the purpose of enabling them to pass upon such matters.</w:t>
      </w:r>
    </w:p>
    <w:p>
      <w:pPr>
        <w:spacing w:after="0" w:line="215" w:lineRule="exact"/>
        <w:rPr>
          <w:rFonts w:ascii="Arial" w:cs="Arial" w:eastAsia="Arial" w:hAnsi="Arial"/>
          <w:sz w:val="18"/>
          <w:szCs w:val="18"/>
          <w:color w:val="auto"/>
        </w:rPr>
      </w:pPr>
    </w:p>
    <w:p>
      <w:pPr>
        <w:ind w:left="-20" w:right="100" w:firstLine="656"/>
        <w:spacing w:after="0" w:line="337" w:lineRule="auto"/>
        <w:tabs>
          <w:tab w:leader="none" w:pos="1333"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Company shall have furnished to the Underwriters a certificate of the Company, signed by (x) the chairman, chief executive officer, president or vice president and (y) the chief financial officer, treasurer or principal financial or accounting officer of the Company, dated the Closing Date, to the effect that the signers of such certificate have carefully examined the Registration Statement, the Disclosure Package, the Prospectus and any amendment or supplement thereto, as well as each electronic road show used in connection with the offering of the Securities, and this Agreement and that:</w:t>
      </w:r>
    </w:p>
    <w:p>
      <w:pPr>
        <w:spacing w:after="0" w:line="182" w:lineRule="exact"/>
        <w:rPr>
          <w:sz w:val="20"/>
          <w:szCs w:val="20"/>
          <w:color w:val="auto"/>
        </w:rPr>
      </w:pPr>
    </w:p>
    <w:p>
      <w:pPr>
        <w:ind w:left="640" w:firstLine="645"/>
        <w:spacing w:after="0" w:line="312" w:lineRule="auto"/>
        <w:tabs>
          <w:tab w:leader="none" w:pos="1993" w:val="left"/>
        </w:tabs>
        <w:numPr>
          <w:ilvl w:val="1"/>
          <w:numId w:val="93"/>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in this Agreement are true and correct in all material respects (except in the case of Sections 1(kk), (ll) and (mm) or to the extent already qualified by materiality, in which case such representations and warranties are true and correct in all respects) at the Execution Time and on the Closing Date, and the Company has complied in all material respects with all the agreements and satisfied all the conditions on its part to be performed or satisfied hereunder at or prior to the Closing Date;</w:t>
      </w:r>
    </w:p>
    <w:p>
      <w:pPr>
        <w:spacing w:after="0" w:line="199" w:lineRule="exact"/>
        <w:rPr>
          <w:rFonts w:ascii="Arial" w:cs="Arial" w:eastAsia="Arial" w:hAnsi="Arial"/>
          <w:sz w:val="17"/>
          <w:szCs w:val="17"/>
          <w:color w:val="auto"/>
        </w:rPr>
      </w:pPr>
    </w:p>
    <w:p>
      <w:pPr>
        <w:jc w:val="both"/>
        <w:ind w:left="640" w:right="20" w:firstLine="645"/>
        <w:spacing w:after="0" w:line="290" w:lineRule="auto"/>
        <w:tabs>
          <w:tab w:leader="none" w:pos="19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incorporated by reference in the Disclosure Package and the Prospectus (exclusive of any supplement thereto), there has been no material adverse change in the condition (financial or otherwise), business or results of operations of the Company and its subsidiaries, taken as a whole, except as set forth in or contemplated in the Disclosure Package and the Prospectus (exclusive of any supplement thereto); and</w:t>
      </w:r>
    </w:p>
    <w:p>
      <w:pPr>
        <w:spacing w:after="0" w:line="215" w:lineRule="exact"/>
        <w:rPr>
          <w:rFonts w:ascii="Arial" w:cs="Arial" w:eastAsia="Arial" w:hAnsi="Arial"/>
          <w:sz w:val="18"/>
          <w:szCs w:val="18"/>
          <w:color w:val="auto"/>
        </w:rPr>
      </w:pPr>
    </w:p>
    <w:p>
      <w:pPr>
        <w:ind w:left="640" w:right="140" w:firstLine="645"/>
        <w:spacing w:after="0" w:line="309" w:lineRule="auto"/>
        <w:tabs>
          <w:tab w:leader="none" w:pos="1993" w:val="left"/>
        </w:tabs>
        <w:numPr>
          <w:ilvl w:val="1"/>
          <w:numId w:val="93"/>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Company’s knowledge, threatened.</w:t>
      </w:r>
    </w:p>
    <w:p>
      <w:pPr>
        <w:spacing w:after="0" w:line="196" w:lineRule="exact"/>
        <w:rPr>
          <w:rFonts w:ascii="Arial" w:cs="Arial" w:eastAsia="Arial" w:hAnsi="Arial"/>
          <w:sz w:val="18"/>
          <w:szCs w:val="18"/>
          <w:color w:val="auto"/>
        </w:rPr>
      </w:pPr>
    </w:p>
    <w:p>
      <w:pPr>
        <w:ind w:left="-20" w:right="280" w:firstLine="656"/>
        <w:spacing w:after="0" w:line="307" w:lineRule="auto"/>
        <w:tabs>
          <w:tab w:leader="none" w:pos="1368" w:val="left"/>
        </w:tabs>
        <w:numPr>
          <w:ilvl w:val="0"/>
          <w:numId w:val="94"/>
        </w:numPr>
        <w:rPr>
          <w:rFonts w:ascii="Arial" w:cs="Arial" w:eastAsia="Arial" w:hAnsi="Arial"/>
          <w:sz w:val="17"/>
          <w:szCs w:val="17"/>
          <w:color w:val="auto"/>
        </w:rPr>
      </w:pPr>
      <w:r>
        <w:rPr>
          <w:rFonts w:ascii="Arial" w:cs="Arial" w:eastAsia="Arial" w:hAnsi="Arial"/>
          <w:sz w:val="17"/>
          <w:szCs w:val="17"/>
          <w:color w:val="auto"/>
        </w:rPr>
        <w:t>At the Execution Time and at the Closing Date, the Company shall have requested and caused Deloitte &amp; Touche LLP to furnish to the Underwriters a “comfort” letter, dated as of the Execution Time, and a bring-down “comfort letter,” dated as of the Closing Date, respectively, in form and substance reasonably satisfactory to the Representatives, confirming that they are independent registered public accountants within the meaning of the Exchange Act and within the meaning of the rules of the Public Company Accounting Oversight Board and confirming certain matters with respect to the audited and unaudited financial statements and other financial and accounting information of the Company contained, or incorporated by reference, in the Disclosure Package and the Prospectus, including any supplement thereto at the date of the applicable letter.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94" w:name="page95"/>
    <w:bookmarkEnd w:id="94"/>
    <w:p>
      <w:pPr>
        <w:ind w:left="-40" w:right="240" w:firstLine="656"/>
        <w:spacing w:after="0" w:line="347" w:lineRule="auto"/>
        <w:tabs>
          <w:tab w:leader="none" w:pos="1328" w:val="left"/>
        </w:tabs>
        <w:numPr>
          <w:ilvl w:val="0"/>
          <w:numId w:val="95"/>
        </w:numPr>
        <w:rPr>
          <w:rFonts w:ascii="Arial" w:cs="Arial" w:eastAsia="Arial" w:hAnsi="Arial"/>
          <w:sz w:val="16"/>
          <w:szCs w:val="16"/>
          <w:color w:val="auto"/>
        </w:rPr>
      </w:pPr>
      <w:r>
        <w:rPr>
          <w:rFonts w:ascii="Arial" w:cs="Arial" w:eastAsia="Arial" w:hAnsi="Arial"/>
          <w:sz w:val="16"/>
          <w:szCs w:val="16"/>
          <w:color w:val="auto"/>
        </w:rPr>
        <w:t>On the Closing Date, the Underwriters shall receive a written certificate executed by (i) in the case of the KKR Selling Stockholder, the general partner of the KKR Selling Stockholder, (ii) in the case of the Berkshire Selling Stockholders, Ropes &amp; Gray LLP and (iii) in the case of the Management Selling Stockholders, an Attorney-in-Fact of each Management Selling Stockholder, dated as of such date, to the effect that:</w:t>
      </w:r>
    </w:p>
    <w:p>
      <w:pPr>
        <w:spacing w:after="0" w:line="174" w:lineRule="exact"/>
        <w:rPr>
          <w:rFonts w:ascii="Arial" w:cs="Arial" w:eastAsia="Arial" w:hAnsi="Arial"/>
          <w:sz w:val="16"/>
          <w:szCs w:val="16"/>
          <w:color w:val="auto"/>
        </w:rPr>
      </w:pPr>
    </w:p>
    <w:p>
      <w:pPr>
        <w:ind w:left="620" w:firstLine="645"/>
        <w:spacing w:after="0" w:line="319" w:lineRule="auto"/>
        <w:tabs>
          <w:tab w:leader="none" w:pos="1973" w:val="left"/>
        </w:tabs>
        <w:numPr>
          <w:ilvl w:val="1"/>
          <w:numId w:val="95"/>
        </w:numPr>
        <w:rPr>
          <w:rFonts w:ascii="Arial" w:cs="Arial" w:eastAsia="Arial" w:hAnsi="Arial"/>
          <w:sz w:val="17"/>
          <w:szCs w:val="17"/>
          <w:color w:val="auto"/>
        </w:rPr>
      </w:pPr>
      <w:r>
        <w:rPr>
          <w:rFonts w:ascii="Arial" w:cs="Arial" w:eastAsia="Arial" w:hAnsi="Arial"/>
          <w:sz w:val="17"/>
          <w:szCs w:val="17"/>
          <w:color w:val="auto"/>
        </w:rPr>
        <w:t>the representations and warranties of the applicable Selling Stockholder set forth in this Agreement are true and correct in all material respects (except to the extent already qualified by materiality, in which case such representations and warranties shall be subject to accuracy in all respects) with the same force and effect as though expressly made by such Selling Stockholder on and as of such date; and</w:t>
      </w:r>
    </w:p>
    <w:p>
      <w:pPr>
        <w:spacing w:after="0" w:line="192" w:lineRule="exact"/>
        <w:rPr>
          <w:rFonts w:ascii="Arial" w:cs="Arial" w:eastAsia="Arial" w:hAnsi="Arial"/>
          <w:sz w:val="17"/>
          <w:szCs w:val="17"/>
          <w:color w:val="auto"/>
        </w:rPr>
      </w:pPr>
    </w:p>
    <w:p>
      <w:pPr>
        <w:ind w:left="620" w:right="40" w:firstLine="645"/>
        <w:spacing w:after="0" w:line="309" w:lineRule="auto"/>
        <w:tabs>
          <w:tab w:leader="none" w:pos="1973"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applicable Selling Stockholder has complied in all material respects with all the agreements and satisfied all the conditions on its part to be performed or satisfied at or prior to such date.</w:t>
      </w:r>
    </w:p>
    <w:p>
      <w:pPr>
        <w:spacing w:after="0" w:line="196" w:lineRule="exact"/>
        <w:rPr>
          <w:rFonts w:ascii="Arial" w:cs="Arial" w:eastAsia="Arial" w:hAnsi="Arial"/>
          <w:sz w:val="18"/>
          <w:szCs w:val="18"/>
          <w:color w:val="auto"/>
        </w:rPr>
      </w:pPr>
    </w:p>
    <w:p>
      <w:pPr>
        <w:jc w:val="both"/>
        <w:ind w:left="-40" w:right="240" w:firstLine="656"/>
        <w:spacing w:after="0" w:line="295" w:lineRule="auto"/>
        <w:tabs>
          <w:tab w:leader="none" w:pos="1313"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or before the Closing Date, the Management Selling Stockholders shall have furnished for review by the Underwriters copies of the Power of Attorney, Stock Power and Custody Agreement, as applicable, and such further information, certificates and documents as the Underwriters may reasonably request.</w:t>
      </w:r>
    </w:p>
    <w:p>
      <w:pPr>
        <w:spacing w:after="0" w:line="209" w:lineRule="exact"/>
        <w:rPr>
          <w:rFonts w:ascii="Arial" w:cs="Arial" w:eastAsia="Arial" w:hAnsi="Arial"/>
          <w:sz w:val="18"/>
          <w:szCs w:val="18"/>
          <w:color w:val="auto"/>
        </w:rPr>
      </w:pPr>
    </w:p>
    <w:p>
      <w:pPr>
        <w:ind w:left="-40" w:right="140" w:firstLine="656"/>
        <w:spacing w:after="0" w:line="329" w:lineRule="auto"/>
        <w:tabs>
          <w:tab w:leader="none" w:pos="1358" w:val="left"/>
        </w:tabs>
        <w:numPr>
          <w:ilvl w:val="0"/>
          <w:numId w:val="95"/>
        </w:numPr>
        <w:rPr>
          <w:rFonts w:ascii="Arial" w:cs="Arial" w:eastAsia="Arial" w:hAnsi="Arial"/>
          <w:sz w:val="16"/>
          <w:szCs w:val="16"/>
          <w:color w:val="auto"/>
        </w:rPr>
      </w:pPr>
      <w:r>
        <w:rPr>
          <w:rFonts w:ascii="Arial" w:cs="Arial" w:eastAsia="Arial" w:hAnsi="Arial"/>
          <w:sz w:val="16"/>
          <w:szCs w:val="16"/>
          <w:color w:val="auto"/>
        </w:rPr>
        <w:t>Subsequent to the Execution Time or, if earlier, the dates as of which information is given in the Disclosure Package and the Prospectus (exclusive of any amendment or supplement thereto), there shall not have been any change or development involving a prospective change, in the condition (financial or otherwise), business or results of operations of the Company and its subsidiaries, taken as a whole, except as set forth in or contemplated in the Disclosure Package and the Prospectus (exclusive of any supplement thereto), the effect of which is, or would reasonably be expected to become, in the judgment of the Representatives, so material and adverse as to make it impractical or inadvisable to proceed with the offering, sale or delivery of the Securities on the terms and in the manner contemplated in the Disclosure Package and the Prospectus (exclusive of any amendment or supplement thereto).</w:t>
      </w:r>
    </w:p>
    <w:p>
      <w:pPr>
        <w:spacing w:after="0" w:line="188" w:lineRule="exact"/>
        <w:rPr>
          <w:rFonts w:ascii="Arial" w:cs="Arial" w:eastAsia="Arial" w:hAnsi="Arial"/>
          <w:sz w:val="16"/>
          <w:szCs w:val="16"/>
          <w:color w:val="auto"/>
        </w:rPr>
      </w:pPr>
    </w:p>
    <w:p>
      <w:pPr>
        <w:ind w:left="1380" w:hanging="764"/>
        <w:spacing w:after="0"/>
        <w:tabs>
          <w:tab w:leader="none" w:pos="13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79" w:lineRule="exact"/>
        <w:rPr>
          <w:rFonts w:ascii="Arial" w:cs="Arial" w:eastAsia="Arial" w:hAnsi="Arial"/>
          <w:sz w:val="18"/>
          <w:szCs w:val="18"/>
          <w:color w:val="auto"/>
        </w:rPr>
      </w:pPr>
    </w:p>
    <w:p>
      <w:pPr>
        <w:ind w:left="-40" w:right="100" w:firstLine="656"/>
        <w:spacing w:after="0" w:line="309" w:lineRule="auto"/>
        <w:tabs>
          <w:tab w:leader="none" w:pos="1363" w:val="left"/>
        </w:tabs>
        <w:numPr>
          <w:ilvl w:val="0"/>
          <w:numId w:val="95"/>
        </w:numPr>
        <w:rPr>
          <w:rFonts w:ascii="Arial" w:cs="Arial" w:eastAsia="Arial" w:hAnsi="Arial"/>
          <w:sz w:val="18"/>
          <w:szCs w:val="18"/>
          <w:color w:val="auto"/>
        </w:rPr>
      </w:pPr>
      <w:r>
        <w:rPr>
          <w:rFonts w:ascii="Arial" w:cs="Arial" w:eastAsia="Arial" w:hAnsi="Arial"/>
          <w:sz w:val="18"/>
          <w:szCs w:val="18"/>
          <w:color w:val="auto"/>
        </w:rPr>
        <w:t>On the Closing Date, the Securities shall have been approved for listing and admitted and authorized for trading on the NASDAQ Global Select Market (the “Exchange”).</w:t>
      </w:r>
    </w:p>
    <w:p>
      <w:pPr>
        <w:spacing w:after="0" w:line="196" w:lineRule="exact"/>
        <w:rPr>
          <w:rFonts w:ascii="Arial" w:cs="Arial" w:eastAsia="Arial" w:hAnsi="Arial"/>
          <w:sz w:val="18"/>
          <w:szCs w:val="18"/>
          <w:color w:val="auto"/>
        </w:rPr>
      </w:pPr>
    </w:p>
    <w:p>
      <w:pPr>
        <w:ind w:left="-40" w:right="140" w:firstLine="656"/>
        <w:spacing w:after="0" w:line="295" w:lineRule="auto"/>
        <w:tabs>
          <w:tab w:leader="none" w:pos="1358" w:val="left"/>
        </w:tabs>
        <w:numPr>
          <w:ilvl w:val="0"/>
          <w:numId w:val="95"/>
        </w:numPr>
        <w:rPr>
          <w:rFonts w:ascii="Arial" w:cs="Arial" w:eastAsia="Arial" w:hAnsi="Arial"/>
          <w:sz w:val="18"/>
          <w:szCs w:val="18"/>
          <w:color w:val="auto"/>
        </w:rPr>
      </w:pPr>
      <w:r>
        <w:rPr>
          <w:rFonts w:ascii="Arial" w:cs="Arial" w:eastAsia="Arial" w:hAnsi="Arial"/>
          <w:sz w:val="18"/>
          <w:szCs w:val="18"/>
          <w:color w:val="auto"/>
        </w:rPr>
        <w:t>At or prior to the Execution Time, the Selling Stockholders shall have furnished to the Representatives, and the Company shall have caused to be furnished to the Representatives from each executive officer and director of the Company listed on Exhibit A-1 hereto, a letter addressed to the Representatives substantially in the form of Exhibit A hereto.</w:t>
      </w:r>
    </w:p>
    <w:p>
      <w:pPr>
        <w:spacing w:after="0" w:line="209" w:lineRule="exact"/>
        <w:rPr>
          <w:rFonts w:ascii="Arial" w:cs="Arial" w:eastAsia="Arial" w:hAnsi="Arial"/>
          <w:sz w:val="18"/>
          <w:szCs w:val="18"/>
          <w:color w:val="auto"/>
        </w:rPr>
      </w:pPr>
    </w:p>
    <w:p>
      <w:pPr>
        <w:ind w:left="-40" w:right="280" w:firstLine="656"/>
        <w:spacing w:after="0" w:line="309" w:lineRule="auto"/>
        <w:tabs>
          <w:tab w:leader="none" w:pos="1363"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Prior to the Closing Date, the Company shall have taken all action reasonably required to be taken by it to have the Securities declared eligible for clearance and settlement through DTC.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38100</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80" w:top="382" w:right="279" w:bottom="1440" w:gutter="0" w:footer="0" w:header="0"/>
        </w:sectPr>
      </w:pPr>
    </w:p>
    <w:bookmarkStart w:id="95" w:name="page96"/>
    <w:bookmarkEnd w:id="95"/>
    <w:p>
      <w:pPr>
        <w:ind w:firstLine="656"/>
        <w:spacing w:after="0" w:line="309" w:lineRule="auto"/>
        <w:tabs>
          <w:tab w:leader="none" w:pos="1403" w:val="left"/>
        </w:tabs>
        <w:numPr>
          <w:ilvl w:val="0"/>
          <w:numId w:val="96"/>
        </w:numPr>
        <w:rPr>
          <w:rFonts w:ascii="Arial" w:cs="Arial" w:eastAsia="Arial" w:hAnsi="Arial"/>
          <w:sz w:val="18"/>
          <w:szCs w:val="18"/>
          <w:color w:val="auto"/>
        </w:rPr>
      </w:pPr>
      <w:r>
        <w:rPr>
          <w:rFonts w:ascii="Arial" w:cs="Arial" w:eastAsia="Arial" w:hAnsi="Arial"/>
          <w:sz w:val="18"/>
          <w:szCs w:val="18"/>
          <w:color w:val="auto"/>
        </w:rPr>
        <w:t>Prior to the Closing Date, the Company shall have furnished to the Representatives such further information, certificates and documents as the Representatives may reasonably request.</w:t>
      </w:r>
    </w:p>
    <w:p>
      <w:pPr>
        <w:spacing w:after="0" w:line="196" w:lineRule="exact"/>
        <w:rPr>
          <w:sz w:val="20"/>
          <w:szCs w:val="20"/>
          <w:color w:val="auto"/>
        </w:rPr>
      </w:pPr>
    </w:p>
    <w:p>
      <w:pPr>
        <w:ind w:right="200" w:firstLine="1297"/>
        <w:spacing w:after="0" w:line="377" w:lineRule="auto"/>
        <w:rPr>
          <w:sz w:val="20"/>
          <w:szCs w:val="20"/>
          <w:color w:val="auto"/>
        </w:rPr>
      </w:pPr>
      <w:r>
        <w:rPr>
          <w:rFonts w:ascii="Arial" w:cs="Arial" w:eastAsia="Arial" w:hAnsi="Arial"/>
          <w:sz w:val="16"/>
          <w:szCs w:val="16"/>
          <w:color w:val="auto"/>
        </w:rPr>
        <w:t>All opinions, letters, evidence and certificates mentioned above or elsewhere in this Agreement shall be deemed to be in compliance with the provisions hereof only if they are in form and substance reasonably satisfactory to the Representatives and counsel for the Underwriters.</w:t>
      </w:r>
    </w:p>
    <w:p>
      <w:pPr>
        <w:spacing w:after="0" w:line="151" w:lineRule="exact"/>
        <w:rPr>
          <w:sz w:val="20"/>
          <w:szCs w:val="20"/>
          <w:color w:val="auto"/>
        </w:rPr>
      </w:pPr>
    </w:p>
    <w:p>
      <w:pPr>
        <w:ind w:right="140" w:firstLine="1297"/>
        <w:spacing w:after="0" w:line="309" w:lineRule="auto"/>
        <w:rPr>
          <w:sz w:val="20"/>
          <w:szCs w:val="20"/>
          <w:color w:val="auto"/>
        </w:rPr>
      </w:pPr>
      <w:r>
        <w:rPr>
          <w:rFonts w:ascii="Arial" w:cs="Arial" w:eastAsia="Arial" w:hAnsi="Arial"/>
          <w:sz w:val="18"/>
          <w:szCs w:val="18"/>
          <w:color w:val="auto"/>
        </w:rPr>
        <w:t>The documents required to be delivered by this Section 8 will be available for inspection at the office of Simpson Thacher &amp; Bartlett LLP, at 425 Lexington Avenue, New York, New York 10017, on the Business Day prior to the Closing Date.</w:t>
      </w:r>
    </w:p>
    <w:p>
      <w:pPr>
        <w:spacing w:after="0" w:line="196" w:lineRule="exact"/>
        <w:rPr>
          <w:sz w:val="20"/>
          <w:szCs w:val="20"/>
          <w:color w:val="auto"/>
        </w:rPr>
      </w:pPr>
    </w:p>
    <w:p>
      <w:pPr>
        <w:ind w:right="100" w:firstLine="656"/>
        <w:spacing w:after="0" w:line="329" w:lineRule="auto"/>
        <w:tabs>
          <w:tab w:leader="none" w:pos="1368"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Reimbursement of Underwriters’ Expenses</w:t>
      </w:r>
      <w:r>
        <w:rPr>
          <w:rFonts w:ascii="Arial" w:cs="Arial" w:eastAsia="Arial" w:hAnsi="Arial"/>
          <w:sz w:val="16"/>
          <w:szCs w:val="16"/>
          <w:color w:val="auto"/>
        </w:rPr>
        <w:t>. If the sale of the Securities provided for herein is not consummated because any condition to the obligations of the Underwriters set forth in Section 8 hereof is not satisfied, because of any termination pursuant to Section 12 hereof or because of any refusal, inability or failure on the part of the Company or any Selling Stockholder to perform any agreement herein or to comply with any provision hereof other than by reason of a default by any of the Underwriters, including as described in Section 11 hereof, the Company will reimburse the Underwriters severally through the Representatives on behalf of the Underwriters on demand for all reasonable expenses (including reasonable fees and disbursements of Latham &amp; Watkins LLP) that shall have been incurred by them in connection with the proposed purchase and sale of the Securities.</w:t>
      </w:r>
    </w:p>
    <w:p>
      <w:pPr>
        <w:spacing w:after="0" w:line="188" w:lineRule="exact"/>
        <w:rPr>
          <w:rFonts w:ascii="Arial" w:cs="Arial" w:eastAsia="Arial" w:hAnsi="Arial"/>
          <w:sz w:val="16"/>
          <w:szCs w:val="16"/>
          <w:color w:val="auto"/>
        </w:rPr>
      </w:pPr>
    </w:p>
    <w:p>
      <w:pPr>
        <w:ind w:left="1380" w:hanging="724"/>
        <w:spacing w:after="0"/>
        <w:tabs>
          <w:tab w:leader="none" w:pos="138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79" w:lineRule="exact"/>
        <w:rPr>
          <w:sz w:val="20"/>
          <w:szCs w:val="20"/>
          <w:color w:val="auto"/>
        </w:rPr>
      </w:pPr>
    </w:p>
    <w:p>
      <w:pPr>
        <w:ind w:firstLine="656"/>
        <w:spacing w:after="0" w:line="300" w:lineRule="auto"/>
        <w:tabs>
          <w:tab w:leader="none" w:pos="138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The Company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or other U.S.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or in any Preliminary Prospectus, or the Prospectus, or any Issuer Free Writing Prospectus or any bona fide electronic road show as defined in Rule 433(h) under the Act (a “road show”) or in any amendment thereof or supplement thereto or arise out of or are based upon the omission or alleged omission to state therein a material fact required to be stated therein or necessary to make the statements therein, in the case of any Preliminary Prospectus, the Prospectus, any Free Writing Prospectus or roadshow or in any amendment thereof or supplement thereto, in the light of the circumstances under which they were made, not misleading, and agrees (subject to the limitations set forth in the provisos to this sentence) to reimburse each such indemnified party, as incurred, for any legal or other expenses reasonably incurred by it in connection with investigating or defending any such loss, claim, damage, liability or action;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Representatives specifically for inclusion therein; it being understood and agreed that the only such information furnished by any Underwriter consists of the information described as such in Section 10(c) below. The obligations of the Company under this indemnity agreement will be in addition to any liability that the Company may otherwise have. The Company shall not be liable under this Section 10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the Company, which consent shall not be unreasonably withheld.</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96" w:name="page97"/>
    <w:bookmarkEnd w:id="96"/>
    <w:p>
      <w:pPr>
        <w:ind w:left="-20" w:firstLine="656"/>
        <w:spacing w:after="0" w:line="323" w:lineRule="auto"/>
        <w:tabs>
          <w:tab w:leader="none" w:pos="133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Each of the Selling Stockholders, severally, and not jointly, agrees to indemnify and hold harmless each Underwriter, the directors, officers, selling agents and Affiliates of each Underwriter and each person who controls any Underwriter within the meaning of either the Act or the Exchange Act against any and all losses, claims, damages or liabilities, joint or several, to which they or any of them may become subject under the Act, the Exchange Act, other U.S. federal or state statutory law or regulation, at common law or otherwise, insofar as such losses, claims, damages or liabilities arise to the extent and in the manner set forth in Section 10(a) above;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Selling Stockholder shall be liable only to the extent that such untrue statement or alleged untrue statement or omission or alleged omission has been made in the Registration Statement, or in any Preliminary Prospectus, or the Prospectus, or any Issuer Free Writing Prospectus or any roadshow or in any amendment thereof or supplement thereto in reliance upon and in conformity with the Selling Stockholders Information provided by such Selling Stockholder;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the liability under this subsection of each Selling Stockholder shall be limited to an amount equal to the aggregate gross proceeds after underwriting commissions and discounts, but before expenses, to such Selling Stockholder from the sale of Underwritten Securities sold by such Selling Stockholder hereunder (the “Selling Stockholder Net Proceeds”).</w:t>
      </w:r>
    </w:p>
    <w:p>
      <w:pPr>
        <w:spacing w:after="0" w:line="197" w:lineRule="exact"/>
        <w:rPr>
          <w:rFonts w:ascii="Arial" w:cs="Arial" w:eastAsia="Arial" w:hAnsi="Arial"/>
          <w:sz w:val="16"/>
          <w:szCs w:val="16"/>
          <w:color w:val="auto"/>
        </w:rPr>
      </w:pPr>
    </w:p>
    <w:p>
      <w:pPr>
        <w:ind w:left="-20" w:right="60" w:firstLine="656"/>
        <w:spacing w:after="0" w:line="303" w:lineRule="auto"/>
        <w:tabs>
          <w:tab w:leader="none" w:pos="1368"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(i) the Company, (ii) each person, if any, who controls (within the meaning of either the Act or the Exchange Act) the Company or any Selling Stockholder, (iii) each of the directors of the Company who signs the Registration Statement, (iv) each of the officers of the Company who signs the Registration Statement, and (v) each of the Selling Stockholders, to the same extent as the foregoing indemnity from the Company and Selling Stockholders to each Underwriter, but only with reference to written information relating to such Underwriter furnished to the Company and/or Selling Stockholders by or on behalf of such Underwriter through the Representatives specifically for inclusion in the documents referred to in the foregoing indemnity. This indemnity agreement will be in addition to any liability that any Underwriters may otherwise have. The Company acknowledges that the statements in the Preliminary Prospectus and the Prospectus set forth in the sixth paragraph, the fourteenth paragraph, the fifteenth paragraph, the sixteenth paragraph, and seventeenth paragraph under the heading “Underwriting (Conflicts of Interest)”, constitute the only information furnished in writing by or on behalf of the several Underwriters for inclusion in the Registration Statement, Preliminary Prospectus, the Prospectus or any Issuer Free Writing Prospectus or any road show.</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97" w:name="page98"/>
    <w:bookmarkEnd w:id="97"/>
    <w:p>
      <w:pPr>
        <w:ind w:left="-20" w:firstLine="656"/>
        <w:spacing w:after="0" w:line="319" w:lineRule="auto"/>
        <w:tabs>
          <w:tab w:leader="none" w:pos="133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10 of notice of the commencement of any action, such indemnified party will, if a claim in respect thereof is to be made against the indemnifying party under this Section 10, notify the indemnifying party in writing of the commencement thereof; but the failure to notify the indemnifying party (i) will not relieve it from liability under paragraph (a), (b) or (c) above unless and to the extent it did not otherwise learn of such action and such failure results in the forfeiture by the indemnifying party of substantial rights or defenses and (ii) will not, in any event, relieve the indemnifying party from any obligations to any indemnified party other than the indemnification obligation provided in paragraph (a), (b) or (c) above, except as provided in paragraph (e) below. The indemnifying party shall be entitled to appoint counsel (including local counsel) of the indemnifying party’s choice at the indemnifying party’s expense to represent the indemnified party in any action for which indemnification is sought (in which case the indemnifying party shall not thereafter be responsible for the fees and expenses of any separate counsel, other than local counsel if not appointed by the indemnifying party, retained by the indemnified party or parties except as set forth below);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such counsel shall be reasonably satisfactory to the indemnified party. Notwithstanding the indemnifying party’s election to appoint counsel (including local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(based on the advice of counsel to the indemnified person); (ii) such action includes both the indemnified party and the indemnifying party and the indemnified party shall have reasonably concluded (based on the advice of counsel to the indemnified person) that there may be legal defenses available to it and/or other indemnified parties that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It is understood and agreed that the indemnifying person shall not, in connection with any proceeding or related proceeding in the same jurisdiction, be liable for the reasonable fees and expenses of more than one separate firm (in addition to any local counsel) for all indemnified persons. Any such separate firm for any Underwriters, its Affiliates, directors, selling agents and officers and any control persons of such Underwriters shall be designated in writing by Merrill Lynch, Pierce, Fenner &amp; Smith Incorporated, Citigroup Global Markets Inc. and Goldman Sachs &amp; Co. LLC, and any such separate firm for the indemnified parties referred to in Section 10(c) above shall be designated in writing by the Company. In the event that any Underwriter, its Affiliates, directors, selling agents and officers or any control persons of such Underwriter are indemnified persons collectively entitled, in connection with a proceeding in a single jurisdiction, to the payment of fees and expenses of a single separate firm under this Section 10(d), and any such Underwriter, its Affiliates, directors, selling agents and officers or any control persons of such Underwriter cannot agree to a mutually acceptable separate firm to act as counsel thereto, then such separate firm for all such indemnified persons shall be designated in writing by Merrill Lynch, Pierce, Fenner &amp; Smith Incorporated, Citigroup Global Markets Inc. and Goldman Sachs &amp; Co. LLC.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action suit or proceeding) unless such settlement, compromise or consent includes an unconditional release of each indemnified party from all liability arising out of such claim, action, suit or proceeding and does not include any statement as to, or any admission of, fault, culpability or failure to act by or on behalf of any indemnified party.</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98" w:name="page99"/>
    <w:bookmarkEnd w:id="98"/>
    <w:p>
      <w:pPr>
        <w:ind w:left="-20" w:firstLine="656"/>
        <w:spacing w:after="0" w:line="319" w:lineRule="auto"/>
        <w:tabs>
          <w:tab w:leader="none" w:pos="136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In the event that the indemnity provided in paragraph (a), (b), (c) or (d) of this Section 10 is unavailable to or insufficient to hold harmless an indemnified party for any reason (other than by virtue of the failure of an indemnified party to notify the indemnifying party of its right to indemnification pursuant to subsection (a), (b), (c) or (d) above, where such failure materially prejudices the indemnifying party (through the forfeiture of substantial rights or defenses)), the Company and/or the Selling Stockholders, as applicable, and the Underwriters severally agree to contribute to the aggregate losses, claims, damages and liabilities (including legal or other expenses reasonably incurred in connection with investigating or defending any loss, claim, damage, liability or action) (collectively “Losses”) to which the Company and/or the Selling Stockholders, as applicable, and one or more of the Underwriters may be subject in such proportion as is appropriate to reflect the relative benefits received by the Company and/or the Selling Stockholders, as applicable, on the one hand and by the Underwriters on the other from the offering of the Securities. If the allocation provided by the immediately preceding sentence is unavailable for any reason or not permitted by applicable law, the Company and/or the Selling Stockholders, as applicable, and the Underwriters severally shall contribute in such proportion as is appropriate to reflect not only such relative benefits but also the relative fault of the Company and/or the Selling Stockholders, as applicable, on the one hand and of the Underwriters on the other in connection with the statements or omissions that resulted in such Losses, as well as any other relevant equitable considerations. Benefits received by the Company and/or the Selling Stockholders, as applicable, shall be deemed to be equal to the total net proceeds from the offering (before deducting expenses) received by it, and benefits received by the Underwriters shall be deemed to be equal to the total underwriting discounts and commissions received by them,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and/or the Selling Stockholders, as applicable, on the one hand or the Underwriters on the other, the intent of the parties and their relative knowledge, access to information and opportunity to correct or prevent such untrue statement or omission and any other equitable considerations appropriate in the circumstances. The Company, the Selling Stockholders and the Underwriters agree that it would not be just and equitable if the amount of such contribution were determined by pro rata allocation or any other method of allocation that does not take account of the equitable considerations referred to above. Notwithstanding the provisions of this paragraph (e), in no event shall any Underwriter be required to contribute any amount in excess of the amount by which the total underwriting discounts and commissions received by such Underwriter with respect to the offering of the Securities exceeds the amount of any damages that such Underwriter has otherwise been required to pay by reason of such untrue or alleged untrue statement or omission or alleged omission. Notwithstanding the provisions of this paragraph (e), each Selling Stockholder’s obligations to contribute any amount under this Section 10(e) is limited in the manner and to the extent set forth in Section 10(b) and each Selling Stockholder shall not be required to contribute any amount in excess of the Selling Stockholder Net Proceeds. No person guilty of fraudulent misrepresentation (within the meaning of Section 11(f) of the Act) shall be entitled to contribution from any person who was not guilty of such fraudulent misrepresentation. The Underwriters’ obligations to contribute pursuant to this Section 10 are several in proportion to their respective purchase obligations hereunder and not joint. For purposes of this Section 10, each person, if any,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60" w:top="382" w:right="259" w:bottom="1440" w:gutter="0" w:footer="0" w:header="0"/>
        </w:sectPr>
      </w:pPr>
    </w:p>
    <w:bookmarkStart w:id="99" w:name="page100"/>
    <w:bookmarkEnd w:id="99"/>
    <w:p>
      <w:pPr>
        <w:ind w:firstLine="656"/>
        <w:spacing w:after="0" w:line="321" w:lineRule="auto"/>
        <w:tabs>
          <w:tab w:leader="none" w:pos="1362"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Default by an Underwriter</w:t>
      </w:r>
      <w:r>
        <w:rPr>
          <w:rFonts w:ascii="Arial" w:cs="Arial" w:eastAsia="Arial" w:hAnsi="Arial"/>
          <w:sz w:val="16"/>
          <w:szCs w:val="16"/>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as the case may be, shall be obligated severally to take up and pay for (in the respective proportions that the amount of the Securities set forth opposite their names in Schedule I(A) hereto bears to the aggregate amount of the Securities set forth opposite the names of all the remaining Underwriters, as applicable) the Securities that the defaulting Underwriter or Underwriters agreed but failed to purchase;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the event that the aggregate amount of the Securities that the defaulting Underwriter or Underwriters agreed but failed to purchase shall exceed 10% of the aggregate amount of the Securities set forth in Schedule I(A) hereto, the Company and the Selling Stockholders shall be entitled to a period of 36 hours within which to procure another party or parties reasonably satisfactory to the non-defaulting Underwriters, as the case may be, to purchase no less than the amount of such unpurchased Securities that exceeds 10% of the amount thereof upon such terms herein set forth. If, however, the Company and the Selling Stockholders shall not have completed such arrangements within 72 hours after such default and the amount of unpurchased Securities exceeds 10% of the amount of such Securities to be purchased on such date, then this Agreement will terminate without liability to any non-defaulting Underwriter or the Company and the Selling Stockholders. In the event of a default by any Underwriter as set forth in this Section 11, the Closing Date shall be postponed for such period, not exceeding five Business Days, to effect any changes that in the opinion of counsel for the Company and the Selling Stockholders or counsel for the Representatives are necessary in the Registration Statement, Prospectus or in any other documents or arrangements may be effected. Nothing contained in this Agreement shall relieve any defaulting Underwriter of its liability, if any, to the Company and the Selling Stockholders or any nondefaulting Underwriter for damages occasioned by its default hereunder.</w:t>
      </w:r>
    </w:p>
    <w:p>
      <w:pPr>
        <w:spacing w:after="0" w:line="195" w:lineRule="exact"/>
        <w:rPr>
          <w:rFonts w:ascii="Arial" w:cs="Arial" w:eastAsia="Arial" w:hAnsi="Arial"/>
          <w:sz w:val="16"/>
          <w:szCs w:val="16"/>
          <w:color w:val="auto"/>
        </w:rPr>
      </w:pPr>
    </w:p>
    <w:p>
      <w:pPr>
        <w:ind w:firstLine="656"/>
        <w:spacing w:after="0" w:line="302" w:lineRule="auto"/>
        <w:tabs>
          <w:tab w:leader="none" w:pos="1368"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shall be subject to termination in the absolute discretion of the Representatives, by notice given to the Company and the Selling Stockholders prior to delivery of and payment for the Securities, if at any time prior to such time (i) there shall have occurred, since the time of execution of this Agreement or since the respective dates as of which information is given in the Disclosure Package or the Prospectus, any material adverse change or development in the condition (financial or otherwise), business or results of operations of the Company and its subsidiaries, taken as a whole; (ii) trading in the Company’s Common Stock shall have been suspended by the Commission or the Exchange or trading in any securities generally on the New York Stock Exchange or NASDAQ Stock Market shall have been suspended or materially limited or minimum prices shall have been established on either exchange; (iii) a banking moratorium shall have been declared either by U.S. federal or New York State authorities; (iv) there shall have occurred a material disruption in commercial banking or securities settlement or clearance services or (v) there shall have occurred any outbreak or escalation of hostilities, declaration by the United States of a national emergency or war or other calamity or crisis the effect of which on financial markets is such as to make it, in the judgment of the Representatives, impractical or inadvisable to proceed with the offering, sale or delivery of the Securities as contemplated in the Disclosure Package and the Prospectus (exclusive of any supplement thereto).</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00" w:name="page101"/>
    <w:bookmarkEnd w:id="100"/>
    <w:p>
      <w:pPr>
        <w:ind w:left="-60" w:firstLine="656"/>
        <w:spacing w:after="0" w:line="288"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the Selling Stockholders and of the Underwriters set forth in or made pursuant to this Agreement will remain in full force and effect, regardless of any investigation made by or on behalf of any Underwriter, the Company, the Selling Stockholders or any of the indemnified persons referred to in Section 10 hereof, and, anything herein to the contrary notwithstanding, will survive delivery of and payment for the Securities. The provisions of Sections 9 and 10 hereof shall survive the termination or cancellation of this Agreement.</w:t>
      </w:r>
    </w:p>
    <w:p>
      <w:pPr>
        <w:spacing w:after="0" w:line="216" w:lineRule="exact"/>
        <w:rPr>
          <w:rFonts w:ascii="Arial" w:cs="Arial" w:eastAsia="Arial" w:hAnsi="Arial"/>
          <w:sz w:val="18"/>
          <w:szCs w:val="18"/>
          <w:color w:val="auto"/>
        </w:rPr>
      </w:pPr>
    </w:p>
    <w:p>
      <w:pPr>
        <w:ind w:left="-60" w:firstLine="656"/>
        <w:spacing w:after="0" w:line="304" w:lineRule="auto"/>
        <w:tabs>
          <w:tab w:leader="none" w:pos="1308"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communications hereunder will be in writing and effective only on receipt, and, if sent to the Representatives, will be mailed, delivered or telefaxed to Merrill Lynch, Pierce, Fenner &amp; Smith Incorporated at One Bryant Park, New York, New York 10036, attention of Syndicate Department (facsimile: (646) 855-3073), with a copy to ECM Legal (facsimile: (212) 230-8730); Citigroup Global Markets Inc. (facsimile: (646) 291-1369) and confirmed to the General Counsel, Citigroup Global Markets Inc., at 388 Greenwich Street, New York, New York 10013, Attention: General Counsel; Goldman Sachs &amp; Co. LLC at 200 West Street, New York, New York 10282, Attention: Registration Department; Jefferies, LLC at 520 Madison Avenue, New York, New York 10022, Attention: Global Head of Syndicate; if sent to the Company or the Management Selling Stockholders, will be mailed or delivered to National Vision Holdings, Inc. at 2435 Commerce Avenue, Bldg. 2200, Duluth, Georgia 30096, Attention: General Counsel (fax no.: (770) 822-2029), with a copy to Joseph H. Kaufman, Simpson Thacher &amp; Bartlett LLP, at 425 Lexington Avenue, New York, New York (fax no. (212) 455-2502); if to the KKR Selling Stockholder: KKR Vision Aggregator L.P., c/o Kohlberg Kravis Roberts &amp; Co. L.P., 9 West 57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Street, Suite 4200, New York, New York 10019; or if to the Berkshire Selling Stockholders: c/o Berkshire Partners, LLC, 200 Clarendon Street, 35th Floor, Boston, Massachusetts 02116. The Company shall be entitled to act and rely upon any request, consent, notice or agreement given or made on behalf of the Underwriters by the Representatives.</w:t>
      </w:r>
    </w:p>
    <w:p>
      <w:pPr>
        <w:spacing w:after="0" w:line="207" w:lineRule="exact"/>
        <w:rPr>
          <w:rFonts w:ascii="Arial" w:cs="Arial" w:eastAsia="Arial" w:hAnsi="Arial"/>
          <w:sz w:val="16"/>
          <w:szCs w:val="16"/>
          <w:color w:val="auto"/>
        </w:rPr>
      </w:pPr>
    </w:p>
    <w:p>
      <w:pPr>
        <w:jc w:val="both"/>
        <w:ind w:left="-60" w:right="340" w:firstLine="656"/>
        <w:spacing w:after="0" w:line="319" w:lineRule="auto"/>
        <w:tabs>
          <w:tab w:leader="none" w:pos="130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Successors</w:t>
      </w:r>
      <w:r>
        <w:rPr>
          <w:rFonts w:ascii="Arial" w:cs="Arial" w:eastAsia="Arial" w:hAnsi="Arial"/>
          <w:sz w:val="17"/>
          <w:szCs w:val="17"/>
          <w:color w:val="auto"/>
        </w:rPr>
        <w:t>. This Agreement will inure to the benefit of and be binding upon the parties hereto and their respective successors and the indemnified persons referred to in Section 10 hereof and their respective successors and no other person will have any right or obligation hereunder. No purchaser of Securities from any Underwriter shall be deemed to be a successor merely by reason of such purchase.</w:t>
      </w:r>
    </w:p>
    <w:p>
      <w:pPr>
        <w:spacing w:after="0" w:line="192" w:lineRule="exact"/>
        <w:rPr>
          <w:rFonts w:ascii="Arial" w:cs="Arial" w:eastAsia="Arial" w:hAnsi="Arial"/>
          <w:sz w:val="17"/>
          <w:szCs w:val="17"/>
          <w:color w:val="auto"/>
        </w:rPr>
      </w:pPr>
    </w:p>
    <w:p>
      <w:pPr>
        <w:ind w:left="-60" w:right="240" w:firstLine="656"/>
        <w:spacing w:after="0" w:line="341" w:lineRule="auto"/>
        <w:tabs>
          <w:tab w:leader="none" w:pos="1308" w:val="left"/>
        </w:tabs>
        <w:numPr>
          <w:ilvl w:val="0"/>
          <w:numId w:val="103"/>
        </w:numPr>
        <w:rPr>
          <w:rFonts w:ascii="Arial" w:cs="Arial" w:eastAsia="Arial" w:hAnsi="Arial"/>
          <w:sz w:val="17"/>
          <w:szCs w:val="17"/>
          <w:color w:val="auto"/>
        </w:rPr>
      </w:pP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WILL BE GOVERNED BY AND CONSTRUED IN ACCORDANCE WITH THE LAWS OF THE STATE OF NEW YORK APPLICABLE TO CONTRACTS MADE AND TO BE PERFORMED WITHIN THE STATE OF NEW YORK.</w:t>
      </w:r>
    </w:p>
    <w:p>
      <w:pPr>
        <w:spacing w:after="0" w:line="173" w:lineRule="exact"/>
        <w:rPr>
          <w:rFonts w:ascii="Arial" w:cs="Arial" w:eastAsia="Arial" w:hAnsi="Arial"/>
          <w:sz w:val="17"/>
          <w:szCs w:val="17"/>
          <w:color w:val="auto"/>
        </w:rPr>
      </w:pPr>
    </w:p>
    <w:p>
      <w:pPr>
        <w:jc w:val="both"/>
        <w:ind w:left="-60" w:right="60" w:firstLine="656"/>
        <w:spacing w:after="0" w:line="290" w:lineRule="auto"/>
        <w:tabs>
          <w:tab w:leader="none" w:pos="130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38100</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300" w:top="382" w:right="299" w:bottom="1440" w:gutter="0" w:footer="0" w:header="0"/>
        </w:sectPr>
      </w:pPr>
    </w:p>
    <w:bookmarkStart w:id="101" w:name="page102"/>
    <w:bookmarkEnd w:id="101"/>
    <w:p>
      <w:pPr>
        <w:ind w:left="-20" w:right="60" w:firstLine="656"/>
        <w:spacing w:after="0" w:line="303" w:lineRule="auto"/>
        <w:tabs>
          <w:tab w:leader="none" w:pos="134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Company and the Selling Stockholders hereby acknowledge that (a) the purchase and sale of the Securities pursuant to this Agreement is an arm’s-length commercial transaction between the Company and the Selling Stockholders, on the one hand, and the Underwriters and any affiliate through which it may be acting, on the other, (b) the Underwriters are acting as principal and not as an agent or fiduciary of the Company or the Selling Stockholders and (c) the Company’s engagement of the Underwriters in connection with the offering and the process leading up to the offering is as independent contractors and not in any other capacity. Furthermore, the Company and the Selling Stockholders agree that they are solely responsible for making their own judgments in connection with the offering (irrespective of whether any of the Underwriters has advised or is currently advising the Company or the Selling Stockholders on related or other matters). The Company and the Selling Stockholders agree that they will not claim that the Underwriters have rendered advisory services of any nature or respect, or owe an agency, fiduciary or similar duty to the Company or the Selling Stockholders, in connection with such transaction or the process leading thereto.</w:t>
      </w:r>
    </w:p>
    <w:p>
      <w:pPr>
        <w:spacing w:after="0" w:line="209" w:lineRule="exact"/>
        <w:rPr>
          <w:rFonts w:ascii="Arial" w:cs="Arial" w:eastAsia="Arial" w:hAnsi="Arial"/>
          <w:sz w:val="17"/>
          <w:szCs w:val="17"/>
          <w:color w:val="auto"/>
        </w:rPr>
      </w:pPr>
    </w:p>
    <w:p>
      <w:pPr>
        <w:ind w:left="-20" w:right="540" w:firstLine="656"/>
        <w:spacing w:after="0" w:line="309" w:lineRule="auto"/>
        <w:tabs>
          <w:tab w:leader="none" w:pos="134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among the Company, the Selling Stockholders and the Underwriters, or any of them, with respect to the subject matter hereof.</w:t>
      </w:r>
    </w:p>
    <w:p>
      <w:pPr>
        <w:spacing w:after="0" w:line="196" w:lineRule="exact"/>
        <w:rPr>
          <w:rFonts w:ascii="Arial" w:cs="Arial" w:eastAsia="Arial" w:hAnsi="Arial"/>
          <w:sz w:val="18"/>
          <w:szCs w:val="18"/>
          <w:color w:val="auto"/>
        </w:rPr>
      </w:pPr>
    </w:p>
    <w:p>
      <w:pPr>
        <w:ind w:left="-20" w:right="120" w:firstLine="656"/>
        <w:spacing w:after="0" w:line="290" w:lineRule="auto"/>
        <w:tabs>
          <w:tab w:leader="none" w:pos="1348"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COMPANY, EACH OF THE SELLING STOCKHOLDERS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5" w:lineRule="exact"/>
        <w:rPr>
          <w:rFonts w:ascii="Arial" w:cs="Arial" w:eastAsia="Arial" w:hAnsi="Arial"/>
          <w:sz w:val="18"/>
          <w:szCs w:val="18"/>
          <w:color w:val="auto"/>
        </w:rPr>
      </w:pPr>
    </w:p>
    <w:p>
      <w:pPr>
        <w:ind w:left="-20" w:firstLine="656"/>
        <w:spacing w:after="0" w:line="341" w:lineRule="auto"/>
        <w:tabs>
          <w:tab w:leader="none" w:pos="1348" w:val="left"/>
        </w:tabs>
        <w:numPr>
          <w:ilvl w:val="0"/>
          <w:numId w:val="104"/>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signed in one or more counterparts (which may be delivered in original form, facsimile or “pdf” file thereof), each of which when so executed shall constitute an original and all of which together shall constitute one and the same agreement.</w:t>
      </w:r>
    </w:p>
    <w:p>
      <w:pPr>
        <w:spacing w:after="0" w:line="173" w:lineRule="exact"/>
        <w:rPr>
          <w:rFonts w:ascii="Arial" w:cs="Arial" w:eastAsia="Arial" w:hAnsi="Arial"/>
          <w:sz w:val="17"/>
          <w:szCs w:val="17"/>
          <w:color w:val="auto"/>
        </w:rPr>
      </w:pPr>
    </w:p>
    <w:p>
      <w:pPr>
        <w:ind w:left="1360" w:hanging="724"/>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79" w:lineRule="exact"/>
        <w:rPr>
          <w:rFonts w:ascii="Arial" w:cs="Arial" w:eastAsia="Arial" w:hAnsi="Arial"/>
          <w:sz w:val="18"/>
          <w:szCs w:val="18"/>
          <w:color w:val="auto"/>
        </w:rPr>
      </w:pPr>
    </w:p>
    <w:p>
      <w:pPr>
        <w:ind w:left="1360" w:hanging="724"/>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79"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91"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“Affiliate” shall have the meaning specified in Rule 501(b) of Regulation D.</w:t>
      </w:r>
    </w:p>
    <w:p>
      <w:pPr>
        <w:spacing w:after="0" w:line="27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“Agreement” shall mean this underwriting agreement.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382" w:right="239" w:bottom="1440" w:gutter="0" w:footer="0" w:header="0"/>
        </w:sectPr>
      </w:pPr>
    </w:p>
    <w:bookmarkStart w:id="102" w:name="page103"/>
    <w:bookmarkEnd w:id="102"/>
    <w:p>
      <w:pPr>
        <w:ind w:firstLine="1297"/>
        <w:spacing w:after="0" w:line="309"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commercial banking institutions or trust companies are authorized or required by law to close in New York City.</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“Commission” shall mean the Securities and Exchange Commission.</w:t>
      </w:r>
    </w:p>
    <w:p>
      <w:pPr>
        <w:spacing w:after="0" w:line="279" w:lineRule="exact"/>
        <w:rPr>
          <w:sz w:val="20"/>
          <w:szCs w:val="20"/>
          <w:color w:val="auto"/>
        </w:rPr>
      </w:pPr>
    </w:p>
    <w:p>
      <w:pPr>
        <w:jc w:val="both"/>
        <w:ind w:right="20" w:firstLine="1297"/>
        <w:spacing w:after="0" w:line="290" w:lineRule="auto"/>
        <w:rPr>
          <w:sz w:val="20"/>
          <w:szCs w:val="20"/>
          <w:color w:val="auto"/>
        </w:rPr>
      </w:pPr>
      <w:r>
        <w:rPr>
          <w:rFonts w:ascii="Arial" w:cs="Arial" w:eastAsia="Arial" w:hAnsi="Arial"/>
          <w:sz w:val="18"/>
          <w:szCs w:val="18"/>
          <w:color w:val="auto"/>
        </w:rPr>
        <w:t>“Disclosure Package” shall mean (i) the Preliminary Prospectus that is generally distributed to investors and used to offer the Securities, (ii) the Issuer Free Writing Prospectuses, if any, and any other information (including any documents incorporated by reference in the Preliminary Prospectus), in each case, identified in Schedule II hereto, and (iii) any other Free Writing Prospectus that the parties hereto shall hereafter expressly agree in writing to treat as part of the Disclosure Package.</w:t>
      </w:r>
    </w:p>
    <w:p>
      <w:pPr>
        <w:spacing w:after="0" w:line="215" w:lineRule="exact"/>
        <w:rPr>
          <w:sz w:val="20"/>
          <w:szCs w:val="20"/>
          <w:color w:val="auto"/>
        </w:rPr>
      </w:pPr>
    </w:p>
    <w:p>
      <w:pPr>
        <w:ind w:right="160" w:firstLine="1297"/>
        <w:spacing w:after="0" w:line="309"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96" w:lineRule="exact"/>
        <w:rPr>
          <w:sz w:val="20"/>
          <w:szCs w:val="20"/>
          <w:color w:val="auto"/>
        </w:rPr>
      </w:pPr>
    </w:p>
    <w:p>
      <w:pPr>
        <w:ind w:right="920" w:firstLine="1297"/>
        <w:spacing w:after="0" w:line="309"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“Execution Time” shall mean [ ● ] p.m. on [ ● ], 2018.</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79" w:lineRule="exact"/>
        <w:rPr>
          <w:sz w:val="20"/>
          <w:szCs w:val="20"/>
          <w:color w:val="auto"/>
        </w:rPr>
      </w:pPr>
    </w:p>
    <w:p>
      <w:pPr>
        <w:ind w:firstLine="1297"/>
        <w:spacing w:after="0" w:line="309" w:lineRule="auto"/>
        <w:rPr>
          <w:sz w:val="20"/>
          <w:szCs w:val="20"/>
          <w:color w:val="auto"/>
        </w:rPr>
      </w:pPr>
      <w:r>
        <w:rPr>
          <w:rFonts w:ascii="Arial" w:cs="Arial" w:eastAsia="Arial" w:hAnsi="Arial"/>
          <w:sz w:val="18"/>
          <w:szCs w:val="18"/>
          <w:color w:val="auto"/>
        </w:rPr>
        <w:t>“Investment Company Act” shall mean the Investment Company Act of 1940, as amended, and the rules and regulations of the Commission promulgated thereunder.</w:t>
      </w:r>
    </w:p>
    <w:p>
      <w:pPr>
        <w:spacing w:after="0" w:line="19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“Issuer Free Writing Prospectus” shall mean an issuer free writing prospectus, as defined in Rule 433.</w:t>
      </w:r>
    </w:p>
    <w:p>
      <w:pPr>
        <w:spacing w:after="0" w:line="279" w:lineRule="exact"/>
        <w:rPr>
          <w:sz w:val="20"/>
          <w:szCs w:val="20"/>
          <w:color w:val="auto"/>
        </w:rPr>
      </w:pPr>
    </w:p>
    <w:p>
      <w:pPr>
        <w:ind w:right="20" w:firstLine="1297"/>
        <w:spacing w:after="0" w:line="377" w:lineRule="auto"/>
        <w:rPr>
          <w:sz w:val="20"/>
          <w:szCs w:val="20"/>
          <w:color w:val="auto"/>
        </w:rPr>
      </w:pPr>
      <w:r>
        <w:rPr>
          <w:rFonts w:ascii="Arial" w:cs="Arial" w:eastAsia="Arial" w:hAnsi="Arial"/>
          <w:sz w:val="16"/>
          <w:szCs w:val="16"/>
          <w:color w:val="auto"/>
        </w:rPr>
        <w:t>“Preliminary Prospectus” shall mean any preliminary prospectus referred to in paragraph 1(a) above, including any documents incorporated by reference therein, and any preliminary prospectus included in the Registration Statement at the Effective Date that omits Rule 430A Information.</w:t>
      </w:r>
    </w:p>
    <w:p>
      <w:pPr>
        <w:spacing w:after="0" w:line="151" w:lineRule="exact"/>
        <w:rPr>
          <w:sz w:val="20"/>
          <w:szCs w:val="20"/>
          <w:color w:val="auto"/>
        </w:rPr>
      </w:pPr>
    </w:p>
    <w:p>
      <w:pPr>
        <w:ind w:right="220" w:firstLine="1297"/>
        <w:spacing w:after="0" w:line="309" w:lineRule="auto"/>
        <w:rPr>
          <w:sz w:val="20"/>
          <w:szCs w:val="20"/>
          <w:color w:val="auto"/>
        </w:rPr>
      </w:pPr>
      <w:r>
        <w:rPr>
          <w:rFonts w:ascii="Arial" w:cs="Arial" w:eastAsia="Arial" w:hAnsi="Arial"/>
          <w:sz w:val="18"/>
          <w:szCs w:val="18"/>
          <w:color w:val="auto"/>
        </w:rPr>
        <w:t>“Prospectus” shall mean the prospectus (including any documents incorporated by reference therein) relating to the Securities that is first filed pursuant to Rule 424(b) after the Execution Time.</w:t>
      </w:r>
    </w:p>
    <w:p>
      <w:pPr>
        <w:spacing w:after="0" w:line="196" w:lineRule="exact"/>
        <w:rPr>
          <w:sz w:val="20"/>
          <w:szCs w:val="20"/>
          <w:color w:val="auto"/>
        </w:rPr>
      </w:pPr>
    </w:p>
    <w:p>
      <w:pPr>
        <w:ind w:right="80" w:firstLine="1297"/>
        <w:spacing w:after="0" w:line="309" w:lineRule="auto"/>
        <w:rPr>
          <w:sz w:val="20"/>
          <w:szCs w:val="20"/>
          <w:color w:val="auto"/>
        </w:rPr>
      </w:pPr>
      <w:r>
        <w:rPr>
          <w:rFonts w:ascii="Arial" w:cs="Arial" w:eastAsia="Arial" w:hAnsi="Arial"/>
          <w:sz w:val="17"/>
          <w:szCs w:val="17"/>
          <w:color w:val="auto"/>
        </w:rPr>
        <w:t>“Registration Statement” shall mean the registration statement (including any documents incorporated by reference therein) referred to in paragraph 1(a) above, including exhibits and financial statements and any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03" w:name="page104"/>
    <w:bookmarkEnd w:id="103"/>
    <w:p>
      <w:pPr>
        <w:ind w:left="1300"/>
        <w:spacing w:after="0"/>
        <w:rPr>
          <w:sz w:val="20"/>
          <w:szCs w:val="20"/>
          <w:color w:val="auto"/>
        </w:rPr>
      </w:pPr>
      <w:r>
        <w:rPr>
          <w:rFonts w:ascii="Arial" w:cs="Arial" w:eastAsia="Arial" w:hAnsi="Arial"/>
          <w:sz w:val="17"/>
          <w:szCs w:val="17"/>
          <w:color w:val="auto"/>
        </w:rPr>
        <w:t>“Rule 158”, “Rule 163”, “Rule 164”, “Rule 172”, “Rule 405”, “Rule 415”, “Rule 424”, “Rule 430A” and “Rule 433” refer to such rules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under the Act.</w:t>
      </w:r>
    </w:p>
    <w:p>
      <w:pPr>
        <w:spacing w:after="0" w:line="279" w:lineRule="exact"/>
        <w:rPr>
          <w:sz w:val="20"/>
          <w:szCs w:val="20"/>
          <w:color w:val="auto"/>
        </w:rPr>
      </w:pPr>
    </w:p>
    <w:p>
      <w:pPr>
        <w:ind w:right="280" w:firstLine="1297"/>
        <w:spacing w:after="0" w:line="309"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96" w:lineRule="exact"/>
        <w:rPr>
          <w:sz w:val="20"/>
          <w:szCs w:val="20"/>
          <w:color w:val="auto"/>
        </w:rPr>
      </w:pPr>
    </w:p>
    <w:p>
      <w:pPr>
        <w:ind w:firstLine="1297"/>
        <w:spacing w:after="0" w:line="309"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96" w:lineRule="exact"/>
        <w:rPr>
          <w:sz w:val="20"/>
          <w:szCs w:val="20"/>
          <w:color w:val="auto"/>
        </w:rPr>
      </w:pPr>
    </w:p>
    <w:p>
      <w:pPr>
        <w:ind w:right="40" w:firstLine="656"/>
        <w:spacing w:after="0" w:line="286" w:lineRule="auto"/>
        <w:tabs>
          <w:tab w:leader="none" w:pos="1368"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Allocation of Selling Stockholder Shares</w:t>
      </w:r>
      <w:r>
        <w:rPr>
          <w:rFonts w:ascii="Arial" w:cs="Arial" w:eastAsia="Arial" w:hAnsi="Arial"/>
          <w:sz w:val="18"/>
          <w:szCs w:val="18"/>
          <w:color w:val="auto"/>
        </w:rPr>
        <w:t>. Without limiting the applicability of Section 3 hereof or any other provision of this Agreement, with respect to any Underwriter who is affiliated with any person or entity engaged to act as an investment adviser on behalf of an advisory client who has a direct or indirect interest in the Securities, the Securities being sold to such Underwriter shall not include any Securities attributable to such client (with any such Securities instead being allocated and sold to the other Underwriters) and, accordingly, the fees or other amounts received by such Underwriter in connection with the transactions contemplated hereby shall not include any fees or other amounts attributable to such client (and, if there is any unsold allotment in the offering at the Closing Date, such unsold allotment in respect of Securities attributable to such client shall be allocated solely to Underwriters not affiliated with such client).</w:t>
      </w:r>
    </w:p>
    <w:p>
      <w:pPr>
        <w:spacing w:after="0" w:line="218" w:lineRule="exact"/>
        <w:rPr>
          <w:sz w:val="20"/>
          <w:szCs w:val="20"/>
          <w:color w:val="auto"/>
        </w:rPr>
      </w:pPr>
    </w:p>
    <w:p>
      <w:pPr>
        <w:ind w:right="200" w:firstLine="1297"/>
        <w:spacing w:after="0" w:line="377"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us the enclosed duplicate hereof, whereupon this letter and your acceptance shall represent a binding agreement among the Company, the Selling Stockholders and the several Underwriters.</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82" w:right="259" w:bottom="1440" w:gutter="0" w:footer="0" w:header="0"/>
        </w:sectPr>
      </w:pPr>
    </w:p>
    <w:bookmarkStart w:id="104" w:name="page105"/>
    <w:bookmarkEnd w:id="104"/>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National Vision Holdings, Inc.</w:t>
      </w:r>
    </w:p>
    <w:p>
      <w:pPr>
        <w:spacing w:after="0" w:line="23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Mitchell Goodman</w:t>
      </w:r>
    </w:p>
    <w:p>
      <w:pPr>
        <w:spacing w:after="0" w:line="5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General Counsel and Secretary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68" w:right="1440" w:bottom="1440" w:gutter="0" w:footer="0" w:header="0"/>
        </w:sectPr>
      </w:pPr>
    </w:p>
    <w:bookmarkStart w:id="105" w:name="page106"/>
    <w:bookmarkEnd w:id="105"/>
    <w:p>
      <w:pPr>
        <w:ind w:left="45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On behalf of the Management Selling Stockholders:</w:t>
      </w:r>
    </w:p>
    <w:p>
      <w:pPr>
        <w:spacing w:after="0" w:line="26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9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As Attorney-in-Fact</w:t>
      </w:r>
    </w:p>
    <w:p>
      <w:pPr>
        <w:spacing w:after="0" w:line="3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95885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6" w:name="page107"/>
    <w:bookmarkEnd w:id="106"/>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KKR VISION AGGREGATOR L.P.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KKR Vision Aggregator GP LLC,</w:t>
      </w:r>
    </w:p>
    <w:p>
      <w:pPr>
        <w:spacing w:after="0" w:line="35"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9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Nate Taylor</w:t>
      </w:r>
    </w:p>
    <w:p>
      <w:pPr>
        <w:spacing w:after="0" w:line="5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7" w:name="page108"/>
    <w:bookmarkEnd w:id="107"/>
    <w:p>
      <w:pPr>
        <w:ind w:left="452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FUND VI, LIMITED PARTNERSHIP</w:t>
      </w:r>
    </w:p>
    <w:p>
      <w:pPr>
        <w:spacing w:after="0" w:line="229"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Sixth Berkshire Associates LLC, its general partner</w:t>
      </w:r>
    </w:p>
    <w:p>
      <w:pPr>
        <w:spacing w:after="0" w:line="262"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14605</wp:posOffset>
            </wp:positionV>
            <wp:extent cx="32588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7">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 Randolph Peeler</w:t>
      </w:r>
    </w:p>
    <w:p>
      <w:pPr>
        <w:spacing w:after="0" w:line="50"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BE</w:t>
      </w:r>
      <w:r>
        <w:rPr>
          <w:rFonts w:ascii="Arial" w:cs="Arial" w:eastAsia="Arial" w:hAnsi="Arial"/>
          <w:sz w:val="18"/>
          <w:szCs w:val="18"/>
          <w:b w:val="1"/>
          <w:bCs w:val="1"/>
          <w:color w:val="auto"/>
        </w:rPr>
        <w:t>RKSHIRE INVESTORS LLC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6350</wp:posOffset>
            </wp:positionV>
            <wp:extent cx="32588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8">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 Randolph Peeler</w:t>
      </w:r>
    </w:p>
    <w:p>
      <w:pPr>
        <w:spacing w:after="0" w:line="23"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BERKSHIRE INVESTORS III LLC</w:t>
      </w:r>
    </w:p>
    <w:p>
      <w:pPr>
        <w:spacing w:after="0" w:line="22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D. Randolph Peeler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-130810</wp:posOffset>
            </wp:positionV>
            <wp:extent cx="32588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4520"/>
        <w:spacing w:after="0"/>
        <w:tabs>
          <w:tab w:leader="none" w:pos="5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52705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8" w:name="page109"/>
    <w:bookmarkEnd w:id="108"/>
    <w:p>
      <w:pPr>
        <w:ind w:right="4539"/>
        <w:spacing w:after="0" w:line="277" w:lineRule="auto"/>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368" w:right="1440" w:bottom="1440" w:gutter="0" w:footer="0" w:header="0"/>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Citigroup Global Markets Inc.</w:t>
      </w:r>
    </w:p>
    <w:p>
      <w:pPr>
        <w:spacing w:after="0" w:line="211" w:lineRule="exact"/>
        <w:rPr>
          <w:sz w:val="20"/>
          <w:szCs w:val="20"/>
          <w:color w:val="auto"/>
        </w:rPr>
      </w:pPr>
    </w:p>
    <w:p>
      <w:pPr>
        <w:sectPr>
          <w:pgSz w:w="11900" w:h="16838" w:orient="portrait"/>
          <w:cols w:equalWidth="0" w:num="2">
            <w:col w:w="260" w:space="320"/>
            <w:col w:w="9639"/>
          </w:cols>
          <w:pgMar w:left="240" w:top="368"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368" w:right="1440"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Goldman Sachs &amp; Co. LLC</w:t>
      </w:r>
    </w:p>
    <w:p>
      <w:pPr>
        <w:spacing w:after="0" w:line="211" w:lineRule="exact"/>
        <w:rPr>
          <w:sz w:val="20"/>
          <w:szCs w:val="20"/>
          <w:color w:val="auto"/>
        </w:rPr>
      </w:pPr>
    </w:p>
    <w:p>
      <w:pPr>
        <w:sectPr>
          <w:pgSz w:w="11900" w:h="16838" w:orient="portrait"/>
          <w:cols w:equalWidth="0" w:num="2">
            <w:col w:w="260" w:space="320"/>
            <w:col w:w="9639"/>
          </w:cols>
          <w:pgMar w:left="240" w:top="368"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368" w:right="1440" w:bottom="1440" w:gutter="0" w:footer="0" w:header="0"/>
          <w:type w:val="continuous"/>
        </w:sectPr>
      </w:pP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Jefferies LLC</w:t>
      </w:r>
    </w:p>
    <w:p>
      <w:pPr>
        <w:spacing w:after="0" w:line="211" w:lineRule="exact"/>
        <w:rPr>
          <w:sz w:val="20"/>
          <w:szCs w:val="20"/>
          <w:color w:val="auto"/>
        </w:rPr>
      </w:pPr>
    </w:p>
    <w:p>
      <w:pPr>
        <w:sectPr>
          <w:pgSz w:w="11900" w:h="16838" w:orient="portrait"/>
          <w:cols w:equalWidth="0" w:num="2">
            <w:col w:w="260" w:space="320"/>
            <w:col w:w="9639"/>
          </w:cols>
          <w:pgMar w:left="240" w:top="368" w:right="1440"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219"/>
          </w:cols>
          <w:pgMar w:left="240" w:top="368" w:right="1440" w:bottom="1440" w:gutter="0" w:footer="0" w:header="0"/>
          <w:type w:val="continuous"/>
        </w:sectPr>
      </w:pPr>
    </w:p>
    <w:p>
      <w:pPr>
        <w:spacing w:after="0" w:line="224" w:lineRule="exact"/>
        <w:rPr>
          <w:sz w:val="20"/>
          <w:szCs w:val="20"/>
          <w:color w:val="auto"/>
        </w:rPr>
      </w:pPr>
    </w:p>
    <w:p>
      <w:pPr>
        <w:ind w:right="4619"/>
        <w:spacing w:after="0" w:line="309" w:lineRule="auto"/>
        <w:rPr>
          <w:sz w:val="20"/>
          <w:szCs w:val="20"/>
          <w:color w:val="auto"/>
        </w:rPr>
      </w:pPr>
      <w:r>
        <w:rPr>
          <w:rFonts w:ascii="Arial" w:cs="Arial" w:eastAsia="Arial" w:hAnsi="Arial"/>
          <w:sz w:val="18"/>
          <w:szCs w:val="18"/>
          <w:color w:val="auto"/>
        </w:rPr>
        <w:t>For themselves and the other several Underwriters named in Schedule I(A) to the foregoing Agreement.</w:t>
      </w:r>
    </w:p>
    <w:p>
      <w:pPr>
        <w:spacing w:after="0" w:line="200" w:lineRule="exact"/>
        <w:rPr>
          <w:sz w:val="20"/>
          <w:szCs w:val="20"/>
          <w:color w:val="auto"/>
        </w:rPr>
      </w:pPr>
    </w:p>
    <w:p>
      <w:pPr>
        <w:spacing w:after="0" w:line="397"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type w:val="continuous"/>
        </w:sectPr>
      </w:pPr>
    </w:p>
    <w:bookmarkStart w:id="109" w:name="page110"/>
    <w:bookmarkEnd w:id="109"/>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7480" w:type="dxa"/>
            <w:vAlign w:val="bottom"/>
            <w:gridSpan w:val="3"/>
          </w:tcPr>
          <w:p>
            <w:pPr>
              <w:ind w:left="1120"/>
              <w:spacing w:after="0"/>
              <w:rPr>
                <w:sz w:val="20"/>
                <w:szCs w:val="20"/>
                <w:color w:val="auto"/>
              </w:rPr>
            </w:pPr>
            <w:r>
              <w:rPr>
                <w:rFonts w:ascii="Arial" w:cs="Arial" w:eastAsia="Arial" w:hAnsi="Arial"/>
                <w:sz w:val="18"/>
                <w:szCs w:val="18"/>
                <w:color w:val="auto"/>
              </w:rPr>
              <w:t>SCHEDULE I(A)</w:t>
            </w:r>
          </w:p>
        </w:tc>
      </w:tr>
      <w:tr>
        <w:trPr>
          <w:trHeight w:val="486"/>
        </w:trPr>
        <w:tc>
          <w:tcPr>
            <w:tcW w:w="9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7480" w:type="dxa"/>
            <w:vAlign w:val="bottom"/>
            <w:gridSpan w:val="3"/>
          </w:tcPr>
          <w:p>
            <w:pPr>
              <w:jc w:val="center"/>
              <w:ind w:left="1890"/>
              <w:spacing w:after="0"/>
              <w:rPr>
                <w:sz w:val="20"/>
                <w:szCs w:val="20"/>
                <w:color w:val="auto"/>
              </w:rPr>
            </w:pPr>
            <w:r>
              <w:rPr>
                <w:rFonts w:ascii="Arial" w:cs="Arial" w:eastAsia="Arial" w:hAnsi="Arial"/>
                <w:sz w:val="18"/>
                <w:szCs w:val="18"/>
                <w:color w:val="auto"/>
                <w:w w:val="92"/>
              </w:rPr>
              <w:t>Number of Underwritten Securities</w:t>
            </w:r>
          </w:p>
        </w:tc>
      </w:tr>
      <w:tr>
        <w:trPr>
          <w:trHeight w:val="203"/>
        </w:trPr>
        <w:tc>
          <w:tcPr>
            <w:tcW w:w="960" w:type="dxa"/>
            <w:vAlign w:val="bottom"/>
            <w:tcBorders>
              <w:bottom w:val="single" w:sz="8" w:color="auto"/>
            </w:tcBorders>
          </w:tcPr>
          <w:p>
            <w:pPr>
              <w:spacing w:after="0" w:line="202" w:lineRule="exact"/>
              <w:rPr>
                <w:sz w:val="20"/>
                <w:szCs w:val="20"/>
                <w:color w:val="auto"/>
              </w:rPr>
            </w:pPr>
            <w:r>
              <w:rPr>
                <w:rFonts w:ascii="Arial" w:cs="Arial" w:eastAsia="Arial" w:hAnsi="Arial"/>
                <w:sz w:val="18"/>
                <w:szCs w:val="18"/>
                <w:color w:val="auto"/>
                <w:w w:val="92"/>
              </w:rPr>
              <w:t>Underwriters</w:t>
            </w:r>
          </w:p>
        </w:tc>
        <w:tc>
          <w:tcPr>
            <w:tcW w:w="298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14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18"/>
                <w:szCs w:val="18"/>
                <w:color w:val="auto"/>
                <w:w w:val="86"/>
              </w:rPr>
              <w:t>to be Purchased</w:t>
            </w:r>
          </w:p>
        </w:tc>
        <w:tc>
          <w:tcPr>
            <w:tcW w:w="2180" w:type="dxa"/>
            <w:vAlign w:val="bottom"/>
          </w:tcPr>
          <w:p>
            <w:pPr>
              <w:spacing w:after="0"/>
              <w:rPr>
                <w:sz w:val="17"/>
                <w:szCs w:val="17"/>
                <w:color w:val="auto"/>
              </w:rPr>
            </w:pPr>
          </w:p>
        </w:tc>
      </w:tr>
      <w:tr>
        <w:trPr>
          <w:trHeight w:val="264"/>
        </w:trPr>
        <w:tc>
          <w:tcPr>
            <w:tcW w:w="39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41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180" w:type="dxa"/>
            <w:vAlign w:val="bottom"/>
          </w:tcPr>
          <w:p>
            <w:pPr>
              <w:spacing w:after="0"/>
              <w:rPr>
                <w:sz w:val="22"/>
                <w:szCs w:val="22"/>
                <w:color w:val="auto"/>
              </w:rPr>
            </w:pPr>
          </w:p>
        </w:tc>
      </w:tr>
      <w:tr>
        <w:trPr>
          <w:trHeight w:val="242"/>
        </w:trPr>
        <w:tc>
          <w:tcPr>
            <w:tcW w:w="3940" w:type="dxa"/>
            <w:vAlign w:val="bottom"/>
            <w:gridSpan w:val="2"/>
          </w:tcPr>
          <w:p>
            <w:pPr>
              <w:ind w:left="960"/>
              <w:spacing w:after="0"/>
              <w:rPr>
                <w:sz w:val="20"/>
                <w:szCs w:val="20"/>
                <w:color w:val="auto"/>
              </w:rPr>
            </w:pPr>
            <w:r>
              <w:rPr>
                <w:rFonts w:ascii="Arial" w:cs="Arial" w:eastAsia="Arial" w:hAnsi="Arial"/>
                <w:sz w:val="18"/>
                <w:szCs w:val="18"/>
                <w:color w:val="auto"/>
              </w:rPr>
              <w:t>Incorporated</w:t>
            </w:r>
          </w:p>
        </w:tc>
        <w:tc>
          <w:tcPr>
            <w:tcW w:w="41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180" w:type="dxa"/>
            <w:vAlign w:val="bottom"/>
          </w:tcPr>
          <w:p>
            <w:pPr>
              <w:ind w:left="1860"/>
              <w:spacing w:after="0"/>
              <w:rPr>
                <w:sz w:val="20"/>
                <w:szCs w:val="20"/>
                <w:color w:val="auto"/>
              </w:rPr>
            </w:pPr>
            <w:r>
              <w:rPr>
                <w:rFonts w:ascii="Arial" w:cs="Arial" w:eastAsia="Arial" w:hAnsi="Arial"/>
                <w:sz w:val="18"/>
                <w:szCs w:val="18"/>
                <w:color w:val="auto"/>
                <w:w w:val="96"/>
              </w:rPr>
              <w:t>[ ● ]</w:t>
            </w: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Goldman Sachs &amp; Co. LLC</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Jefferies LLC</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Arial" w:cs="Arial" w:eastAsia="Arial" w:hAnsi="Arial"/>
                <w:sz w:val="18"/>
                <w:szCs w:val="18"/>
                <w:color w:val="auto"/>
              </w:rPr>
              <w:t>KKR Capital Markets LLC</w:t>
            </w:r>
          </w:p>
        </w:tc>
        <w:tc>
          <w:tcPr>
            <w:tcW w:w="4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 ● ]</w:t>
            </w:r>
          </w:p>
        </w:tc>
        <w:tc>
          <w:tcPr>
            <w:tcW w:w="4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72466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40"/>
        <w:spacing w:after="0"/>
        <w:tabs>
          <w:tab w:leader="none" w:pos="1108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9"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30"/>
        </w:trPr>
        <w:tc>
          <w:tcPr>
            <w:tcW w:w="1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500" w:type="dxa"/>
            <w:vAlign w:val="bottom"/>
            <w:gridSpan w:val="3"/>
          </w:tcPr>
          <w:p>
            <w:pPr>
              <w:ind w:left="1040"/>
              <w:spacing w:after="0"/>
              <w:rPr>
                <w:sz w:val="20"/>
                <w:szCs w:val="20"/>
                <w:color w:val="auto"/>
              </w:rPr>
            </w:pPr>
            <w:r>
              <w:rPr>
                <w:rFonts w:ascii="Arial" w:cs="Arial" w:eastAsia="Arial" w:hAnsi="Arial"/>
                <w:sz w:val="18"/>
                <w:szCs w:val="18"/>
                <w:color w:val="auto"/>
              </w:rPr>
              <w:t>SCHEDULE I(B)</w:t>
            </w:r>
          </w:p>
        </w:tc>
      </w:tr>
      <w:tr>
        <w:trPr>
          <w:trHeight w:val="513"/>
        </w:trPr>
        <w:tc>
          <w:tcPr>
            <w:tcW w:w="3920" w:type="dxa"/>
            <w:vAlign w:val="bottom"/>
            <w:gridSpan w:val="2"/>
          </w:tcPr>
          <w:p>
            <w:pPr>
              <w:spacing w:after="0"/>
              <w:rPr>
                <w:sz w:val="20"/>
                <w:szCs w:val="20"/>
                <w:color w:val="auto"/>
              </w:rPr>
            </w:pPr>
            <w:r>
              <w:rPr>
                <w:rFonts w:ascii="Arial" w:cs="Arial" w:eastAsia="Arial" w:hAnsi="Arial"/>
                <w:sz w:val="18"/>
                <w:szCs w:val="18"/>
                <w:color w:val="auto"/>
              </w:rPr>
              <w:t>Selling Stockholders</w:t>
            </w:r>
          </w:p>
        </w:tc>
        <w:tc>
          <w:tcPr>
            <w:tcW w:w="3920" w:type="dxa"/>
            <w:vAlign w:val="bottom"/>
          </w:tcPr>
          <w:p>
            <w:pPr>
              <w:spacing w:after="0"/>
              <w:rPr>
                <w:sz w:val="24"/>
                <w:szCs w:val="24"/>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Number of Shares to be Sold</w:t>
            </w:r>
          </w:p>
        </w:tc>
      </w:tr>
      <w:tr>
        <w:trPr>
          <w:trHeight w:val="20"/>
        </w:trPr>
        <w:tc>
          <w:tcPr>
            <w:tcW w:w="150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64"/>
        </w:trPr>
        <w:tc>
          <w:tcPr>
            <w:tcW w:w="3920" w:type="dxa"/>
            <w:vAlign w:val="bottom"/>
            <w:gridSpan w:val="2"/>
          </w:tcPr>
          <w:p>
            <w:pPr>
              <w:spacing w:after="0"/>
              <w:rPr>
                <w:sz w:val="20"/>
                <w:szCs w:val="20"/>
                <w:color w:val="auto"/>
              </w:rPr>
            </w:pPr>
            <w:r>
              <w:rPr>
                <w:rFonts w:ascii="Arial" w:cs="Arial" w:eastAsia="Arial" w:hAnsi="Arial"/>
                <w:sz w:val="18"/>
                <w:szCs w:val="18"/>
                <w:color w:val="auto"/>
              </w:rPr>
              <w:t>KKR Vision Aggregator L.P.</w:t>
            </w:r>
          </w:p>
        </w:tc>
        <w:tc>
          <w:tcPr>
            <w:tcW w:w="3920" w:type="dxa"/>
            <w:vAlign w:val="bottom"/>
          </w:tcPr>
          <w:p>
            <w:pPr>
              <w:spacing w:after="0"/>
              <w:rPr>
                <w:sz w:val="22"/>
                <w:szCs w:val="22"/>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Berkshire Fund VI, Limited Partnership</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43"/>
        </w:trPr>
        <w:tc>
          <w:tcPr>
            <w:tcW w:w="3920" w:type="dxa"/>
            <w:vAlign w:val="bottom"/>
            <w:gridSpan w:val="2"/>
          </w:tcPr>
          <w:p>
            <w:pPr>
              <w:spacing w:after="0"/>
              <w:rPr>
                <w:sz w:val="20"/>
                <w:szCs w:val="20"/>
                <w:color w:val="auto"/>
              </w:rPr>
            </w:pPr>
            <w:r>
              <w:rPr>
                <w:rFonts w:ascii="Arial" w:cs="Arial" w:eastAsia="Arial" w:hAnsi="Arial"/>
                <w:sz w:val="18"/>
                <w:szCs w:val="18"/>
                <w:color w:val="auto"/>
              </w:rPr>
              <w:t>Berkshire Investors LLC</w:t>
            </w:r>
          </w:p>
        </w:tc>
        <w:tc>
          <w:tcPr>
            <w:tcW w:w="3920" w:type="dxa"/>
            <w:vAlign w:val="bottom"/>
          </w:tcPr>
          <w:p>
            <w:pPr>
              <w:spacing w:after="0"/>
              <w:rPr>
                <w:sz w:val="21"/>
                <w:szCs w:val="21"/>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Berkshire Investors III LLC</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Jeff Busbee</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Charlie Foell</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Mitchell Goodman</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spacing w:after="0"/>
              <w:rPr>
                <w:sz w:val="20"/>
                <w:szCs w:val="20"/>
                <w:color w:val="auto"/>
              </w:rPr>
            </w:pPr>
            <w:r>
              <w:rPr>
                <w:rFonts w:ascii="Arial" w:cs="Arial" w:eastAsia="Arial" w:hAnsi="Arial"/>
                <w:sz w:val="18"/>
                <w:szCs w:val="18"/>
                <w:color w:val="auto"/>
              </w:rPr>
              <w:t>John Vaught</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297"/>
        </w:trPr>
        <w:tc>
          <w:tcPr>
            <w:tcW w:w="3920" w:type="dxa"/>
            <w:vAlign w:val="bottom"/>
            <w:gridSpan w:val="2"/>
          </w:tcPr>
          <w:p>
            <w:pPr>
              <w:ind w:left="660"/>
              <w:spacing w:after="0"/>
              <w:rPr>
                <w:sz w:val="20"/>
                <w:szCs w:val="20"/>
                <w:color w:val="auto"/>
              </w:rPr>
            </w:pPr>
            <w:r>
              <w:rPr>
                <w:rFonts w:ascii="Arial" w:cs="Arial" w:eastAsia="Arial" w:hAnsi="Arial"/>
                <w:sz w:val="18"/>
                <w:szCs w:val="18"/>
                <w:color w:val="auto"/>
              </w:rPr>
              <w:t>Total</w:t>
            </w:r>
          </w:p>
        </w:tc>
        <w:tc>
          <w:tcPr>
            <w:tcW w:w="3920" w:type="dxa"/>
            <w:vAlign w:val="bottom"/>
          </w:tcPr>
          <w:p>
            <w:pPr>
              <w:spacing w:after="0"/>
              <w:rPr>
                <w:sz w:val="24"/>
                <w:szCs w:val="24"/>
                <w:color w:val="auto"/>
              </w:rPr>
            </w:pPr>
          </w:p>
        </w:tc>
        <w:tc>
          <w:tcPr>
            <w:tcW w:w="3580" w:type="dxa"/>
            <w:vAlign w:val="bottom"/>
            <w:gridSpan w:val="2"/>
          </w:tcPr>
          <w:p>
            <w:pPr>
              <w:ind w:left="360"/>
              <w:spacing w:after="0"/>
              <w:rPr>
                <w:sz w:val="20"/>
                <w:szCs w:val="20"/>
                <w:color w:val="auto"/>
              </w:rPr>
            </w:pPr>
            <w:r>
              <w:rPr>
                <w:rFonts w:ascii="Arial" w:cs="Arial" w:eastAsia="Arial" w:hAnsi="Arial"/>
                <w:sz w:val="18"/>
                <w:szCs w:val="18"/>
                <w:color w:val="auto"/>
              </w:rPr>
              <w:t>[ ● ]</w:t>
            </w:r>
          </w:p>
        </w:tc>
      </w:tr>
      <w:tr>
        <w:trPr>
          <w:trHeight w:val="407"/>
        </w:trPr>
        <w:tc>
          <w:tcPr>
            <w:tcW w:w="1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920" w:type="dxa"/>
            <w:vAlign w:val="bottom"/>
          </w:tcPr>
          <w:p>
            <w:pPr>
              <w:jc w:val="right"/>
              <w:ind w:right="1979"/>
              <w:spacing w:after="0"/>
              <w:rPr>
                <w:sz w:val="20"/>
                <w:szCs w:val="20"/>
                <w:color w:val="auto"/>
              </w:rPr>
            </w:pPr>
            <w:r>
              <w:rPr>
                <w:rFonts w:ascii="Arial" w:cs="Arial" w:eastAsia="Arial" w:hAnsi="Arial"/>
                <w:sz w:val="14"/>
                <w:szCs w:val="14"/>
                <w:color w:val="auto"/>
              </w:rPr>
              <w:t>38</w:t>
            </w:r>
          </w:p>
        </w:tc>
        <w:tc>
          <w:tcPr>
            <w:tcW w:w="208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46"/>
        </w:trPr>
        <w:tc>
          <w:tcPr>
            <w:tcW w:w="1500" w:type="dxa"/>
            <w:vAlign w:val="bottom"/>
            <w:tcBorders>
              <w:bottom w:val="single" w:sz="8" w:color="auto"/>
            </w:tcBorders>
          </w:tcPr>
          <w:p>
            <w:pPr>
              <w:spacing w:after="0"/>
              <w:rPr>
                <w:sz w:val="4"/>
                <w:szCs w:val="4"/>
                <w:color w:val="auto"/>
              </w:rPr>
            </w:pPr>
          </w:p>
        </w:tc>
        <w:tc>
          <w:tcPr>
            <w:tcW w:w="2420" w:type="dxa"/>
            <w:vAlign w:val="bottom"/>
            <w:tcBorders>
              <w:bottom w:val="single" w:sz="8" w:color="auto"/>
            </w:tcBorders>
          </w:tcPr>
          <w:p>
            <w:pPr>
              <w:spacing w:after="0"/>
              <w:rPr>
                <w:sz w:val="4"/>
                <w:szCs w:val="4"/>
                <w:color w:val="auto"/>
              </w:rPr>
            </w:pPr>
          </w:p>
        </w:tc>
        <w:tc>
          <w:tcPr>
            <w:tcW w:w="392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15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1" w:right="239" w:bottom="1440" w:gutter="0" w:footer="0" w:header="0"/>
        </w:sectPr>
      </w:pPr>
    </w:p>
    <w:bookmarkStart w:id="111" w:name="page112"/>
    <w:bookmarkEnd w:id="111"/>
    <w:p>
      <w:pPr>
        <w:ind w:left="5160"/>
        <w:spacing w:after="0"/>
        <w:rPr>
          <w:sz w:val="20"/>
          <w:szCs w:val="20"/>
          <w:color w:val="auto"/>
        </w:rPr>
      </w:pPr>
      <w:r>
        <w:rPr>
          <w:rFonts w:ascii="Arial" w:cs="Arial" w:eastAsia="Arial" w:hAnsi="Arial"/>
          <w:sz w:val="18"/>
          <w:szCs w:val="18"/>
          <w:color w:val="auto"/>
        </w:rPr>
        <w:t>SCHEDULE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Schedule of Free Writing Prospectuses included in the Disclosure Package</w:t>
      </w:r>
    </w:p>
    <w:p>
      <w:pPr>
        <w:spacing w:after="0" w:line="266" w:lineRule="exact"/>
        <w:rPr>
          <w:sz w:val="20"/>
          <w:szCs w:val="20"/>
          <w:color w:val="auto"/>
        </w:rPr>
      </w:pPr>
    </w:p>
    <w:p>
      <w:pPr>
        <w:ind w:left="980" w:hanging="486"/>
        <w:spacing w:after="0"/>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486"/>
        <w:spacing w:after="0"/>
        <w:tabs>
          <w:tab w:leader="none" w:pos="9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Company’s Annual Report on Form 10-K for the fiscal year ended December 30, 2017 filed March 8, 2018</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Pricing information provided orally by Underwriters</w:t>
      </w:r>
    </w:p>
    <w:p>
      <w:pPr>
        <w:spacing w:after="0" w:line="266" w:lineRule="exact"/>
        <w:rPr>
          <w:sz w:val="20"/>
          <w:szCs w:val="20"/>
          <w:color w:val="auto"/>
        </w:rPr>
      </w:pPr>
    </w:p>
    <w:p>
      <w:pPr>
        <w:ind w:left="980" w:hanging="486"/>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Number of Underwritten Securities: [ ● ] shares of Common Stock</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Number of Option Securities: [ ● ] shares of Common Stock</w:t>
      </w:r>
    </w:p>
    <w:p>
      <w:pPr>
        <w:spacing w:after="0" w:line="252" w:lineRule="exact"/>
        <w:rPr>
          <w:rFonts w:ascii="Arial" w:cs="Arial" w:eastAsia="Arial" w:hAnsi="Arial"/>
          <w:sz w:val="18"/>
          <w:szCs w:val="18"/>
          <w:color w:val="auto"/>
        </w:rPr>
      </w:pPr>
    </w:p>
    <w:p>
      <w:pPr>
        <w:ind w:left="980" w:hanging="486"/>
        <w:spacing w:after="0"/>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Price: $[ ● ] per share</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112" w:name="page113"/>
    <w:bookmarkEnd w:id="112"/>
    <w:p>
      <w:pPr>
        <w:ind w:left="5140"/>
        <w:spacing w:after="0"/>
        <w:rPr>
          <w:sz w:val="20"/>
          <w:szCs w:val="20"/>
          <w:color w:val="auto"/>
        </w:rPr>
      </w:pPr>
      <w:r>
        <w:rPr>
          <w:rFonts w:ascii="Arial" w:cs="Arial" w:eastAsia="Arial" w:hAnsi="Arial"/>
          <w:sz w:val="18"/>
          <w:szCs w:val="18"/>
          <w:color w:val="auto"/>
        </w:rPr>
        <w:t>SCHEDULE III</w:t>
      </w:r>
    </w:p>
    <w:p>
      <w:pPr>
        <w:spacing w:after="0" w:line="279" w:lineRule="exact"/>
        <w:rPr>
          <w:sz w:val="20"/>
          <w:szCs w:val="20"/>
          <w:color w:val="auto"/>
        </w:rPr>
      </w:pPr>
    </w:p>
    <w:p>
      <w:pPr>
        <w:jc w:val="right"/>
        <w:ind w:right="3039"/>
        <w:spacing w:after="0"/>
        <w:rPr>
          <w:sz w:val="20"/>
          <w:szCs w:val="20"/>
          <w:color w:val="auto"/>
        </w:rPr>
      </w:pPr>
      <w:r>
        <w:rPr>
          <w:rFonts w:ascii="Arial" w:cs="Arial" w:eastAsia="Arial" w:hAnsi="Arial"/>
          <w:sz w:val="18"/>
          <w:szCs w:val="18"/>
          <w:color w:val="auto"/>
        </w:rPr>
        <w:t>Significant Subsidiaries of the Company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Inc.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Nautilus Acquisition Holdings, Inc.</w:t>
      </w:r>
    </w:p>
    <w:p>
      <w:pPr>
        <w:spacing w:after="0" w:line="200" w:lineRule="exact"/>
        <w:rPr>
          <w:sz w:val="20"/>
          <w:szCs w:val="20"/>
          <w:color w:val="auto"/>
        </w:rPr>
      </w:pPr>
    </w:p>
    <w:p>
      <w:pPr>
        <w:spacing w:after="0" w:line="237" w:lineRule="exact"/>
        <w:rPr>
          <w:sz w:val="20"/>
          <w:szCs w:val="20"/>
          <w:color w:val="auto"/>
        </w:rPr>
      </w:pPr>
    </w:p>
    <w:p>
      <w:pPr>
        <w:ind w:left="5640"/>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39" w:right="1440" w:bottom="1440" w:gutter="0" w:footer="0" w:header="0"/>
        </w:sectPr>
      </w:pPr>
    </w:p>
    <w:bookmarkStart w:id="113" w:name="page114"/>
    <w:bookmarkEnd w:id="113"/>
    <w:p>
      <w:pPr>
        <w:spacing w:after="0"/>
        <w:tabs>
          <w:tab w:leader="none" w:pos="10500" w:val="left"/>
        </w:tabs>
        <w:rPr>
          <w:sz w:val="20"/>
          <w:szCs w:val="20"/>
          <w:color w:val="auto"/>
        </w:rPr>
      </w:pPr>
      <w:r>
        <w:rPr>
          <w:rFonts w:ascii="Arial" w:cs="Arial" w:eastAsia="Arial" w:hAnsi="Arial"/>
          <w:sz w:val="18"/>
          <w:szCs w:val="18"/>
          <w:b w:val="1"/>
          <w:bCs w:val="1"/>
          <w:color w:val="auto"/>
        </w:rPr>
        <w:t>Form of Lock-Up Agreement</w:t>
      </w:r>
      <w:r>
        <w:rPr>
          <w:sz w:val="20"/>
          <w:szCs w:val="20"/>
          <w:color w:val="auto"/>
        </w:rPr>
        <w:tab/>
      </w:r>
      <w:r>
        <w:rPr>
          <w:rFonts w:ascii="Arial" w:cs="Arial" w:eastAsia="Arial" w:hAnsi="Arial"/>
          <w:sz w:val="18"/>
          <w:szCs w:val="18"/>
          <w:color w:val="auto"/>
        </w:rPr>
        <w:t>EXHIBIT A</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[Letterhead of officer, director or major shareholder of</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 ], 2018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36" w:lineRule="exact"/>
        <w:rPr>
          <w:sz w:val="20"/>
          <w:szCs w:val="20"/>
          <w:color w:val="auto"/>
        </w:rPr>
      </w:pPr>
    </w:p>
    <w:p>
      <w:pPr>
        <w:ind w:left="960"/>
        <w:spacing w:after="0"/>
        <w:rPr>
          <w:sz w:val="20"/>
          <w:szCs w:val="20"/>
          <w:color w:val="auto"/>
        </w:rPr>
      </w:pPr>
      <w:r>
        <w:rPr>
          <w:rFonts w:ascii="Arial" w:cs="Arial" w:eastAsia="Arial" w:hAnsi="Arial"/>
          <w:sz w:val="18"/>
          <w:szCs w:val="18"/>
          <w:color w:val="auto"/>
        </w:rPr>
        <w:t>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Jefferies LLC</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c/o Merrill Lynch, Pierce, Fenner &amp; Smith</w:t>
      </w:r>
    </w:p>
    <w:p>
      <w:pPr>
        <w:spacing w:after="0" w:line="36"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Incorporated</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One Bryant Park</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10036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Citigroup Global Markets Inc.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Goldman Sachs &amp; Co.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200 West Street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10282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c/o Jefferies LLC</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520 Madison Avenue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10022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79" w:lineRule="exact"/>
        <w:rPr>
          <w:sz w:val="20"/>
          <w:szCs w:val="20"/>
          <w:color w:val="auto"/>
        </w:rPr>
      </w:pPr>
    </w:p>
    <w:p>
      <w:pPr>
        <w:ind w:right="120" w:firstLine="1297"/>
        <w:spacing w:after="0" w:line="290" w:lineRule="auto"/>
        <w:rPr>
          <w:sz w:val="20"/>
          <w:szCs w:val="20"/>
          <w:color w:val="auto"/>
        </w:rPr>
      </w:pPr>
      <w:r>
        <w:rPr>
          <w:rFonts w:ascii="Arial" w:cs="Arial" w:eastAsia="Arial" w:hAnsi="Arial"/>
          <w:sz w:val="18"/>
          <w:szCs w:val="18"/>
          <w:color w:val="auto"/>
        </w:rPr>
        <w:t>This letter is being delivered to you in connection with the proposed Underwriting Agreement (the “Underwriting Agreement”), among National Vision Holdings, Inc., a Delaware corporation (the “Company”), the selling stockholders named on Schedule I(B) thereto (collectively, the “Selling Stockholders”) and each of you as representatives of a group of Underwriters named therein, relating to an underwritten public offering of common stock, $0.01 par value (the “Common Stock”), of the Company (the “Offering”).</w:t>
      </w:r>
    </w:p>
    <w:p>
      <w:pPr>
        <w:spacing w:after="0" w:line="215" w:lineRule="exact"/>
        <w:rPr>
          <w:sz w:val="20"/>
          <w:szCs w:val="20"/>
          <w:color w:val="auto"/>
        </w:rPr>
      </w:pPr>
    </w:p>
    <w:p>
      <w:pPr>
        <w:ind w:right="20" w:firstLine="1297"/>
        <w:spacing w:after="0" w:line="323" w:lineRule="auto"/>
        <w:rPr>
          <w:sz w:val="20"/>
          <w:szCs w:val="20"/>
          <w:color w:val="auto"/>
        </w:rPr>
      </w:pPr>
      <w:r>
        <w:rPr>
          <w:rFonts w:ascii="Arial" w:cs="Arial" w:eastAsia="Arial" w:hAnsi="Arial"/>
          <w:sz w:val="16"/>
          <w:szCs w:val="16"/>
          <w:color w:val="auto"/>
        </w:rPr>
        <w:t>In order to induce you and the other Underwriters to enter into the Underwriting Agreement, the undersigned will not, without the prior written consent of any two of Merrill Lynch, Pierce, Fenner &amp; Smith Incorporated, Citigroup Global Markets Inc. and Goldman, Sachs &amp; Co. LLC offer, sell, contract to sell, or otherwise dispose of, (or enter into any transaction which is designed to, or might reasonably be expected to, result in the disposition (whether by actual disposition or effective economic disposition due to cash settlement or otherwise) by the undersigned or any controlled affiliate of the undersigned or any person in privity with the undersigned or any controlled affiliate of the undersigned), directly or indirectly, including the public filing (or participation in the public filing) of a registration statement with the Securities and Exchange Commission in respect of, or establish or increase a put equivalent position or liquidate or decrease a call equivalent position within the meaning of Section 16 of the Securities Exchange Act of 1934, as amended (the “Exchange Act”), and the rules and regulations of the Securities and Exchange Commission promulgated thereunder with respect to, any shares of capital stock of the Company (“Shares”) or any securities convertible into, or exercisable or exchangeable for such capital stock (“Related Securities”), or publicly announce an intention to effect any such transaction, for a period from the date hereof until 90 days after the date of the Underwriting Agreement.</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foregoing restrictions shall not apply:</w:t>
      </w:r>
    </w:p>
    <w:p>
      <w:pPr>
        <w:spacing w:after="0" w:line="266" w:lineRule="exact"/>
        <w:rPr>
          <w:sz w:val="20"/>
          <w:szCs w:val="20"/>
          <w:color w:val="auto"/>
        </w:rPr>
      </w:pPr>
    </w:p>
    <w:p>
      <w:pPr>
        <w:ind w:left="1300" w:hanging="644"/>
        <w:spacing w:after="0"/>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sale of the undersigned’s Shares pursuant to the Underwriting Agreement, as applicable;</w:t>
      </w:r>
    </w:p>
    <w:p>
      <w:pPr>
        <w:spacing w:after="0" w:line="252" w:lineRule="exact"/>
        <w:rPr>
          <w:rFonts w:ascii="Arial" w:cs="Arial" w:eastAsia="Arial" w:hAnsi="Arial"/>
          <w:sz w:val="18"/>
          <w:szCs w:val="18"/>
          <w:color w:val="auto"/>
        </w:rPr>
      </w:pPr>
    </w:p>
    <w:p>
      <w:pPr>
        <w:ind w:left="1300" w:right="60" w:hanging="644"/>
        <w:spacing w:after="0" w:line="277"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the transfer of Shares or Related Securities by gift, or by will or intestate succession to a family member or to a trust, partnership, limited liability company or other entity for the direct or indirect benefit of the undersigned and/or a family member;</w:t>
      </w:r>
    </w:p>
    <w:p>
      <w:pPr>
        <w:sectPr>
          <w:pgSz w:w="11900" w:h="16838" w:orient="portrait"/>
          <w:cols w:equalWidth="0" w:num="1">
            <w:col w:w="11420"/>
          </w:cols>
          <w:pgMar w:left="240" w:top="121" w:right="239" w:bottom="1440" w:gutter="0" w:footer="0" w:header="0"/>
        </w:sectPr>
      </w:pP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4" w:name="page115"/>
    <w:bookmarkEnd w:id="114"/>
    <w:p>
      <w:pPr>
        <w:ind w:left="644" w:right="80" w:hanging="644"/>
        <w:spacing w:after="0" w:line="302" w:lineRule="auto"/>
        <w:tabs>
          <w:tab w:leader="none" w:pos="644"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the undersigned is a corporation, partnership, limited liability company, trust or other business entity, to (1) transfers of Shares or Related Securities to another corporation, partnership, limited liability company, trust or other business entity that is a direct or indirect affiliate (as defined under Rule 12b-2 of the Exchange Act) of the undersigned or (2) distributions of Shares or Related Securities to limited partners, limited liability company members or stockholders of the undersigned or holders of similar equity interests in the undersigned;</w:t>
      </w:r>
    </w:p>
    <w:p>
      <w:pPr>
        <w:spacing w:after="0" w:line="181" w:lineRule="exact"/>
        <w:rPr>
          <w:rFonts w:ascii="Arial" w:cs="Arial" w:eastAsia="Arial" w:hAnsi="Arial"/>
          <w:sz w:val="16"/>
          <w:szCs w:val="16"/>
          <w:color w:val="auto"/>
        </w:rPr>
      </w:pPr>
    </w:p>
    <w:p>
      <w:pPr>
        <w:ind w:left="644" w:hanging="644"/>
        <w:spacing w:after="0"/>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the undersigned is a trust, to transfers to the beneficiary of such trust;</w:t>
      </w:r>
    </w:p>
    <w:p>
      <w:pPr>
        <w:spacing w:after="0" w:line="252" w:lineRule="exact"/>
        <w:rPr>
          <w:rFonts w:ascii="Arial" w:cs="Arial" w:eastAsia="Arial" w:hAnsi="Arial"/>
          <w:sz w:val="18"/>
          <w:szCs w:val="18"/>
          <w:color w:val="auto"/>
        </w:rPr>
      </w:pPr>
    </w:p>
    <w:p>
      <w:pPr>
        <w:ind w:left="644" w:hanging="644"/>
        <w:spacing w:after="0"/>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transfers to any investment fund or other entity controlled or managed by the undersigned;</w:t>
      </w:r>
    </w:p>
    <w:p>
      <w:pPr>
        <w:spacing w:after="0" w:line="252" w:lineRule="exact"/>
        <w:rPr>
          <w:rFonts w:ascii="Arial" w:cs="Arial" w:eastAsia="Arial" w:hAnsi="Arial"/>
          <w:sz w:val="18"/>
          <w:szCs w:val="18"/>
          <w:color w:val="auto"/>
        </w:rPr>
      </w:pPr>
    </w:p>
    <w:p>
      <w:pPr>
        <w:ind w:left="644" w:hanging="644"/>
        <w:spacing w:after="0" w:line="277"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transfers to a nominee or custodian of a person or entity to whom a disposition or transfer would be permissible under clauses (ii) through (v);</w:t>
      </w:r>
    </w:p>
    <w:p>
      <w:pPr>
        <w:spacing w:after="0" w:line="197" w:lineRule="exact"/>
        <w:rPr>
          <w:rFonts w:ascii="Arial" w:cs="Arial" w:eastAsia="Arial" w:hAnsi="Arial"/>
          <w:sz w:val="18"/>
          <w:szCs w:val="18"/>
          <w:color w:val="auto"/>
        </w:rPr>
      </w:pPr>
    </w:p>
    <w:p>
      <w:pPr>
        <w:ind w:left="644" w:right="160" w:hanging="644"/>
        <w:spacing w:after="0" w:line="269" w:lineRule="auto"/>
        <w:tabs>
          <w:tab w:leader="none" w:pos="64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to transfers to the Company (1) pursuant to the exercise, in each case on a “cashless” or “net exercise” basis, of any option to purchase Shares granted by the Company pursuant to any employee benefit plans or arrangements (including to non-employee directors under the 2014 Stock Incentive Plan and the 2017 Omnibus Incentive Plan) described in or filed as an exhibit to the registration statement with respect to the Offering, where any Shares received by the undersigned upon any such exercise will be subject to the terms of this lock-up agreement, or (2) for the purpose of satisfying any withholding taxes (including estimated taxes) due as a result of the exercise of any option to purchase Shares or the vesting of any restricted stock awards granted by the Company pursuant to employee benefit plans or arrangements described in or filed as an exhibit to the registration statement with respect to the Offering, in each case on a “cashless” or “net exercise” basis, where any Shares received by the undersigned upon any such exercise or vesting will be subject to the terms of this lock-up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was solely to the Company;</w:t>
      </w:r>
    </w:p>
    <w:p>
      <w:pPr>
        <w:spacing w:after="0" w:line="209" w:lineRule="exact"/>
        <w:rPr>
          <w:rFonts w:ascii="Arial" w:cs="Arial" w:eastAsia="Arial" w:hAnsi="Arial"/>
          <w:sz w:val="17"/>
          <w:szCs w:val="17"/>
          <w:color w:val="auto"/>
        </w:rPr>
      </w:pPr>
    </w:p>
    <w:p>
      <w:pPr>
        <w:ind w:left="644" w:right="180" w:hanging="644"/>
        <w:spacing w:after="0" w:line="273" w:lineRule="auto"/>
        <w:tabs>
          <w:tab w:leader="none" w:pos="644"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to transfers pursuant to an order of a court or regulatory agency (for purposes of this Letter Agreement, a “court or regulatory agency” means any domestic or foreign, federal, state or local government, including any political subdivision thereof, any governmental or quasi-governmental authority, department, agency or official, any court or administrative body, and any national securities exchange or similar self-regulatory body or organization, in each case of competent jurisdiction);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filing under Section 16(a) of the Exchange Act in connection with such transfer shall indicate, to the extent permitted by such Section and the related rules and regulations, that such transfer is pursuant to an order of a court or regulatory agency;</w:t>
      </w:r>
    </w:p>
    <w:p>
      <w:pPr>
        <w:spacing w:after="0" w:line="377"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125" w:right="239" w:bottom="1440" w:gutter="0" w:footer="0" w:header="0"/>
        </w:sectPr>
      </w:pPr>
    </w:p>
    <w:bookmarkStart w:id="115" w:name="page116"/>
    <w:bookmarkEnd w:id="115"/>
    <w:p>
      <w:pPr>
        <w:ind w:left="1300" w:right="20" w:hanging="644"/>
        <w:spacing w:after="0" w:line="259"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to transfers of Shares or Related Securities to the Company pursuant to the call or put provisions of existing employment agreements and equity grant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filing under Section 16(a) of the Exchange Act in connection with such transfer shall indicate, to the extent permitted by such Section and the related rules and regulations, the reason for such disposition and that such transfer of Shares or Related Securities was solely to the Company;</w:t>
      </w:r>
    </w:p>
    <w:p>
      <w:pPr>
        <w:spacing w:after="0" w:line="213"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transfers from an executive officer or his or her estate to the Company upon death, disability or termination of employment, in each case, of such executive officer;</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transfers of Shares acquired in the Offering or in open-market transactions after the completion of the Offering;</w:t>
      </w:r>
    </w:p>
    <w:p>
      <w:pPr>
        <w:spacing w:after="0" w:line="252" w:lineRule="exact"/>
        <w:rPr>
          <w:rFonts w:ascii="Arial" w:cs="Arial" w:eastAsia="Arial" w:hAnsi="Arial"/>
          <w:sz w:val="18"/>
          <w:szCs w:val="18"/>
          <w:color w:val="auto"/>
        </w:rPr>
      </w:pPr>
    </w:p>
    <w:p>
      <w:pPr>
        <w:ind w:left="1300" w:hanging="644"/>
        <w:spacing w:after="0" w:line="271"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transfers in response to a bona fide third party tender offer, merger, consolidation or other similar transaction made to or with all holders of Securities involving a “change of control” (as defined below) of the Company occurring after the consummation of the Offering, that has been approved by the board of directors of the Company, provided that in the event that the tender offer, merger, consolidation or other such transaction is not completed, the undersigned’s Shares shall remain subject to the terms of this agreement. For purposes of this clause (xi), “change of control” means the consummation of any bona fide third party tender offer, merger, consolidation or other similar transaction the result of which is that any “person” (as defined in Section 13(d)(3) of the Exchange Act), or group of persons, other than the Company, becomes the beneficial owner (as defined in Rules 13d-3 and 13d-5 of the Exchange Act) of at least 51% of total voting power of the voting stock of the Company; and</w:t>
      </w:r>
    </w:p>
    <w:p>
      <w:pPr>
        <w:spacing w:after="0" w:line="205" w:lineRule="exact"/>
        <w:rPr>
          <w:rFonts w:ascii="Arial" w:cs="Arial" w:eastAsia="Arial" w:hAnsi="Arial"/>
          <w:sz w:val="17"/>
          <w:szCs w:val="17"/>
          <w:color w:val="auto"/>
        </w:rPr>
      </w:pPr>
    </w:p>
    <w:p>
      <w:pPr>
        <w:ind w:left="1300" w:right="60" w:hanging="644"/>
        <w:spacing w:after="0" w:line="312"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to entry into a written plan meeting the requirements of Rule 10b5-l under the Exchange Act for the transfer of Shares or Related Securities that does not in any case provide for the transfer of Shares or Related Securities during the lock-up period; or to the transfer of Shares or Related Securities pursuant to a written plan in effect on the date hereof meeting the requirements of Rule 10b5-1 under the Exchange Act.</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 xml:space="preserve">Provided, further, </w:t>
      </w:r>
      <w:r>
        <w:rPr>
          <w:rFonts w:ascii="Arial" w:cs="Arial" w:eastAsia="Arial" w:hAnsi="Arial"/>
          <w:sz w:val="22"/>
          <w:szCs w:val="22"/>
          <w:color w:val="auto"/>
        </w:rPr>
        <w:t>that:</w:t>
      </w:r>
    </w:p>
    <w:p>
      <w:pPr>
        <w:spacing w:after="0" w:line="186" w:lineRule="exact"/>
        <w:rPr>
          <w:sz w:val="20"/>
          <w:szCs w:val="20"/>
          <w:color w:val="auto"/>
        </w:rPr>
      </w:pPr>
    </w:p>
    <w:p>
      <w:pPr>
        <w:ind w:left="1620" w:right="120" w:hanging="315"/>
        <w:spacing w:after="0" w:line="272" w:lineRule="auto"/>
        <w:tabs>
          <w:tab w:leader="none" w:pos="1620"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the case of any transfer or distribution pursuant to clauses (ii) through (vi) above, it shall be a condition to such transfer that each transferee executes and delivers to Merrill Lynch, Pierce, Fenner &amp; Smith Incorporated, Citigroup Global Markets Inc. and Goldman, Sachs &amp; Co. LLC an agreement in form and substance satisfactory to Merrill Lynch, Pierce, Fenner &amp; Smith Incorporated, Citigroup Global Markets Inc. and Goldman, Sachs &amp; Co. LLC stating that such transferee is receiving and holding such Shares and/or Related Securities subject to the provisions of this letter agreement and agrees not to sell or offer to sell such Shares and/or Related Securities, engage in any swap or engage in any other activities restricted under this letter agreement except in accordance with this letter agreement (as if such transferee had been an original signatory hereto);</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ind w:left="1620" w:right="20" w:hanging="315"/>
        <w:spacing w:after="0" w:line="259" w:lineRule="auto"/>
        <w:tabs>
          <w:tab w:leader="none" w:pos="16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clauses (ii) through (vi), (xi), (xii) and (xiii) above, prior to the expiration of the lock-up period no filing by any party (donor, donee, transferor or transferee) under the Exchange Act (other than those required pursuant to Section 13), or other public announcement reporting a reduction in beneficial ownership of Shares shall be required or shall be made voluntarily in connection with such transfer or distribution.</w:t>
      </w:r>
    </w:p>
    <w:p>
      <w:pPr>
        <w:spacing w:after="0" w:line="227" w:lineRule="exact"/>
        <w:rPr>
          <w:sz w:val="20"/>
          <w:szCs w:val="20"/>
          <w:color w:val="auto"/>
        </w:rPr>
      </w:pPr>
    </w:p>
    <w:p>
      <w:pPr>
        <w:ind w:right="140" w:firstLine="1297"/>
        <w:spacing w:after="0" w:line="309" w:lineRule="auto"/>
        <w:rPr>
          <w:sz w:val="20"/>
          <w:szCs w:val="20"/>
          <w:color w:val="auto"/>
        </w:rPr>
      </w:pPr>
      <w:r>
        <w:rPr>
          <w:rFonts w:ascii="Arial" w:cs="Arial" w:eastAsia="Arial" w:hAnsi="Arial"/>
          <w:sz w:val="18"/>
          <w:szCs w:val="18"/>
          <w:color w:val="auto"/>
        </w:rPr>
        <w:t>For the avoidance of doubt, if the undersigned is a director or officer of the Company nothing in this lock-up agreement shall prevent such director or officer from discharging his or her fiduciary obligations owed to the Company during the lock-up period.</w:t>
      </w:r>
    </w:p>
    <w:p>
      <w:pPr>
        <w:spacing w:after="0" w:line="196" w:lineRule="exact"/>
        <w:rPr>
          <w:sz w:val="20"/>
          <w:szCs w:val="20"/>
          <w:color w:val="auto"/>
        </w:rPr>
      </w:pPr>
    </w:p>
    <w:p>
      <w:pPr>
        <w:ind w:firstLine="1297"/>
        <w:spacing w:after="0" w:line="309" w:lineRule="auto"/>
        <w:rPr>
          <w:sz w:val="20"/>
          <w:szCs w:val="20"/>
          <w:color w:val="auto"/>
        </w:rPr>
      </w:pPr>
      <w:r>
        <w:rPr>
          <w:rFonts w:ascii="Arial" w:cs="Arial" w:eastAsia="Arial" w:hAnsi="Arial"/>
          <w:sz w:val="18"/>
          <w:szCs w:val="18"/>
          <w:color w:val="auto"/>
        </w:rPr>
        <w:t>If for any reason the Underwriting Agreement shall be terminated prior to the Closing Date (as defined in the Underwriting Agreement), the agreement set forth above shall likewise be terminated.</w:t>
      </w:r>
    </w:p>
    <w:p>
      <w:pPr>
        <w:spacing w:after="0" w:line="200" w:lineRule="exact"/>
        <w:rPr>
          <w:sz w:val="20"/>
          <w:szCs w:val="20"/>
          <w:color w:val="auto"/>
        </w:rPr>
      </w:pPr>
    </w:p>
    <w:p>
      <w:pPr>
        <w:spacing w:after="0" w:line="23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Yours very truly,</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[Signature of officer, director or stockholder]</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[Name and address of officer, director or stockholder]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117" w:name="page118"/>
    <w:bookmarkEnd w:id="117"/>
    <w:p>
      <w:pPr>
        <w:spacing w:after="0"/>
        <w:tabs>
          <w:tab w:leader="none" w:pos="10360" w:val="left"/>
        </w:tabs>
        <w:rPr>
          <w:sz w:val="20"/>
          <w:szCs w:val="20"/>
          <w:color w:val="auto"/>
        </w:rPr>
      </w:pPr>
      <w:r>
        <w:rPr>
          <w:rFonts w:ascii="Arial" w:cs="Arial" w:eastAsia="Arial" w:hAnsi="Arial"/>
          <w:sz w:val="18"/>
          <w:szCs w:val="18"/>
          <w:b w:val="1"/>
          <w:bCs w:val="1"/>
          <w:color w:val="auto"/>
        </w:rPr>
        <w:t>List of Lock-Up Parties</w:t>
      </w:r>
      <w:r>
        <w:rPr>
          <w:sz w:val="20"/>
          <w:szCs w:val="20"/>
          <w:color w:val="auto"/>
        </w:rPr>
        <w:tab/>
      </w:r>
      <w:r>
        <w:rPr>
          <w:rFonts w:ascii="Arial" w:cs="Arial" w:eastAsia="Arial" w:hAnsi="Arial"/>
          <w:sz w:val="18"/>
          <w:szCs w:val="18"/>
          <w:color w:val="auto"/>
        </w:rPr>
        <w:t>EXHIBIT A-1</w:t>
      </w:r>
    </w:p>
    <w:p>
      <w:pPr>
        <w:sectPr>
          <w:pgSz w:w="11900" w:h="16838" w:orient="portrait"/>
          <w:cols w:equalWidth="0" w:num="1">
            <w:col w:w="11420"/>
          </w:cols>
          <w:pgMar w:left="240" w:top="13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type w:val="continuous"/>
        </w:sectPr>
      </w:pPr>
    </w:p>
    <w:bookmarkStart w:id="118" w:name="page119"/>
    <w:bookmarkEnd w:id="118"/>
    <w:p>
      <w:pPr>
        <w:spacing w:after="0"/>
        <w:tabs>
          <w:tab w:leader="none" w:pos="10340" w:val="left"/>
        </w:tabs>
        <w:rPr>
          <w:sz w:val="20"/>
          <w:szCs w:val="20"/>
          <w:color w:val="auto"/>
        </w:rPr>
      </w:pPr>
      <w:r>
        <w:rPr>
          <w:rFonts w:ascii="Arial" w:cs="Arial" w:eastAsia="Arial" w:hAnsi="Arial"/>
          <w:sz w:val="18"/>
          <w:szCs w:val="18"/>
          <w:b w:val="1"/>
          <w:bCs w:val="1"/>
          <w:color w:val="auto"/>
        </w:rPr>
        <w:t>Form of Waiver of Lock-Up</w:t>
      </w:r>
      <w:r>
        <w:rPr>
          <w:sz w:val="20"/>
          <w:szCs w:val="20"/>
          <w:color w:val="auto"/>
        </w:rPr>
        <w:tab/>
      </w:r>
      <w:r>
        <w:rPr>
          <w:rFonts w:ascii="Arial" w:cs="Arial" w:eastAsia="Arial" w:hAnsi="Arial"/>
          <w:sz w:val="18"/>
          <w:szCs w:val="18"/>
          <w:b w:val="1"/>
          <w:bCs w:val="1"/>
          <w:color w:val="auto"/>
        </w:rPr>
        <w:t>ADDENDUM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Public Offering of Common Stock</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[Name and Address of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Officer or Director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Requesting Waiver]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Dear Mr./Ms. [Name]:</w:t>
      </w:r>
    </w:p>
    <w:p>
      <w:pPr>
        <w:spacing w:after="0" w:line="279" w:lineRule="exact"/>
        <w:rPr>
          <w:sz w:val="20"/>
          <w:szCs w:val="20"/>
          <w:color w:val="auto"/>
        </w:rPr>
      </w:pPr>
    </w:p>
    <w:p>
      <w:pPr>
        <w:ind w:right="280" w:firstLine="1297"/>
        <w:spacing w:after="0" w:line="290" w:lineRule="auto"/>
        <w:rPr>
          <w:sz w:val="20"/>
          <w:szCs w:val="20"/>
          <w:color w:val="auto"/>
        </w:rPr>
      </w:pPr>
      <w:r>
        <w:rPr>
          <w:rFonts w:ascii="Arial" w:cs="Arial" w:eastAsia="Arial" w:hAnsi="Arial"/>
          <w:sz w:val="18"/>
          <w:szCs w:val="18"/>
          <w:color w:val="auto"/>
        </w:rPr>
        <w:t>This letter is being delivered to you in connection with the offering by National Vision Holdings, Inc. (the “Company”) of [ ● ] shares of common stock, $0.01 par value (the “Common Stock”), of the Company and the lock-up letter dated [ ● ], 2018 (the “Lock-up Letter”), executed by you in connection with such offering, and your request for a [waiver] [release] dated [ ● ], 20[ ● ], with respect to [ ● ] shares of Common Stock (the “Shares”).</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 ] hereby agree to [waive] [release] the transfer restrictions set forth in the Lock-up Letter, but only with respect to the Shares, effective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 ● ], 20[ ● ].</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Except as expressly [waived] [released] hereby, the Lock-up Letter shall remain in full force and effect.</w:t>
      </w:r>
    </w:p>
    <w:p>
      <w:pPr>
        <w:spacing w:after="0" w:line="266" w:lineRule="exact"/>
        <w:rPr>
          <w:sz w:val="20"/>
          <w:szCs w:val="20"/>
          <w:color w:val="auto"/>
        </w:rPr>
      </w:pPr>
    </w:p>
    <w:p>
      <w:pPr>
        <w:ind w:left="9420"/>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41" w:lineRule="exact"/>
        <w:rPr>
          <w:sz w:val="20"/>
          <w:szCs w:val="20"/>
          <w:color w:val="auto"/>
        </w:rPr>
      </w:pPr>
    </w:p>
    <w:p>
      <w:pPr>
        <w:ind w:left="986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30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cc: Company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119" w:name="page120"/>
    <w:bookmarkEnd w:id="119"/>
    <w:p>
      <w:pPr>
        <w:spacing w:after="0"/>
        <w:tabs>
          <w:tab w:leader="none" w:pos="10520" w:val="left"/>
        </w:tabs>
        <w:rPr>
          <w:sz w:val="20"/>
          <w:szCs w:val="20"/>
          <w:color w:val="auto"/>
        </w:rPr>
      </w:pPr>
      <w:r>
        <w:rPr>
          <w:rFonts w:ascii="Arial" w:cs="Arial" w:eastAsia="Arial" w:hAnsi="Arial"/>
          <w:sz w:val="18"/>
          <w:szCs w:val="18"/>
          <w:b w:val="1"/>
          <w:bCs w:val="1"/>
          <w:color w:val="auto"/>
        </w:rPr>
        <w:t>Form of STB Opinion and Negative Assurance Letter</w:t>
      </w:r>
      <w:r>
        <w:rPr>
          <w:sz w:val="20"/>
          <w:szCs w:val="20"/>
          <w:color w:val="auto"/>
        </w:rPr>
        <w:tab/>
      </w:r>
      <w:r>
        <w:rPr>
          <w:rFonts w:ascii="Arial" w:cs="Arial" w:eastAsia="Arial" w:hAnsi="Arial"/>
          <w:sz w:val="18"/>
          <w:szCs w:val="18"/>
          <w:color w:val="auto"/>
        </w:rPr>
        <w:t>EXHIBIT B</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0" w:name="page121"/>
    <w:bookmarkEnd w:id="120"/>
    <w:p>
      <w:pPr>
        <w:spacing w:after="0"/>
        <w:tabs>
          <w:tab w:leader="none" w:pos="10520" w:val="left"/>
        </w:tabs>
        <w:rPr>
          <w:sz w:val="20"/>
          <w:szCs w:val="20"/>
          <w:color w:val="auto"/>
        </w:rPr>
      </w:pPr>
      <w:r>
        <w:rPr>
          <w:rFonts w:ascii="Arial" w:cs="Arial" w:eastAsia="Arial" w:hAnsi="Arial"/>
          <w:sz w:val="18"/>
          <w:szCs w:val="18"/>
          <w:b w:val="1"/>
          <w:bCs w:val="1"/>
          <w:color w:val="auto"/>
        </w:rPr>
        <w:t>Form of General Counsel Opinion</w:t>
      </w:r>
      <w:r>
        <w:rPr>
          <w:sz w:val="20"/>
          <w:szCs w:val="20"/>
          <w:color w:val="auto"/>
        </w:rPr>
        <w:tab/>
      </w:r>
      <w:r>
        <w:rPr>
          <w:rFonts w:ascii="Arial" w:cs="Arial" w:eastAsia="Arial" w:hAnsi="Arial"/>
          <w:sz w:val="17"/>
          <w:szCs w:val="17"/>
          <w:color w:val="auto"/>
        </w:rPr>
        <w:t>EXHIBIT C</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1" w:name="page122"/>
    <w:bookmarkEnd w:id="121"/>
    <w:p>
      <w:pPr>
        <w:spacing w:after="0"/>
        <w:tabs>
          <w:tab w:leader="none" w:pos="10500" w:val="left"/>
        </w:tabs>
        <w:rPr>
          <w:sz w:val="20"/>
          <w:szCs w:val="20"/>
          <w:color w:val="auto"/>
        </w:rPr>
      </w:pPr>
      <w:r>
        <w:rPr>
          <w:rFonts w:ascii="Arial" w:cs="Arial" w:eastAsia="Arial" w:hAnsi="Arial"/>
          <w:sz w:val="18"/>
          <w:szCs w:val="18"/>
          <w:b w:val="1"/>
          <w:bCs w:val="1"/>
          <w:color w:val="auto"/>
        </w:rPr>
        <w:t>Form of Opinion for Berkshire Selling Stockholders</w:t>
      </w:r>
      <w:r>
        <w:rPr>
          <w:sz w:val="20"/>
          <w:szCs w:val="20"/>
          <w:color w:val="auto"/>
        </w:rPr>
        <w:tab/>
      </w:r>
      <w:r>
        <w:rPr>
          <w:rFonts w:ascii="Arial" w:cs="Arial" w:eastAsia="Arial" w:hAnsi="Arial"/>
          <w:sz w:val="18"/>
          <w:szCs w:val="18"/>
          <w:color w:val="auto"/>
        </w:rPr>
        <w:t>EXHIBIT 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22" w:name="page123"/>
    <w:bookmarkEnd w:id="12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5.1</w:t>
      </w: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12,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2435 Commerce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Bldg.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Duluth, Georgia 30096-4980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acted as counsel to National Vision Holdings, Inc., a Delaware corporation (the “Company”), in connection with the Registration Statement on Form S-1 (as amended, the “Registration Statement”) filed by the Company with the Securities and Exchange Commission (the “Commission”) under the Securities Act of 1933, as amended (the “Securities Act”), relating to the sale by the selling stockholders referred to in the Registration Statement (the “Selling Stockholders”) of up to an aggregate of 11,500,000 shares of Common Stock, par value $0.01 per share, of the Company (“Common Stock”) (together with any additional shares of such Common Stock that may be sold by the Selling Stockholders pursuant to Rule 462(b) (as prescribed by the Commission pursuant to the Securities Act) in connection with the offering described in the Registration Statement, the “Shares”).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examined the Registration Statement and a form of the stock certificate for Common Stock, which has been filed with the Commission as an exhibit to the Registration Statement. We also have examined the originals, or duplicates or certified or conformed copies, of such records, agreements, documents and other instruments and have made such other investigations as we have deemed relevant and necessary in connection with the opinion hereinafter set forth. As to questions of fact material to this opinion, we have relied upon certificates or comparable documents of public officials and of officers and representatives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3" w:name="page124"/>
    <w:bookmarkEnd w:id="123"/>
    <w:p>
      <w:pPr>
        <w:spacing w:after="0"/>
        <w:tabs>
          <w:tab w:leader="none" w:pos="5600" w:val="left"/>
          <w:tab w:leader="none" w:pos="10260" w:val="left"/>
        </w:tabs>
        <w:rPr>
          <w:sz w:val="20"/>
          <w:szCs w:val="20"/>
          <w:color w:val="auto"/>
        </w:rPr>
      </w:pPr>
      <w:r>
        <w:rPr>
          <w:rFonts w:ascii="Arial" w:cs="Arial" w:eastAsia="Arial" w:hAnsi="Arial"/>
          <w:sz w:val="18"/>
          <w:szCs w:val="18"/>
          <w:color w:val="auto"/>
        </w:rPr>
        <w:t>National Vision Holdings, Inc.</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March 12, 2018</w:t>
      </w:r>
    </w:p>
    <w:p>
      <w:pPr>
        <w:spacing w:after="0" w:line="200" w:lineRule="exact"/>
        <w:rPr>
          <w:sz w:val="20"/>
          <w:szCs w:val="20"/>
          <w:color w:val="auto"/>
        </w:rPr>
      </w:pPr>
    </w:p>
    <w:p>
      <w:pPr>
        <w:spacing w:after="0" w:line="2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rendering the opinion set forth below, we have assumed the genuineness of all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Based upon the foregoing, and subject to the qualifications, assumptions and limitations stated herein, we are of the opinion that the Shares have been validly issued and are fully paid and nonassessable.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express any opinion herein concerning any law other than the Delaware General Corporation Law.</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Prospectus included in the Registration Statement.</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/s/ SIMPSON THACHER &amp; BARTLETT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SIMPSON THACHER &amp; BARTLETT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consent to the incorporation by reference in this Registration Statement on Form S-1 of our report dated March 8, 2018, relating to the consolidated financial statements and financial statement schedule of National Vision Holdings, Inc. and subsidiaries appearing in the Annual Report on Form 10-K of National Vision Holdings, Inc. for the year ended December 30, 2017, and to the reference to us under the heading “Experts” in the Prospectus, which is part of this Registration Statement.</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CF10FD8"/>
    <w:multiLevelType w:val="hybridMultilevel"/>
    <w:lvl w:ilvl="0">
      <w:lvlJc w:val="left"/>
      <w:lvlText w:val="(%1)"/>
      <w:numFmt w:val="decimal"/>
      <w:start w:val="1"/>
    </w:lvl>
  </w:abstractNum>
  <w:abstractNum w:abstractNumId="1">
    <w:nsid w:val="180115BE"/>
    <w:multiLevelType w:val="hybridMultilevel"/>
    <w:lvl w:ilvl="0">
      <w:lvlJc w:val="left"/>
      <w:lvlText w:val="(%1)"/>
      <w:numFmt w:val="decimal"/>
      <w:start w:val="1"/>
    </w:lvl>
  </w:abstractNum>
  <w:abstractNum w:abstractNumId="2">
    <w:nsid w:val="235BA861"/>
    <w:multiLevelType w:val="hybridMultilevel"/>
    <w:lvl w:ilvl="0">
      <w:lvlJc w:val="left"/>
      <w:lvlText w:val="•"/>
      <w:numFmt w:val="bullet"/>
      <w:start w:val="1"/>
    </w:lvl>
  </w:abstractNum>
  <w:abstractNum w:abstractNumId="3">
    <w:nsid w:val="47398C89"/>
    <w:multiLevelType w:val="hybridMultilevel"/>
    <w:lvl w:ilvl="0">
      <w:lvlJc w:val="left"/>
      <w:lvlText w:val="•"/>
      <w:numFmt w:val="bullet"/>
      <w:start w:val="1"/>
    </w:lvl>
  </w:abstractNum>
  <w:abstractNum w:abstractNumId="4">
    <w:nsid w:val="354FE9F9"/>
    <w:multiLevelType w:val="hybridMultilevel"/>
    <w:lvl w:ilvl="0">
      <w:lvlJc w:val="left"/>
      <w:lvlText w:val="(%1)"/>
      <w:numFmt w:val="decimal"/>
      <w:start w:val="1"/>
    </w:lvl>
  </w:abstractNum>
  <w:abstractNum w:abstractNumId="5">
    <w:nsid w:val="15B5AF5C"/>
    <w:multiLevelType w:val="hybridMultilevel"/>
    <w:lvl w:ilvl="0">
      <w:lvlJc w:val="left"/>
      <w:lvlText w:val="•"/>
      <w:numFmt w:val="bullet"/>
      <w:start w:val="1"/>
    </w:lvl>
  </w:abstractNum>
  <w:abstractNum w:abstractNumId="6">
    <w:nsid w:val="741226BB"/>
    <w:multiLevelType w:val="hybridMultilevel"/>
    <w:lvl w:ilvl="0">
      <w:lvlJc w:val="left"/>
      <w:lvlText w:val="1"/>
      <w:numFmt w:val="bullet"/>
      <w:start w:val="1"/>
    </w:lvl>
  </w:abstractNum>
  <w:abstractNum w:abstractNumId="7">
    <w:nsid w:val="D34B6A8"/>
    <w:multiLevelType w:val="hybridMultilevel"/>
    <w:lvl w:ilvl="0">
      <w:lvlJc w:val="left"/>
      <w:lvlText w:val="2"/>
      <w:numFmt w:val="bullet"/>
      <w:start w:val="1"/>
    </w:lvl>
  </w:abstractNum>
  <w:abstractNum w:abstractNumId="8">
    <w:nsid w:val="10233C99"/>
    <w:multiLevelType w:val="hybridMultilevel"/>
    <w:lvl w:ilvl="0">
      <w:lvlJc w:val="left"/>
      <w:lvlText w:val="•"/>
      <w:numFmt w:val="bullet"/>
      <w:start w:val="1"/>
    </w:lvl>
  </w:abstractNum>
  <w:abstractNum w:abstractNumId="9">
    <w:nsid w:val="3F6AB60F"/>
    <w:multiLevelType w:val="hybridMultilevel"/>
    <w:lvl w:ilvl="0">
      <w:lvlJc w:val="left"/>
      <w:lvlText w:val="•"/>
      <w:numFmt w:val="bullet"/>
      <w:start w:val="1"/>
    </w:lvl>
  </w:abstractNum>
  <w:abstractNum w:abstractNumId="10">
    <w:nsid w:val="61574095"/>
    <w:multiLevelType w:val="hybridMultilevel"/>
    <w:lvl w:ilvl="0">
      <w:lvlJc w:val="left"/>
      <w:lvlText w:val="•"/>
      <w:numFmt w:val="bullet"/>
      <w:start w:val="1"/>
    </w:lvl>
  </w:abstractNum>
  <w:abstractNum w:abstractNumId="11">
    <w:nsid w:val="7E0C57B1"/>
    <w:multiLevelType w:val="hybridMultilevel"/>
    <w:lvl w:ilvl="0">
      <w:lvlJc w:val="left"/>
      <w:lvlText w:val="•"/>
      <w:numFmt w:val="bullet"/>
      <w:start w:val="1"/>
    </w:lvl>
  </w:abstractNum>
  <w:abstractNum w:abstractNumId="12">
    <w:nsid w:val="77AE35EB"/>
    <w:multiLevelType w:val="hybridMultilevel"/>
    <w:lvl w:ilvl="0">
      <w:lvlJc w:val="left"/>
      <w:lvlText w:val="•"/>
      <w:numFmt w:val="bullet"/>
      <w:start w:val="1"/>
    </w:lvl>
  </w:abstractNum>
  <w:abstractNum w:abstractNumId="13">
    <w:nsid w:val="579BE4F1"/>
    <w:multiLevelType w:val="hybridMultilevel"/>
    <w:lvl w:ilvl="0">
      <w:lvlJc w:val="left"/>
      <w:lvlText w:val="•"/>
      <w:numFmt w:val="bullet"/>
      <w:start w:val="1"/>
    </w:lvl>
  </w:abstractNum>
  <w:abstractNum w:abstractNumId="14">
    <w:nsid w:val="310C50B3"/>
    <w:multiLevelType w:val="hybridMultilevel"/>
    <w:lvl w:ilvl="0">
      <w:lvlJc w:val="left"/>
      <w:lvlText w:val="•"/>
      <w:numFmt w:val="bullet"/>
      <w:start w:val="1"/>
    </w:lvl>
  </w:abstractNum>
  <w:abstractNum w:abstractNumId="15">
    <w:nsid w:val="5FF87E05"/>
    <w:multiLevelType w:val="hybridMultilevel"/>
    <w:lvl w:ilvl="0">
      <w:lvlJc w:val="left"/>
      <w:lvlText w:val="•"/>
      <w:numFmt w:val="bullet"/>
      <w:start w:val="1"/>
    </w:lvl>
  </w:abstractNum>
  <w:abstractNum w:abstractNumId="16">
    <w:nsid w:val="2F305DEF"/>
    <w:multiLevelType w:val="hybridMultilevel"/>
    <w:lvl w:ilvl="0">
      <w:lvlJc w:val="left"/>
      <w:lvlText w:val="•"/>
      <w:numFmt w:val="bullet"/>
      <w:start w:val="1"/>
    </w:lvl>
  </w:abstractNum>
  <w:abstractNum w:abstractNumId="17">
    <w:nsid w:val="25A70BF7"/>
    <w:multiLevelType w:val="hybridMultilevel"/>
    <w:lvl w:ilvl="0">
      <w:lvlJc w:val="left"/>
      <w:lvlText w:val="•"/>
      <w:numFmt w:val="bullet"/>
      <w:start w:val="1"/>
    </w:lvl>
  </w:abstractNum>
  <w:abstractNum w:abstractNumId="18">
    <w:nsid w:val="1DBABF00"/>
    <w:multiLevelType w:val="hybridMultilevel"/>
    <w:lvl w:ilvl="0">
      <w:lvlJc w:val="left"/>
      <w:lvlText w:val="(%1)"/>
      <w:numFmt w:val="decimal"/>
      <w:start w:val="1"/>
    </w:lvl>
  </w:abstractNum>
  <w:abstractNum w:abstractNumId="19">
    <w:nsid w:val="4AD084E9"/>
    <w:multiLevelType w:val="hybridMultilevel"/>
    <w:lvl w:ilvl="0">
      <w:lvlJc w:val="left"/>
      <w:lvlText w:val="•"/>
      <w:numFmt w:val="bullet"/>
      <w:start w:val="1"/>
    </w:lvl>
  </w:abstractNum>
  <w:abstractNum w:abstractNumId="20">
    <w:nsid w:val="1F48EAA1"/>
    <w:multiLevelType w:val="hybridMultilevel"/>
    <w:lvl w:ilvl="0">
      <w:lvlJc w:val="left"/>
      <w:lvlText w:val="(%1)"/>
      <w:numFmt w:val="lowerLetter"/>
      <w:start w:val="1"/>
    </w:lvl>
  </w:abstractNum>
  <w:abstractNum w:abstractNumId="21">
    <w:nsid w:val="1381823A"/>
    <w:multiLevelType w:val="hybridMultilevel"/>
    <w:lvl w:ilvl="0">
      <w:lvlJc w:val="left"/>
      <w:lvlText w:val="(%1)"/>
      <w:numFmt w:val="lowerLetter"/>
      <w:start w:val="7"/>
    </w:lvl>
  </w:abstractNum>
  <w:abstractNum w:abstractNumId="22">
    <w:nsid w:val="5DB70AE5"/>
    <w:multiLevelType w:val="hybridMultilevel"/>
    <w:lvl w:ilvl="0">
      <w:lvlJc w:val="left"/>
      <w:lvlText w:val="•"/>
      <w:numFmt w:val="bullet"/>
      <w:start w:val="1"/>
    </w:lvl>
  </w:abstractNum>
  <w:abstractNum w:abstractNumId="23">
    <w:nsid w:val="100F8FCA"/>
    <w:multiLevelType w:val="hybridMultilevel"/>
    <w:lvl w:ilvl="0">
      <w:lvlJc w:val="left"/>
      <w:lvlText w:val="•"/>
      <w:numFmt w:val="bullet"/>
      <w:start w:val="1"/>
    </w:lvl>
  </w:abstractNum>
  <w:abstractNum w:abstractNumId="24">
    <w:nsid w:val="6590700B"/>
    <w:multiLevelType w:val="hybridMultilevel"/>
    <w:lvl w:ilvl="0">
      <w:lvlJc w:val="left"/>
      <w:lvlText w:val="•"/>
      <w:numFmt w:val="bullet"/>
      <w:start w:val="1"/>
    </w:lvl>
  </w:abstractNum>
  <w:abstractNum w:abstractNumId="25">
    <w:nsid w:val="15014ACB"/>
    <w:multiLevelType w:val="hybridMultilevel"/>
    <w:lvl w:ilvl="0">
      <w:lvlJc w:val="left"/>
      <w:lvlText w:val="•"/>
      <w:numFmt w:val="bullet"/>
      <w:start w:val="1"/>
    </w:lvl>
  </w:abstractNum>
  <w:abstractNum w:abstractNumId="26">
    <w:nsid w:val="5F5E7FD0"/>
    <w:multiLevelType w:val="hybridMultilevel"/>
    <w:lvl w:ilvl="0">
      <w:lvlJc w:val="left"/>
      <w:lvlText w:val="•"/>
      <w:numFmt w:val="bullet"/>
      <w:start w:val="1"/>
    </w:lvl>
  </w:abstractNum>
  <w:abstractNum w:abstractNumId="27">
    <w:nsid w:val="98A3148"/>
    <w:multiLevelType w:val="hybridMultilevel"/>
    <w:lvl w:ilvl="0">
      <w:lvlJc w:val="left"/>
      <w:lvlText w:val="•"/>
      <w:numFmt w:val="bullet"/>
      <w:start w:val="1"/>
    </w:lvl>
  </w:abstractNum>
  <w:abstractNum w:abstractNumId="28">
    <w:nsid w:val="799D0247"/>
    <w:multiLevelType w:val="hybridMultilevel"/>
    <w:lvl w:ilvl="0">
      <w:lvlJc w:val="left"/>
      <w:lvlText w:val="•"/>
      <w:numFmt w:val="bullet"/>
      <w:start w:val="1"/>
    </w:lvl>
  </w:abstractNum>
  <w:abstractNum w:abstractNumId="29">
    <w:nsid w:val="6B94764"/>
    <w:multiLevelType w:val="hybridMultilevel"/>
    <w:lvl w:ilvl="0">
      <w:lvlJc w:val="left"/>
      <w:lvlText w:val="(%1)"/>
      <w:numFmt w:val="decimal"/>
      <w:start w:val="1"/>
    </w:lvl>
  </w:abstractNum>
  <w:abstractNum w:abstractNumId="30">
    <w:nsid w:val="42C296BD"/>
    <w:multiLevelType w:val="hybridMultilevel"/>
    <w:lvl w:ilvl="0">
      <w:lvlJc w:val="left"/>
      <w:lvlText w:val="*"/>
      <w:numFmt w:val="bullet"/>
      <w:start w:val="1"/>
    </w:lvl>
  </w:abstractNum>
  <w:abstractNum w:abstractNumId="31">
    <w:nsid w:val="168E121F"/>
    <w:multiLevelType w:val="hybridMultilevel"/>
    <w:lvl w:ilvl="0">
      <w:lvlJc w:val="left"/>
      <w:lvlText w:val="(%1)"/>
      <w:numFmt w:val="decimal"/>
      <w:start w:val="1"/>
    </w:lvl>
  </w:abstractNum>
  <w:abstractNum w:abstractNumId="32">
    <w:nsid w:val="1EBA5D23"/>
    <w:multiLevelType w:val="hybridMultilevel"/>
    <w:lvl w:ilvl="0">
      <w:lvlJc w:val="left"/>
      <w:lvlText w:val="(%1)"/>
      <w:numFmt w:val="decimal"/>
      <w:start w:val="2"/>
    </w:lvl>
  </w:abstractNum>
  <w:abstractNum w:abstractNumId="33">
    <w:nsid w:val="661E3F1E"/>
    <w:multiLevelType w:val="hybridMultilevel"/>
    <w:lvl w:ilvl="0">
      <w:lvlJc w:val="left"/>
      <w:lvlText w:val="•"/>
      <w:numFmt w:val="bullet"/>
      <w:start w:val="1"/>
    </w:lvl>
  </w:abstractNum>
  <w:abstractNum w:abstractNumId="34">
    <w:nsid w:val="5DC79EA8"/>
    <w:multiLevelType w:val="hybridMultilevel"/>
    <w:lvl w:ilvl="0">
      <w:lvlJc w:val="left"/>
      <w:lvlText w:val="•"/>
      <w:numFmt w:val="bullet"/>
      <w:start w:val="1"/>
    </w:lvl>
  </w:abstractNum>
  <w:abstractNum w:abstractNumId="35">
    <w:nsid w:val="540A471C"/>
    <w:multiLevelType w:val="hybridMultilevel"/>
    <w:lvl w:ilvl="0">
      <w:lvlJc w:val="left"/>
      <w:lvlText w:val="•"/>
      <w:numFmt w:val="bullet"/>
      <w:start w:val="1"/>
    </w:lvl>
  </w:abstractNum>
  <w:abstractNum w:abstractNumId="36">
    <w:nsid w:val="7BD3EE7B"/>
    <w:multiLevelType w:val="hybridMultilevel"/>
    <w:lvl w:ilvl="0">
      <w:lvlJc w:val="left"/>
      <w:lvlText w:val="•"/>
      <w:numFmt w:val="bullet"/>
      <w:start w:val="1"/>
    </w:lvl>
  </w:abstractNum>
  <w:abstractNum w:abstractNumId="37">
    <w:nsid w:val="51D9C564"/>
    <w:multiLevelType w:val="hybridMultilevel"/>
    <w:lvl w:ilvl="0">
      <w:lvlJc w:val="left"/>
      <w:lvlText w:val="•"/>
      <w:numFmt w:val="bullet"/>
      <w:start w:val="1"/>
    </w:lvl>
  </w:abstractNum>
  <w:abstractNum w:abstractNumId="38">
    <w:nsid w:val="613EFDC5"/>
    <w:multiLevelType w:val="hybridMultilevel"/>
    <w:lvl w:ilvl="0">
      <w:lvlJc w:val="left"/>
      <w:lvlText w:val="•"/>
      <w:numFmt w:val="bullet"/>
      <w:start w:val="1"/>
    </w:lvl>
  </w:abstractNum>
  <w:abstractNum w:abstractNumId="39">
    <w:nsid w:val="BF72B14"/>
    <w:multiLevelType w:val="hybridMultilevel"/>
    <w:lvl w:ilvl="0">
      <w:lvlJc w:val="left"/>
      <w:lvlText w:val="•"/>
      <w:numFmt w:val="bullet"/>
      <w:start w:val="1"/>
    </w:lvl>
  </w:abstractNum>
  <w:abstractNum w:abstractNumId="40">
    <w:nsid w:val="11447B73"/>
    <w:multiLevelType w:val="hybridMultilevel"/>
    <w:lvl w:ilvl="0">
      <w:lvlJc w:val="left"/>
      <w:lvlText w:val="•"/>
      <w:numFmt w:val="bullet"/>
      <w:start w:val="1"/>
    </w:lvl>
  </w:abstractNum>
  <w:abstractNum w:abstractNumId="41">
    <w:nsid w:val="42963E5A"/>
    <w:multiLevelType w:val="hybridMultilevel"/>
    <w:lvl w:ilvl="0">
      <w:lvlJc w:val="left"/>
      <w:lvlText w:val="(%1)"/>
      <w:numFmt w:val="lowerLetter"/>
      <w:start w:val="1"/>
    </w:lvl>
  </w:abstractNum>
  <w:abstractNum w:abstractNumId="42">
    <w:nsid w:val="A0382C5"/>
    <w:multiLevelType w:val="hybridMultilevel"/>
    <w:lvl w:ilvl="0">
      <w:lvlJc w:val="left"/>
      <w:lvlText w:val="(%1)"/>
      <w:numFmt w:val="lowerLetter"/>
      <w:start w:val="1"/>
    </w:lvl>
  </w:abstractNum>
  <w:abstractNum w:abstractNumId="43">
    <w:nsid w:val="8F2B15E"/>
    <w:multiLevelType w:val="hybridMultilevel"/>
    <w:lvl w:ilvl="0">
      <w:lvlJc w:val="left"/>
      <w:lvlText w:val="(%1)"/>
      <w:numFmt w:val="lowerLetter"/>
      <w:start w:val="1"/>
    </w:lvl>
  </w:abstractNum>
  <w:abstractNum w:abstractNumId="44">
    <w:nsid w:val="1A32234B"/>
    <w:multiLevelType w:val="hybridMultilevel"/>
    <w:lvl w:ilvl="0">
      <w:lvlJc w:val="left"/>
      <w:lvlText w:val="(%1)"/>
      <w:numFmt w:val="lowerLetter"/>
      <w:start w:val="1"/>
    </w:lvl>
  </w:abstractNum>
  <w:abstractNum w:abstractNumId="45">
    <w:nsid w:val="3B0FD379"/>
    <w:multiLevelType w:val="hybridMultilevel"/>
    <w:lvl w:ilvl="0">
      <w:lvlJc w:val="left"/>
      <w:lvlText w:val="(%1)"/>
      <w:numFmt w:val="lowerLetter"/>
      <w:start w:val="4"/>
    </w:lvl>
  </w:abstractNum>
  <w:abstractNum w:abstractNumId="46">
    <w:nsid w:val="68EB2F63"/>
    <w:multiLevelType w:val="hybridMultilevel"/>
    <w:lvl w:ilvl="0">
      <w:lvlJc w:val="left"/>
      <w:lvlText w:val="•"/>
      <w:numFmt w:val="bullet"/>
      <w:start w:val="1"/>
    </w:lvl>
  </w:abstractNum>
  <w:abstractNum w:abstractNumId="47">
    <w:nsid w:val="4962813B"/>
    <w:multiLevelType w:val="hybridMultilevel"/>
    <w:lvl w:ilvl="0">
      <w:lvlJc w:val="left"/>
      <w:lvlText w:val="(%1)"/>
      <w:numFmt w:val="lowerLetter"/>
      <w:start w:val="1"/>
    </w:lvl>
  </w:abstractNum>
  <w:abstractNum w:abstractNumId="48">
    <w:nsid w:val="60B6DF70"/>
    <w:multiLevelType w:val="hybridMultilevel"/>
    <w:lvl w:ilvl="0">
      <w:lvlJc w:val="left"/>
      <w:lvlText w:val="(%1)"/>
      <w:numFmt w:val="lowerLetter"/>
      <w:start w:val="2"/>
    </w:lvl>
  </w:abstractNum>
  <w:abstractNum w:abstractNumId="49">
    <w:nsid w:val="6A5EE64"/>
    <w:multiLevelType w:val="hybridMultilevel"/>
    <w:lvl w:ilvl="0">
      <w:lvlJc w:val="left"/>
      <w:lvlText w:val="(%1)"/>
      <w:numFmt w:val="lowerLetter"/>
      <w:start w:val="1"/>
    </w:lvl>
  </w:abstractNum>
  <w:abstractNum w:abstractNumId="50">
    <w:nsid w:val="14330624"/>
    <w:multiLevelType w:val="hybridMultilevel"/>
    <w:lvl w:ilvl="0">
      <w:lvlJc w:val="left"/>
      <w:lvlText w:val="(%1)"/>
      <w:numFmt w:val="decimal"/>
      <w:start w:val="1"/>
    </w:lvl>
    <w:lvl w:ilvl="1">
      <w:lvlJc w:val="left"/>
      <w:lvlText w:val="(%2)"/>
      <w:numFmt w:val="upperLetter"/>
      <w:start w:val="1"/>
    </w:lvl>
  </w:abstractNum>
  <w:abstractNum w:abstractNumId="51">
    <w:nsid w:val="7FFFCA11"/>
    <w:multiLevelType w:val="hybridMultilevel"/>
    <w:lvl w:ilvl="0">
      <w:lvlJc w:val="left"/>
      <w:lvlText w:val="*"/>
      <w:numFmt w:val="bullet"/>
      <w:start w:val="1"/>
    </w:lvl>
  </w:abstractNum>
  <w:abstractNum w:abstractNumId="52">
    <w:nsid w:val="1A27709E"/>
    <w:multiLevelType w:val="hybridMultilevel"/>
    <w:lvl w:ilvl="0">
      <w:lvlJc w:val="left"/>
      <w:lvlText w:val="†"/>
      <w:numFmt w:val="bullet"/>
      <w:start w:val="1"/>
    </w:lvl>
  </w:abstractNum>
  <w:abstractNum w:abstractNumId="53">
    <w:nsid w:val="71EA1109"/>
    <w:multiLevelType w:val="hybridMultilevel"/>
    <w:lvl w:ilvl="0">
      <w:lvlJc w:val="left"/>
      <w:lvlText w:val="‡"/>
      <w:numFmt w:val="bullet"/>
      <w:start w:val="1"/>
    </w:lvl>
  </w:abstractNum>
  <w:abstractNum w:abstractNumId="54">
    <w:nsid w:val="100F59DC"/>
    <w:multiLevelType w:val="hybridMultilevel"/>
    <w:lvl w:ilvl="0">
      <w:lvlJc w:val="left"/>
      <w:lvlText w:val="["/>
      <w:numFmt w:val="bullet"/>
      <w:start w:val="1"/>
    </w:lvl>
  </w:abstractNum>
  <w:abstractNum w:abstractNumId="55">
    <w:nsid w:val="7FB7E0AA"/>
    <w:multiLevelType w:val="hybridMultilevel"/>
    <w:lvl w:ilvl="0">
      <w:lvlJc w:val="left"/>
      <w:lvlText w:val="%1."/>
      <w:numFmt w:val="decimal"/>
      <w:start w:val="1"/>
    </w:lvl>
  </w:abstractNum>
  <w:abstractNum w:abstractNumId="56">
    <w:nsid w:val="6EB5BD4"/>
    <w:multiLevelType w:val="hybridMultilevel"/>
    <w:lvl w:ilvl="0">
      <w:lvlJc w:val="left"/>
      <w:lvlText w:val="(%1)"/>
      <w:numFmt w:val="lowerLetter"/>
      <w:start w:val="1"/>
    </w:lvl>
  </w:abstractNum>
  <w:abstractNum w:abstractNumId="57">
    <w:nsid w:val="6F6DD9AC"/>
    <w:multiLevelType w:val="hybridMultilevel"/>
    <w:lvl w:ilvl="0">
      <w:lvlJc w:val="left"/>
      <w:lvlText w:val="(%1)"/>
      <w:numFmt w:val="lowerLetter"/>
      <w:start w:val="2"/>
    </w:lvl>
  </w:abstractNum>
  <w:abstractNum w:abstractNumId="58">
    <w:nsid w:val="94211F2"/>
    <w:multiLevelType w:val="hybridMultilevel"/>
    <w:lvl w:ilvl="0">
      <w:lvlJc w:val="left"/>
      <w:lvlText w:val="(%1)"/>
      <w:numFmt w:val="lowerLetter"/>
      <w:start w:val="4"/>
    </w:lvl>
  </w:abstractNum>
  <w:abstractNum w:abstractNumId="59">
    <w:nsid w:val="885E1B"/>
    <w:multiLevelType w:val="hybridMultilevel"/>
    <w:lvl w:ilvl="0">
      <w:lvlJc w:val="left"/>
      <w:lvlText w:val="%1"/>
      <w:numFmt w:val="lowerLetter"/>
      <w:start w:val="1"/>
    </w:lvl>
    <w:lvl w:ilvl="1">
      <w:lvlJc w:val="left"/>
      <w:lvlText w:val="(%2)"/>
      <w:numFmt w:val="lowerLetter"/>
      <w:start w:val="12"/>
    </w:lvl>
  </w:abstractNum>
  <w:abstractNum w:abstractNumId="60">
    <w:nsid w:val="76272110"/>
    <w:multiLevelType w:val="hybridMultilevel"/>
    <w:lvl w:ilvl="0">
      <w:lvlJc w:val="left"/>
      <w:lvlText w:val="(%1)"/>
      <w:numFmt w:val="lowerLetter"/>
      <w:start w:val="9"/>
    </w:lvl>
    <w:lvl w:ilvl="1">
      <w:lvlJc w:val="left"/>
      <w:lvlText w:val="(%2)"/>
      <w:numFmt w:val="lowerLetter"/>
      <w:start w:val="15"/>
    </w:lvl>
  </w:abstractNum>
  <w:abstractNum w:abstractNumId="61">
    <w:nsid w:val="4C04A8AF"/>
    <w:multiLevelType w:val="hybridMultilevel"/>
    <w:lvl w:ilvl="0">
      <w:lvlJc w:val="left"/>
      <w:lvlText w:val="(%1)"/>
      <w:numFmt w:val="lowerLetter"/>
      <w:start w:val="16"/>
    </w:lvl>
  </w:abstractNum>
  <w:abstractNum w:abstractNumId="62">
    <w:nsid w:val="1716703B"/>
    <w:multiLevelType w:val="hybridMultilevel"/>
    <w:lvl w:ilvl="0">
      <w:lvlJc w:val="left"/>
      <w:lvlText w:val="(%1)"/>
      <w:numFmt w:val="lowerLetter"/>
      <w:start w:val="20"/>
    </w:lvl>
  </w:abstractNum>
  <w:abstractNum w:abstractNumId="63">
    <w:nsid w:val="14E17E33"/>
    <w:multiLevelType w:val="hybridMultilevel"/>
    <w:lvl w:ilvl="0">
      <w:lvlJc w:val="left"/>
      <w:lvlText w:val="(%1)"/>
      <w:numFmt w:val="lowerLetter"/>
      <w:start w:val="25"/>
    </w:lvl>
  </w:abstractNum>
  <w:abstractNum w:abstractNumId="64">
    <w:nsid w:val="3222E7CD"/>
    <w:multiLevelType w:val="hybridMultilevel"/>
    <w:lvl w:ilvl="0">
      <w:lvlJc w:val="left"/>
      <w:lvlText w:val="%1"/>
      <w:numFmt w:val="lowerLetter"/>
      <w:start w:val="1"/>
    </w:lvl>
    <w:lvl w:ilvl="1">
      <w:lvlJc w:val="left"/>
      <w:lvlText w:val="(%2)"/>
      <w:numFmt w:val="lowerLetter"/>
      <w:start w:val="27"/>
    </w:lvl>
  </w:abstractNum>
  <w:abstractNum w:abstractNumId="65">
    <w:nsid w:val="74DE0EE3"/>
    <w:multiLevelType w:val="hybridMultilevel"/>
    <w:lvl w:ilvl="0">
      <w:lvlJc w:val="left"/>
      <w:lvlText w:val="(%1)"/>
      <w:numFmt w:val="lowerLetter"/>
      <w:start w:val="9"/>
    </w:lvl>
    <w:lvl w:ilvl="1">
      <w:lvlJc w:val="left"/>
      <w:lvlText w:val="%2"/>
      <w:numFmt w:val="lowerLetter"/>
      <w:start w:val="1"/>
    </w:lvl>
  </w:abstractNum>
  <w:abstractNum w:abstractNumId="66">
    <w:nsid w:val="68EBC550"/>
    <w:multiLevelType w:val="hybridMultilevel"/>
    <w:lvl w:ilvl="0">
      <w:lvlJc w:val="left"/>
      <w:lvlText w:val="(%1)"/>
      <w:numFmt w:val="lowerLetter"/>
      <w:start w:val="30"/>
    </w:lvl>
  </w:abstractNum>
  <w:abstractNum w:abstractNumId="67">
    <w:nsid w:val="2DF6D648"/>
    <w:multiLevelType w:val="hybridMultilevel"/>
    <w:lvl w:ilvl="0">
      <w:lvlJc w:val="left"/>
      <w:lvlText w:val="(%1)"/>
      <w:numFmt w:val="lowerLetter"/>
      <w:start w:val="34"/>
    </w:lvl>
  </w:abstractNum>
  <w:abstractNum w:abstractNumId="68">
    <w:nsid w:val="46B7D447"/>
    <w:multiLevelType w:val="hybridMultilevel"/>
    <w:lvl w:ilvl="0">
      <w:lvlJc w:val="left"/>
      <w:lvlText w:val="%1"/>
      <w:numFmt w:val="lowerLetter"/>
      <w:start w:val="1"/>
    </w:lvl>
    <w:lvl w:ilvl="1">
      <w:lvlJc w:val="left"/>
      <w:lvlText w:val="(%2)"/>
      <w:numFmt w:val="lowerLetter"/>
      <w:start w:val="40"/>
    </w:lvl>
  </w:abstractNum>
  <w:abstractNum w:abstractNumId="69">
    <w:nsid w:val="4A2AC315"/>
    <w:multiLevelType w:val="hybridMultilevel"/>
    <w:lvl w:ilvl="0">
      <w:lvlJc w:val="left"/>
      <w:lvlText w:val="(%1)"/>
      <w:numFmt w:val="lowerLetter"/>
      <w:start w:val="9"/>
    </w:lvl>
    <w:lvl w:ilvl="1">
      <w:lvlJc w:val="left"/>
      <w:lvlText w:val="%2"/>
      <w:numFmt w:val="lowerLetter"/>
      <w:start w:val="1"/>
    </w:lvl>
  </w:abstractNum>
  <w:abstractNum w:abstractNumId="70">
    <w:nsid w:val="39EE015C"/>
    <w:multiLevelType w:val="hybridMultilevel"/>
    <w:lvl w:ilvl="0">
      <w:lvlJc w:val="left"/>
      <w:lvlText w:val="(%1)"/>
      <w:numFmt w:val="lowerLetter"/>
      <w:start w:val="41"/>
    </w:lvl>
  </w:abstractNum>
  <w:abstractNum w:abstractNumId="71">
    <w:nsid w:val="57FC4FBB"/>
    <w:multiLevelType w:val="hybridMultilevel"/>
    <w:lvl w:ilvl="0">
      <w:lvlJc w:val="left"/>
      <w:lvlText w:val="%1."/>
      <w:numFmt w:val="decimal"/>
      <w:start w:val="2"/>
    </w:lvl>
  </w:abstractNum>
  <w:abstractNum w:abstractNumId="72">
    <w:nsid w:val="CC1016F"/>
    <w:multiLevelType w:val="hybridMultilevel"/>
    <w:lvl w:ilvl="0">
      <w:lvlJc w:val="left"/>
      <w:lvlText w:val="(%1)"/>
      <w:numFmt w:val="lowerLetter"/>
      <w:start w:val="1"/>
    </w:lvl>
  </w:abstractNum>
  <w:abstractNum w:abstractNumId="73">
    <w:nsid w:val="43F18422"/>
    <w:multiLevelType w:val="hybridMultilevel"/>
    <w:lvl w:ilvl="0">
      <w:lvlJc w:val="left"/>
      <w:lvlText w:val="(%1)"/>
      <w:numFmt w:val="lowerLetter"/>
      <w:start w:val="4"/>
    </w:lvl>
  </w:abstractNum>
  <w:abstractNum w:abstractNumId="74">
    <w:nsid w:val="60EF0119"/>
    <w:multiLevelType w:val="hybridMultilevel"/>
    <w:lvl w:ilvl="0">
      <w:lvlJc w:val="left"/>
      <w:lvlText w:val="(%1)"/>
      <w:numFmt w:val="lowerLetter"/>
      <w:start w:val="8"/>
    </w:lvl>
  </w:abstractNum>
  <w:abstractNum w:abstractNumId="75">
    <w:nsid w:val="26F324BA"/>
    <w:multiLevelType w:val="hybridMultilevel"/>
    <w:lvl w:ilvl="0">
      <w:lvlJc w:val="left"/>
      <w:lvlText w:val="%1."/>
      <w:numFmt w:val="decimal"/>
      <w:start w:val="3"/>
    </w:lvl>
  </w:abstractNum>
  <w:abstractNum w:abstractNumId="76">
    <w:nsid w:val="7F01579B"/>
    <w:multiLevelType w:val="hybridMultilevel"/>
    <w:lvl w:ilvl="0">
      <w:lvlJc w:val="left"/>
      <w:lvlText w:val="(%1)"/>
      <w:numFmt w:val="lowerLetter"/>
      <w:start w:val="2"/>
    </w:lvl>
  </w:abstractNum>
  <w:abstractNum w:abstractNumId="77">
    <w:nsid w:val="49DA307D"/>
    <w:multiLevelType w:val="hybridMultilevel"/>
    <w:lvl w:ilvl="0">
      <w:lvlJc w:val="left"/>
      <w:lvlText w:val="%1."/>
      <w:numFmt w:val="decimal"/>
      <w:start w:val="4"/>
    </w:lvl>
  </w:abstractNum>
  <w:abstractNum w:abstractNumId="78">
    <w:nsid w:val="7055A5F5"/>
    <w:multiLevelType w:val="hybridMultilevel"/>
    <w:lvl w:ilvl="0">
      <w:lvlJc w:val="left"/>
      <w:lvlText w:val="%1."/>
      <w:numFmt w:val="decimal"/>
      <w:start w:val="5"/>
    </w:lvl>
  </w:abstractNum>
  <w:abstractNum w:abstractNumId="79">
    <w:nsid w:val="5FB8370B"/>
    <w:multiLevelType w:val="hybridMultilevel"/>
    <w:lvl w:ilvl="0">
      <w:lvlJc w:val="left"/>
      <w:lvlText w:val="%1."/>
      <w:numFmt w:val="decimal"/>
      <w:start w:val="6"/>
    </w:lvl>
  </w:abstractNum>
  <w:abstractNum w:abstractNumId="80">
    <w:nsid w:val="50801EE1"/>
    <w:multiLevelType w:val="hybridMultilevel"/>
    <w:lvl w:ilvl="0">
      <w:lvlJc w:val="left"/>
      <w:lvlText w:val="%1"/>
      <w:numFmt w:val="decimal"/>
      <w:start w:val="1"/>
    </w:lvl>
    <w:lvl w:ilvl="1">
      <w:lvlJc w:val="left"/>
      <w:lvlText w:val="(%2)"/>
      <w:numFmt w:val="lowerLetter"/>
      <w:start w:val="1"/>
    </w:lvl>
  </w:abstractNum>
  <w:abstractNum w:abstractNumId="81">
    <w:nsid w:val="488AC1A"/>
    <w:multiLevelType w:val="hybridMultilevel"/>
    <w:lvl w:ilvl="0">
      <w:lvlJc w:val="left"/>
      <w:lvlText w:val="%1)"/>
      <w:numFmt w:val="decimal"/>
      <w:start w:val="172"/>
    </w:lvl>
    <w:lvl w:ilvl="1">
      <w:lvlJc w:val="left"/>
      <w:lvlText w:val="%2"/>
      <w:numFmt w:val="lowerLetter"/>
      <w:start w:val="1"/>
    </w:lvl>
  </w:abstractNum>
  <w:abstractNum w:abstractNumId="82">
    <w:nsid w:val="5FB8011C"/>
    <w:multiLevelType w:val="hybridMultilevel"/>
    <w:lvl w:ilvl="0">
      <w:lvlJc w:val="left"/>
      <w:lvlText w:val="%1"/>
      <w:numFmt w:val="decimal"/>
      <w:start w:val="1"/>
    </w:lvl>
    <w:lvl w:ilvl="1">
      <w:lvlJc w:val="left"/>
      <w:lvlText w:val="(%2)"/>
      <w:numFmt w:val="lowerLetter"/>
      <w:start w:val="4"/>
    </w:lvl>
  </w:abstractNum>
  <w:abstractNum w:abstractNumId="83">
    <w:nsid w:val="6AA78F7F"/>
    <w:multiLevelType w:val="hybridMultilevel"/>
    <w:lvl w:ilvl="0">
      <w:lvlJc w:val="left"/>
      <w:lvlText w:val="%1)"/>
      <w:numFmt w:val="decimal"/>
      <w:start w:val="172"/>
    </w:lvl>
    <w:lvl w:ilvl="1">
      <w:lvlJc w:val="left"/>
      <w:lvlText w:val="(%2)"/>
      <w:numFmt w:val="lowerLetter"/>
      <w:start w:val="7"/>
    </w:lvl>
  </w:abstractNum>
  <w:abstractNum w:abstractNumId="84">
    <w:nsid w:val="7672BD23"/>
    <w:multiLevelType w:val="hybridMultilevel"/>
    <w:lvl w:ilvl="0">
      <w:lvlJc w:val="left"/>
      <w:lvlText w:val="(%1)"/>
      <w:numFmt w:val="lowerLetter"/>
      <w:start w:val="9"/>
    </w:lvl>
  </w:abstractNum>
  <w:abstractNum w:abstractNumId="85">
    <w:nsid w:val="6FC75AF8"/>
    <w:multiLevelType w:val="hybridMultilevel"/>
    <w:lvl w:ilvl="0">
      <w:lvlJc w:val="left"/>
      <w:lvlText w:val="(%1)"/>
      <w:numFmt w:val="lowerLetter"/>
      <w:start w:val="12"/>
    </w:lvl>
  </w:abstractNum>
  <w:abstractNum w:abstractNumId="86">
    <w:nsid w:val="6A5F7029"/>
    <w:multiLevelType w:val="hybridMultilevel"/>
    <w:lvl w:ilvl="0">
      <w:lvlJc w:val="left"/>
      <w:lvlText w:val="%1."/>
      <w:numFmt w:val="decimal"/>
      <w:start w:val="7"/>
    </w:lvl>
    <w:lvl w:ilvl="1">
      <w:lvlJc w:val="left"/>
      <w:lvlText w:val="(%2)"/>
      <w:numFmt w:val="lowerLetter"/>
      <w:start w:val="1"/>
    </w:lvl>
  </w:abstractNum>
  <w:abstractNum w:abstractNumId="87">
    <w:nsid w:val="7D5E18F8"/>
    <w:multiLevelType w:val="hybridMultilevel"/>
    <w:lvl w:ilvl="0">
      <w:lvlJc w:val="left"/>
      <w:lvlText w:val="%1."/>
      <w:numFmt w:val="decimal"/>
      <w:start w:val="8"/>
    </w:lvl>
  </w:abstractNum>
  <w:abstractNum w:abstractNumId="88">
    <w:nsid w:val="5F3534A4"/>
    <w:multiLevelType w:val="hybridMultilevel"/>
    <w:lvl w:ilvl="0">
      <w:lvlJc w:val="left"/>
      <w:lvlText w:val="(%1)"/>
      <w:numFmt w:val="lowerLetter"/>
      <w:start w:val="1"/>
    </w:lvl>
  </w:abstractNum>
  <w:abstractNum w:abstractNumId="89">
    <w:nsid w:val="73A1821B"/>
    <w:multiLevelType w:val="hybridMultilevel"/>
    <w:lvl w:ilvl="0">
      <w:lvlJc w:val="left"/>
      <w:lvlText w:val="(%1)"/>
      <w:numFmt w:val="lowerLetter"/>
      <w:start w:val="2"/>
    </w:lvl>
    <w:lvl w:ilvl="1">
      <w:lvlJc w:val="left"/>
      <w:lvlText w:val="(%2)"/>
      <w:numFmt w:val="lowerLetter"/>
      <w:start w:val="35"/>
    </w:lvl>
  </w:abstractNum>
  <w:abstractNum w:abstractNumId="90">
    <w:nsid w:val="7DE67713"/>
    <w:multiLevelType w:val="hybridMultilevel"/>
    <w:lvl w:ilvl="0">
      <w:lvlJc w:val="left"/>
      <w:lvlText w:val="%1"/>
      <w:numFmt w:val="lowerLetter"/>
      <w:start w:val="1"/>
    </w:lvl>
    <w:lvl w:ilvl="1">
      <w:lvlJc w:val="left"/>
      <w:lvlText w:val="(%2)"/>
      <w:numFmt w:val="lowerLetter"/>
      <w:start w:val="61"/>
    </w:lvl>
  </w:abstractNum>
  <w:abstractNum w:abstractNumId="91">
    <w:nsid w:val="555C55B5"/>
    <w:multiLevelType w:val="hybridMultilevel"/>
    <w:lvl w:ilvl="0">
      <w:lvlJc w:val="left"/>
      <w:lvlText w:val="(%1)"/>
      <w:numFmt w:val="lowerLetter"/>
      <w:start w:val="3"/>
    </w:lvl>
    <w:lvl w:ilvl="1">
      <w:lvlJc w:val="left"/>
      <w:lvlText w:val="%2"/>
      <w:numFmt w:val="lowerLetter"/>
      <w:start w:val="1"/>
    </w:lvl>
  </w:abstractNum>
  <w:abstractNum w:abstractNumId="92">
    <w:nsid w:val="3FA62ACA"/>
    <w:multiLevelType w:val="hybridMultilevel"/>
    <w:lvl w:ilvl="0">
      <w:lvlJc w:val="left"/>
      <w:lvlText w:val="%1"/>
      <w:numFmt w:val="lowerLetter"/>
      <w:start w:val="1"/>
    </w:lvl>
    <w:lvl w:ilvl="1">
      <w:lvlJc w:val="left"/>
      <w:lvlText w:val="(%2)"/>
      <w:numFmt w:val="decimal"/>
      <w:start w:val="1"/>
    </w:lvl>
  </w:abstractNum>
  <w:abstractNum w:abstractNumId="93">
    <w:nsid w:val="14FCE74E"/>
    <w:multiLevelType w:val="hybridMultilevel"/>
    <w:lvl w:ilvl="0">
      <w:lvlJc w:val="left"/>
      <w:lvlText w:val="(%1)"/>
      <w:numFmt w:val="lowerLetter"/>
      <w:start w:val="5"/>
    </w:lvl>
    <w:lvl w:ilvl="1">
      <w:lvlJc w:val="left"/>
      <w:lvlText w:val="%2"/>
      <w:numFmt w:val="decimal"/>
      <w:start w:val="1"/>
    </w:lvl>
  </w:abstractNum>
  <w:abstractNum w:abstractNumId="94">
    <w:nsid w:val="6A3DD3E8"/>
    <w:multiLevelType w:val="hybridMultilevel"/>
    <w:lvl w:ilvl="0">
      <w:lvlJc w:val="left"/>
      <w:lvlText w:val="(%1)"/>
      <w:numFmt w:val="lowerLetter"/>
      <w:start w:val="6"/>
    </w:lvl>
    <w:lvl w:ilvl="1">
      <w:lvlJc w:val="left"/>
      <w:lvlText w:val="(%2)"/>
      <w:numFmt w:val="decimal"/>
      <w:start w:val="1"/>
    </w:lvl>
  </w:abstractNum>
  <w:abstractNum w:abstractNumId="95">
    <w:nsid w:val="71C91298"/>
    <w:multiLevelType w:val="hybridMultilevel"/>
    <w:lvl w:ilvl="0">
      <w:lvlJc w:val="left"/>
      <w:lvlText w:val="(%1)"/>
      <w:numFmt w:val="lowerLetter"/>
      <w:start w:val="13"/>
    </w:lvl>
  </w:abstractNum>
  <w:abstractNum w:abstractNumId="96">
    <w:nsid w:val="9DAF632"/>
    <w:multiLevelType w:val="hybridMultilevel"/>
    <w:lvl w:ilvl="0">
      <w:lvlJc w:val="left"/>
      <w:lvlText w:val="%1."/>
      <w:numFmt w:val="decimal"/>
      <w:start w:val="9"/>
    </w:lvl>
  </w:abstractNum>
  <w:abstractNum w:abstractNumId="97">
    <w:nsid w:val="53299938"/>
    <w:multiLevelType w:val="hybridMultilevel"/>
    <w:lvl w:ilvl="0">
      <w:lvlJc w:val="left"/>
      <w:lvlText w:val="(%1)"/>
      <w:numFmt w:val="lowerLetter"/>
      <w:start w:val="1"/>
    </w:lvl>
  </w:abstractNum>
  <w:abstractNum w:abstractNumId="98">
    <w:nsid w:val="1FBFE8E0"/>
    <w:multiLevelType w:val="hybridMultilevel"/>
    <w:lvl w:ilvl="0">
      <w:lvlJc w:val="left"/>
      <w:lvlText w:val="(%1)"/>
      <w:numFmt w:val="lowerLetter"/>
      <w:start w:val="2"/>
    </w:lvl>
  </w:abstractNum>
  <w:abstractNum w:abstractNumId="99">
    <w:nsid w:val="5092CA79"/>
    <w:multiLevelType w:val="hybridMultilevel"/>
    <w:lvl w:ilvl="0">
      <w:lvlJc w:val="left"/>
      <w:lvlText w:val="(%1)"/>
      <w:numFmt w:val="lowerLetter"/>
      <w:start w:val="4"/>
    </w:lvl>
  </w:abstractNum>
  <w:abstractNum w:abstractNumId="100">
    <w:nsid w:val="1D545C4D"/>
    <w:multiLevelType w:val="hybridMultilevel"/>
    <w:lvl w:ilvl="0">
      <w:lvlJc w:val="left"/>
      <w:lvlText w:val="(%1)"/>
      <w:numFmt w:val="lowerLetter"/>
      <w:start w:val="5"/>
    </w:lvl>
  </w:abstractNum>
  <w:abstractNum w:abstractNumId="101">
    <w:nsid w:val="59ADEA3D"/>
    <w:multiLevelType w:val="hybridMultilevel"/>
    <w:lvl w:ilvl="0">
      <w:lvlJc w:val="left"/>
      <w:lvlText w:val="%1."/>
      <w:numFmt w:val="decimal"/>
      <w:start w:val="11"/>
    </w:lvl>
  </w:abstractNum>
  <w:abstractNum w:abstractNumId="102">
    <w:nsid w:val="288F1A34"/>
    <w:multiLevelType w:val="hybridMultilevel"/>
    <w:lvl w:ilvl="0">
      <w:lvlJc w:val="left"/>
      <w:lvlText w:val="%1."/>
      <w:numFmt w:val="decimal"/>
      <w:start w:val="13"/>
    </w:lvl>
  </w:abstractNum>
  <w:abstractNum w:abstractNumId="103">
    <w:nsid w:val="2A155DBC"/>
    <w:multiLevelType w:val="hybridMultilevel"/>
    <w:lvl w:ilvl="0">
      <w:lvlJc w:val="left"/>
      <w:lvlText w:val="%1."/>
      <w:numFmt w:val="decimal"/>
      <w:start w:val="18"/>
    </w:lvl>
  </w:abstractNum>
  <w:abstractNum w:abstractNumId="104">
    <w:nsid w:val="1D9F6E5F"/>
    <w:multiLevelType w:val="hybridMultilevel"/>
    <w:lvl w:ilvl="0">
      <w:lvlJc w:val="left"/>
      <w:lvlText w:val="%1."/>
      <w:numFmt w:val="decimal"/>
      <w:start w:val="24"/>
    </w:lvl>
  </w:abstractNum>
  <w:abstractNum w:abstractNumId="105">
    <w:nsid w:val="97E1B4E"/>
    <w:multiLevelType w:val="hybridMultilevel"/>
    <w:lvl w:ilvl="0">
      <w:lvlJc w:val="left"/>
      <w:lvlText w:val="·"/>
      <w:numFmt w:val="bullet"/>
      <w:start w:val="1"/>
    </w:lvl>
  </w:abstractNum>
  <w:abstractNum w:abstractNumId="106">
    <w:nsid w:val="51088277"/>
    <w:multiLevelType w:val="hybridMultilevel"/>
    <w:lvl w:ilvl="0">
      <w:lvlJc w:val="left"/>
      <w:lvlText w:val="·"/>
      <w:numFmt w:val="bullet"/>
      <w:start w:val="1"/>
    </w:lvl>
  </w:abstractNum>
  <w:abstractNum w:abstractNumId="107">
    <w:nsid w:val="1CA0C5FA"/>
    <w:multiLevelType w:val="hybridMultilevel"/>
    <w:lvl w:ilvl="0">
      <w:lvlJc w:val="left"/>
      <w:lvlText w:val="·"/>
      <w:numFmt w:val="bullet"/>
      <w:start w:val="1"/>
    </w:lvl>
  </w:abstractNum>
  <w:abstractNum w:abstractNumId="108">
    <w:nsid w:val="53584BCB"/>
    <w:multiLevelType w:val="hybridMultilevel"/>
    <w:lvl w:ilvl="0">
      <w:lvlJc w:val="left"/>
      <w:lvlText w:val="(%1)"/>
      <w:numFmt w:val="lowerRoman"/>
      <w:start w:val="1"/>
    </w:lvl>
  </w:abstractNum>
  <w:abstractNum w:abstractNumId="109">
    <w:nsid w:val="415E286C"/>
    <w:multiLevelType w:val="hybridMultilevel"/>
    <w:lvl w:ilvl="0">
      <w:lvlJc w:val="left"/>
      <w:lvlText w:val="(%1)"/>
      <w:numFmt w:val="lowerRoman"/>
      <w:start w:val="3"/>
    </w:lvl>
  </w:abstractNum>
  <w:abstractNum w:abstractNumId="110">
    <w:nsid w:val="7C58FD05"/>
    <w:multiLevelType w:val="hybridMultilevel"/>
    <w:lvl w:ilvl="0">
      <w:lvlJc w:val="left"/>
      <w:lvlText w:val="(%1)"/>
      <w:numFmt w:val="lowerRoman"/>
      <w:start w:val="9"/>
    </w:lvl>
  </w:abstractNum>
  <w:abstractNum w:abstractNumId="111">
    <w:nsid w:val="23D86AAC"/>
    <w:multiLevelType w:val="hybridMultilevel"/>
    <w:lvl w:ilvl="0">
      <w:lvlJc w:val="left"/>
      <w:lvlText w:val="%1."/>
      <w:numFmt w:val="upperLetter"/>
      <w:start w:val="1"/>
    </w:lvl>
  </w:abstractNum>
  <w:abstractNum w:abstractNumId="112">
    <w:nsid w:val="45E6D486"/>
    <w:multiLevelType w:val="hybridMultilevel"/>
    <w:lvl w:ilvl="0">
      <w:lvlJc w:val="left"/>
      <w:lvlText w:val="%1."/>
      <w:numFmt w:val="upp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57" Type="http://schemas.openxmlformats.org/officeDocument/2006/relationships/image" Target="media/image112.png"/><Relationship Id="rId158" Type="http://schemas.openxmlformats.org/officeDocument/2006/relationships/image" Target="media/image113.png"/><Relationship Id="rId159" Type="http://schemas.openxmlformats.org/officeDocument/2006/relationships/image" Target="media/image114.png"/><Relationship Id="rId160" Type="http://schemas.openxmlformats.org/officeDocument/2006/relationships/image" Target="media/image115.png"/><Relationship Id="rId161" Type="http://schemas.openxmlformats.org/officeDocument/2006/relationships/image" Target="media/image116.png"/><Relationship Id="rId162" Type="http://schemas.openxmlformats.org/officeDocument/2006/relationships/image" Target="media/image117.png"/><Relationship Id="rId163" Type="http://schemas.openxmlformats.org/officeDocument/2006/relationships/image" Target="media/image118.png"/><Relationship Id="rId164" Type="http://schemas.openxmlformats.org/officeDocument/2006/relationships/image" Target="media/image119.png"/><Relationship Id="rId165" Type="http://schemas.openxmlformats.org/officeDocument/2006/relationships/image" Target="media/image120.png"/><Relationship Id="rId166" Type="http://schemas.openxmlformats.org/officeDocument/2006/relationships/image" Target="media/image121.png"/><Relationship Id="rId167" Type="http://schemas.openxmlformats.org/officeDocument/2006/relationships/image" Target="media/image122.png"/><Relationship Id="rId168" Type="http://schemas.openxmlformats.org/officeDocument/2006/relationships/image" Target="media/image123.png"/><Relationship Id="rId169" Type="http://schemas.openxmlformats.org/officeDocument/2006/relationships/image" Target="media/image124.png"/><Relationship Id="rId170" Type="http://schemas.openxmlformats.org/officeDocument/2006/relationships/image" Target="media/image125.png"/><Relationship Id="rId171" Type="http://schemas.openxmlformats.org/officeDocument/2006/relationships/image" Target="media/image126.png"/><Relationship Id="rId172" Type="http://schemas.openxmlformats.org/officeDocument/2006/relationships/image" Target="media/image127.png"/><Relationship Id="rId173" Type="http://schemas.openxmlformats.org/officeDocument/2006/relationships/image" Target="media/image128.png"/><Relationship Id="rId174" Type="http://schemas.openxmlformats.org/officeDocument/2006/relationships/image" Target="media/image129.png"/><Relationship Id="rId175" Type="http://schemas.openxmlformats.org/officeDocument/2006/relationships/image" Target="media/image130.png"/><Relationship Id="rId176" Type="http://schemas.openxmlformats.org/officeDocument/2006/relationships/image" Target="media/image131.png"/><Relationship Id="rId177"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93" Type="http://schemas.openxmlformats.org/officeDocument/2006/relationships/image" Target="media/image148.png"/><Relationship Id="rId194" Type="http://schemas.openxmlformats.org/officeDocument/2006/relationships/image" Target="media/image149.png"/><Relationship Id="rId195" Type="http://schemas.openxmlformats.org/officeDocument/2006/relationships/image" Target="media/image150.png"/><Relationship Id="rId196" Type="http://schemas.openxmlformats.org/officeDocument/2006/relationships/image" Target="media/image151.png"/><Relationship Id="rId197" Type="http://schemas.openxmlformats.org/officeDocument/2006/relationships/image" Target="media/image152.png"/><Relationship Id="rId198" Type="http://schemas.openxmlformats.org/officeDocument/2006/relationships/image" Target="media/image153.png"/><Relationship Id="rId199" Type="http://schemas.openxmlformats.org/officeDocument/2006/relationships/image" Target="media/image154.png"/><Relationship Id="rId200" Type="http://schemas.openxmlformats.org/officeDocument/2006/relationships/image" Target="media/image155.png"/><Relationship Id="rId201" Type="http://schemas.openxmlformats.org/officeDocument/2006/relationships/image" Target="media/image156.png"/><Relationship Id="rId202" Type="http://schemas.openxmlformats.org/officeDocument/2006/relationships/image" Target="media/image157.png"/><Relationship Id="rId203" Type="http://schemas.openxmlformats.org/officeDocument/2006/relationships/image" Target="media/image158.png"/><Relationship Id="rId204" Type="http://schemas.openxmlformats.org/officeDocument/2006/relationships/image" Target="media/image159.png"/><Relationship Id="rId205" Type="http://schemas.openxmlformats.org/officeDocument/2006/relationships/image" Target="media/image160.png"/><Relationship Id="rId206" Type="http://schemas.openxmlformats.org/officeDocument/2006/relationships/image" Target="media/image161.png"/><Relationship Id="rId207" Type="http://schemas.openxmlformats.org/officeDocument/2006/relationships/image" Target="media/image162.png"/><Relationship Id="rId208" Type="http://schemas.openxmlformats.org/officeDocument/2006/relationships/image" Target="media/image163.png"/><Relationship Id="rId209" Type="http://schemas.openxmlformats.org/officeDocument/2006/relationships/image" Target="media/image164.png"/><Relationship Id="rId210" Type="http://schemas.openxmlformats.org/officeDocument/2006/relationships/image" Target="media/image165.png"/><Relationship Id="rId211" Type="http://schemas.openxmlformats.org/officeDocument/2006/relationships/image" Target="media/image166.png"/><Relationship Id="rId212" Type="http://schemas.openxmlformats.org/officeDocument/2006/relationships/image" Target="media/image167.png"/><Relationship Id="rId213" Type="http://schemas.openxmlformats.org/officeDocument/2006/relationships/image" Target="media/image168.png"/><Relationship Id="rId214" Type="http://schemas.openxmlformats.org/officeDocument/2006/relationships/image" Target="media/image169.png"/><Relationship Id="rId215" Type="http://schemas.openxmlformats.org/officeDocument/2006/relationships/image" Target="media/image170.png"/><Relationship Id="rId216" Type="http://schemas.openxmlformats.org/officeDocument/2006/relationships/image" Target="media/image171.png"/><Relationship Id="rId217" Type="http://schemas.openxmlformats.org/officeDocument/2006/relationships/image" Target="media/image172.png"/><Relationship Id="rId218" Type="http://schemas.openxmlformats.org/officeDocument/2006/relationships/image" Target="media/image173.png"/><Relationship Id="rId219" Type="http://schemas.openxmlformats.org/officeDocument/2006/relationships/image" Target="media/image174.png"/><Relationship Id="rId113" Type="http://schemas.openxmlformats.org/officeDocument/2006/relationships/hyperlink" Target="http://www.sec.gov/Archives/edgar/data/1710155/000156761917002270/s001582x19_ex3-1.htm" TargetMode="External"/><Relationship Id="rId114" Type="http://schemas.openxmlformats.org/officeDocument/2006/relationships/hyperlink" Target="http://www.sec.gov/Archives/edgar/data/1710155/000156761917002270/s001582x19_ex3-2.htm" TargetMode="External"/><Relationship Id="rId115" Type="http://schemas.openxmlformats.org/officeDocument/2006/relationships/hyperlink" Target="http://www.sec.gov/Archives/edgar/data/1710155/000156761917002184/s001582x10_ex4-1.htm" TargetMode="External"/><Relationship Id="rId116" Type="http://schemas.openxmlformats.org/officeDocument/2006/relationships/hyperlink" Target="http://www.sec.gov/Archives/edgar/data/1710155/000156761917002082/s001582x7_ex4-2.htm" TargetMode="External"/><Relationship Id="rId117" Type="http://schemas.openxmlformats.org/officeDocument/2006/relationships/hyperlink" Target="http://www.sec.gov/Archives/edgar/data/1710155/000156761917002082/s001582x7_ex10-3.htm" TargetMode="External"/><Relationship Id="rId118" Type="http://schemas.openxmlformats.org/officeDocument/2006/relationships/hyperlink" Target="http://www.sec.gov/Archives/edgar/data/1710155/000156761917002082/s001582x7_ex10-4.htm" TargetMode="External"/><Relationship Id="rId119" Type="http://schemas.openxmlformats.org/officeDocument/2006/relationships/hyperlink" Target="http://www.sec.gov/Archives/edgar/data/1710155/000156761917002082/s001582x7_ex10-5.htm" TargetMode="External"/><Relationship Id="rId122" Type="http://schemas.openxmlformats.org/officeDocument/2006/relationships/hyperlink" Target="http://www.sec.gov/Archives/edgar/data/1710155/000156761917002270/s001582x19_ex10-1.htm" TargetMode="External"/><Relationship Id="rId123" Type="http://schemas.openxmlformats.org/officeDocument/2006/relationships/hyperlink" Target="http://www.sec.gov/Archives/edgar/data/1710155/000156761917002367/s001971x1_ex10-5.htm" TargetMode="External"/><Relationship Id="rId124" Type="http://schemas.openxmlformats.org/officeDocument/2006/relationships/hyperlink" Target="http://www.sec.gov/Archives/edgar/data/1710155/000156761917002082/s001582x7_ex10-6.htm" TargetMode="External"/><Relationship Id="rId125" Type="http://schemas.openxmlformats.org/officeDocument/2006/relationships/hyperlink" Target="http://www.sec.gov/Archives/edgar/data/1710155/000156761917002082/s001582x7_ex10-7.htm" TargetMode="External"/><Relationship Id="rId126" Type="http://schemas.openxmlformats.org/officeDocument/2006/relationships/hyperlink" Target="http://www.sec.gov/Archives/edgar/data/1710155/000156761917002082/s001582x7_ex10-8.htm" TargetMode="External"/><Relationship Id="rId127" Type="http://schemas.openxmlformats.org/officeDocument/2006/relationships/hyperlink" Target="http://www.sec.gov/Archives/edgar/data/1710155/000156761917002270/s001582x19_ex10-2.htm" TargetMode="External"/><Relationship Id="rId128" Type="http://schemas.openxmlformats.org/officeDocument/2006/relationships/hyperlink" Target="http://www.sec.gov/Archives/edgar/data/1710155/000156761917002184/s001582x10_ex10-15.htm" TargetMode="External"/><Relationship Id="rId129" Type="http://schemas.openxmlformats.org/officeDocument/2006/relationships/hyperlink" Target="http://www.sec.gov/Archives/edgar/data/1710155/000156761917002082/s001582x7_ex10-16.htm" TargetMode="External"/><Relationship Id="rId130" Type="http://schemas.openxmlformats.org/officeDocument/2006/relationships/hyperlink" Target="http://www.sec.gov/Archives/edgar/data/1710155/000156761917002082/s001582x7_ex10-17.htm" TargetMode="External"/><Relationship Id="rId131" Type="http://schemas.openxmlformats.org/officeDocument/2006/relationships/hyperlink" Target="http://www.sec.gov/Archives/edgar/data/1710155/000156761917002082/s001582x7_ex10-18.htm" TargetMode="External"/><Relationship Id="rId134" Type="http://schemas.openxmlformats.org/officeDocument/2006/relationships/hyperlink" Target="http://www.sec.gov/Archives/edgar/data/1710155/000156761917002082/s001582x7_ex10-19.htm" TargetMode="External"/><Relationship Id="rId135" Type="http://schemas.openxmlformats.org/officeDocument/2006/relationships/hyperlink" Target="http://www.sec.gov/Archives/edgar/data/1710155/000156761917002082/s001582x7_ex10-20.htm" TargetMode="External"/><Relationship Id="rId136" Type="http://schemas.openxmlformats.org/officeDocument/2006/relationships/hyperlink" Target="http://www.sec.gov/Archives/edgar/data/1710155/000156761917002082/s001582x7_ex10-21.htm" TargetMode="External"/><Relationship Id="rId137" Type="http://schemas.openxmlformats.org/officeDocument/2006/relationships/hyperlink" Target="http://www.sec.gov/Archives/edgar/data/1710155/000156761917002082/s001582x7_ex10-23.htm" TargetMode="External"/><Relationship Id="rId138" Type="http://schemas.openxmlformats.org/officeDocument/2006/relationships/hyperlink" Target="http://www.sec.gov/Archives/edgar/data/1710155/000156761917002082/s001582x7_ex10-24.htm" TargetMode="External"/><Relationship Id="rId139" Type="http://schemas.openxmlformats.org/officeDocument/2006/relationships/hyperlink" Target="http://www.sec.gov/Archives/edgar/data/1710155/000156761917002082/s001582x7_ex10-25.htm" TargetMode="External"/><Relationship Id="rId140" Type="http://schemas.openxmlformats.org/officeDocument/2006/relationships/hyperlink" Target="http://www.sec.gov/Archives/edgar/data/1710155/000156761917002082/s001582x7_ex10-26.htm" TargetMode="External"/><Relationship Id="rId141" Type="http://schemas.openxmlformats.org/officeDocument/2006/relationships/hyperlink" Target="http://www.sec.gov/Archives/edgar/data/1710155/000156761917002082/s001582x7_ex10-27.htm" TargetMode="External"/><Relationship Id="rId142" Type="http://schemas.openxmlformats.org/officeDocument/2006/relationships/hyperlink" Target="http://www.sec.gov/Archives/edgar/data/1710155/000156761917002082/s001582x7_ex10-28.htm" TargetMode="External"/><Relationship Id="rId143" Type="http://schemas.openxmlformats.org/officeDocument/2006/relationships/hyperlink" Target="http://www.sec.gov/Archives/edgar/data/1710155/000156761917002082/s001582x7_ex10-29.htm" TargetMode="External"/><Relationship Id="rId144" Type="http://schemas.openxmlformats.org/officeDocument/2006/relationships/hyperlink" Target="http://www.sec.gov/Archives/edgar/data/1710155/000156761917002082/s001582x7_ex10-30.htm" TargetMode="External"/><Relationship Id="rId145" Type="http://schemas.openxmlformats.org/officeDocument/2006/relationships/hyperlink" Target="http://www.sec.gov/Archives/edgar/data/1710155/000156761917002082/s001582x7_ex10-31.htm" TargetMode="External"/><Relationship Id="rId148" Type="http://schemas.openxmlformats.org/officeDocument/2006/relationships/hyperlink" Target="http://www.sec.gov/Archives/edgar/data/1710155/000156761917002082/s001582x7_ex10-32.htm" TargetMode="External"/><Relationship Id="rId149" Type="http://schemas.openxmlformats.org/officeDocument/2006/relationships/hyperlink" Target="http://www.sec.gov/Archives/edgar/data/1710155/000156761917002082/s001582x7_ex10-33.htm" TargetMode="External"/><Relationship Id="rId150" Type="http://schemas.openxmlformats.org/officeDocument/2006/relationships/hyperlink" Target="http://www.sec.gov/Archives/edgar/data/1710155/000156761917002184/s001582x10_ex10-34.htm" TargetMode="External"/><Relationship Id="rId151" Type="http://schemas.openxmlformats.org/officeDocument/2006/relationships/hyperlink" Target="http://www.sec.gov/Archives/edgar/data/1710155/000156761917002184/s001582x10_ex10-35.htm" TargetMode="External"/><Relationship Id="rId152" Type="http://schemas.openxmlformats.org/officeDocument/2006/relationships/hyperlink" Target="http://www.sec.gov/Archives/edgar/data/1710155/000156761917002184/s001582x10_ex10-36.htm" TargetMode="External"/><Relationship Id="rId153" Type="http://schemas.openxmlformats.org/officeDocument/2006/relationships/hyperlink" Target="http://www.sec.gov/Archives/edgar/data/1710155/000171015518000005/ex101formofdirectorstockho.htm" TargetMode="External"/><Relationship Id="rId154" Type="http://schemas.openxmlformats.org/officeDocument/2006/relationships/hyperlink" Target="http://www.sec.gov/Archives/edgar/data/1710155/000162612917000582/s001582x16_ex4-4.htm" TargetMode="External"/><Relationship Id="rId155" Type="http://schemas.openxmlformats.org/officeDocument/2006/relationships/hyperlink" Target="http://www.sec.gov/Archives/edgar/data/1710155/000171015518000012/exhibit1039-jmcallistersto.htm" TargetMode="External"/><Relationship Id="rId156" Type="http://schemas.openxmlformats.org/officeDocument/2006/relationships/hyperlink" Target="http://www.sec.gov/Archives/edgar/data/1710155/000171015518000012/exhibit211-subsidiari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2019-12-08T16:02:02Z</dcterms:created>
  <dcterms:modified xsi:type="dcterms:W3CDTF">2019-12-08T16:02:02Z</dcterms:modified>
</cp:coreProperties>
</file>